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65C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2AC314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B64F9CF">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91</w:t>
            </w:r>
            <w:r>
              <w:rPr>
                <w:rFonts w:hint="eastAsia" w:ascii="黑体" w:hAnsi="黑体" w:eastAsia="黑体"/>
                <w:sz w:val="21"/>
                <w:szCs w:val="21"/>
              </w:rPr>
              <w:t>.1</w:t>
            </w:r>
            <w:r>
              <w:rPr>
                <w:rFonts w:hint="eastAsia" w:ascii="黑体" w:hAnsi="黑体" w:eastAsia="黑体"/>
                <w:sz w:val="21"/>
                <w:szCs w:val="21"/>
                <w:lang w:val="en-US" w:eastAsia="zh-CN"/>
              </w:rPr>
              <w:t>4</w:t>
            </w:r>
            <w:r>
              <w:rPr>
                <w:rFonts w:hint="eastAsia" w:ascii="黑体" w:hAnsi="黑体" w:eastAsia="黑体"/>
                <w:sz w:val="21"/>
                <w:szCs w:val="21"/>
              </w:rPr>
              <w:t>0.</w:t>
            </w:r>
            <w:r>
              <w:rPr>
                <w:rFonts w:hint="eastAsia" w:ascii="黑体" w:hAnsi="黑体" w:eastAsia="黑体"/>
                <w:sz w:val="21"/>
                <w:szCs w:val="21"/>
                <w:lang w:val="en-US" w:eastAsia="zh-CN"/>
              </w:rPr>
              <w:t>30</w:t>
            </w:r>
          </w:p>
        </w:tc>
      </w:tr>
      <w:tr w14:paraId="0536D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18AD76">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B76F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365D4B9">
                  <w:pPr>
                    <w:pStyle w:val="51"/>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rPr>
                      <w:rFonts w:hint="eastAsia"/>
                    </w:rPr>
                    <w:t>CBJ</w:t>
                  </w:r>
                </w:p>
              </w:tc>
            </w:tr>
          </w:tbl>
          <w:p w14:paraId="7E32DCB2">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P48</w:t>
            </w:r>
          </w:p>
        </w:tc>
      </w:tr>
    </w:tbl>
    <w:p w14:paraId="0D4E1EB3">
      <w:pPr>
        <w:pStyle w:val="52"/>
        <w:framePr w:w="9639" w:h="624" w:hRule="exact" w:hSpace="181" w:vSpace="181" w:wrap="around" w:hAnchor="page" w:x="1305" w:y="2269"/>
        <w:rPr>
          <w:rFonts w:ascii="黑体" w:hAnsi="黑体" w:eastAsia="黑体"/>
          <w:b w:val="0"/>
          <w:bCs w:val="0"/>
          <w:w w:val="100"/>
          <w:sz w:val="48"/>
          <w:szCs w:val="48"/>
        </w:rPr>
      </w:pPr>
      <w:bookmarkStart w:id="0"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0"/>
    <w:p w14:paraId="017DD669">
      <w:pPr>
        <w:pStyle w:val="197"/>
      </w:pPr>
      <w:r>
        <w:t>T/</w:t>
      </w:r>
      <w:r>
        <w:rPr>
          <w:rFonts w:hint="eastAsia"/>
        </w:rPr>
        <w:t>CBJ</w:t>
      </w:r>
      <w:r>
        <w:t xml:space="preserve"> </w:t>
      </w:r>
      <w:r>
        <w:rPr>
          <w:rFonts w:hint="eastAsia"/>
        </w:rPr>
        <w:t>0</w:t>
      </w:r>
      <w:r>
        <w:rPr>
          <w:rFonts w:hint="eastAsia"/>
          <w:lang w:val="en-US" w:eastAsia="zh-CN"/>
        </w:rPr>
        <w:t>10</w:t>
      </w:r>
      <w:r>
        <w:rPr>
          <w:rFonts w:hAnsi="黑体"/>
        </w:rPr>
        <w:t>—</w:t>
      </w:r>
      <w:r>
        <w:rPr>
          <w:rFonts w:hint="eastAsia"/>
        </w:rPr>
        <w:t>2025</w:t>
      </w:r>
    </w:p>
    <w:p w14:paraId="13A531F8">
      <w:pPr>
        <w:pStyle w:val="198"/>
        <w:rPr>
          <w:rFonts w:hAnsi="黑体"/>
        </w:rPr>
      </w:pPr>
    </w:p>
    <w:p w14:paraId="501804C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32AECC0">
      <w:pPr>
        <w:pStyle w:val="52"/>
        <w:framePr w:w="9639" w:h="6976" w:hRule="exact" w:hSpace="0" w:vSpace="0" w:wrap="around" w:hAnchor="page" w:y="6408"/>
        <w:jc w:val="center"/>
        <w:rPr>
          <w:rFonts w:ascii="黑体" w:hAnsi="黑体" w:eastAsia="黑体"/>
          <w:b w:val="0"/>
          <w:bCs w:val="0"/>
          <w:w w:val="100"/>
        </w:rPr>
      </w:pPr>
    </w:p>
    <w:p w14:paraId="2525C6E7">
      <w:pPr>
        <w:pStyle w:val="2"/>
        <w:keepNext w:val="0"/>
        <w:keepLines w:val="0"/>
        <w:framePr w:w="9639" w:h="6974" w:hRule="exact" w:wrap="around" w:vAnchor="page" w:hAnchor="page" w:x="1419" w:y="6408" w:anchorLock="1"/>
        <w:widowControl/>
        <w:suppressLineNumbers w:val="0"/>
        <w:pBdr>
          <w:top w:val="none" w:color="auto" w:sz="0" w:space="0"/>
          <w:left w:val="none" w:color="auto" w:sz="0" w:space="0"/>
          <w:bottom w:val="none" w:color="auto" w:sz="0" w:space="0"/>
          <w:right w:val="none" w:color="auto" w:sz="0" w:space="0"/>
        </w:pBdr>
        <w:shd w:val="clear" w:fill="FFFFFF"/>
        <w:spacing w:before="384" w:beforeAutospacing="0" w:after="192" w:afterAutospacing="0"/>
        <w:ind w:left="0" w:right="0" w:firstLine="0"/>
        <w:jc w:val="center"/>
        <w:rPr>
          <w:sz w:val="18"/>
          <w:szCs w:val="18"/>
        </w:rPr>
      </w:pPr>
      <w:bookmarkStart w:id="1" w:name="_Toc26906"/>
      <w:r>
        <w:rPr>
          <w:rFonts w:hint="default"/>
        </w:rPr>
        <w:t>高效制冷机房</w:t>
      </w:r>
      <w:r>
        <w:rPr>
          <w:rFonts w:hint="eastAsia"/>
          <w:lang w:eastAsia="zh-CN"/>
        </w:rPr>
        <w:t>认</w:t>
      </w:r>
      <w:r>
        <w:rPr>
          <w:rFonts w:hint="eastAsia"/>
          <w:lang w:val="en-US" w:eastAsia="zh-CN"/>
        </w:rPr>
        <w:t>定</w:t>
      </w:r>
      <w:r>
        <w:rPr>
          <w:rFonts w:hint="default"/>
        </w:rPr>
        <w:t>技术规范</w:t>
      </w:r>
      <w:bookmarkEnd w:id="1"/>
      <w:bookmarkStart w:id="2" w:name="_Hlk97294906"/>
    </w:p>
    <w:p w14:paraId="36A367EE">
      <w:pPr>
        <w:pStyle w:val="127"/>
        <w:framePr w:w="9639" w:h="6974" w:hRule="exact" w:wrap="around" w:vAnchor="page" w:hAnchor="page" w:x="1419" w:y="6408" w:anchorLock="1"/>
        <w:spacing w:after="360"/>
        <w:rPr>
          <w:sz w:val="18"/>
          <w:szCs w:val="18"/>
        </w:rPr>
      </w:pPr>
      <w:r>
        <w:rPr>
          <w:rFonts w:hint="eastAsia"/>
          <w:sz w:val="18"/>
          <w:szCs w:val="18"/>
        </w:rPr>
        <w:t>Technical Specification for Certification of High-Efficiency Refrigeration Plant Rooms</w:t>
      </w:r>
    </w:p>
    <w:bookmarkEnd w:id="2"/>
    <w:p w14:paraId="22F2197D">
      <w:pPr>
        <w:pStyle w:val="127"/>
        <w:framePr w:w="9639" w:h="6974" w:hRule="exact" w:wrap="around" w:vAnchor="page" w:hAnchor="page" w:x="1419" w:y="6408" w:anchorLock="1"/>
        <w:spacing w:before="440" w:after="160"/>
        <w:ind w:firstLine="4320" w:firstLineChars="1800"/>
        <w:jc w:val="both"/>
        <w:textAlignment w:val="bottom"/>
        <w:rPr>
          <w:sz w:val="24"/>
          <w:szCs w:val="28"/>
        </w:rPr>
      </w:pPr>
      <w:bookmarkStart w:id="3"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3"/>
    </w:p>
    <w:p w14:paraId="5119C58C">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4" w:name="CMPLSH_DATE"/>
      <w:r>
        <w:rPr>
          <w:sz w:val="21"/>
          <w:szCs w:val="28"/>
        </w:rPr>
        <w:instrText xml:space="preserve"> FORMTEXT </w:instrText>
      </w:r>
      <w:r>
        <w:rPr>
          <w:sz w:val="21"/>
          <w:szCs w:val="28"/>
        </w:rPr>
        <w:fldChar w:fldCharType="separate"/>
      </w:r>
      <w:r>
        <w:rPr>
          <w:sz w:val="21"/>
          <w:szCs w:val="28"/>
        </w:rPr>
        <w:t>    </w:t>
      </w:r>
      <w:r>
        <w:rPr>
          <w:rFonts w:hint="eastAsia"/>
          <w:sz w:val="21"/>
          <w:szCs w:val="28"/>
          <w:lang w:val="en-US" w:eastAsia="zh-CN"/>
        </w:rPr>
        <w:t>征求意见稿</w:t>
      </w:r>
      <w:r>
        <w:rPr>
          <w:sz w:val="21"/>
          <w:szCs w:val="28"/>
        </w:rPr>
        <w:t> </w:t>
      </w:r>
      <w:r>
        <w:rPr>
          <w:sz w:val="21"/>
          <w:szCs w:val="28"/>
        </w:rPr>
        <w:fldChar w:fldCharType="end"/>
      </w:r>
      <w:bookmarkEnd w:id="4"/>
    </w:p>
    <w:p w14:paraId="1F861D0D">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5" w:name="下拉2"/>
      <w:r>
        <w:rPr>
          <w:b/>
          <w:sz w:val="21"/>
          <w:szCs w:val="28"/>
        </w:rPr>
        <w:instrText xml:space="preserve"> FORMDROPDOWN </w:instrText>
      </w:r>
      <w:r>
        <w:rPr>
          <w:b/>
          <w:sz w:val="21"/>
          <w:szCs w:val="28"/>
        </w:rPr>
        <w:fldChar w:fldCharType="separate"/>
      </w:r>
      <w:r>
        <w:rPr>
          <w:b/>
          <w:sz w:val="21"/>
          <w:szCs w:val="28"/>
        </w:rPr>
        <w:fldChar w:fldCharType="end"/>
      </w:r>
      <w:bookmarkEnd w:id="5"/>
    </w:p>
    <w:p w14:paraId="1F8AD60C">
      <w:pPr>
        <w:pStyle w:val="195"/>
        <w:framePr w:wrap="around" w:y="14176"/>
      </w:pPr>
      <w:r>
        <w:rPr>
          <w:rFonts w:hint="eastAsia" w:ascii="黑体"/>
        </w:rPr>
        <w:t>2025</w:t>
      </w:r>
      <w:r>
        <w:t xml:space="preserve"> </w:t>
      </w:r>
      <w:r>
        <w:rPr>
          <w:rFonts w:ascii="黑体"/>
        </w:rPr>
        <w:t>-</w:t>
      </w:r>
      <w:r>
        <w:t xml:space="preserve"> </w:t>
      </w:r>
      <w:r>
        <w:rPr>
          <w:rFonts w:hint="eastAsia" w:ascii="黑体"/>
          <w:lang w:val="en-US" w:eastAsia="zh-CN"/>
        </w:rPr>
        <w:t>**</w:t>
      </w:r>
      <w:r>
        <w:t xml:space="preserve"> </w:t>
      </w:r>
      <w:r>
        <w:rPr>
          <w:rFonts w:ascii="黑体"/>
        </w:rPr>
        <w:t>-</w:t>
      </w:r>
      <w:r>
        <w:t xml:space="preserve"> </w:t>
      </w:r>
      <w:r>
        <w:rPr>
          <w:rFonts w:hint="eastAsia" w:ascii="黑体"/>
          <w:lang w:val="en-US" w:eastAsia="zh-CN"/>
        </w:rPr>
        <w:t>**</w:t>
      </w:r>
      <w:r>
        <w:rPr>
          <w:rFonts w:hint="eastAsia"/>
        </w:rPr>
        <w:t>发布</w:t>
      </w:r>
    </w:p>
    <w:p w14:paraId="1727EEF9">
      <w:pPr>
        <w:pStyle w:val="196"/>
        <w:framePr w:wrap="around" w:y="14176"/>
      </w:pPr>
      <w:r>
        <w:rPr>
          <w:rFonts w:hint="eastAsia" w:ascii="黑体"/>
        </w:rPr>
        <w:t>2025</w:t>
      </w:r>
      <w:r>
        <w:t xml:space="preserve"> </w:t>
      </w:r>
      <w:r>
        <w:rPr>
          <w:rFonts w:ascii="黑体"/>
        </w:rPr>
        <w:t>-</w:t>
      </w:r>
      <w:r>
        <w:t xml:space="preserve"> </w:t>
      </w:r>
      <w:r>
        <w:rPr>
          <w:rFonts w:hint="eastAsia" w:ascii="黑体"/>
          <w:lang w:val="en-US" w:eastAsia="zh-CN"/>
        </w:rPr>
        <w:t>**</w:t>
      </w:r>
      <w:r>
        <w:t xml:space="preserve"> </w:t>
      </w:r>
      <w:r>
        <w:rPr>
          <w:rFonts w:ascii="黑体"/>
        </w:rPr>
        <w:t>-</w:t>
      </w:r>
      <w:r>
        <w:t xml:space="preserve"> </w:t>
      </w:r>
      <w:r>
        <w:rPr>
          <w:rFonts w:hint="eastAsia" w:ascii="黑体"/>
          <w:lang w:val="en-US" w:eastAsia="zh-CN"/>
        </w:rPr>
        <w:t>**</w:t>
      </w:r>
      <w:r>
        <w:rPr>
          <w:rFonts w:hint="eastAsia"/>
        </w:rPr>
        <w:t>实施</w:t>
      </w:r>
    </w:p>
    <w:p w14:paraId="208BE295">
      <w:pPr>
        <w:pStyle w:val="153"/>
        <w:framePr w:h="584" w:hRule="exact" w:hSpace="181" w:vSpace="181" w:wrap="around" w:y="14800"/>
        <w:rPr>
          <w:rFonts w:hAnsi="黑体"/>
        </w:rPr>
      </w:pPr>
      <w:r>
        <w:rPr>
          <w:rFonts w:hint="eastAsia" w:hAnsi="黑体"/>
          <w:w w:val="100"/>
          <w:sz w:val="28"/>
        </w:rPr>
        <w:t>陕西省暖通空调与制冷行业协会</w:t>
      </w:r>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6F6AC6C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7AD4C01">
      <w:pPr>
        <w:pStyle w:val="93"/>
        <w:spacing w:after="360"/>
      </w:pPr>
      <w:bookmarkStart w:id="6" w:name="BookMark1"/>
      <w:bookmarkStart w:id="7" w:name="_Toc209115913"/>
      <w:r>
        <w:rPr>
          <w:rFonts w:hint="eastAsia"/>
          <w:spacing w:val="320"/>
        </w:rPr>
        <w:t>目</w:t>
      </w:r>
      <w:r>
        <w:rPr>
          <w:rFonts w:hint="eastAsia"/>
        </w:rPr>
        <w:t>次</w:t>
      </w:r>
    </w:p>
    <w:p w14:paraId="6159664B">
      <w:pPr>
        <w:pStyle w:val="25"/>
      </w:pPr>
      <w:r>
        <w:fldChar w:fldCharType="begin"/>
      </w:r>
      <w:r>
        <w:instrText xml:space="preserve"> TOC \o "1-1" \h \t "标准文件_一级条标题,2,标准文件_附录一级条标题,2," </w:instrText>
      </w:r>
      <w:r>
        <w:fldChar w:fldCharType="separate"/>
      </w:r>
    </w:p>
    <w:sdt>
      <w:sdtPr>
        <w:rPr>
          <w:rFonts w:ascii="宋体" w:hAnsi="宋体" w:eastAsia="宋体" w:cs="Times New Roman"/>
          <w:kern w:val="2"/>
          <w:sz w:val="21"/>
          <w:szCs w:val="21"/>
          <w:lang w:val="en-US" w:eastAsia="zh-CN" w:bidi="ar-SA"/>
        </w:rPr>
        <w:id w:val="147462297"/>
        <w15:color w:val="DBDBDB"/>
        <w:docPartObj>
          <w:docPartGallery w:val="Table of Contents"/>
          <w:docPartUnique/>
        </w:docPartObj>
      </w:sdtPr>
      <w:sdtEndPr>
        <w:rPr>
          <w:rFonts w:ascii="Calibri" w:hAnsi="Calibri" w:eastAsia="宋体" w:cs="Times New Roman"/>
          <w:kern w:val="2"/>
          <w:sz w:val="21"/>
          <w:szCs w:val="21"/>
          <w:lang w:val="en-US" w:eastAsia="zh-CN" w:bidi="ar-SA"/>
        </w:rPr>
      </w:sdtEndPr>
      <w:sdtContent>
        <w:p w14:paraId="49488B94">
          <w:pPr>
            <w:spacing w:before="0" w:beforeLines="0" w:after="0" w:afterLines="0" w:line="240" w:lineRule="auto"/>
            <w:ind w:left="0" w:leftChars="0" w:right="0" w:rightChars="0" w:firstLine="0" w:firstLineChars="0"/>
            <w:jc w:val="center"/>
          </w:pPr>
        </w:p>
        <w:p w14:paraId="5FA48110">
          <w:pPr>
            <w:pStyle w:val="20"/>
            <w:tabs>
              <w:tab w:val="right" w:leader="dot" w:pos="9354"/>
            </w:tabs>
          </w:pPr>
          <w:r>
            <w:fldChar w:fldCharType="begin"/>
          </w:r>
          <w:r>
            <w:instrText xml:space="preserve">TOC \o "1-1" \h \u </w:instrText>
          </w:r>
          <w:r>
            <w:fldChar w:fldCharType="separate"/>
          </w:r>
          <w:r>
            <w:fldChar w:fldCharType="begin"/>
          </w:r>
          <w:r>
            <w:instrText xml:space="preserve"> HYPERLINK \l _Toc9921 </w:instrText>
          </w:r>
          <w:r>
            <w:fldChar w:fldCharType="separate"/>
          </w:r>
          <w:r>
            <w:rPr>
              <w:spacing w:val="320"/>
            </w:rPr>
            <w:t>前</w:t>
          </w:r>
          <w:r>
            <w:t>言</w:t>
          </w:r>
          <w:r>
            <w:tab/>
          </w:r>
          <w:r>
            <w:fldChar w:fldCharType="begin"/>
          </w:r>
          <w:r>
            <w:instrText xml:space="preserve"> PAGEREF _Toc9921 \h </w:instrText>
          </w:r>
          <w:r>
            <w:fldChar w:fldCharType="separate"/>
          </w:r>
          <w:r>
            <w:t>II</w:t>
          </w:r>
          <w:r>
            <w:fldChar w:fldCharType="end"/>
          </w:r>
          <w:r>
            <w:fldChar w:fldCharType="end"/>
          </w:r>
        </w:p>
        <w:p w14:paraId="21BE0665">
          <w:pPr>
            <w:pStyle w:val="20"/>
            <w:tabs>
              <w:tab w:val="right" w:leader="dot" w:pos="9354"/>
            </w:tabs>
          </w:pPr>
          <w:r>
            <w:fldChar w:fldCharType="begin"/>
          </w:r>
          <w:r>
            <w:instrText xml:space="preserve"> HYPERLINK \l _Toc27478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_Toc27478 \h </w:instrText>
          </w:r>
          <w:r>
            <w:fldChar w:fldCharType="separate"/>
          </w:r>
          <w:r>
            <w:t>3</w:t>
          </w:r>
          <w:r>
            <w:fldChar w:fldCharType="end"/>
          </w:r>
          <w:r>
            <w:fldChar w:fldCharType="end"/>
          </w:r>
        </w:p>
        <w:p w14:paraId="3A1816D1">
          <w:pPr>
            <w:pStyle w:val="20"/>
            <w:tabs>
              <w:tab w:val="right" w:leader="dot" w:pos="9354"/>
            </w:tabs>
          </w:pPr>
          <w:r>
            <w:fldChar w:fldCharType="begin"/>
          </w:r>
          <w:r>
            <w:instrText xml:space="preserve"> HYPERLINK \l _Toc29736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_Toc29736 \h </w:instrText>
          </w:r>
          <w:r>
            <w:fldChar w:fldCharType="separate"/>
          </w:r>
          <w:r>
            <w:t>3</w:t>
          </w:r>
          <w:r>
            <w:fldChar w:fldCharType="end"/>
          </w:r>
          <w:r>
            <w:fldChar w:fldCharType="end"/>
          </w:r>
        </w:p>
        <w:p w14:paraId="2D91EAC1">
          <w:pPr>
            <w:pStyle w:val="20"/>
            <w:tabs>
              <w:tab w:val="right" w:leader="dot" w:pos="9354"/>
            </w:tabs>
          </w:pPr>
          <w:r>
            <w:fldChar w:fldCharType="begin"/>
          </w:r>
          <w:r>
            <w:instrText xml:space="preserve"> HYPERLINK \l _Toc10349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_Toc10349 \h </w:instrText>
          </w:r>
          <w:r>
            <w:fldChar w:fldCharType="separate"/>
          </w:r>
          <w:r>
            <w:t>3</w:t>
          </w:r>
          <w:r>
            <w:fldChar w:fldCharType="end"/>
          </w:r>
          <w:r>
            <w:fldChar w:fldCharType="end"/>
          </w:r>
        </w:p>
        <w:p w14:paraId="12F878C3">
          <w:pPr>
            <w:pStyle w:val="20"/>
            <w:tabs>
              <w:tab w:val="right" w:leader="dot" w:pos="9354"/>
            </w:tabs>
          </w:pPr>
          <w:r>
            <w:fldChar w:fldCharType="begin"/>
          </w:r>
          <w:r>
            <w:instrText xml:space="preserve"> HYPERLINK \l _Toc26654 </w:instrText>
          </w:r>
          <w:r>
            <w:fldChar w:fldCharType="separate"/>
          </w:r>
          <w:r>
            <w:rPr>
              <w:rFonts w:hint="eastAsia" w:ascii="黑体" w:eastAsia="黑体"/>
              <w:i w:val="0"/>
            </w:rPr>
            <w:t xml:space="preserve">4 </w:t>
          </w:r>
          <w:r>
            <w:rPr>
              <w:rFonts w:hint="eastAsia"/>
            </w:rPr>
            <w:t>基本</w:t>
          </w:r>
          <w:r>
            <w:rPr>
              <w:rFonts w:hint="eastAsia"/>
              <w:lang w:val="en-US" w:eastAsia="zh-CN"/>
            </w:rPr>
            <w:t>规定</w:t>
          </w:r>
          <w:r>
            <w:tab/>
          </w:r>
          <w:r>
            <w:fldChar w:fldCharType="begin"/>
          </w:r>
          <w:r>
            <w:instrText xml:space="preserve"> PAGEREF _Toc26654 \h </w:instrText>
          </w:r>
          <w:r>
            <w:fldChar w:fldCharType="separate"/>
          </w:r>
          <w:r>
            <w:t>4</w:t>
          </w:r>
          <w:r>
            <w:fldChar w:fldCharType="end"/>
          </w:r>
          <w:r>
            <w:fldChar w:fldCharType="end"/>
          </w:r>
        </w:p>
        <w:p w14:paraId="2BA41604">
          <w:pPr>
            <w:pStyle w:val="20"/>
            <w:tabs>
              <w:tab w:val="right" w:leader="dot" w:pos="9354"/>
            </w:tabs>
          </w:pPr>
          <w:r>
            <w:fldChar w:fldCharType="begin"/>
          </w:r>
          <w:r>
            <w:instrText xml:space="preserve"> HYPERLINK \l _Toc31098 </w:instrText>
          </w:r>
          <w:r>
            <w:fldChar w:fldCharType="separate"/>
          </w:r>
          <w:r>
            <w:rPr>
              <w:rFonts w:hint="eastAsia" w:ascii="黑体" w:eastAsia="黑体"/>
              <w:i w:val="0"/>
              <w:szCs w:val="21"/>
            </w:rPr>
            <w:t xml:space="preserve">5 </w:t>
          </w:r>
          <w:r>
            <w:rPr>
              <w:rFonts w:hint="eastAsia"/>
              <w:szCs w:val="21"/>
              <w:lang w:val="en-US" w:eastAsia="zh-CN"/>
            </w:rPr>
            <w:t>认定条件与技术要求</w:t>
          </w:r>
          <w:r>
            <w:tab/>
          </w:r>
          <w:r>
            <w:fldChar w:fldCharType="begin"/>
          </w:r>
          <w:r>
            <w:instrText xml:space="preserve"> PAGEREF _Toc31098 \h </w:instrText>
          </w:r>
          <w:r>
            <w:fldChar w:fldCharType="separate"/>
          </w:r>
          <w:r>
            <w:t>4</w:t>
          </w:r>
          <w:r>
            <w:fldChar w:fldCharType="end"/>
          </w:r>
          <w:r>
            <w:fldChar w:fldCharType="end"/>
          </w:r>
        </w:p>
        <w:p w14:paraId="57238068">
          <w:pPr>
            <w:pStyle w:val="20"/>
            <w:tabs>
              <w:tab w:val="right" w:leader="dot" w:pos="9354"/>
            </w:tabs>
          </w:pPr>
          <w:r>
            <w:fldChar w:fldCharType="begin"/>
          </w:r>
          <w:r>
            <w:instrText xml:space="preserve"> HYPERLINK \l _Toc25166 </w:instrText>
          </w:r>
          <w:r>
            <w:fldChar w:fldCharType="separate"/>
          </w:r>
          <w:r>
            <w:rPr>
              <w:rFonts w:hint="eastAsia" w:ascii="黑体" w:eastAsia="黑体"/>
              <w:i w:val="0"/>
              <w:szCs w:val="21"/>
              <w:lang w:val="en-US" w:eastAsia="zh-CN"/>
            </w:rPr>
            <w:t xml:space="preserve">6 </w:t>
          </w:r>
          <w:r>
            <w:rPr>
              <w:rFonts w:hint="default"/>
              <w:szCs w:val="21"/>
              <w:lang w:val="en-US" w:eastAsia="zh-CN"/>
            </w:rPr>
            <w:t>认定程序与方法</w:t>
          </w:r>
          <w:r>
            <w:tab/>
          </w:r>
          <w:r>
            <w:fldChar w:fldCharType="begin"/>
          </w:r>
          <w:r>
            <w:instrText xml:space="preserve"> PAGEREF _Toc25166 \h </w:instrText>
          </w:r>
          <w:r>
            <w:fldChar w:fldCharType="separate"/>
          </w:r>
          <w:r>
            <w:t>4</w:t>
          </w:r>
          <w:r>
            <w:fldChar w:fldCharType="end"/>
          </w:r>
          <w:r>
            <w:fldChar w:fldCharType="end"/>
          </w:r>
        </w:p>
        <w:p w14:paraId="4777BF42">
          <w:pPr>
            <w:pStyle w:val="20"/>
            <w:tabs>
              <w:tab w:val="right" w:leader="dot" w:pos="9354"/>
            </w:tabs>
          </w:pPr>
          <w:r>
            <w:fldChar w:fldCharType="begin"/>
          </w:r>
          <w:r>
            <w:instrText xml:space="preserve"> HYPERLINK \l _Toc26253 </w:instrText>
          </w:r>
          <w:r>
            <w:fldChar w:fldCharType="separate"/>
          </w:r>
          <w:r>
            <w:rPr>
              <w:rFonts w:hint="eastAsia" w:ascii="黑体" w:eastAsia="黑体"/>
              <w:i w:val="0"/>
              <w:lang w:val="en-US" w:eastAsia="zh-CN"/>
            </w:rPr>
            <w:t xml:space="preserve">7 </w:t>
          </w:r>
          <w:r>
            <w:rPr>
              <w:rFonts w:hint="default"/>
              <w:lang w:val="en-US" w:eastAsia="zh-CN"/>
            </w:rPr>
            <w:t>认定结果与监督管理</w:t>
          </w:r>
          <w:r>
            <w:tab/>
          </w:r>
          <w:r>
            <w:fldChar w:fldCharType="begin"/>
          </w:r>
          <w:r>
            <w:instrText xml:space="preserve"> PAGEREF _Toc26253 \h </w:instrText>
          </w:r>
          <w:r>
            <w:fldChar w:fldCharType="separate"/>
          </w:r>
          <w:r>
            <w:t>5</w:t>
          </w:r>
          <w:r>
            <w:fldChar w:fldCharType="end"/>
          </w:r>
          <w:r>
            <w:fldChar w:fldCharType="end"/>
          </w:r>
        </w:p>
        <w:p w14:paraId="769CD5C3">
          <w:pPr>
            <w:pStyle w:val="20"/>
            <w:tabs>
              <w:tab w:val="right" w:leader="dot" w:pos="9354"/>
            </w:tabs>
          </w:pPr>
          <w:r>
            <w:fldChar w:fldCharType="begin"/>
          </w:r>
          <w:r>
            <w:instrText xml:space="preserve"> HYPERLINK \l _Toc7499 </w:instrText>
          </w:r>
          <w:r>
            <w:fldChar w:fldCharType="separate"/>
          </w:r>
          <w:r>
            <w:rPr>
              <w:rFonts w:hint="eastAsia"/>
              <w:spacing w:val="100"/>
            </w:rPr>
            <w:t xml:space="preserve">附录A </w:t>
          </w:r>
          <w:r>
            <w:rPr>
              <w:rFonts w:hint="default"/>
            </w:rPr>
            <w:t>规范性附录）制冷机房系统能效系数（EERsys）测试与计算方法</w:t>
          </w:r>
          <w:r>
            <w:tab/>
          </w:r>
          <w:r>
            <w:fldChar w:fldCharType="begin"/>
          </w:r>
          <w:r>
            <w:instrText xml:space="preserve"> PAGEREF _Toc7499 \h </w:instrText>
          </w:r>
          <w:r>
            <w:fldChar w:fldCharType="separate"/>
          </w:r>
          <w:r>
            <w:t>5</w:t>
          </w:r>
          <w:r>
            <w:fldChar w:fldCharType="end"/>
          </w:r>
          <w:r>
            <w:fldChar w:fldCharType="end"/>
          </w:r>
        </w:p>
        <w:p w14:paraId="0D5BFCA8">
          <w:pPr>
            <w:rPr>
              <w:rFonts w:ascii="Calibri" w:hAnsi="Calibri" w:eastAsia="宋体" w:cs="Times New Roman"/>
              <w:kern w:val="2"/>
              <w:sz w:val="21"/>
              <w:szCs w:val="21"/>
              <w:lang w:val="en-US" w:eastAsia="zh-CN" w:bidi="ar-SA"/>
            </w:rPr>
          </w:pPr>
          <w:r>
            <w:fldChar w:fldCharType="end"/>
          </w:r>
        </w:p>
      </w:sdtContent>
    </w:sdt>
    <w:p w14:paraId="08FD315A">
      <w:pPr>
        <w:rPr>
          <w:rFonts w:ascii="Calibri" w:hAnsi="Calibri" w:eastAsia="宋体" w:cs="Times New Roman"/>
          <w:kern w:val="2"/>
          <w:sz w:val="21"/>
          <w:szCs w:val="21"/>
          <w:lang w:val="en-US" w:eastAsia="zh-CN" w:bidi="ar-SA"/>
        </w:rPr>
      </w:pPr>
    </w:p>
    <w:p w14:paraId="4F49D5C3">
      <w:pPr>
        <w:pStyle w:val="93"/>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6"/>
    <w:p w14:paraId="6EC8EDAB">
      <w:pPr>
        <w:pStyle w:val="91"/>
        <w:spacing w:before="900" w:after="360"/>
      </w:pPr>
      <w:bookmarkStart w:id="8" w:name="_Toc209989736"/>
      <w:bookmarkStart w:id="9" w:name="_Toc9921"/>
      <w:bookmarkStart w:id="10" w:name="BookMark2"/>
      <w:r>
        <w:rPr>
          <w:spacing w:val="320"/>
        </w:rPr>
        <w:t>前</w:t>
      </w:r>
      <w:r>
        <w:t>言</w:t>
      </w:r>
      <w:bookmarkEnd w:id="7"/>
      <w:bookmarkEnd w:id="8"/>
      <w:bookmarkEnd w:id="9"/>
    </w:p>
    <w:p w14:paraId="61A588D5">
      <w:pPr>
        <w:pStyle w:val="58"/>
        <w:ind w:firstLine="420"/>
        <w:rPr>
          <w:rFonts w:hint="eastAsia"/>
        </w:rPr>
      </w:pPr>
      <w:r>
        <w:rPr>
          <w:rFonts w:hint="eastAsia"/>
        </w:rPr>
        <w:t>本文件按照GB/T 1.1—2020《标准化工作导则  第1部分：标准化文件的结构和起草规则》的规定起草。</w:t>
      </w:r>
    </w:p>
    <w:p w14:paraId="7B67E6A0">
      <w:pPr>
        <w:pStyle w:val="58"/>
        <w:ind w:firstLine="420"/>
        <w:rPr>
          <w:rFonts w:hint="eastAsia"/>
        </w:rPr>
      </w:pPr>
      <w:r>
        <w:rPr>
          <w:rFonts w:hint="eastAsia"/>
        </w:rPr>
        <w:t>本文件由陕西省暖通空调与制冷行业协会提出并归口。</w:t>
      </w:r>
    </w:p>
    <w:p w14:paraId="573F872E">
      <w:pPr>
        <w:pStyle w:val="58"/>
        <w:ind w:firstLine="420"/>
        <w:rPr>
          <w:rFonts w:hint="eastAsia"/>
          <w:lang w:val="en-US" w:eastAsia="zh-CN"/>
        </w:rPr>
      </w:pPr>
      <w:r>
        <w:rPr>
          <w:rFonts w:hint="eastAsia"/>
          <w:lang w:val="en-US" w:eastAsia="zh-CN"/>
        </w:rPr>
        <w:t>主要起草单位：中国建筑西北设计研究院有限公司、陕西省节能中心、中联西北设计研究院、陕西省建筑设计研究院（集团）有限公司、西安建筑科技大学、西安市轨道交通集团有限公司运营分公司，西北大学第一医院、陕西万众控股集团有限公司。</w:t>
      </w:r>
    </w:p>
    <w:p w14:paraId="33B2EA8F">
      <w:pPr>
        <w:pStyle w:val="58"/>
        <w:ind w:firstLine="420"/>
        <w:rPr>
          <w:rFonts w:hint="eastAsia"/>
        </w:rPr>
      </w:pPr>
      <w:r>
        <w:rPr>
          <w:rFonts w:hint="eastAsia"/>
          <w:lang w:val="en-US" w:eastAsia="zh-CN"/>
        </w:rPr>
        <w:t>主要起草人：王锋、周敏、李军利、贾宝舍、丁峰、张晶、樊越胜、卢剑鸿、刘珂、赵宁、郝凌峰、薄蓉。</w:t>
      </w:r>
    </w:p>
    <w:p w14:paraId="5D0803F8">
      <w:pPr>
        <w:pStyle w:val="58"/>
        <w:ind w:firstLine="420"/>
        <w:rPr>
          <w:rFonts w:hint="eastAsia"/>
        </w:rPr>
      </w:pPr>
      <w:r>
        <w:rPr>
          <w:rFonts w:hint="eastAsia"/>
        </w:rPr>
        <w:t>本文件首次发布。</w:t>
      </w:r>
    </w:p>
    <w:p w14:paraId="6095F207">
      <w:pPr>
        <w:pStyle w:val="58"/>
        <w:ind w:firstLine="420"/>
      </w:pPr>
    </w:p>
    <w:p w14:paraId="79D5E416">
      <w:pPr>
        <w:pStyle w:val="58"/>
        <w:ind w:firstLine="420"/>
      </w:pPr>
    </w:p>
    <w:p w14:paraId="505E9564">
      <w:pPr>
        <w:pStyle w:val="58"/>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bookmarkStart w:id="67" w:name="_GoBack"/>
      <w:bookmarkEnd w:id="67"/>
    </w:p>
    <w:bookmarkEnd w:id="10"/>
    <w:p w14:paraId="5E633EED">
      <w:pPr>
        <w:spacing w:line="20" w:lineRule="exact"/>
        <w:jc w:val="center"/>
        <w:rPr>
          <w:rFonts w:ascii="黑体" w:hAnsi="黑体" w:eastAsia="黑体"/>
          <w:sz w:val="32"/>
          <w:szCs w:val="32"/>
        </w:rPr>
      </w:pPr>
      <w:bookmarkStart w:id="11" w:name="BookMark4"/>
    </w:p>
    <w:p w14:paraId="387C804B">
      <w:pPr>
        <w:spacing w:line="20" w:lineRule="exact"/>
        <w:jc w:val="center"/>
        <w:rPr>
          <w:rFonts w:ascii="黑体" w:hAnsi="黑体" w:eastAsia="黑体"/>
          <w:sz w:val="32"/>
          <w:szCs w:val="32"/>
        </w:rPr>
      </w:pPr>
    </w:p>
    <w:sdt>
      <w:sdtPr>
        <w:tag w:val="NEW_STAND_NAME"/>
        <w:id w:val="595910757"/>
        <w:lock w:val="sdtLocked"/>
        <w:placeholder>
          <w:docPart w:val="8301541D2CC64CF3B1E4BC6ECD5CDBF2"/>
        </w:placeholder>
      </w:sdtPr>
      <w:sdtContent>
        <w:p w14:paraId="23EE899F">
          <w:pPr>
            <w:pStyle w:val="179"/>
            <w:spacing w:before="2" w:beforeLines="1" w:after="528" w:afterLines="220"/>
          </w:pPr>
          <w:bookmarkStart w:id="12" w:name="NEW_STAND_NAME"/>
          <w:r>
            <w:rPr>
              <w:rFonts w:hint="eastAsia"/>
              <w:lang w:val="en-US" w:eastAsia="zh-CN"/>
            </w:rPr>
            <w:t>高效制冷机房认定技术</w:t>
          </w:r>
          <w:r>
            <w:rPr>
              <w:rFonts w:hint="eastAsia"/>
            </w:rPr>
            <w:t>规范</w:t>
          </w:r>
        </w:p>
      </w:sdtContent>
    </w:sdt>
    <w:bookmarkEnd w:id="12"/>
    <w:p w14:paraId="0BE45D93">
      <w:pPr>
        <w:pStyle w:val="106"/>
        <w:spacing w:before="240" w:after="240"/>
      </w:pPr>
      <w:bookmarkStart w:id="13" w:name="_Toc26986530"/>
      <w:bookmarkStart w:id="14" w:name="_Toc97192964"/>
      <w:bookmarkStart w:id="15" w:name="_Toc26648465"/>
      <w:bookmarkStart w:id="16" w:name="_Toc17233333"/>
      <w:bookmarkStart w:id="17" w:name="_Toc17233325"/>
      <w:bookmarkStart w:id="18" w:name="_Toc27478"/>
      <w:bookmarkStart w:id="19" w:name="_Toc26718930"/>
      <w:bookmarkStart w:id="20" w:name="_Toc24884218"/>
      <w:bookmarkStart w:id="21" w:name="_Toc209989737"/>
      <w:bookmarkStart w:id="22" w:name="_Toc26986771"/>
      <w:bookmarkStart w:id="23" w:name="_Toc24884211"/>
      <w:bookmarkStart w:id="24" w:name="_Toc209115914"/>
      <w:r>
        <w:rPr>
          <w:rFonts w:hint="eastAsia"/>
        </w:rPr>
        <w:t>范围</w:t>
      </w:r>
      <w:bookmarkEnd w:id="13"/>
      <w:bookmarkEnd w:id="14"/>
      <w:bookmarkEnd w:id="15"/>
      <w:bookmarkEnd w:id="16"/>
      <w:bookmarkEnd w:id="17"/>
      <w:bookmarkEnd w:id="18"/>
      <w:bookmarkEnd w:id="19"/>
      <w:bookmarkEnd w:id="20"/>
      <w:bookmarkEnd w:id="21"/>
      <w:bookmarkEnd w:id="22"/>
      <w:bookmarkEnd w:id="23"/>
      <w:bookmarkEnd w:id="24"/>
    </w:p>
    <w:p w14:paraId="379F28A9">
      <w:pPr>
        <w:pStyle w:val="58"/>
        <w:ind w:firstLine="420"/>
        <w:rPr>
          <w:rFonts w:hint="eastAsia"/>
        </w:rPr>
      </w:pPr>
      <w:bookmarkStart w:id="25" w:name="_Toc24884212"/>
      <w:bookmarkStart w:id="26" w:name="_Toc26648466"/>
      <w:bookmarkStart w:id="27" w:name="_Toc17233326"/>
      <w:bookmarkStart w:id="28" w:name="_Toc17233334"/>
      <w:bookmarkStart w:id="29" w:name="_Toc24884219"/>
      <w:r>
        <w:rPr>
          <w:rFonts w:hint="default"/>
        </w:rPr>
        <w:t>本规范规定了高效制冷机房认定的术语和定义、基本规定、认定条件与技术要求、认定程序与方法、认定结果与监督管理等内容。</w:t>
      </w:r>
      <w:r>
        <w:rPr>
          <w:rFonts w:hint="default"/>
        </w:rPr>
        <w:br w:type="textWrapping"/>
      </w:r>
      <w:r>
        <w:rPr>
          <w:rFonts w:hint="default"/>
        </w:rPr>
        <w:t>本规范适用于在陕西省行政区域内，由暖通空调制冷行业相关企业、事业单位建设、改造或运行的各种类型空调制冷机房系统（包括集中空调制冷系统、风冷热泵空调系统、地源热泵空调系统、综合能源系统等）的自愿性认定。</w:t>
      </w:r>
    </w:p>
    <w:p w14:paraId="77EA455A">
      <w:pPr>
        <w:pStyle w:val="106"/>
        <w:spacing w:before="240" w:after="240"/>
      </w:pPr>
      <w:bookmarkStart w:id="30" w:name="_Toc26718931"/>
      <w:bookmarkStart w:id="31" w:name="_Toc97192965"/>
      <w:bookmarkStart w:id="32" w:name="_Toc209989738"/>
      <w:bookmarkStart w:id="33" w:name="_Toc26986772"/>
      <w:bookmarkStart w:id="34" w:name="_Toc26986531"/>
      <w:bookmarkStart w:id="35" w:name="_Toc29736"/>
      <w:bookmarkStart w:id="36" w:name="_Toc209115915"/>
      <w:r>
        <w:rPr>
          <w:rFonts w:hint="eastAsia"/>
        </w:rPr>
        <w:t>规范性引用文件</w:t>
      </w:r>
      <w:bookmarkEnd w:id="25"/>
      <w:bookmarkEnd w:id="26"/>
      <w:bookmarkEnd w:id="27"/>
      <w:bookmarkEnd w:id="28"/>
      <w:bookmarkEnd w:id="29"/>
      <w:bookmarkEnd w:id="30"/>
      <w:bookmarkEnd w:id="31"/>
      <w:bookmarkEnd w:id="32"/>
      <w:bookmarkEnd w:id="33"/>
      <w:bookmarkEnd w:id="34"/>
      <w:bookmarkEnd w:id="35"/>
      <w:bookmarkEnd w:id="36"/>
    </w:p>
    <w:sdt>
      <w:sdtPr>
        <w:rPr>
          <w:rFonts w:hint="eastAsia"/>
        </w:rPr>
        <w:id w:val="715848253"/>
        <w:placeholder>
          <w:docPart w:val="F38ED86F3FF14856A0B54A7209A259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0A81C0C">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84C3748">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bookmarkStart w:id="37" w:name="_Toc209989739"/>
      <w:bookmarkStart w:id="38" w:name="_Toc97192966"/>
      <w:bookmarkStart w:id="39" w:name="_Toc209115916"/>
      <w:r>
        <w:rPr>
          <w:rFonts w:hint="default" w:ascii="宋体" w:hAnsi="Times New Roman" w:eastAsia="宋体" w:cs="Times New Roman"/>
          <w:sz w:val="21"/>
          <w:lang w:val="en-US" w:eastAsia="zh-CN" w:bidi="ar-SA"/>
        </w:rPr>
        <w:t>GB 50189 公共建筑节能设计标准</w:t>
      </w:r>
    </w:p>
    <w:p w14:paraId="298E3CCD">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10870 蒸气压缩循环冷水（热泵）机组性能试验方法</w:t>
      </w:r>
    </w:p>
    <w:p w14:paraId="78BDF065">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GB/T 17981 空气调节系统经济运行</w:t>
      </w:r>
    </w:p>
    <w:p w14:paraId="0705D407">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T/CECS 549-2018 空调冷源系统能效检测标准</w:t>
      </w:r>
    </w:p>
    <w:p w14:paraId="22FA6EDB">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T/CECS 1012-2022 高效制冷机房技术规程</w:t>
      </w:r>
    </w:p>
    <w:p w14:paraId="06F98254">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eastAsia"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T/CECS 1100-2022 高效空调制冷机房评价标准</w:t>
      </w:r>
    </w:p>
    <w:p w14:paraId="6E48AEA7">
      <w:pPr>
        <w:keepNext w:val="0"/>
        <w:keepLines w:val="0"/>
        <w:pageBreakBefore w:val="0"/>
        <w:widowControl w:val="0"/>
        <w:kinsoku/>
        <w:wordWrap/>
        <w:overflowPunct/>
        <w:topLinePunct w:val="0"/>
        <w:autoSpaceDE w:val="0"/>
        <w:autoSpaceDN w:val="0"/>
        <w:bidi w:val="0"/>
        <w:adjustRightInd w:val="0"/>
        <w:snapToGrid/>
        <w:spacing w:line="300" w:lineRule="exact"/>
        <w:ind w:firstLine="420" w:firstLineChars="200"/>
        <w:jc w:val="both"/>
        <w:textAlignment w:val="auto"/>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《SXHVAC高效制冷机房认定管理办法》</w:t>
      </w:r>
    </w:p>
    <w:p w14:paraId="6F87EB8E">
      <w:pPr>
        <w:pStyle w:val="106"/>
        <w:spacing w:before="240" w:after="240"/>
      </w:pPr>
      <w:bookmarkStart w:id="40" w:name="_Toc10349"/>
      <w:r>
        <w:rPr>
          <w:rFonts w:hint="eastAsia"/>
          <w:szCs w:val="21"/>
        </w:rPr>
        <w:t>术语和定义</w:t>
      </w:r>
      <w:bookmarkEnd w:id="37"/>
      <w:bookmarkEnd w:id="38"/>
      <w:bookmarkEnd w:id="39"/>
      <w:bookmarkEnd w:id="40"/>
    </w:p>
    <w:sdt>
      <w:sdtPr>
        <w:id w:val="-1909835108"/>
        <w:placeholder>
          <w:docPart w:val="9148C26F462745C397B31B9C3F62D8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D4859B4">
          <w:pPr>
            <w:pStyle w:val="58"/>
            <w:ind w:firstLine="420"/>
          </w:pPr>
          <w:bookmarkStart w:id="41" w:name="_Toc26986532"/>
          <w:bookmarkEnd w:id="41"/>
          <w:r>
            <w:rPr>
              <w:rFonts w:hint="eastAsia"/>
            </w:rPr>
            <w:t>下列术语和定义适用于本文件。</w:t>
          </w:r>
        </w:p>
      </w:sdtContent>
    </w:sdt>
    <w:p w14:paraId="13F9D1BB">
      <w:pPr>
        <w:pStyle w:val="107"/>
        <w:spacing w:before="120" w:after="120"/>
      </w:pPr>
      <w:bookmarkStart w:id="42" w:name="_Toc209115917"/>
      <w:bookmarkEnd w:id="42"/>
      <w:bookmarkStart w:id="43" w:name="_Toc209989740"/>
      <w:bookmarkEnd w:id="43"/>
    </w:p>
    <w:p w14:paraId="3CDEADD3">
      <w:pPr>
        <w:pStyle w:val="58"/>
        <w:ind w:firstLine="420"/>
        <w:rPr>
          <w:rFonts w:ascii="黑体" w:hAnsi="黑体" w:eastAsia="黑体"/>
        </w:rPr>
      </w:pPr>
      <w:r>
        <w:rPr>
          <w:rFonts w:hint="default" w:ascii="黑体" w:hAnsi="黑体" w:eastAsia="黑体"/>
        </w:rPr>
        <w:t>制冷机房</w:t>
      </w:r>
    </w:p>
    <w:p w14:paraId="7FD5C4A3">
      <w:pPr>
        <w:pStyle w:val="58"/>
        <w:ind w:firstLine="420"/>
        <w:rPr>
          <w:rFonts w:hint="eastAsia"/>
        </w:rPr>
      </w:pPr>
      <w:r>
        <w:rPr>
          <w:rFonts w:hint="default"/>
        </w:rPr>
        <w:t>安装有制冷机组、水泵、冷却塔、管路及附件、电气与控制设备等，用于制备和输配空调冷媒的专用场所。</w:t>
      </w:r>
    </w:p>
    <w:p w14:paraId="03517F41">
      <w:pPr>
        <w:pStyle w:val="107"/>
        <w:spacing w:before="120" w:after="120"/>
        <w:rPr>
          <w:rFonts w:hint="eastAsia" w:ascii="黑体" w:hAnsi="黑体" w:eastAsia="黑体" w:cs="Times New Roman"/>
          <w:sz w:val="21"/>
          <w:lang w:val="en-US" w:eastAsia="zh-CN" w:bidi="ar-SA"/>
        </w:rPr>
      </w:pPr>
      <w:bookmarkStart w:id="44" w:name="_Toc209115918"/>
      <w:bookmarkEnd w:id="44"/>
      <w:bookmarkStart w:id="45" w:name="_Toc209989741"/>
      <w:bookmarkEnd w:id="45"/>
    </w:p>
    <w:p w14:paraId="23552100">
      <w:pPr>
        <w:pStyle w:val="58"/>
        <w:ind w:firstLine="420"/>
        <w:rPr>
          <w:rFonts w:hint="default" w:ascii="黑体" w:hAnsi="黑体" w:eastAsia="黑体"/>
          <w:lang w:val="en-US" w:eastAsia="zh-CN"/>
        </w:rPr>
      </w:pPr>
      <w:r>
        <w:rPr>
          <w:rFonts w:hint="default" w:ascii="黑体" w:hAnsi="黑体" w:eastAsia="黑体"/>
          <w:lang w:val="en-US" w:eastAsia="zh-CN"/>
        </w:rPr>
        <w:t>制冷机房系统能效系数</w:t>
      </w:r>
    </w:p>
    <w:p w14:paraId="68BA7B9C">
      <w:pPr>
        <w:pStyle w:val="58"/>
        <w:ind w:firstLine="420"/>
        <w:rPr>
          <w:rFonts w:hint="eastAsia"/>
        </w:rPr>
      </w:pPr>
      <w:bookmarkStart w:id="46" w:name="_Toc209989742"/>
      <w:bookmarkEnd w:id="46"/>
      <w:bookmarkStart w:id="47" w:name="_Toc209115919"/>
      <w:bookmarkEnd w:id="47"/>
      <w:r>
        <w:rPr>
          <w:rFonts w:hint="eastAsia"/>
        </w:rPr>
        <w:t>在认定周期内（通常为一个完整的供冷季），制冷机房制备的总冷量与其所消耗的总电量的比值。总电量包括制冷机组、冷冻水泵、冷却水泵、冷却塔风机等所有耗能设备的电量。</w:t>
      </w:r>
    </w:p>
    <w:p w14:paraId="7690CDB4">
      <w:pPr>
        <w:pStyle w:val="58"/>
        <w:ind w:firstLine="420"/>
      </w:pPr>
      <w:r>
        <w:rPr>
          <w:rFonts w:hint="eastAsia"/>
        </w:rPr>
        <w:t>注：此定义与T/CECS 1100-2022中的系统能效比概念一致，用于星级评价。]</w:t>
      </w:r>
      <w:bookmarkStart w:id="48" w:name="_Toc209989743"/>
      <w:bookmarkEnd w:id="48"/>
    </w:p>
    <w:p w14:paraId="436C7C92">
      <w:pPr>
        <w:pStyle w:val="107"/>
        <w:spacing w:before="120" w:after="120"/>
      </w:pPr>
      <w:bookmarkStart w:id="49" w:name="_Toc209115921"/>
      <w:bookmarkEnd w:id="49"/>
      <w:bookmarkStart w:id="50" w:name="_Toc209989744"/>
      <w:bookmarkEnd w:id="50"/>
    </w:p>
    <w:p w14:paraId="17222273">
      <w:pPr>
        <w:pStyle w:val="58"/>
        <w:ind w:firstLine="420"/>
        <w:rPr>
          <w:rFonts w:ascii="黑体" w:hAnsi="黑体" w:eastAsia="黑体"/>
        </w:rPr>
      </w:pPr>
      <w:r>
        <w:rPr>
          <w:rFonts w:hint="default" w:ascii="黑体" w:hAnsi="黑体" w:eastAsia="黑体" w:cs="Times New Roman"/>
          <w:sz w:val="21"/>
          <w:lang w:val="en-US" w:eastAsia="zh-CN" w:bidi="ar-SA"/>
        </w:rPr>
        <w:t>高效制冷机房</w:t>
      </w:r>
    </w:p>
    <w:p w14:paraId="44EF62B8">
      <w:pPr>
        <w:pStyle w:val="58"/>
        <w:ind w:firstLine="420"/>
        <w:rPr>
          <w:rFonts w:hint="eastAsia"/>
        </w:rPr>
      </w:pPr>
      <w:r>
        <w:rPr>
          <w:rFonts w:hint="eastAsia"/>
        </w:rPr>
        <w:t>经由陕西省暖通空调与制冷行业协会依据本办法认定的、其制冷机房系统能效系数（EERsys）达到T/CECS 1100-2022规定的一星级、二星级或三星级水平的制冷机房。</w:t>
      </w:r>
    </w:p>
    <w:p w14:paraId="00658D43">
      <w:pPr>
        <w:pStyle w:val="107"/>
        <w:spacing w:before="120" w:after="120"/>
        <w:rPr>
          <w:rFonts w:hint="eastAsia"/>
        </w:rPr>
      </w:pPr>
      <w:r>
        <w:rPr>
          <w:rFonts w:hint="default"/>
          <w:lang w:val="en-US" w:eastAsia="zh-CN"/>
        </w:rPr>
        <w:t>认定周期 certification period</w:t>
      </w:r>
      <w:r>
        <w:rPr>
          <w:rFonts w:hint="default"/>
          <w:lang w:val="en-US" w:eastAsia="zh-CN"/>
        </w:rPr>
        <w:br w:type="textWrapping"/>
      </w:r>
      <w:r>
        <w:rPr>
          <w:rFonts w:hint="eastAsia"/>
          <w:lang w:val="en-US" w:eastAsia="zh-CN"/>
        </w:rPr>
        <w:t xml:space="preserve">    </w:t>
      </w:r>
      <w:r>
        <w:rPr>
          <w:rFonts w:hint="default" w:ascii="宋体" w:hAnsi="Times New Roman" w:eastAsia="宋体" w:cs="Times New Roman"/>
          <w:sz w:val="21"/>
          <w:lang w:val="en-US" w:eastAsia="zh-CN" w:bidi="ar-SA"/>
        </w:rPr>
        <w:t>高效制冷机房认定的有效时间，自认定通过之日起计算，有效期为三年。</w:t>
      </w:r>
    </w:p>
    <w:p w14:paraId="0D3DAD91">
      <w:pPr>
        <w:pStyle w:val="106"/>
        <w:spacing w:before="240" w:after="240"/>
      </w:pPr>
      <w:bookmarkStart w:id="51" w:name="_Toc209115922"/>
      <w:bookmarkStart w:id="52" w:name="_Toc12258"/>
      <w:bookmarkStart w:id="53" w:name="_Toc209989745"/>
      <w:bookmarkStart w:id="54" w:name="_Toc26654"/>
      <w:r>
        <w:rPr>
          <w:rFonts w:hint="eastAsia"/>
        </w:rPr>
        <w:t>基本</w:t>
      </w:r>
      <w:bookmarkEnd w:id="51"/>
      <w:bookmarkEnd w:id="52"/>
      <w:bookmarkEnd w:id="53"/>
      <w:r>
        <w:rPr>
          <w:rFonts w:hint="eastAsia"/>
          <w:lang w:val="en-US" w:eastAsia="zh-CN"/>
        </w:rPr>
        <w:t>规定</w:t>
      </w:r>
      <w:bookmarkEnd w:id="54"/>
    </w:p>
    <w:p w14:paraId="0C56F6D0">
      <w:pPr>
        <w:pStyle w:val="164"/>
      </w:pPr>
      <w:r>
        <w:rPr>
          <w:rFonts w:hint="default" w:ascii="黑体" w:hAnsi="Times New Roman" w:eastAsia="黑体" w:cs="Times New Roman"/>
          <w:sz w:val="21"/>
          <w:lang w:val="en-US" w:eastAsia="zh-CN" w:bidi="ar-SA"/>
        </w:rPr>
        <w:t>认定原则</w:t>
      </w:r>
      <w:r>
        <w:rPr>
          <w:rFonts w:hint="default"/>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rPr>
          <w:rFonts w:hint="default"/>
          <w:color w:val="000000" w:themeColor="text1"/>
          <w14:textFill>
            <w14:solidFill>
              <w14:schemeClr w14:val="tx1"/>
            </w14:solidFill>
          </w14:textFill>
        </w:rPr>
        <w:t>高效制冷机房认定应遵循“公开、公平、公正、诚信”及自愿申请的原则。</w:t>
      </w:r>
      <w:r>
        <w:rPr>
          <w:rFonts w:hint="eastAsia"/>
        </w:rPr>
        <w:t>存在下列情况之一时，应进行设备更新：</w:t>
      </w:r>
    </w:p>
    <w:p w14:paraId="62867B72">
      <w:pPr>
        <w:pStyle w:val="164"/>
        <w:rPr>
          <w:rFonts w:hint="default"/>
          <w:color w:val="000000" w:themeColor="text1"/>
          <w14:textFill>
            <w14:solidFill>
              <w14:schemeClr w14:val="tx1"/>
            </w14:solidFill>
          </w14:textFill>
        </w:rPr>
      </w:pPr>
      <w:bookmarkStart w:id="55" w:name="_Toc209989746"/>
      <w:bookmarkStart w:id="56" w:name="_Toc209115923"/>
      <w:r>
        <w:rPr>
          <w:rFonts w:hint="default" w:ascii="黑体" w:hAnsi="Times New Roman" w:eastAsia="黑体" w:cs="Times New Roman"/>
          <w:sz w:val="21"/>
          <w:lang w:val="en-US" w:eastAsia="zh-CN" w:bidi="ar-SA"/>
        </w:rPr>
        <w:t>认定机构</w:t>
      </w:r>
      <w:r>
        <w:rPr>
          <w:rFonts w:hint="default"/>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rPr>
          <w:rFonts w:hint="default" w:ascii="宋体" w:hAnsi="Times New Roman" w:eastAsia="宋体" w:cs="Times New Roman"/>
          <w:sz w:val="21"/>
          <w:lang w:val="en-US" w:eastAsia="zh-CN" w:bidi="ar-SA"/>
        </w:rPr>
        <w:t>认定工作由陕西省暖通空调与制冷行业协会组织实施，协会组建专家评审组负责具体技术评审工作。</w:t>
      </w:r>
    </w:p>
    <w:p w14:paraId="6040476F">
      <w:pPr>
        <w:pStyle w:val="164"/>
        <w:rPr>
          <w:rFonts w:hint="default"/>
          <w:color w:val="000000" w:themeColor="text1"/>
          <w14:textFill>
            <w14:solidFill>
              <w14:schemeClr w14:val="tx1"/>
            </w14:solidFill>
          </w14:textFill>
        </w:rPr>
      </w:pPr>
      <w:r>
        <w:rPr>
          <w:rFonts w:hint="default" w:ascii="黑体" w:hAnsi="Times New Roman" w:eastAsia="黑体" w:cs="Times New Roman"/>
          <w:sz w:val="21"/>
          <w:lang w:val="en-US" w:eastAsia="zh-CN" w:bidi="ar-SA"/>
        </w:rPr>
        <w:t>申请主体</w:t>
      </w:r>
      <w:r>
        <w:rPr>
          <w:rFonts w:hint="default"/>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 xml:space="preserve">    </w:t>
      </w:r>
      <w:r>
        <w:rPr>
          <w:rFonts w:hint="default"/>
          <w:color w:val="000000" w:themeColor="text1"/>
          <w14:textFill>
            <w14:solidFill>
              <w14:schemeClr w14:val="tx1"/>
            </w14:solidFill>
          </w14:textFill>
        </w:rPr>
        <w:t>制冷机房的建设单位、业主单位、运营管理单位或其主要负责人可作为申请主体。</w:t>
      </w:r>
    </w:p>
    <w:bookmarkEnd w:id="55"/>
    <w:bookmarkEnd w:id="56"/>
    <w:p w14:paraId="7987A899">
      <w:pPr>
        <w:pStyle w:val="106"/>
        <w:spacing w:before="240" w:after="240"/>
        <w:rPr>
          <w:szCs w:val="21"/>
        </w:rPr>
      </w:pPr>
      <w:bookmarkStart w:id="57" w:name="_Toc31098"/>
      <w:r>
        <w:rPr>
          <w:rFonts w:hint="eastAsia"/>
          <w:szCs w:val="21"/>
          <w:lang w:val="en-US" w:eastAsia="zh-CN"/>
        </w:rPr>
        <w:t>认定条件与技术要求</w:t>
      </w:r>
      <w:bookmarkEnd w:id="57"/>
    </w:p>
    <w:p w14:paraId="574A8F29">
      <w:pPr>
        <w:pStyle w:val="107"/>
        <w:spacing w:before="120" w:after="120"/>
        <w:rPr>
          <w:rFonts w:hint="default"/>
        </w:rPr>
      </w:pPr>
      <w:r>
        <w:rPr>
          <w:rFonts w:hint="default"/>
        </w:rPr>
        <w:t>基本条件</w:t>
      </w:r>
    </w:p>
    <w:p w14:paraId="053302EA">
      <w:pPr>
        <w:pStyle w:val="67"/>
        <w:bidi w:val="0"/>
        <w:ind w:left="0" w:leftChars="0" w:firstLine="0" w:firstLineChars="0"/>
        <w:rPr>
          <w:rFonts w:hint="default" w:ascii="宋体" w:hAnsi="Times New Roman" w:eastAsia="宋体" w:cs="Times New Roman"/>
          <w:color w:val="000000" w:themeColor="text1"/>
          <w:sz w:val="21"/>
          <w:lang w:val="en-US" w:eastAsia="zh-CN" w:bidi="ar-SA"/>
          <w14:textFill>
            <w14:solidFill>
              <w14:schemeClr w14:val="tx1"/>
            </w14:solidFill>
          </w14:textFill>
        </w:rPr>
      </w:pPr>
      <w:r>
        <w:rPr>
          <w:rFonts w:hint="default" w:ascii="宋体" w:hAnsi="Times New Roman" w:eastAsia="宋体" w:cs="Times New Roman"/>
          <w:color w:val="000000" w:themeColor="text1"/>
          <w:sz w:val="21"/>
          <w:lang w:val="en-US" w:eastAsia="zh-CN" w:bidi="ar-SA"/>
          <w14:textFill>
            <w14:solidFill>
              <w14:schemeClr w14:val="tx1"/>
            </w14:solidFill>
          </w14:textFill>
        </w:rPr>
        <w:t>制冷机房应已完成建设并至少经过一个完整供冷季的运行，运行数据完整、可靠。</w:t>
      </w:r>
    </w:p>
    <w:p w14:paraId="1D0E6AF2">
      <w:pPr>
        <w:pStyle w:val="67"/>
        <w:bidi w:val="0"/>
        <w:ind w:left="0" w:leftChars="0" w:firstLine="0" w:firstLineChars="0"/>
        <w:rPr>
          <w:rFonts w:hint="default" w:ascii="宋体" w:hAnsi="Times New Roman" w:eastAsia="宋体" w:cs="Times New Roman"/>
          <w:color w:val="000000" w:themeColor="text1"/>
          <w:sz w:val="21"/>
          <w:lang w:val="en-US" w:eastAsia="zh-CN" w:bidi="ar-SA"/>
          <w14:textFill>
            <w14:solidFill>
              <w14:schemeClr w14:val="tx1"/>
            </w14:solidFill>
          </w14:textFill>
        </w:rPr>
      </w:pPr>
      <w:r>
        <w:rPr>
          <w:rFonts w:hint="default" w:ascii="宋体" w:hAnsi="Times New Roman" w:eastAsia="宋体" w:cs="Times New Roman"/>
          <w:color w:val="000000" w:themeColor="text1"/>
          <w:sz w:val="21"/>
          <w:lang w:val="en-US" w:eastAsia="zh-CN" w:bidi="ar-SA"/>
          <w14:textFill>
            <w14:solidFill>
              <w14:schemeClr w14:val="tx1"/>
            </w14:solidFill>
          </w14:textFill>
        </w:rPr>
        <w:t>系统运行稳定、安全可靠，近期无重大故障记录。</w:t>
      </w:r>
    </w:p>
    <w:p w14:paraId="5DF24DD7">
      <w:pPr>
        <w:pStyle w:val="67"/>
        <w:bidi w:val="0"/>
        <w:ind w:left="0" w:leftChars="0" w:firstLine="0" w:firstLineChars="0"/>
        <w:rPr>
          <w:rFonts w:hint="default" w:ascii="宋体" w:hAnsi="Times New Roman" w:eastAsia="宋体" w:cs="Times New Roman"/>
          <w:color w:val="000000" w:themeColor="text1"/>
          <w:sz w:val="21"/>
          <w:lang w:val="en-US" w:eastAsia="zh-CN" w:bidi="ar-SA"/>
          <w14:textFill>
            <w14:solidFill>
              <w14:schemeClr w14:val="tx1"/>
            </w14:solidFill>
          </w14:textFill>
        </w:rPr>
      </w:pPr>
      <w:r>
        <w:rPr>
          <w:rFonts w:hint="default" w:ascii="宋体" w:hAnsi="Times New Roman" w:eastAsia="宋体" w:cs="Times New Roman"/>
          <w:color w:val="000000" w:themeColor="text1"/>
          <w:sz w:val="21"/>
          <w:lang w:val="en-US" w:eastAsia="zh-CN" w:bidi="ar-SA"/>
          <w14:textFill>
            <w14:solidFill>
              <w14:schemeClr w14:val="tx1"/>
            </w14:solidFill>
          </w14:textFill>
        </w:rPr>
        <w:t>建立有完善的运行维护管理制度与操作规程。</w:t>
      </w:r>
    </w:p>
    <w:p w14:paraId="0B36AC2A">
      <w:pPr>
        <w:pStyle w:val="67"/>
        <w:bidi w:val="0"/>
        <w:ind w:left="0" w:leftChars="0" w:firstLine="0" w:firstLineChars="0"/>
        <w:rPr>
          <w:rFonts w:hint="default"/>
          <w:lang w:val="en-US" w:eastAsia="zh-CN"/>
        </w:rPr>
      </w:pPr>
      <w:r>
        <w:rPr>
          <w:rFonts w:hint="default"/>
          <w:lang w:val="en-US" w:eastAsia="zh-CN"/>
        </w:rPr>
        <w:t>申请主体应提供真实、完整的申请材料和运行数据。</w:t>
      </w:r>
    </w:p>
    <w:p w14:paraId="5DBF0B61">
      <w:pPr>
        <w:pStyle w:val="107"/>
        <w:bidi w:val="0"/>
        <w:ind w:left="0" w:leftChars="0" w:firstLine="0" w:firstLineChars="0"/>
        <w:rPr>
          <w:rFonts w:hint="default"/>
          <w:lang w:val="en-US" w:eastAsia="zh-CN"/>
        </w:rPr>
      </w:pPr>
      <w:bookmarkStart w:id="58" w:name="_Toc209115927"/>
      <w:bookmarkStart w:id="59" w:name="_Toc209989750"/>
      <w:r>
        <w:rPr>
          <w:rFonts w:hint="default"/>
          <w:lang w:val="en-US" w:eastAsia="zh-CN"/>
        </w:rPr>
        <w:t>能效技术要求</w:t>
      </w:r>
    </w:p>
    <w:p w14:paraId="12F3563A">
      <w:pPr>
        <w:pStyle w:val="67"/>
        <w:bidi w:val="0"/>
        <w:ind w:left="0" w:leftChars="0" w:firstLine="0" w:firstLineChars="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核心指标：制冷机房系统能效系数（EERsys）</w:t>
      </w:r>
      <w:r>
        <w:rPr>
          <w:rFonts w:hint="default" w:ascii="宋体" w:hAnsi="Times New Roman" w:eastAsia="宋体" w:cs="Times New Roman"/>
          <w:sz w:val="21"/>
          <w:lang w:val="en-US" w:eastAsia="zh-CN" w:bidi="ar-SA"/>
        </w:rPr>
        <w:br w:type="textWrapping"/>
      </w:r>
      <w:r>
        <w:rPr>
          <w:rFonts w:hint="eastAsia"/>
          <w:lang w:val="en-US" w:eastAsia="zh-CN"/>
        </w:rPr>
        <w:t xml:space="preserve">    </w:t>
      </w:r>
      <w:r>
        <w:rPr>
          <w:rFonts w:hint="default" w:ascii="宋体" w:hAnsi="Times New Roman" w:eastAsia="宋体" w:cs="Times New Roman"/>
          <w:sz w:val="21"/>
          <w:lang w:val="en-US" w:eastAsia="zh-CN" w:bidi="ar-SA"/>
        </w:rPr>
        <w:t>制冷机房的EERsys值应达到T/CECS 1100-2022《高效空调制冷机房评价标准》中相应星级的要求：</w:t>
      </w:r>
    </w:p>
    <w:p w14:paraId="0FDD61CA">
      <w:pPr>
        <w:pStyle w:val="107"/>
        <w:numPr>
          <w:ilvl w:val="2"/>
          <w:numId w:val="0"/>
        </w:numPr>
        <w:bidi w:val="0"/>
        <w:ind w:leftChars="0" w:firstLine="420" w:firstLineChars="20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一星级：系统能效比（EERsys）达到T/CECS 1100-2022能效一星级标准要求。</w:t>
      </w:r>
    </w:p>
    <w:p w14:paraId="57924E4A">
      <w:pPr>
        <w:pStyle w:val="107"/>
        <w:numPr>
          <w:ilvl w:val="2"/>
          <w:numId w:val="0"/>
        </w:numPr>
        <w:bidi w:val="0"/>
        <w:ind w:leftChars="0" w:firstLine="420" w:firstLineChars="20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二星级：系统能效比（EERsys）达到T/CECS 1100-2022能效二星级标准要求。</w:t>
      </w:r>
    </w:p>
    <w:p w14:paraId="73DA2F30">
      <w:pPr>
        <w:pStyle w:val="107"/>
        <w:numPr>
          <w:ilvl w:val="2"/>
          <w:numId w:val="0"/>
        </w:numPr>
        <w:bidi w:val="0"/>
        <w:ind w:leftChars="0" w:firstLine="420" w:firstLineChars="20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三星级：系统能效比（EERsys）达到T/CECS 1100-2022能效三星级标准要求。</w:t>
      </w:r>
    </w:p>
    <w:p w14:paraId="6D5993F4">
      <w:pPr>
        <w:pStyle w:val="67"/>
        <w:bidi w:val="0"/>
        <w:ind w:left="0" w:leftChars="0" w:firstLine="0" w:firstLineChars="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能效系数的测试与计算方法应按照附录A的规定执行，并符合T/CECS 549-2018等相关标准的要求。</w:t>
      </w:r>
    </w:p>
    <w:bookmarkEnd w:id="58"/>
    <w:bookmarkEnd w:id="59"/>
    <w:p w14:paraId="54C8A515">
      <w:pPr>
        <w:pStyle w:val="106"/>
        <w:spacing w:before="240" w:after="240"/>
        <w:rPr>
          <w:rFonts w:hint="default"/>
          <w:szCs w:val="21"/>
          <w:lang w:val="en-US" w:eastAsia="zh-CN"/>
        </w:rPr>
      </w:pPr>
      <w:bookmarkStart w:id="60" w:name="_Toc25166"/>
      <w:bookmarkStart w:id="61" w:name="_Toc209989752"/>
      <w:bookmarkStart w:id="62" w:name="_Toc209115929"/>
      <w:r>
        <w:rPr>
          <w:rFonts w:hint="default"/>
          <w:szCs w:val="21"/>
          <w:lang w:val="en-US" w:eastAsia="zh-CN"/>
        </w:rPr>
        <w:t>认定程序与方法</w:t>
      </w:r>
      <w:bookmarkEnd w:id="60"/>
    </w:p>
    <w:p w14:paraId="47CE24E1">
      <w:pPr>
        <w:pStyle w:val="107"/>
        <w:spacing w:before="120" w:after="120"/>
        <w:rPr>
          <w:rFonts w:hint="default"/>
        </w:rPr>
      </w:pPr>
      <w:r>
        <w:rPr>
          <w:rFonts w:hint="default"/>
          <w:lang w:val="en-US" w:eastAsia="zh-CN"/>
        </w:rPr>
        <w:t>申请</w:t>
      </w:r>
      <w:r>
        <w:rPr>
          <w:rFonts w:hint="default"/>
        </w:rPr>
        <w:br w:type="textWrapping"/>
      </w:r>
      <w:r>
        <w:rPr>
          <w:rFonts w:hint="eastAsia"/>
          <w:lang w:val="en-US" w:eastAsia="zh-CN"/>
        </w:rPr>
        <w:t xml:space="preserve">  </w:t>
      </w:r>
      <w:r>
        <w:rPr>
          <w:rFonts w:hint="default"/>
        </w:rPr>
        <w:t>申请主体向陕西省暖通空调与制冷行业协会提交《高效制冷机房认定申请表》（参见附录B）及以下材料：</w:t>
      </w:r>
      <w:r>
        <w:rPr>
          <w:rFonts w:hint="default"/>
        </w:rPr>
        <w:br w:type="textWrapping"/>
      </w:r>
      <w:r>
        <w:rPr>
          <w:rFonts w:hint="eastAsia"/>
          <w:lang w:val="en-US" w:eastAsia="zh-CN"/>
        </w:rPr>
        <w:t xml:space="preserve">   </w:t>
      </w:r>
      <w:r>
        <w:rPr>
          <w:rFonts w:hint="default" w:ascii="宋体" w:hAnsi="Times New Roman" w:eastAsia="宋体" w:cs="Times New Roman"/>
          <w:sz w:val="21"/>
          <w:lang w:val="en-US" w:eastAsia="zh-CN" w:bidi="ar-SA"/>
        </w:rPr>
        <w:t>a) 机房平面图、系统图及设计说明；</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b) 主要设备清单、性能参数及检测报告；</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c) 至少一个完整供冷季的运行数据记录（包括冷量、耗电量等）；</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d) 运行维护管理制度与操作规程文件；</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e) 能源监测系统介绍及数据报告。</w:t>
      </w:r>
    </w:p>
    <w:p w14:paraId="6C9DCD3D">
      <w:pPr>
        <w:pStyle w:val="107"/>
        <w:spacing w:before="120" w:after="120"/>
        <w:rPr>
          <w:rFonts w:hint="default" w:ascii="宋体" w:hAnsi="Times New Roman" w:eastAsia="宋体" w:cs="Times New Roman"/>
          <w:sz w:val="21"/>
          <w:lang w:val="en-US" w:eastAsia="zh-CN" w:bidi="ar-SA"/>
        </w:rPr>
      </w:pPr>
      <w:r>
        <w:rPr>
          <w:rFonts w:hint="default"/>
          <w:lang w:val="en-US" w:eastAsia="zh-CN"/>
        </w:rPr>
        <w:t>受理与审核</w:t>
      </w:r>
      <w:r>
        <w:rPr>
          <w:rFonts w:hint="default"/>
          <w:lang w:val="en-US" w:eastAsia="zh-CN"/>
        </w:rPr>
        <w:br w:type="textWrapping"/>
      </w:r>
      <w:r>
        <w:rPr>
          <w:rFonts w:hint="eastAsia"/>
          <w:lang w:val="en-US" w:eastAsia="zh-CN"/>
        </w:rPr>
        <w:t xml:space="preserve"> </w:t>
      </w:r>
      <w:r>
        <w:rPr>
          <w:rFonts w:hint="eastAsia" w:ascii="Segoe UI" w:hAnsi="Segoe UI" w:eastAsia="Segoe UI" w:cs="Segoe UI"/>
          <w:i w:val="0"/>
          <w:iCs w:val="0"/>
          <w:caps w:val="0"/>
          <w:color w:val="0F1115"/>
          <w:spacing w:val="0"/>
          <w:sz w:val="24"/>
          <w:szCs w:val="24"/>
          <w:shd w:val="clear" w:fill="FFFFFF"/>
          <w:lang w:val="en-US" w:eastAsia="zh-CN"/>
        </w:rPr>
        <w:t xml:space="preserve">  </w:t>
      </w:r>
      <w:r>
        <w:rPr>
          <w:rFonts w:hint="default" w:ascii="宋体" w:hAnsi="Times New Roman" w:eastAsia="宋体" w:cs="Times New Roman"/>
          <w:sz w:val="21"/>
          <w:lang w:val="en-US" w:eastAsia="zh-CN" w:bidi="ar-SA"/>
        </w:rPr>
        <w:t>协会对申请材料的完整性、符合性进行审核。</w:t>
      </w:r>
    </w:p>
    <w:p w14:paraId="528C3207">
      <w:pPr>
        <w:pStyle w:val="107"/>
        <w:spacing w:before="120" w:after="120"/>
        <w:rPr>
          <w:rFonts w:hint="default"/>
          <w:lang w:val="en-US" w:eastAsia="zh-CN"/>
        </w:rPr>
      </w:pPr>
      <w:r>
        <w:rPr>
          <w:rFonts w:hint="default"/>
          <w:lang w:val="en-US" w:eastAsia="zh-CN"/>
        </w:rPr>
        <w:t>现场评审</w:t>
      </w:r>
    </w:p>
    <w:p w14:paraId="521A22AD">
      <w:pPr>
        <w:pStyle w:val="67"/>
        <w:bidi w:val="0"/>
        <w:ind w:left="0" w:leftChars="0" w:firstLine="0" w:firstLineChars="0"/>
        <w:rPr>
          <w:rFonts w:hint="default"/>
          <w:lang w:val="en-US" w:eastAsia="zh-CN"/>
        </w:rPr>
      </w:pPr>
      <w:r>
        <w:rPr>
          <w:rFonts w:hint="default" w:ascii="宋体" w:hAnsi="Times New Roman" w:eastAsia="宋体" w:cs="Times New Roman"/>
          <w:sz w:val="21"/>
          <w:lang w:val="en-US" w:eastAsia="zh-CN" w:bidi="ar-SA"/>
        </w:rPr>
        <w:t>材料审核通过后，协会组织专家评审组进行现场评审。</w:t>
      </w:r>
    </w:p>
    <w:p w14:paraId="262A096B">
      <w:pPr>
        <w:pStyle w:val="67"/>
        <w:bidi w:val="0"/>
        <w:ind w:left="0" w:leftChars="0" w:firstLine="0" w:firstLineChars="0"/>
        <w:rPr>
          <w:rFonts w:hint="default" w:ascii="宋体" w:hAnsi="Times New Roman" w:eastAsia="宋体" w:cs="Times New Roman"/>
          <w:sz w:val="21"/>
          <w:lang w:val="en-US" w:eastAsia="zh-CN" w:bidi="ar-SA"/>
        </w:rPr>
      </w:pPr>
      <w:r>
        <w:rPr>
          <w:rFonts w:hint="default" w:ascii="宋体" w:hAnsi="Times New Roman" w:eastAsia="宋体" w:cs="Times New Roman"/>
          <w:sz w:val="21"/>
          <w:lang w:val="en-US" w:eastAsia="zh-CN" w:bidi="ar-SA"/>
        </w:rPr>
        <w:t>现场评审内容包括：</w:t>
      </w:r>
      <w:r>
        <w:rPr>
          <w:rFonts w:hint="default" w:ascii="Segoe UI" w:hAnsi="Segoe UI" w:eastAsia="Segoe UI" w:cs="Segoe UI"/>
          <w:i w:val="0"/>
          <w:iCs w:val="0"/>
          <w:caps w:val="0"/>
          <w:color w:val="0F1115"/>
          <w:spacing w:val="0"/>
          <w:sz w:val="24"/>
          <w:szCs w:val="24"/>
          <w:shd w:val="clear" w:fill="FFFFFF"/>
          <w:lang w:val="en-US" w:eastAsia="zh-CN" w:bidi="ar-SA"/>
        </w:rPr>
        <w:br w:type="textWrapping"/>
      </w:r>
      <w:r>
        <w:rPr>
          <w:rFonts w:hint="eastAsia"/>
          <w:lang w:val="en-US" w:eastAsia="zh-CN"/>
        </w:rPr>
        <w:t xml:space="preserve"> </w:t>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a) 核对设备型号、参数与申请材料的一致性；</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b) 检查系统运行状态、维护记录和管理制度执行情况；</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c) 核查能源监测系统的有效性和数据准确性；</w:t>
      </w:r>
      <w:r>
        <w:rPr>
          <w:rFonts w:hint="default" w:ascii="宋体" w:hAnsi="Times New Roman" w:eastAsia="宋体" w:cs="Times New Roman"/>
          <w:sz w:val="21"/>
          <w:lang w:val="en-US" w:eastAsia="zh-CN" w:bidi="ar-SA"/>
        </w:rPr>
        <w:br w:type="textWrapping"/>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d) 依据附录A进行必要的现场性能验证测试。</w:t>
      </w:r>
    </w:p>
    <w:p w14:paraId="7E802E28">
      <w:pPr>
        <w:pStyle w:val="107"/>
        <w:spacing w:before="120" w:after="120"/>
        <w:rPr>
          <w:rFonts w:hint="default" w:ascii="宋体" w:hAnsi="Times New Roman" w:eastAsia="宋体" w:cs="Times New Roman"/>
          <w:kern w:val="0"/>
          <w:sz w:val="21"/>
          <w:szCs w:val="20"/>
          <w:lang w:val="en-US" w:eastAsia="zh-CN" w:bidi="ar-SA"/>
        </w:rPr>
      </w:pPr>
      <w:r>
        <w:rPr>
          <w:rFonts w:hint="default"/>
          <w:lang w:val="en-US" w:eastAsia="zh-CN"/>
        </w:rPr>
        <w:t>评审决定</w:t>
      </w:r>
      <w:r>
        <w:rPr>
          <w:rFonts w:hint="default"/>
          <w:lang w:val="en-US" w:eastAsia="zh-CN"/>
        </w:rPr>
        <w:br w:type="textWrapping"/>
      </w:r>
      <w:r>
        <w:rPr>
          <w:rFonts w:hint="eastAsia"/>
          <w:lang w:val="en-US" w:eastAsia="zh-CN"/>
        </w:rPr>
        <w:t xml:space="preserve">   </w:t>
      </w:r>
      <w:r>
        <w:rPr>
          <w:rFonts w:hint="eastAsia" w:ascii="宋体" w:hAnsi="Times New Roman" w:eastAsia="宋体" w:cs="Times New Roman"/>
          <w:sz w:val="21"/>
          <w:lang w:val="en-US" w:eastAsia="zh-CN" w:bidi="ar-SA"/>
        </w:rPr>
        <w:t xml:space="preserve"> </w:t>
      </w:r>
      <w:r>
        <w:rPr>
          <w:rFonts w:hint="default" w:ascii="宋体" w:hAnsi="Times New Roman" w:eastAsia="宋体" w:cs="Times New Roman"/>
          <w:sz w:val="21"/>
          <w:lang w:val="en-US" w:eastAsia="zh-CN" w:bidi="ar-SA"/>
        </w:rPr>
        <w:t>专家评审组依据文件审核、现场评审结果和能效计算结果，进行综合评审，形成认定结论和星级建议，报协会批准。</w:t>
      </w:r>
    </w:p>
    <w:p w14:paraId="4C5F7521">
      <w:pPr>
        <w:pStyle w:val="107"/>
        <w:spacing w:before="120" w:after="120"/>
        <w:rPr>
          <w:rFonts w:hint="default" w:ascii="宋体" w:hAnsi="Times New Roman" w:eastAsia="宋体" w:cs="Times New Roman"/>
          <w:kern w:val="0"/>
          <w:sz w:val="21"/>
          <w:szCs w:val="20"/>
          <w:lang w:val="en-US" w:eastAsia="zh-CN" w:bidi="ar-SA"/>
        </w:rPr>
      </w:pPr>
      <w:r>
        <w:rPr>
          <w:rFonts w:hint="default" w:ascii="黑体" w:hAnsi="Times New Roman" w:eastAsia="黑体" w:cs="Times New Roman"/>
          <w:kern w:val="0"/>
          <w:sz w:val="21"/>
          <w:szCs w:val="20"/>
          <w:lang w:val="en-US" w:eastAsia="zh-CN" w:bidi="ar-SA"/>
        </w:rPr>
        <w:t>发证与公告</w:t>
      </w:r>
      <w:r>
        <w:rPr>
          <w:rFonts w:hint="default" w:ascii="Segoe UI" w:hAnsi="Segoe UI" w:eastAsia="Segoe UI" w:cs="Segoe UI"/>
          <w:i w:val="0"/>
          <w:iCs w:val="0"/>
          <w:caps w:val="0"/>
          <w:color w:val="0F1115"/>
          <w:spacing w:val="0"/>
          <w:sz w:val="24"/>
          <w:szCs w:val="24"/>
          <w:shd w:val="clear" w:fill="FFFFFF"/>
        </w:rPr>
        <w:br w:type="textWrapping"/>
      </w: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hint="default" w:ascii="宋体" w:hAnsi="Times New Roman" w:eastAsia="宋体" w:cs="Times New Roman"/>
          <w:kern w:val="0"/>
          <w:sz w:val="21"/>
          <w:szCs w:val="20"/>
          <w:lang w:val="en-US" w:eastAsia="zh-CN" w:bidi="ar-SA"/>
        </w:rPr>
        <w:t>对通过认定的单位，由协会颁发相应等级的《高效制冷机房认定证书》，并予以公告</w:t>
      </w:r>
      <w:r>
        <w:rPr>
          <w:rFonts w:hint="eastAsia" w:ascii="宋体" w:eastAsia="宋体" w:cs="Times New Roman"/>
          <w:kern w:val="0"/>
          <w:sz w:val="21"/>
          <w:szCs w:val="20"/>
          <w:lang w:val="en-US" w:eastAsia="zh-CN" w:bidi="ar-SA"/>
        </w:rPr>
        <w:t>。</w:t>
      </w:r>
    </w:p>
    <w:p w14:paraId="4AA67DDA">
      <w:pPr>
        <w:pStyle w:val="106"/>
        <w:bidi w:val="0"/>
        <w:ind w:left="0" w:leftChars="0" w:firstLine="0" w:firstLineChars="0"/>
        <w:rPr>
          <w:rFonts w:hint="default"/>
          <w:lang w:val="en-US" w:eastAsia="zh-CN"/>
        </w:rPr>
      </w:pPr>
      <w:r>
        <w:rPr>
          <w:rFonts w:hint="default"/>
          <w:lang w:val="en-US" w:eastAsia="zh-CN"/>
        </w:rPr>
        <w:t xml:space="preserve"> </w:t>
      </w:r>
      <w:bookmarkStart w:id="63" w:name="_Toc26253"/>
      <w:r>
        <w:rPr>
          <w:rFonts w:hint="default"/>
          <w:lang w:val="en-US" w:eastAsia="zh-CN"/>
        </w:rPr>
        <w:t>认定结果与监督管理</w:t>
      </w:r>
      <w:bookmarkEnd w:id="63"/>
    </w:p>
    <w:p w14:paraId="5B1C078F">
      <w:pPr>
        <w:pStyle w:val="107"/>
        <w:bidi w:val="0"/>
        <w:ind w:left="0" w:leftChars="0" w:firstLine="0" w:firstLineChars="0"/>
        <w:rPr>
          <w:rFonts w:hint="default" w:ascii="宋体" w:hAnsi="Times New Roman" w:eastAsia="宋体" w:cs="Times New Roman"/>
          <w:kern w:val="0"/>
          <w:sz w:val="21"/>
          <w:szCs w:val="20"/>
          <w:lang w:val="en-US" w:eastAsia="zh-CN" w:bidi="ar-SA"/>
        </w:rPr>
      </w:pPr>
      <w:r>
        <w:rPr>
          <w:rFonts w:hint="default"/>
          <w:lang w:val="en-US" w:eastAsia="zh-CN"/>
        </w:rPr>
        <w:t>认定结果与有效期</w:t>
      </w:r>
      <w:r>
        <w:rPr>
          <w:rFonts w:hint="default"/>
          <w:lang w:val="en-US" w:eastAsia="zh-CN"/>
        </w:rPr>
        <w:br w:type="textWrapping"/>
      </w:r>
      <w:r>
        <w:rPr>
          <w:rFonts w:hint="eastAsia"/>
          <w:lang w:val="en-US" w:eastAsia="zh-CN"/>
        </w:rPr>
        <w:t xml:space="preserve">   </w:t>
      </w:r>
      <w:r>
        <w:rPr>
          <w:rFonts w:hint="default" w:ascii="宋体" w:hAnsi="Times New Roman" w:eastAsia="宋体" w:cs="Times New Roman"/>
          <w:kern w:val="0"/>
          <w:sz w:val="21"/>
          <w:szCs w:val="20"/>
          <w:lang w:val="en-US" w:eastAsia="zh-CN" w:bidi="ar-SA"/>
        </w:rPr>
        <w:t>通过认定的制冷机房，由协会颁发相应星级的认定证书，证书有效期为三年。</w:t>
      </w:r>
    </w:p>
    <w:p w14:paraId="79DC65F0">
      <w:pPr>
        <w:pStyle w:val="107"/>
        <w:bidi w:val="0"/>
        <w:ind w:left="0" w:leftChars="0" w:firstLine="0" w:firstLineChars="0"/>
        <w:rPr>
          <w:rFonts w:hint="default" w:ascii="宋体" w:hAnsi="Times New Roman" w:eastAsia="宋体" w:cs="Times New Roman"/>
          <w:kern w:val="0"/>
          <w:sz w:val="21"/>
          <w:szCs w:val="20"/>
          <w:lang w:val="en-US" w:eastAsia="zh-CN" w:bidi="ar-SA"/>
        </w:rPr>
      </w:pPr>
      <w:r>
        <w:rPr>
          <w:rFonts w:hint="default"/>
          <w:lang w:val="en-US" w:eastAsia="zh-CN"/>
        </w:rPr>
        <w:t>复审</w:t>
      </w:r>
      <w:r>
        <w:rPr>
          <w:rFonts w:hint="default"/>
          <w:lang w:val="en-US" w:eastAsia="zh-CN"/>
        </w:rPr>
        <w:br w:type="textWrapping"/>
      </w:r>
      <w:r>
        <w:rPr>
          <w:rFonts w:hint="eastAsia"/>
          <w:lang w:val="en-US" w:eastAsia="zh-CN"/>
        </w:rPr>
        <w:t xml:space="preserve">   </w:t>
      </w:r>
      <w:r>
        <w:rPr>
          <w:rFonts w:hint="default" w:ascii="宋体" w:hAnsi="Times New Roman" w:eastAsia="宋体" w:cs="Times New Roman"/>
          <w:kern w:val="0"/>
          <w:sz w:val="21"/>
          <w:szCs w:val="20"/>
          <w:lang w:val="en-US" w:eastAsia="zh-CN" w:bidi="ar-SA"/>
        </w:rPr>
        <w:t>获证单位应在证书到期前一个月内向协会提出复审申请，复审程序参照初次认定执行。</w:t>
      </w:r>
    </w:p>
    <w:p w14:paraId="44609C70">
      <w:pPr>
        <w:pStyle w:val="107"/>
        <w:bidi w:val="0"/>
        <w:ind w:left="0" w:leftChars="0" w:firstLine="0" w:firstLineChars="0"/>
        <w:rPr>
          <w:rFonts w:hint="default"/>
          <w:lang w:val="en-US" w:eastAsia="zh-CN"/>
        </w:rPr>
      </w:pPr>
      <w:r>
        <w:rPr>
          <w:rFonts w:hint="default"/>
          <w:lang w:val="en-US" w:eastAsia="zh-CN"/>
        </w:rPr>
        <w:t>监督抽查</w:t>
      </w:r>
    </w:p>
    <w:p w14:paraId="6692F8F4">
      <w:pPr>
        <w:pStyle w:val="67"/>
        <w:bidi w:val="0"/>
        <w:ind w:left="0" w:leftChars="0" w:firstLine="0" w:firstLineChars="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协会有权对获证机房进行定期或不定期的监督抽查。</w:t>
      </w:r>
    </w:p>
    <w:p w14:paraId="3EDE49C1">
      <w:pPr>
        <w:pStyle w:val="67"/>
        <w:bidi w:val="0"/>
        <w:ind w:left="0" w:leftChars="0" w:firstLine="0" w:firstLineChars="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如发现系统能效下降或不再符合认定条件，将要求其限期整改；情节严重的，可暂停或撤销其认定证书。</w:t>
      </w:r>
    </w:p>
    <w:p w14:paraId="76AF53B9">
      <w:pPr>
        <w:pStyle w:val="107"/>
        <w:bidi w:val="0"/>
        <w:ind w:left="0" w:leftChars="0" w:firstLine="0" w:firstLineChars="0"/>
        <w:rPr>
          <w:rFonts w:hint="default"/>
          <w:lang w:val="en-US" w:eastAsia="zh-CN"/>
        </w:rPr>
      </w:pPr>
      <w:r>
        <w:rPr>
          <w:rFonts w:hint="default"/>
          <w:lang w:val="en-US" w:eastAsia="zh-CN"/>
        </w:rPr>
        <w:t>7.4 撤销</w:t>
      </w:r>
      <w:r>
        <w:rPr>
          <w:rFonts w:hint="default"/>
          <w:lang w:val="en-US" w:eastAsia="zh-CN"/>
        </w:rPr>
        <w:br w:type="textWrapping"/>
      </w:r>
      <w:r>
        <w:rPr>
          <w:rFonts w:hint="default" w:ascii="宋体" w:hAnsi="Times New Roman" w:eastAsia="宋体" w:cs="Times New Roman"/>
          <w:kern w:val="0"/>
          <w:sz w:val="21"/>
          <w:szCs w:val="20"/>
          <w:lang w:val="en-US" w:eastAsia="zh-CN" w:bidi="ar-SA"/>
        </w:rPr>
        <w:t>对于在认定过程中存在弄虚作假、伪造数据等失信行为的单位，协会将撤销其证书，并予以通报，且其在未来两年内不得再次申请认定。</w:t>
      </w:r>
    </w:p>
    <w:p w14:paraId="4269031D">
      <w:pPr>
        <w:pStyle w:val="78"/>
        <w:shd w:val="clear" w:color="FFFFFF" w:fill="FFFFFF"/>
        <w:spacing w:after="120"/>
        <w:rPr>
          <w:rFonts w:hint="default"/>
        </w:rPr>
      </w:pPr>
      <w:bookmarkStart w:id="64" w:name="_Toc7499"/>
      <w:r>
        <w:rPr>
          <w:rFonts w:hint="default"/>
        </w:rPr>
        <w:t>规范性附录）制冷机房系统能效系数（EERsys）测试与计算方法</w:t>
      </w:r>
      <w:bookmarkEnd w:id="64"/>
    </w:p>
    <w:p w14:paraId="37C64860">
      <w:pPr>
        <w:pStyle w:val="26"/>
        <w:keepNext w:val="0"/>
        <w:keepLines w:val="0"/>
        <w:widowControl/>
        <w:suppressLineNumbers w:val="0"/>
        <w:shd w:val="clear" w:fill="FFFFFF"/>
        <w:spacing w:before="192" w:beforeAutospacing="0" w:after="192" w:afterAutospacing="0"/>
        <w:ind w:left="0" w:right="0" w:firstLine="0"/>
        <w:rPr>
          <w:rFonts w:hint="default" w:ascii="Segoe UI" w:hAnsi="Segoe UI" w:eastAsia="Segoe UI" w:cs="Segoe UI"/>
          <w:i w:val="0"/>
          <w:iCs w:val="0"/>
          <w:caps w:val="0"/>
          <w:color w:val="0F1115"/>
          <w:spacing w:val="0"/>
          <w:sz w:val="24"/>
          <w:szCs w:val="24"/>
        </w:rPr>
      </w:pPr>
      <w:r>
        <w:rPr>
          <w:rFonts w:hint="default" w:ascii="黑体" w:hAnsi="Times New Roman" w:eastAsia="黑体" w:cs="Times New Roman"/>
          <w:kern w:val="21"/>
          <w:sz w:val="21"/>
          <w:szCs w:val="20"/>
          <w:lang w:val="en-US" w:eastAsia="zh-CN" w:bidi="ar-SA"/>
        </w:rPr>
        <w:t>A.1 总冷量计算</w:t>
      </w:r>
      <w:r>
        <w:rPr>
          <w:rFonts w:hint="default" w:ascii="Segoe UI" w:hAnsi="Segoe UI" w:eastAsia="Segoe UI" w:cs="Segoe UI"/>
          <w:i w:val="0"/>
          <w:iCs w:val="0"/>
          <w:caps w:val="0"/>
          <w:color w:val="0F1115"/>
          <w:spacing w:val="0"/>
          <w:sz w:val="24"/>
          <w:szCs w:val="24"/>
          <w:shd w:val="clear" w:fill="FFFFFF"/>
        </w:rPr>
        <w:br w:type="textWrapping"/>
      </w:r>
      <w:r>
        <w:rPr>
          <w:rFonts w:hint="default" w:ascii="宋体" w:hAnsi="Times New Roman" w:eastAsia="宋体" w:cs="Times New Roman"/>
          <w:kern w:val="0"/>
          <w:sz w:val="21"/>
          <w:szCs w:val="20"/>
          <w:lang w:val="en-US" w:eastAsia="zh-CN" w:bidi="ar-SA"/>
        </w:rPr>
        <w:t>总冷量应通过校准合格的冷量计量装置进行计量和累积。计量周期应覆盖整个认定周期（一个完整的供冷季）。冷量计量方法应符合 T/CECS 549-2018 的规定。</w:t>
      </w:r>
    </w:p>
    <w:p w14:paraId="2198F5B3">
      <w:pPr>
        <w:pStyle w:val="26"/>
        <w:keepNext w:val="0"/>
        <w:keepLines w:val="0"/>
        <w:widowControl/>
        <w:suppressLineNumbers w:val="0"/>
        <w:shd w:val="clear" w:fill="FFFFFF"/>
        <w:spacing w:before="192" w:beforeAutospacing="0" w:after="192" w:afterAutospacing="0"/>
        <w:ind w:left="0" w:right="0" w:firstLine="0"/>
        <w:rPr>
          <w:rFonts w:hint="default" w:ascii="宋体" w:hAnsi="Times New Roman" w:eastAsia="宋体" w:cs="Times New Roman"/>
          <w:kern w:val="0"/>
          <w:sz w:val="21"/>
          <w:szCs w:val="20"/>
          <w:lang w:val="en-US" w:eastAsia="zh-CN" w:bidi="ar-SA"/>
        </w:rPr>
      </w:pPr>
      <w:r>
        <w:rPr>
          <w:rFonts w:hint="default" w:ascii="黑体" w:hAnsi="Times New Roman" w:eastAsia="黑体" w:cs="Times New Roman"/>
          <w:kern w:val="21"/>
          <w:sz w:val="21"/>
          <w:szCs w:val="20"/>
          <w:lang w:val="en-US" w:eastAsia="zh-CN" w:bidi="ar-SA"/>
        </w:rPr>
        <w:t>A.2 总耗电量计算</w:t>
      </w:r>
      <w:r>
        <w:rPr>
          <w:rFonts w:hint="default" w:ascii="Segoe UI" w:hAnsi="Segoe UI" w:eastAsia="Segoe UI" w:cs="Segoe UI"/>
          <w:i w:val="0"/>
          <w:iCs w:val="0"/>
          <w:caps w:val="0"/>
          <w:color w:val="0F1115"/>
          <w:spacing w:val="0"/>
          <w:sz w:val="24"/>
          <w:szCs w:val="24"/>
          <w:shd w:val="clear" w:fill="FFFFFF"/>
        </w:rPr>
        <w:br w:type="textWrapping"/>
      </w:r>
      <w:r>
        <w:rPr>
          <w:rFonts w:hint="default" w:ascii="宋体" w:hAnsi="Times New Roman" w:eastAsia="宋体" w:cs="Times New Roman"/>
          <w:kern w:val="0"/>
          <w:sz w:val="21"/>
          <w:szCs w:val="20"/>
          <w:lang w:val="en-US" w:eastAsia="zh-CN" w:bidi="ar-SA"/>
        </w:rPr>
        <w:t>总耗电量应为认定周期内，制冷机房所有相关耗能设备电度表读数的总和，至少包括：</w:t>
      </w:r>
    </w:p>
    <w:p w14:paraId="67648DC5">
      <w:pPr>
        <w:pStyle w:val="26"/>
        <w:keepNext w:val="0"/>
        <w:keepLines w:val="0"/>
        <w:widowControl/>
        <w:suppressLineNumbers w:val="0"/>
        <w:spacing w:before="0" w:beforeAutospacing="0" w:after="0" w:afterAutospacing="0"/>
        <w:ind w:left="0" w:right="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所有制冷机组耗电量</w:t>
      </w:r>
    </w:p>
    <w:p w14:paraId="3FA2D298">
      <w:pPr>
        <w:pStyle w:val="26"/>
        <w:keepNext w:val="0"/>
        <w:keepLines w:val="0"/>
        <w:widowControl/>
        <w:suppressLineNumbers w:val="0"/>
        <w:spacing w:before="0" w:beforeAutospacing="0" w:after="0" w:afterAutospacing="0"/>
        <w:ind w:left="0" w:right="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所有冷冻水泵耗电量</w:t>
      </w:r>
    </w:p>
    <w:p w14:paraId="4BB99F88">
      <w:pPr>
        <w:pStyle w:val="26"/>
        <w:keepNext w:val="0"/>
        <w:keepLines w:val="0"/>
        <w:widowControl/>
        <w:suppressLineNumbers w:val="0"/>
        <w:spacing w:before="0" w:beforeAutospacing="0" w:after="0" w:afterAutospacing="0"/>
        <w:ind w:left="0" w:right="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所有冷却水泵耗电量</w:t>
      </w:r>
    </w:p>
    <w:p w14:paraId="55C68FF6">
      <w:pPr>
        <w:pStyle w:val="26"/>
        <w:keepNext w:val="0"/>
        <w:keepLines w:val="0"/>
        <w:widowControl/>
        <w:suppressLineNumbers w:val="0"/>
        <w:spacing w:before="0" w:beforeAutospacing="0" w:after="0" w:afterAutospacing="0"/>
        <w:ind w:left="0" w:right="0"/>
        <w:rPr>
          <w:rFonts w:hint="default" w:ascii="宋体" w:hAnsi="Times New Roman" w:eastAsia="宋体" w:cs="Times New Roman"/>
          <w:kern w:val="0"/>
          <w:sz w:val="21"/>
          <w:szCs w:val="20"/>
          <w:lang w:val="en-US" w:eastAsia="zh-CN" w:bidi="ar-SA"/>
        </w:rPr>
      </w:pPr>
      <w:r>
        <w:rPr>
          <w:rFonts w:hint="default" w:ascii="宋体" w:hAnsi="Times New Roman" w:eastAsia="宋体" w:cs="Times New Roman"/>
          <w:kern w:val="0"/>
          <w:sz w:val="21"/>
          <w:szCs w:val="20"/>
          <w:lang w:val="en-US" w:eastAsia="zh-CN" w:bidi="ar-SA"/>
        </w:rPr>
        <w:t>所有冷却塔风机耗电量</w:t>
      </w:r>
      <w:r>
        <w:rPr>
          <w:rFonts w:hint="default" w:ascii="宋体" w:hAnsi="Times New Roman" w:eastAsia="宋体" w:cs="Times New Roman"/>
          <w:kern w:val="0"/>
          <w:sz w:val="21"/>
          <w:szCs w:val="20"/>
          <w:lang w:val="en-US" w:eastAsia="zh-CN" w:bidi="ar-SA"/>
        </w:rPr>
        <w:br w:type="textWrapping"/>
      </w:r>
      <w:r>
        <w:rPr>
          <w:rFonts w:hint="default" w:ascii="宋体" w:hAnsi="Times New Roman" w:eastAsia="宋体" w:cs="Times New Roman"/>
          <w:kern w:val="0"/>
          <w:sz w:val="21"/>
          <w:szCs w:val="20"/>
          <w:lang w:val="en-US" w:eastAsia="zh-CN" w:bidi="ar-SA"/>
        </w:rPr>
        <w:t>计量仪表精度应满足相关标准要求。</w:t>
      </w:r>
    </w:p>
    <w:p w14:paraId="79221482">
      <w:pPr>
        <w:pStyle w:val="58"/>
        <w:rPr>
          <w:rFonts w:hint="default" w:ascii="宋体" w:hAnsi="Times New Roman" w:eastAsia="宋体" w:cs="Times New Roman"/>
          <w:kern w:val="0"/>
          <w:sz w:val="21"/>
          <w:szCs w:val="20"/>
          <w:lang w:val="en-US" w:eastAsia="zh-CN" w:bidi="ar-SA"/>
        </w:rPr>
      </w:pPr>
    </w:p>
    <w:p w14:paraId="1D711F45">
      <w:pPr>
        <w:pStyle w:val="58"/>
        <w:rPr>
          <w:rFonts w:hint="default" w:ascii="宋体" w:hAnsi="Times New Roman" w:eastAsia="宋体" w:cs="Times New Roman"/>
          <w:kern w:val="0"/>
          <w:sz w:val="21"/>
          <w:szCs w:val="20"/>
          <w:lang w:val="en-US" w:eastAsia="zh-CN" w:bidi="ar-SA"/>
        </w:rPr>
      </w:pPr>
    </w:p>
    <w:p w14:paraId="34069C6C">
      <w:pPr>
        <w:pStyle w:val="58"/>
        <w:rPr>
          <w:rFonts w:hint="default" w:ascii="宋体" w:hAnsi="Times New Roman" w:eastAsia="宋体" w:cs="Times New Roman"/>
          <w:kern w:val="0"/>
          <w:sz w:val="21"/>
          <w:szCs w:val="20"/>
          <w:lang w:val="en-US" w:eastAsia="zh-CN" w:bidi="ar-SA"/>
        </w:rPr>
      </w:pPr>
    </w:p>
    <w:bookmarkEnd w:id="11"/>
    <w:bookmarkEnd w:id="61"/>
    <w:bookmarkEnd w:id="62"/>
    <w:p w14:paraId="57D62603">
      <w:pPr>
        <w:pStyle w:val="200"/>
        <w:rPr>
          <w:vanish w:val="0"/>
        </w:rPr>
      </w:pPr>
      <w:bookmarkStart w:id="65" w:name="BookMark5"/>
    </w:p>
    <w:p w14:paraId="68210E64">
      <w:pPr>
        <w:pStyle w:val="201"/>
        <w:rPr>
          <w:vanish w:val="0"/>
        </w:rPr>
      </w:pPr>
    </w:p>
    <w:p w14:paraId="52AED293">
      <w:pPr>
        <w:pStyle w:val="58"/>
        <w:ind w:firstLine="420"/>
      </w:pPr>
    </w:p>
    <w:p w14:paraId="2B11AF41">
      <w:pPr>
        <w:pStyle w:val="58"/>
        <w:ind w:firstLine="420"/>
      </w:pPr>
    </w:p>
    <w:bookmarkEnd w:id="65"/>
    <w:p w14:paraId="59D63DE1">
      <w:pPr>
        <w:pStyle w:val="58"/>
        <w:ind w:firstLine="420"/>
        <w:jc w:val="center"/>
      </w:pPr>
      <w:bookmarkStart w:id="66" w:name="BookMark8"/>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26"/>
                    <a:stretch>
                      <a:fillRect/>
                    </a:stretch>
                  </pic:blipFill>
                  <pic:spPr>
                    <a:xfrm>
                      <a:off x="0" y="0"/>
                      <a:ext cx="1485900" cy="317500"/>
                    </a:xfrm>
                    <a:prstGeom prst="rect">
                      <a:avLst/>
                    </a:prstGeom>
                  </pic:spPr>
                </pic:pic>
              </a:graphicData>
            </a:graphic>
          </wp:inline>
        </w:drawing>
      </w:r>
      <w:bookmarkEnd w:id="66"/>
    </w:p>
    <w:p w14:paraId="60772005">
      <w:pPr>
        <w:pStyle w:val="58"/>
        <w:ind w:firstLine="420"/>
      </w:pPr>
    </w:p>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4E7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92D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9B82">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6A3E7">
    <w:pPr>
      <w:pStyle w:val="54"/>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7CB4">
    <w:pPr>
      <w:pStyle w:val="53"/>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3F5E">
    <w:pPr>
      <w:pStyle w:val="54"/>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B6B7">
    <w:pPr>
      <w:pStyle w:val="53"/>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09C7">
    <w:pPr>
      <w:pStyle w:val="54"/>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74DF">
    <w:pPr>
      <w:pStyle w:val="53"/>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36F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1C88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7CB7">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23DC">
    <w:pPr>
      <w:pStyle w:val="63"/>
    </w:pPr>
    <w:r>
      <w:fldChar w:fldCharType="begin"/>
    </w:r>
    <w:r>
      <w:instrText xml:space="preserve"> STYLEREF  标准文件_文件编号  \* MERGEFORMAT </w:instrText>
    </w:r>
    <w:r>
      <w:fldChar w:fldCharType="separate"/>
    </w:r>
    <w:r>
      <w:t>T/CBJ 010—2025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76E9">
    <w:pPr>
      <w:pStyle w:val="64"/>
    </w:pPr>
    <w:r>
      <w:fldChar w:fldCharType="begin"/>
    </w:r>
    <w:r>
      <w:instrText xml:space="preserve"> STYLEREF  标准文件_文件编号 \* MERGEFORMAT </w:instrText>
    </w:r>
    <w:r>
      <w:fldChar w:fldCharType="separate"/>
    </w:r>
    <w:r>
      <w:t>T/CBJ 010—2025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6BC17">
    <w:pPr>
      <w:pStyle w:val="63"/>
    </w:pPr>
    <w:r>
      <w:fldChar w:fldCharType="begin"/>
    </w:r>
    <w:r>
      <w:instrText xml:space="preserve"> STYLEREF  标准文件_文件编号  \* MERGEFORMAT </w:instrText>
    </w:r>
    <w:r>
      <w:fldChar w:fldCharType="separate"/>
    </w:r>
    <w:r>
      <w:t>T/CBJ 010—2025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3C20">
    <w:pPr>
      <w:pStyle w:val="64"/>
    </w:pPr>
    <w:r>
      <w:fldChar w:fldCharType="begin"/>
    </w:r>
    <w:r>
      <w:instrText xml:space="preserve"> STYLEREF  标准文件_文件编号 \* MERGEFORMAT </w:instrText>
    </w:r>
    <w:r>
      <w:fldChar w:fldCharType="separate"/>
    </w:r>
    <w:r>
      <w:t>T/CBJ 010—2025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5E86">
    <w:pPr>
      <w:pStyle w:val="63"/>
    </w:pPr>
    <w:r>
      <w:fldChar w:fldCharType="begin"/>
    </w:r>
    <w:r>
      <w:instrText xml:space="preserve"> STYLEREF  标准文件_文件编号  \* MERGEFORMAT </w:instrText>
    </w:r>
    <w:r>
      <w:fldChar w:fldCharType="separate"/>
    </w:r>
    <w:r>
      <w:t>T/CBJ 010—2025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D0CB">
    <w:pPr>
      <w:pStyle w:val="64"/>
    </w:pPr>
    <w:r>
      <w:fldChar w:fldCharType="begin"/>
    </w:r>
    <w:r>
      <w:instrText xml:space="preserve"> STYLEREF  标准文件_文件编号 \* MERGEFORMAT </w:instrText>
    </w:r>
    <w:r>
      <w:fldChar w:fldCharType="separate"/>
    </w:r>
    <w:r>
      <w:t>T/CBJ 010—2025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3970" w:firstLine="0"/>
      </w:pPr>
    </w:lvl>
    <w:lvl w:ilvl="1" w:tentative="0">
      <w:start w:val="1"/>
      <w:numFmt w:val="decimal"/>
      <w:lvlText w:val="%1.%2"/>
      <w:lvlJc w:val="left"/>
      <w:pPr>
        <w:tabs>
          <w:tab w:val="left" w:pos="4962"/>
        </w:tabs>
        <w:ind w:left="4962" w:hanging="567"/>
      </w:pPr>
    </w:lvl>
    <w:lvl w:ilvl="2" w:tentative="0">
      <w:start w:val="1"/>
      <w:numFmt w:val="decimal"/>
      <w:lvlText w:val="%1.%2.%3"/>
      <w:lvlJc w:val="left"/>
      <w:pPr>
        <w:tabs>
          <w:tab w:val="left" w:pos="5387"/>
        </w:tabs>
        <w:ind w:left="5387" w:hanging="567"/>
      </w:pPr>
    </w:lvl>
    <w:lvl w:ilvl="3" w:tentative="0">
      <w:start w:val="1"/>
      <w:numFmt w:val="decimal"/>
      <w:lvlText w:val="%1.%2.%3.%4"/>
      <w:lvlJc w:val="left"/>
      <w:pPr>
        <w:tabs>
          <w:tab w:val="left" w:pos="5954"/>
        </w:tabs>
        <w:ind w:left="5954" w:hanging="708"/>
      </w:pPr>
    </w:lvl>
    <w:lvl w:ilvl="4" w:tentative="0">
      <w:start w:val="1"/>
      <w:numFmt w:val="decimal"/>
      <w:lvlText w:val="%1.%2.%3.%4.%5"/>
      <w:lvlJc w:val="left"/>
      <w:pPr>
        <w:tabs>
          <w:tab w:val="left" w:pos="6521"/>
        </w:tabs>
        <w:ind w:left="6521" w:hanging="850"/>
      </w:pPr>
    </w:lvl>
    <w:lvl w:ilvl="5" w:tentative="0">
      <w:start w:val="1"/>
      <w:numFmt w:val="decimal"/>
      <w:lvlText w:val="%1.%2.%3.%4.%5.%6"/>
      <w:lvlJc w:val="left"/>
      <w:pPr>
        <w:tabs>
          <w:tab w:val="left" w:pos="7230"/>
        </w:tabs>
        <w:ind w:left="7230" w:hanging="1134"/>
      </w:pPr>
    </w:lvl>
    <w:lvl w:ilvl="6" w:tentative="0">
      <w:start w:val="1"/>
      <w:numFmt w:val="decimal"/>
      <w:lvlText w:val="%1.%2.%3.%4.%5.%6.%7"/>
      <w:lvlJc w:val="left"/>
      <w:pPr>
        <w:tabs>
          <w:tab w:val="left" w:pos="7797"/>
        </w:tabs>
        <w:ind w:left="7797" w:hanging="1276"/>
      </w:pPr>
    </w:lvl>
    <w:lvl w:ilvl="7" w:tentative="0">
      <w:start w:val="1"/>
      <w:numFmt w:val="decimal"/>
      <w:lvlText w:val="%1.%2.%3.%4.%5.%6.%7.%8"/>
      <w:lvlJc w:val="left"/>
      <w:pPr>
        <w:tabs>
          <w:tab w:val="left" w:pos="8364"/>
        </w:tabs>
        <w:ind w:left="8364" w:hanging="1418"/>
      </w:pPr>
    </w:lvl>
    <w:lvl w:ilvl="8" w:tentative="0">
      <w:start w:val="1"/>
      <w:numFmt w:val="decimal"/>
      <w:lvlText w:val="%1.%2.%3.%4.%5.%6.%7.%8.%9"/>
      <w:lvlJc w:val="left"/>
      <w:pPr>
        <w:tabs>
          <w:tab w:val="left" w:pos="9072"/>
        </w:tabs>
        <w:ind w:left="907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2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C7C"/>
    <w:rsid w:val="00137565"/>
    <w:rsid w:val="00141114"/>
    <w:rsid w:val="00142969"/>
    <w:rsid w:val="001446C2"/>
    <w:rsid w:val="0014526D"/>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798"/>
    <w:rsid w:val="001D29D7"/>
    <w:rsid w:val="001D2DE7"/>
    <w:rsid w:val="001D411C"/>
    <w:rsid w:val="001D7D0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570"/>
    <w:rsid w:val="00210B15"/>
    <w:rsid w:val="002142EA"/>
    <w:rsid w:val="00215ADD"/>
    <w:rsid w:val="002204BB"/>
    <w:rsid w:val="00221B79"/>
    <w:rsid w:val="00221C6B"/>
    <w:rsid w:val="00221ECB"/>
    <w:rsid w:val="002253A1"/>
    <w:rsid w:val="00225CF8"/>
    <w:rsid w:val="0022794E"/>
    <w:rsid w:val="00233D64"/>
    <w:rsid w:val="0023482A"/>
    <w:rsid w:val="002359CB"/>
    <w:rsid w:val="0024233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17B"/>
    <w:rsid w:val="002C1E06"/>
    <w:rsid w:val="002C3F07"/>
    <w:rsid w:val="002C5278"/>
    <w:rsid w:val="002C7EBB"/>
    <w:rsid w:val="002D06C1"/>
    <w:rsid w:val="002D42B5"/>
    <w:rsid w:val="002D4F1A"/>
    <w:rsid w:val="002D6EC6"/>
    <w:rsid w:val="002D79AC"/>
    <w:rsid w:val="002E039D"/>
    <w:rsid w:val="002E4D5A"/>
    <w:rsid w:val="002E5B5D"/>
    <w:rsid w:val="002E6326"/>
    <w:rsid w:val="002F30E0"/>
    <w:rsid w:val="002F35E4"/>
    <w:rsid w:val="002F3730"/>
    <w:rsid w:val="002F38E1"/>
    <w:rsid w:val="002F7AF6"/>
    <w:rsid w:val="00300E63"/>
    <w:rsid w:val="00302F5F"/>
    <w:rsid w:val="0030441D"/>
    <w:rsid w:val="00306063"/>
    <w:rsid w:val="00313B85"/>
    <w:rsid w:val="00314FB8"/>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D4B"/>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7D4"/>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1E6"/>
    <w:rsid w:val="00484588"/>
    <w:rsid w:val="00484936"/>
    <w:rsid w:val="00485C89"/>
    <w:rsid w:val="00486BE3"/>
    <w:rsid w:val="004905E4"/>
    <w:rsid w:val="00490A89"/>
    <w:rsid w:val="00490AB4"/>
    <w:rsid w:val="00492F02"/>
    <w:rsid w:val="0049390B"/>
    <w:rsid w:val="004939AE"/>
    <w:rsid w:val="004A12DF"/>
    <w:rsid w:val="004A1BA8"/>
    <w:rsid w:val="004A4B57"/>
    <w:rsid w:val="004A63FA"/>
    <w:rsid w:val="004A6A3D"/>
    <w:rsid w:val="004A6E8E"/>
    <w:rsid w:val="004B0272"/>
    <w:rsid w:val="004B02B4"/>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F99"/>
    <w:rsid w:val="004F391A"/>
    <w:rsid w:val="004F3CFB"/>
    <w:rsid w:val="004F6456"/>
    <w:rsid w:val="004F696E"/>
    <w:rsid w:val="004F6A8B"/>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BD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8E2"/>
    <w:rsid w:val="005B5CD7"/>
    <w:rsid w:val="005B6CF6"/>
    <w:rsid w:val="005B7422"/>
    <w:rsid w:val="005C29B8"/>
    <w:rsid w:val="005C5F21"/>
    <w:rsid w:val="005C7156"/>
    <w:rsid w:val="005D0C75"/>
    <w:rsid w:val="005D1457"/>
    <w:rsid w:val="005D4171"/>
    <w:rsid w:val="005D6A95"/>
    <w:rsid w:val="005D6B2C"/>
    <w:rsid w:val="005D6D9C"/>
    <w:rsid w:val="005E232A"/>
    <w:rsid w:val="005E2335"/>
    <w:rsid w:val="005E34CA"/>
    <w:rsid w:val="005E3C18"/>
    <w:rsid w:val="005E4250"/>
    <w:rsid w:val="005E6812"/>
    <w:rsid w:val="005E7881"/>
    <w:rsid w:val="005E78E0"/>
    <w:rsid w:val="005F0D9C"/>
    <w:rsid w:val="005F284E"/>
    <w:rsid w:val="006010D0"/>
    <w:rsid w:val="006015CE"/>
    <w:rsid w:val="00604784"/>
    <w:rsid w:val="00606419"/>
    <w:rsid w:val="00607D29"/>
    <w:rsid w:val="006125AC"/>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ED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FB6"/>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1937"/>
    <w:rsid w:val="006F2ACA"/>
    <w:rsid w:val="006F2ADC"/>
    <w:rsid w:val="006F2BFE"/>
    <w:rsid w:val="006F31E9"/>
    <w:rsid w:val="006F471E"/>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7C7"/>
    <w:rsid w:val="007F539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AA3"/>
    <w:rsid w:val="00842A47"/>
    <w:rsid w:val="00843C13"/>
    <w:rsid w:val="00843DEF"/>
    <w:rsid w:val="008454F8"/>
    <w:rsid w:val="0085173A"/>
    <w:rsid w:val="00854F50"/>
    <w:rsid w:val="008603CE"/>
    <w:rsid w:val="008620FC"/>
    <w:rsid w:val="008627A5"/>
    <w:rsid w:val="00863E05"/>
    <w:rsid w:val="00865ACA"/>
    <w:rsid w:val="00865D28"/>
    <w:rsid w:val="00865F85"/>
    <w:rsid w:val="00867C10"/>
    <w:rsid w:val="00870439"/>
    <w:rsid w:val="00870DA1"/>
    <w:rsid w:val="0087160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4F"/>
    <w:rsid w:val="008B0C9C"/>
    <w:rsid w:val="008B166D"/>
    <w:rsid w:val="008B17F4"/>
    <w:rsid w:val="008B3615"/>
    <w:rsid w:val="008B47A6"/>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5617"/>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50C"/>
    <w:rsid w:val="009A089C"/>
    <w:rsid w:val="009A118E"/>
    <w:rsid w:val="009A21CD"/>
    <w:rsid w:val="009A278C"/>
    <w:rsid w:val="009A2BC2"/>
    <w:rsid w:val="009A42C1"/>
    <w:rsid w:val="009A5429"/>
    <w:rsid w:val="009A72AD"/>
    <w:rsid w:val="009B09E0"/>
    <w:rsid w:val="009B0BC5"/>
    <w:rsid w:val="009B1247"/>
    <w:rsid w:val="009B6029"/>
    <w:rsid w:val="009B6971"/>
    <w:rsid w:val="009C1C10"/>
    <w:rsid w:val="009C27F1"/>
    <w:rsid w:val="009C3152"/>
    <w:rsid w:val="009C3257"/>
    <w:rsid w:val="009C4CFA"/>
    <w:rsid w:val="009C5070"/>
    <w:rsid w:val="009C62B9"/>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DA2"/>
    <w:rsid w:val="00A06A6B"/>
    <w:rsid w:val="00A07E47"/>
    <w:rsid w:val="00A10EBC"/>
    <w:rsid w:val="00A12546"/>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E77"/>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9FD"/>
    <w:rsid w:val="00AB6309"/>
    <w:rsid w:val="00AB6C5F"/>
    <w:rsid w:val="00AB7129"/>
    <w:rsid w:val="00AC27A6"/>
    <w:rsid w:val="00AC30F7"/>
    <w:rsid w:val="00AC3A5A"/>
    <w:rsid w:val="00AC3BA0"/>
    <w:rsid w:val="00AC4D95"/>
    <w:rsid w:val="00AC5DF4"/>
    <w:rsid w:val="00AD0AEF"/>
    <w:rsid w:val="00AD11B7"/>
    <w:rsid w:val="00AD1A94"/>
    <w:rsid w:val="00AD1C05"/>
    <w:rsid w:val="00AD4126"/>
    <w:rsid w:val="00AD421C"/>
    <w:rsid w:val="00AD44FA"/>
    <w:rsid w:val="00AD6730"/>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E3E"/>
    <w:rsid w:val="00B47293"/>
    <w:rsid w:val="00B50E50"/>
    <w:rsid w:val="00B52120"/>
    <w:rsid w:val="00B54ABC"/>
    <w:rsid w:val="00B56FBE"/>
    <w:rsid w:val="00B60ACF"/>
    <w:rsid w:val="00B60B94"/>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0D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A13"/>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95B"/>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E6D"/>
    <w:rsid w:val="00CF048A"/>
    <w:rsid w:val="00CF155A"/>
    <w:rsid w:val="00CF2947"/>
    <w:rsid w:val="00CF686F"/>
    <w:rsid w:val="00CF6E60"/>
    <w:rsid w:val="00CF7BCA"/>
    <w:rsid w:val="00D008FD"/>
    <w:rsid w:val="00D0321C"/>
    <w:rsid w:val="00D035EC"/>
    <w:rsid w:val="00D03DD7"/>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9FF"/>
    <w:rsid w:val="00D32719"/>
    <w:rsid w:val="00D33333"/>
    <w:rsid w:val="00D352A2"/>
    <w:rsid w:val="00D4162B"/>
    <w:rsid w:val="00D4514F"/>
    <w:rsid w:val="00D451E2"/>
    <w:rsid w:val="00D45E89"/>
    <w:rsid w:val="00D45E8D"/>
    <w:rsid w:val="00D466AE"/>
    <w:rsid w:val="00D4734F"/>
    <w:rsid w:val="00D51BF3"/>
    <w:rsid w:val="00D55824"/>
    <w:rsid w:val="00D66846"/>
    <w:rsid w:val="00D675FB"/>
    <w:rsid w:val="00D71F25"/>
    <w:rsid w:val="00D72A9C"/>
    <w:rsid w:val="00D74F55"/>
    <w:rsid w:val="00D77031"/>
    <w:rsid w:val="00D84941"/>
    <w:rsid w:val="00D84FA1"/>
    <w:rsid w:val="00D851F0"/>
    <w:rsid w:val="00D86DB7"/>
    <w:rsid w:val="00D87BF5"/>
    <w:rsid w:val="00D90721"/>
    <w:rsid w:val="00D926D0"/>
    <w:rsid w:val="00D93030"/>
    <w:rsid w:val="00D950E1"/>
    <w:rsid w:val="00D952A6"/>
    <w:rsid w:val="00D952EA"/>
    <w:rsid w:val="00D96F0E"/>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662"/>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3A0"/>
    <w:rsid w:val="00EB1E69"/>
    <w:rsid w:val="00EB2086"/>
    <w:rsid w:val="00EB31ED"/>
    <w:rsid w:val="00EB5EDF"/>
    <w:rsid w:val="00EB60FE"/>
    <w:rsid w:val="00EB74DB"/>
    <w:rsid w:val="00EC5359"/>
    <w:rsid w:val="00EC562A"/>
    <w:rsid w:val="00ED067A"/>
    <w:rsid w:val="00ED2B50"/>
    <w:rsid w:val="00ED442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B29"/>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024"/>
    <w:rsid w:val="00F56511"/>
    <w:rsid w:val="00F6194E"/>
    <w:rsid w:val="00F623AC"/>
    <w:rsid w:val="00F6412A"/>
    <w:rsid w:val="00F65893"/>
    <w:rsid w:val="00F66A4A"/>
    <w:rsid w:val="00F71E22"/>
    <w:rsid w:val="00F72142"/>
    <w:rsid w:val="00F72AE7"/>
    <w:rsid w:val="00F73ECD"/>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22A"/>
    <w:rsid w:val="00FB231D"/>
    <w:rsid w:val="00FB45F1"/>
    <w:rsid w:val="00FB4A72"/>
    <w:rsid w:val="00FB54E8"/>
    <w:rsid w:val="00FB7054"/>
    <w:rsid w:val="00FC17B7"/>
    <w:rsid w:val="00FC2CB7"/>
    <w:rsid w:val="00FC4090"/>
    <w:rsid w:val="00FC55B4"/>
    <w:rsid w:val="00FC72BD"/>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3A1765"/>
    <w:rsid w:val="08AE4146"/>
    <w:rsid w:val="0E4647AC"/>
    <w:rsid w:val="133E2335"/>
    <w:rsid w:val="170666DA"/>
    <w:rsid w:val="17077995"/>
    <w:rsid w:val="1D807C8E"/>
    <w:rsid w:val="1DEE6A54"/>
    <w:rsid w:val="1EC56CD6"/>
    <w:rsid w:val="24F77036"/>
    <w:rsid w:val="376E08C8"/>
    <w:rsid w:val="3C477FB1"/>
    <w:rsid w:val="42466581"/>
    <w:rsid w:val="45E07FDC"/>
    <w:rsid w:val="46194EE5"/>
    <w:rsid w:val="46B04700"/>
    <w:rsid w:val="4E2E5036"/>
    <w:rsid w:val="4F6E577F"/>
    <w:rsid w:val="52622D07"/>
    <w:rsid w:val="5A8E07B6"/>
    <w:rsid w:val="60FF41BB"/>
    <w:rsid w:val="6557752F"/>
    <w:rsid w:val="67227E08"/>
    <w:rsid w:val="7A9276F8"/>
    <w:rsid w:val="7E492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qFormat/>
    <w:uiPriority w:val="0"/>
    <w:rPr>
      <w:rFonts w:ascii="宋体" w:hAnsi="Times New Roman" w:eastAsia="宋体"/>
      <w:sz w:val="18"/>
    </w:rPr>
  </w:style>
  <w:style w:type="character" w:styleId="33">
    <w:name w:val="Emphasis"/>
    <w:basedOn w:val="30"/>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章标题"/>
    <w:next w:val="232"/>
    <w:link w:val="235"/>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235">
    <w:name w:val="章标题 字符"/>
    <w:link w:val="234"/>
    <w:qFormat/>
    <w:uiPriority w:val="0"/>
    <w:rPr>
      <w:rFonts w:ascii="黑体" w:hAnsi="Times New Roman" w:eastAsia="黑体"/>
      <w:sz w:val="21"/>
    </w:rPr>
  </w:style>
  <w:style w:type="character" w:customStyle="1" w:styleId="236">
    <w:name w:val="一级条标题 Char"/>
    <w:link w:val="237"/>
    <w:qFormat/>
    <w:uiPriority w:val="0"/>
    <w:rPr>
      <w:rFonts w:ascii="黑体" w:hAnsi="Times New Roman" w:eastAsia="黑体"/>
      <w:sz w:val="21"/>
      <w:szCs w:val="21"/>
    </w:rPr>
  </w:style>
  <w:style w:type="paragraph" w:customStyle="1" w:styleId="237">
    <w:name w:val="一级条标题"/>
    <w:next w:val="232"/>
    <w:link w:val="23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38">
    <w:name w:val="Table Text"/>
    <w:basedOn w:val="1"/>
    <w:semiHidden/>
    <w:qFormat/>
    <w:uiPriority w:val="0"/>
    <w:pPr>
      <w:adjustRightInd/>
      <w:spacing w:line="240" w:lineRule="auto"/>
    </w:pPr>
    <w:rPr>
      <w:rFonts w:ascii="Arial" w:hAnsi="Arial" w:eastAsia="Arial" w:cs="Arial"/>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301541D2CC64CF3B1E4BC6ECD5CDBF2"/>
        <w:style w:val=""/>
        <w:category>
          <w:name w:val="常规"/>
          <w:gallery w:val="placeholder"/>
        </w:category>
        <w:types>
          <w:type w:val="bbPlcHdr"/>
        </w:types>
        <w:behaviors>
          <w:behavior w:val="content"/>
        </w:behaviors>
        <w:description w:val=""/>
        <w:guid w:val="{DFA2618C-6432-4BC6-9C65-2EE14359AE66}"/>
      </w:docPartPr>
      <w:docPartBody>
        <w:p w14:paraId="168BA386">
          <w:pPr>
            <w:pStyle w:val="5"/>
          </w:pPr>
          <w:r>
            <w:rPr>
              <w:rStyle w:val="4"/>
              <w:rFonts w:hint="eastAsia"/>
            </w:rPr>
            <w:t>单击或点击此处输入文字。</w:t>
          </w:r>
        </w:p>
      </w:docPartBody>
    </w:docPart>
    <w:docPart>
      <w:docPartPr>
        <w:name w:val="F38ED86F3FF14856A0B54A7209A25914"/>
        <w:style w:val=""/>
        <w:category>
          <w:name w:val="常规"/>
          <w:gallery w:val="placeholder"/>
        </w:category>
        <w:types>
          <w:type w:val="bbPlcHdr"/>
        </w:types>
        <w:behaviors>
          <w:behavior w:val="content"/>
        </w:behaviors>
        <w:description w:val=""/>
        <w:guid w:val="{F205E93C-51C4-41A0-A04D-8BB0433215F2}"/>
      </w:docPartPr>
      <w:docPartBody>
        <w:p w14:paraId="4D606553">
          <w:pPr>
            <w:pStyle w:val="6"/>
          </w:pPr>
          <w:r>
            <w:rPr>
              <w:rStyle w:val="4"/>
              <w:rFonts w:hint="eastAsia"/>
            </w:rPr>
            <w:t>选择一项。</w:t>
          </w:r>
        </w:p>
      </w:docPartBody>
    </w:docPart>
    <w:docPart>
      <w:docPartPr>
        <w:name w:val="9148C26F462745C397B31B9C3F62D8EF"/>
        <w:style w:val=""/>
        <w:category>
          <w:name w:val="常规"/>
          <w:gallery w:val="placeholder"/>
        </w:category>
        <w:types>
          <w:type w:val="bbPlcHdr"/>
        </w:types>
        <w:behaviors>
          <w:behavior w:val="content"/>
        </w:behaviors>
        <w:description w:val=""/>
        <w:guid w:val="{5AE5DAC2-A8DB-4E00-980B-C1E4AAD66C9E}"/>
      </w:docPartPr>
      <w:docPartBody>
        <w:p w14:paraId="097E4C6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02"/>
    <w:rsid w:val="00491E59"/>
    <w:rsid w:val="00543559"/>
    <w:rsid w:val="007D4D0B"/>
    <w:rsid w:val="009364F7"/>
    <w:rsid w:val="00A44E02"/>
    <w:rsid w:val="00B22058"/>
    <w:rsid w:val="00B6658B"/>
    <w:rsid w:val="00C34885"/>
    <w:rsid w:val="00D94FC5"/>
    <w:rsid w:val="00E1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301541D2CC64CF3B1E4BC6ECD5CDB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38ED86F3FF14856A0B54A7209A259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148C26F462745C397B31B9C3F62D8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AB5E67-17E9-4770-833C-4C85E790B9A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2300</Words>
  <Characters>2653</Characters>
  <Lines>63</Lines>
  <Paragraphs>17</Paragraphs>
  <TotalTime>2</TotalTime>
  <ScaleCrop>false</ScaleCrop>
  <LinksUpToDate>false</LinksUpToDate>
  <CharactersWithSpaces>2811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2025-09-23T07:54:00Z</dcterms:created>
  <dc:creator>lenovo</dc:creator>
  <cp:lastModifiedBy>向阳花开</cp:lastModifiedBy>
  <cp:lastPrinted>2021-02-02T08:22:00Z</cp:lastPrinted>
  <dcterms:modified xsi:type="dcterms:W3CDTF">2025-10-20T01:47:03Z</dcterms:modified>
  <dc:title>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eyJoZGlkIjoiNDc1YmNiMDJiMTAyNWFlODFhNTkxYTFiZWU4ZjI3MTAiLCJ1c2VySWQiOiI0NTg2MzMwOTMifQ==</vt:lpwstr>
  </property>
  <property fmtid="{D5CDD505-2E9C-101B-9397-08002B2CF9AE}" pid="15" name="KSOProductBuildVer">
    <vt:lpwstr>2052-12.1.0.23125</vt:lpwstr>
  </property>
  <property fmtid="{D5CDD505-2E9C-101B-9397-08002B2CF9AE}" pid="16" name="ICV">
    <vt:lpwstr>0106EEB4A82F4DB2B29220A352D31987_13</vt:lpwstr>
  </property>
  <property fmtid="{D5CDD505-2E9C-101B-9397-08002B2CF9AE}" pid="17" name="DoublePage">
    <vt:lpwstr>true</vt:lpwstr>
  </property>
</Properties>
</file>