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bookmarkStart w:id="57" w:name="_GoBack"/>
      <w:r>
        <w:rPr>
          <w:rFonts w:hint="default" w:ascii="Times New Roman" w:hAnsi="Times New Roman" w:eastAsia="黑体" w:cs="Times New Roman"/>
          <w:b/>
          <w:sz w:val="52"/>
          <w:szCs w:val="52"/>
          <w:highlight w:val="none"/>
          <w:lang w:val="en-US" w:eastAsia="zh-CN"/>
        </w:rPr>
        <w:t>污泥干化焚烧系统集成装备技术要求</w:t>
      </w:r>
    </w:p>
    <w:bookmarkEnd w:id="57"/>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污泥干化焚烧系统集成装备技术要求</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七</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污泥干化焚烧系统集成装备技术要求</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584DD24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加速与工业快速发展，污水处理量大幅增加，污泥作为污水处理的副产物，产量也急剧攀升。污泥含有大量水分、病原体、重金属及有机污染物等，若处理不当，极易引发二次污染，对生态环境和人体健康构成严重威胁。传统的污泥处理方式，如填埋、堆肥等，存在占地面积大、处理周期长、易产生渗滤液及恶臭等弊端。在此背景下，污泥干化焚烧技术凭借其减量化、无害化和资源化的显著优势，成为污泥处理领域的研究热点。然而，污泥干化焚烧系统集成装备技术在应用过程中面临诸多挑战。在技术层面，污泥的成分复杂多变，不同来源的污泥含水率、热值等差异较大，导致干化焚烧过程的稳定性难以保证，易出现干化不彻底、焚烧不充分等问题，影响处理效果和能源利用效率。同时，干化焚烧过程中产生的废气、废渣等污染物处理难度大，若处理不当，会造成二次污染。在装备方面，现有集成装备的自动化程度较低，运行维护成本高，且部分关键设备依赖进口，存在技术壁垒和成本压力。此外，系统整体的协同性和优化程度不足，各环节之间的衔接不够顺畅，导致整体运行效率不高，限制了该技术的大规模推广应用。</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开发污泥干化焚烧系统集成装备标准的研制。污泥干化焚烧系统集成装备技术的研究与应用具有重大意义。从环境效益来看，该技术能够高效地实现污泥的减量化和无害化处理，有效减少污泥对土壤、水体和空气的污染，改善生态环境质量。通过先进的污染物控制技术，可大幅降低废气、废渣的排放，符合国家严格的环保标准。在经济层面，污泥干化焚烧过程中产生的热能可进行回收利用，用于发电或供热，实现能源的循环利用，降低企业的能源成本。同时，该技术的推广应用有助于推动相关环保产业的发展，创造新的经济增长点。从社会效益角度而言，解决污泥处理难题有助于提升城市的环境卫生水平，保障居民的身体健康，促进社会的和谐稳定发展，为建设资源节约型、环境友好型社会提供有力支撑。</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污泥干化</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污泥干化</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污泥干化</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污泥干化</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污泥干化焚烧系统集成装备技术要求</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污泥干化焚烧系统集成装备技术要求</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52CE0480">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val="en-US" w:eastAsia="zh-CN"/>
        </w:rPr>
        <w:t>绿水股份有限公司</w:t>
      </w:r>
      <w:r>
        <w:rPr>
          <w:rFonts w:hint="default" w:ascii="Times New Roman" w:hAnsi="Times New Roman" w:cs="Times New Roman"/>
          <w:kern w:val="0"/>
          <w:sz w:val="28"/>
          <w:szCs w:val="28"/>
          <w:highlight w:val="none"/>
        </w:rPr>
        <w:t>等多家单位的专家成立了规范起草小组，开展标准的编制工作。</w:t>
      </w:r>
      <w:r>
        <w:rPr>
          <w:rFonts w:hint="default" w:ascii="Times New Roman" w:hAnsi="Times New Roman" w:cs="Times New Roman"/>
          <w:kern w:val="0"/>
          <w:sz w:val="28"/>
          <w:szCs w:val="28"/>
          <w:highlight w:val="none"/>
          <w:lang w:val="en-US" w:eastAsia="zh-CN"/>
        </w:rPr>
        <w:t>绿水股份有限公司是环保生态领域深耕多年、实力出众的综合性企业，秉持“绿色领航、责任致远”理念，拥有专业团队与先进设备，依托科学管理体系，在水处理、大气治理等多领域成果丰硕。公司注重创新，严格遵循标准把控品质，以高效执行力和强烈责任感，为客户提供全流程优质服务，获业界广泛认可，正为全球生态改善持续发力。</w:t>
      </w:r>
      <w:r>
        <w:rPr>
          <w:rFonts w:hint="default" w:ascii="Times New Roman" w:hAnsi="Times New Roman" w:cs="Times New Roman"/>
          <w:kern w:val="0"/>
          <w:sz w:val="28"/>
          <w:szCs w:val="28"/>
          <w:highlight w:val="none"/>
        </w:rPr>
        <w:t>作为牵头单位，公司为标准制定提供了丰富的实践经验和专业支持。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7</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371F55F2">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648465"/>
      <w:bookmarkStart w:id="3" w:name="_Toc17233333"/>
      <w:bookmarkStart w:id="4" w:name="_Toc26986530"/>
      <w:bookmarkStart w:id="5" w:name="_Toc97192964"/>
      <w:bookmarkStart w:id="6" w:name="_Toc205892330"/>
      <w:bookmarkStart w:id="7" w:name="_Toc24884211"/>
      <w:bookmarkStart w:id="8" w:name="_Toc17233325"/>
      <w:bookmarkStart w:id="9" w:name="_Toc24884218"/>
      <w:bookmarkStart w:id="10" w:name="_Toc26718930"/>
      <w:bookmarkStart w:id="11" w:name="_Toc26986771"/>
      <w:bookmarkStart w:id="12" w:name="_Toc205913156"/>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07E45CA4">
      <w:pPr>
        <w:pStyle w:val="37"/>
        <w:widowControl/>
        <w:spacing w:line="360" w:lineRule="auto"/>
        <w:ind w:left="0" w:firstLine="420"/>
        <w:rPr>
          <w:rFonts w:hint="default" w:ascii="Times New Roman" w:hAnsi="Times New Roman" w:cs="Times New Roman"/>
          <w:sz w:val="28"/>
          <w:szCs w:val="28"/>
          <w:highlight w:val="none"/>
          <w:lang w:val="en-US"/>
        </w:rPr>
      </w:pPr>
      <w:bookmarkStart w:id="13" w:name="_Toc17233326"/>
      <w:bookmarkStart w:id="14" w:name="_Toc26648466"/>
      <w:bookmarkStart w:id="15" w:name="_Toc17233334"/>
      <w:bookmarkStart w:id="16" w:name="_Toc24884212"/>
      <w:bookmarkStart w:id="17" w:name="_Toc24884219"/>
      <w:r>
        <w:rPr>
          <w:rFonts w:hint="default" w:ascii="Times New Roman" w:hAnsi="Times New Roman" w:cs="Times New Roman"/>
          <w:sz w:val="28"/>
          <w:szCs w:val="28"/>
          <w:highlight w:val="none"/>
          <w:lang w:eastAsia="zh-CN"/>
        </w:rPr>
        <w:t>本文件规定了污泥干化焚烧系统集成装备的术语和定义、总体要求、集成要求、核心单元设备、性能要求、安全要求、包装、运输与标识内容。</w:t>
      </w:r>
    </w:p>
    <w:p w14:paraId="39A6F8C1">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本文件适用于污泥干化焚烧系统集成装备。</w:t>
      </w:r>
    </w:p>
    <w:p w14:paraId="0DAB728E">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05892331"/>
      <w:bookmarkStart w:id="19" w:name="_Toc26986772"/>
      <w:bookmarkStart w:id="20" w:name="_Toc97192965"/>
      <w:bookmarkStart w:id="21" w:name="_Toc26718931"/>
      <w:bookmarkStart w:id="22" w:name="_Toc26986531"/>
      <w:bookmarkStart w:id="23" w:name="_Toc205913157"/>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53C5B16F">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7FC57B">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190 </w:t>
      </w:r>
      <w:r>
        <w:rPr>
          <w:rFonts w:hint="default" w:ascii="Times New Roman" w:hAnsi="Times New Roman" w:cs="Times New Roman"/>
          <w:sz w:val="28"/>
          <w:szCs w:val="28"/>
          <w:highlight w:val="none"/>
          <w:lang w:eastAsia="zh-CN"/>
        </w:rPr>
        <w:t>危险货物包装标志</w:t>
      </w:r>
    </w:p>
    <w:p w14:paraId="77E36A9E">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12348 </w:t>
      </w:r>
      <w:r>
        <w:rPr>
          <w:rFonts w:hint="default" w:ascii="Times New Roman" w:hAnsi="Times New Roman" w:cs="Times New Roman"/>
          <w:sz w:val="28"/>
          <w:szCs w:val="28"/>
          <w:highlight w:val="none"/>
          <w:lang w:eastAsia="zh-CN"/>
        </w:rPr>
        <w:t>工业企业厂界环境噪声排放标准</w:t>
      </w:r>
    </w:p>
    <w:p w14:paraId="4F62168F">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18485 </w:t>
      </w:r>
      <w:r>
        <w:rPr>
          <w:rFonts w:hint="default" w:ascii="Times New Roman" w:hAnsi="Times New Roman" w:cs="Times New Roman"/>
          <w:sz w:val="28"/>
          <w:szCs w:val="28"/>
          <w:highlight w:val="none"/>
          <w:lang w:eastAsia="zh-CN"/>
        </w:rPr>
        <w:t>生活垃圾焚烧污染控制标准</w:t>
      </w:r>
    </w:p>
    <w:p w14:paraId="43E4AA11">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57 </w:t>
      </w:r>
      <w:r>
        <w:rPr>
          <w:rFonts w:hint="default" w:ascii="Times New Roman" w:hAnsi="Times New Roman" w:cs="Times New Roman"/>
          <w:sz w:val="28"/>
          <w:szCs w:val="28"/>
          <w:highlight w:val="none"/>
          <w:lang w:eastAsia="zh-CN"/>
        </w:rPr>
        <w:t>固定污染源废气</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二氧化硫的测定</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定电位电解法</w:t>
      </w:r>
    </w:p>
    <w:p w14:paraId="39FEE867">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76 </w:t>
      </w:r>
      <w:r>
        <w:rPr>
          <w:rFonts w:hint="default" w:ascii="Times New Roman" w:hAnsi="Times New Roman" w:cs="Times New Roman"/>
          <w:sz w:val="28"/>
          <w:szCs w:val="28"/>
          <w:highlight w:val="none"/>
          <w:lang w:eastAsia="zh-CN"/>
        </w:rPr>
        <w:t>固定污染源烟气（</w:t>
      </w:r>
      <w:r>
        <w:rPr>
          <w:rFonts w:hint="default" w:ascii="Times New Roman" w:hAnsi="Times New Roman" w:cs="Times New Roman"/>
          <w:sz w:val="28"/>
          <w:szCs w:val="28"/>
          <w:highlight w:val="none"/>
          <w:lang w:val="en-US"/>
        </w:rPr>
        <w:t>SO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NO</w:t>
      </w:r>
      <w:r>
        <w:rPr>
          <w:rFonts w:hint="default" w:ascii="Times New Roman" w:hAnsi="Times New Roman" w:cs="Times New Roman"/>
          <w:sz w:val="28"/>
          <w:szCs w:val="28"/>
          <w:highlight w:val="none"/>
          <w:vertAlign w:val="subscript"/>
          <w:lang w:val="en-US"/>
        </w:rPr>
        <w:t>X</w:t>
      </w:r>
      <w:r>
        <w:rPr>
          <w:rFonts w:hint="default" w:ascii="Times New Roman" w:hAnsi="Times New Roman" w:cs="Times New Roman"/>
          <w:sz w:val="28"/>
          <w:szCs w:val="28"/>
          <w:highlight w:val="none"/>
          <w:lang w:eastAsia="zh-CN"/>
        </w:rPr>
        <w:t>、颗粒物）排放连续监测系统技术要求及检测方法</w:t>
      </w:r>
      <w:r>
        <w:rPr>
          <w:rFonts w:hint="default" w:ascii="Times New Roman" w:hAnsi="Times New Roman" w:cs="Times New Roman"/>
          <w:sz w:val="28"/>
          <w:szCs w:val="28"/>
          <w:highlight w:val="none"/>
          <w:lang w:eastAsia="zh-CN"/>
        </w:rPr>
        <w:t xml:space="preserve"> </w:t>
      </w:r>
    </w:p>
    <w:p w14:paraId="2FEE1FEC">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77.2 </w:t>
      </w:r>
      <w:r>
        <w:rPr>
          <w:rFonts w:hint="default" w:ascii="Times New Roman" w:hAnsi="Times New Roman" w:cs="Times New Roman"/>
          <w:sz w:val="28"/>
          <w:szCs w:val="28"/>
          <w:highlight w:val="none"/>
          <w:lang w:eastAsia="zh-CN"/>
        </w:rPr>
        <w:t>环境空气和废气</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二噁英类的测定</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同位素稀释高分辨气相色谱</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高分辨质谱法</w:t>
      </w:r>
    </w:p>
    <w:p w14:paraId="277CBE30">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543 </w:t>
      </w:r>
      <w:r>
        <w:rPr>
          <w:rFonts w:hint="default" w:ascii="Times New Roman" w:hAnsi="Times New Roman" w:cs="Times New Roman"/>
          <w:sz w:val="28"/>
          <w:szCs w:val="28"/>
          <w:highlight w:val="none"/>
          <w:lang w:eastAsia="zh-CN"/>
        </w:rPr>
        <w:t>固定污染源废气</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汞的测定</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冷原子吸收分光光度法</w:t>
      </w:r>
    </w:p>
    <w:p w14:paraId="572ACDA9">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548 </w:t>
      </w:r>
      <w:r>
        <w:rPr>
          <w:rFonts w:hint="default" w:ascii="Times New Roman" w:hAnsi="Times New Roman" w:cs="Times New Roman"/>
          <w:sz w:val="28"/>
          <w:szCs w:val="28"/>
          <w:highlight w:val="none"/>
          <w:lang w:eastAsia="zh-CN"/>
        </w:rPr>
        <w:t>固定污染源废气</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氯化氢的测定</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硝酸银容量法</w:t>
      </w:r>
    </w:p>
    <w:p w14:paraId="4C3B1C6B">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HJ 692 </w:t>
      </w:r>
      <w:r>
        <w:rPr>
          <w:rFonts w:hint="default" w:ascii="Times New Roman" w:hAnsi="Times New Roman" w:cs="Times New Roman"/>
          <w:sz w:val="28"/>
          <w:szCs w:val="28"/>
          <w:highlight w:val="none"/>
          <w:lang w:eastAsia="zh-CN"/>
        </w:rPr>
        <w:t>固定污染源废气</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氮氧化物的测定</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非分散红外吸收法</w:t>
      </w:r>
    </w:p>
    <w:p w14:paraId="5D755A90">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97192966"/>
      <w:bookmarkStart w:id="25" w:name="_Toc205892332"/>
      <w:bookmarkStart w:id="26" w:name="_Toc205913158"/>
      <w:r>
        <w:rPr>
          <w:rFonts w:hint="default" w:ascii="Times New Roman" w:hAnsi="Times New Roman" w:cs="Times New Roman"/>
          <w:sz w:val="28"/>
          <w:szCs w:val="28"/>
          <w:highlight w:val="none"/>
          <w:lang w:eastAsia="zh-CN"/>
        </w:rPr>
        <w:t>术语和定义</w:t>
      </w:r>
      <w:bookmarkEnd w:id="24"/>
      <w:bookmarkEnd w:id="25"/>
      <w:bookmarkEnd w:id="26"/>
    </w:p>
    <w:p w14:paraId="2BD536A2">
      <w:pPr>
        <w:pStyle w:val="37"/>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下列术语和定义适用于本文件。</w:t>
      </w:r>
    </w:p>
    <w:p w14:paraId="7A8973D6">
      <w:pPr>
        <w:pStyle w:val="40"/>
        <w:widowControl/>
        <w:numPr>
          <w:ilvl w:val="2"/>
          <w:numId w:val="3"/>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干化</w:t>
      </w:r>
      <w:r>
        <w:rPr>
          <w:rFonts w:hint="default" w:ascii="Times New Roman" w:hAnsi="Times New Roman" w:eastAsia="黑体" w:cs="Times New Roman"/>
          <w:sz w:val="28"/>
          <w:szCs w:val="28"/>
          <w:highlight w:val="none"/>
          <w:lang w:val="en-US"/>
        </w:rPr>
        <w:t xml:space="preserve"> drying</w:t>
      </w:r>
    </w:p>
    <w:p w14:paraId="6FFD01B5">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通过物理或化学方法降低污泥含水率的过程。</w:t>
      </w:r>
    </w:p>
    <w:p w14:paraId="5F738785">
      <w:pPr>
        <w:pStyle w:val="40"/>
        <w:widowControl/>
        <w:numPr>
          <w:ilvl w:val="2"/>
          <w:numId w:val="3"/>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焚烧</w:t>
      </w:r>
      <w:r>
        <w:rPr>
          <w:rFonts w:hint="default" w:ascii="Times New Roman" w:hAnsi="Times New Roman" w:eastAsia="黑体" w:cs="Times New Roman"/>
          <w:sz w:val="28"/>
          <w:szCs w:val="28"/>
          <w:highlight w:val="none"/>
          <w:lang w:val="en-US"/>
        </w:rPr>
        <w:t xml:space="preserve"> burning</w:t>
      </w:r>
    </w:p>
    <w:p w14:paraId="3DD4C50E">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在高温条件下，将污泥中的可燃成分氧化分解，转化为灰渣和烟气的过程。</w:t>
      </w:r>
    </w:p>
    <w:p w14:paraId="13ACA582">
      <w:pPr>
        <w:pStyle w:val="40"/>
        <w:widowControl/>
        <w:numPr>
          <w:ilvl w:val="2"/>
          <w:numId w:val="3"/>
        </w:numPr>
        <w:tabs>
          <w:tab w:val="left" w:pos="420"/>
          <w:tab w:val="clear" w:pos="1417"/>
        </w:tabs>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关键装备</w:t>
      </w:r>
      <w:r>
        <w:rPr>
          <w:rFonts w:hint="default" w:ascii="Times New Roman" w:hAnsi="Times New Roman" w:eastAsia="黑体" w:cs="Times New Roman"/>
          <w:sz w:val="28"/>
          <w:szCs w:val="28"/>
          <w:highlight w:val="none"/>
          <w:lang w:val="en-US"/>
        </w:rPr>
        <w:t xml:space="preserve"> key equipment</w:t>
      </w:r>
    </w:p>
    <w:p w14:paraId="5B8DAD33">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污泥干化、焚烧及辅助系统组成的主要装备。</w:t>
      </w:r>
    </w:p>
    <w:p w14:paraId="7A741A80">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205892333"/>
      <w:bookmarkStart w:id="29" w:name="_Toc205913159"/>
      <w:r>
        <w:rPr>
          <w:rFonts w:hint="default" w:ascii="Times New Roman" w:hAnsi="Times New Roman" w:cs="Times New Roman"/>
          <w:sz w:val="28"/>
          <w:szCs w:val="28"/>
          <w:highlight w:val="none"/>
          <w:lang w:eastAsia="zh-CN"/>
        </w:rPr>
        <w:t>总体要求</w:t>
      </w:r>
      <w:bookmarkEnd w:id="28"/>
      <w:bookmarkEnd w:id="29"/>
    </w:p>
    <w:p w14:paraId="34F90D37">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集成要求</w:t>
      </w:r>
    </w:p>
    <w:p w14:paraId="6614200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系统集成装备应采用模块化设计，</w:t>
      </w:r>
      <w:bookmarkStart w:id="30" w:name="OLE_LINK1"/>
      <w:r>
        <w:rPr>
          <w:rFonts w:hint="default" w:ascii="Times New Roman" w:hAnsi="Times New Roman" w:cs="Times New Roman"/>
          <w:sz w:val="28"/>
          <w:szCs w:val="28"/>
          <w:highlight w:val="none"/>
          <w:lang w:eastAsia="zh-CN"/>
        </w:rPr>
        <w:t>各功能单元</w:t>
      </w:r>
      <w:bookmarkEnd w:id="30"/>
      <w:r>
        <w:rPr>
          <w:rFonts w:hint="default" w:ascii="Times New Roman" w:hAnsi="Times New Roman" w:cs="Times New Roman"/>
          <w:sz w:val="28"/>
          <w:szCs w:val="28"/>
          <w:highlight w:val="none"/>
          <w:lang w:eastAsia="zh-CN"/>
        </w:rPr>
        <w:t>的布局应紧凑合理，物理连接可减少现场组装接口，各功能单元包括但不限于：</w:t>
      </w:r>
    </w:p>
    <w:p w14:paraId="19D63F2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储存；</w:t>
      </w:r>
    </w:p>
    <w:p w14:paraId="229F48D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w:t>
      </w:r>
    </w:p>
    <w:p w14:paraId="3735667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w:t>
      </w:r>
    </w:p>
    <w:p w14:paraId="1502573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w:t>
      </w:r>
    </w:p>
    <w:p w14:paraId="3CB6C90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灰渣处理。</w:t>
      </w:r>
    </w:p>
    <w:p w14:paraId="45E8D530">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设备间机械、管道、电气及仪表的接口应标准化，单元间应无缝衔接。控制系统应实现全流程一体化监控。</w:t>
      </w:r>
    </w:p>
    <w:p w14:paraId="6748D2C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能源集成宜优化设计：</w:t>
      </w:r>
    </w:p>
    <w:p w14:paraId="1B1107A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焚烧余热优先回用于干化单元；</w:t>
      </w:r>
    </w:p>
    <w:p w14:paraId="2EC96B1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外部热源消耗通过热能回收装置（如余热锅炉）降至最低。</w:t>
      </w:r>
    </w:p>
    <w:p w14:paraId="5585D768">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性能要求</w:t>
      </w:r>
    </w:p>
    <w:p w14:paraId="3BCEBAAE">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系统应在额定设计工况下考虑以下因素：</w:t>
      </w:r>
    </w:p>
    <w:p w14:paraId="6CA3D84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湿污泥处理能力；</w:t>
      </w:r>
    </w:p>
    <w:p w14:paraId="299AFDB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干化后污泥含水率；</w:t>
      </w:r>
    </w:p>
    <w:p w14:paraId="75D2C9F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焚烧炉膛温度、烟气停留时间；</w:t>
      </w:r>
    </w:p>
    <w:p w14:paraId="2152AEE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年可用率。</w:t>
      </w:r>
    </w:p>
    <w:p w14:paraId="148D3F8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干化机、焚烧炉、主风机、余热锅炉等关键设备应设置冗余配置或快速切换措施。</w:t>
      </w:r>
    </w:p>
    <w:p w14:paraId="0A0956E0">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安全与环保</w:t>
      </w:r>
    </w:p>
    <w:p w14:paraId="17B12F17">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安全设计</w:t>
      </w:r>
    </w:p>
    <w:p w14:paraId="1EC4F9B8">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安全设计应满足以下要求：</w:t>
      </w:r>
    </w:p>
    <w:p w14:paraId="0D99480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粉尘爆炸风险区域（干化单元、干污泥仓），配置氧含量监控、惰化系统及泄爆装置；</w:t>
      </w:r>
    </w:p>
    <w:p w14:paraId="34D3ED7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高温设备表面温度</w:t>
      </w:r>
      <w:r>
        <w:rPr>
          <w:rFonts w:hint="default" w:ascii="Times New Roman" w:hAnsi="Times New Roman" w:cs="Times New Roman"/>
          <w:sz w:val="28"/>
          <w:szCs w:val="28"/>
          <w:highlight w:val="none"/>
          <w:lang w:val="en-US"/>
        </w:rPr>
        <w:t>&gt;60°C</w:t>
      </w:r>
      <w:r>
        <w:rPr>
          <w:rFonts w:hint="default" w:ascii="Times New Roman" w:hAnsi="Times New Roman" w:cs="Times New Roman"/>
          <w:sz w:val="28"/>
          <w:szCs w:val="28"/>
          <w:highlight w:val="none"/>
          <w:lang w:eastAsia="zh-CN"/>
        </w:rPr>
        <w:t>时，设置隔热层及警示标识；</w:t>
      </w:r>
    </w:p>
    <w:p w14:paraId="21E06C9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有毒气体（如</w:t>
      </w:r>
      <w:r>
        <w:rPr>
          <w:rFonts w:hint="default" w:ascii="Times New Roman" w:hAnsi="Times New Roman" w:cs="Times New Roman"/>
          <w:sz w:val="28"/>
          <w:szCs w:val="28"/>
          <w:highlight w:val="none"/>
          <w:lang w:val="en-US"/>
        </w:rPr>
        <w:t>H₂S</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lang w:eastAsia="zh-CN"/>
        </w:rPr>
        <w:t>）泄漏点安装在线检测仪及联锁报警。</w:t>
      </w:r>
    </w:p>
    <w:p w14:paraId="1A3C00D8">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环保合规</w:t>
      </w:r>
    </w:p>
    <w:p w14:paraId="734AE2D3">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环保合规应满足以下要求：</w:t>
      </w:r>
    </w:p>
    <w:p w14:paraId="7BD4806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烟气排放满足</w:t>
      </w:r>
      <w:bookmarkStart w:id="31" w:name="_Hlk205899928"/>
      <w:r>
        <w:rPr>
          <w:rFonts w:hint="default" w:ascii="Times New Roman" w:hAnsi="Times New Roman" w:cs="Times New Roman"/>
          <w:sz w:val="28"/>
          <w:szCs w:val="28"/>
          <w:highlight w:val="none"/>
          <w:lang w:val="en-US"/>
        </w:rPr>
        <w:t>GB 18485</w:t>
      </w:r>
      <w:r>
        <w:rPr>
          <w:rFonts w:hint="default" w:ascii="Times New Roman" w:hAnsi="Times New Roman" w:cs="Times New Roman"/>
          <w:sz w:val="28"/>
          <w:szCs w:val="28"/>
          <w:highlight w:val="none"/>
          <w:lang w:eastAsia="zh-CN"/>
        </w:rPr>
        <w:t>的规定；</w:t>
      </w:r>
    </w:p>
    <w:p w14:paraId="327DE15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厂界噪声满足</w:t>
      </w:r>
      <w:r>
        <w:rPr>
          <w:rFonts w:hint="default" w:ascii="Times New Roman" w:hAnsi="Times New Roman" w:cs="Times New Roman"/>
          <w:sz w:val="28"/>
          <w:szCs w:val="28"/>
          <w:highlight w:val="none"/>
          <w:lang w:val="en-US"/>
        </w:rPr>
        <w:t>GB 12348</w:t>
      </w:r>
      <w:bookmarkEnd w:id="31"/>
      <w:bookmarkStart w:id="32" w:name="OLE_LINK2"/>
      <w:r>
        <w:rPr>
          <w:rFonts w:hint="default" w:ascii="Times New Roman" w:hAnsi="Times New Roman" w:cs="Times New Roman"/>
          <w:sz w:val="28"/>
          <w:szCs w:val="28"/>
          <w:highlight w:val="none"/>
          <w:lang w:eastAsia="zh-CN"/>
        </w:rPr>
        <w:t>的规定</w:t>
      </w:r>
      <w:bookmarkEnd w:id="32"/>
      <w:r>
        <w:rPr>
          <w:rFonts w:hint="default" w:ascii="Times New Roman" w:hAnsi="Times New Roman" w:cs="Times New Roman"/>
          <w:sz w:val="28"/>
          <w:szCs w:val="28"/>
          <w:highlight w:val="none"/>
          <w:lang w:eastAsia="zh-CN"/>
        </w:rPr>
        <w:t>；</w:t>
      </w:r>
    </w:p>
    <w:p w14:paraId="40A5DED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废水、臭气排放通过集成净化单元达标。</w:t>
      </w:r>
    </w:p>
    <w:p w14:paraId="3C8F450E">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自动控制</w:t>
      </w:r>
    </w:p>
    <w:p w14:paraId="6E75004C">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集成控制系统应实现：</w:t>
      </w:r>
    </w:p>
    <w:p w14:paraId="0D7CD49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全流程自动启停、负荷调节及安全联锁；</w:t>
      </w:r>
    </w:p>
    <w:p w14:paraId="5CB6316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w:t>
      </w:r>
      <w:r>
        <w:rPr>
          <w:rFonts w:hint="default" w:ascii="Times New Roman" w:hAnsi="Times New Roman" w:cs="Times New Roman"/>
          <w:sz w:val="28"/>
          <w:szCs w:val="28"/>
          <w:highlight w:val="none"/>
          <w:lang w:val="en-US"/>
        </w:rPr>
        <w:t>O₂</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NOx</w:t>
      </w:r>
      <w:r>
        <w:rPr>
          <w:rFonts w:hint="default" w:ascii="Times New Roman" w:hAnsi="Times New Roman" w:cs="Times New Roman"/>
          <w:sz w:val="28"/>
          <w:szCs w:val="28"/>
          <w:highlight w:val="none"/>
          <w:lang w:eastAsia="zh-CN"/>
        </w:rPr>
        <w:t>、粉尘浓度等关键参数实时显示、存储及超标报警；</w:t>
      </w:r>
    </w:p>
    <w:p w14:paraId="4F284C5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支持远程诊断接口。</w:t>
      </w:r>
    </w:p>
    <w:p w14:paraId="0B2648DC">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人机界面宜提供多级操作权限及故障处理指导模块。</w:t>
      </w:r>
    </w:p>
    <w:p w14:paraId="0136894E">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材料结构</w:t>
      </w:r>
    </w:p>
    <w:p w14:paraId="548DBA5B">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接触腐蚀性介质（污泥、酸性烟气）的设备及管道应采用耐蚀材料，并注明厚度裕量。</w:t>
      </w:r>
    </w:p>
    <w:p w14:paraId="2A5ABD5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高磨损部位（污泥输送机、灰渣阀）宜采用碳化钨涂层或陶瓷内衬。</w:t>
      </w:r>
    </w:p>
    <w:p w14:paraId="0EE25F87">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维护要求</w:t>
      </w:r>
    </w:p>
    <w:p w14:paraId="23DEDFAC">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关键设备应预留检修空间，易损件（滤袋、密封件）更换可在</w:t>
      </w:r>
      <w:r>
        <w:rPr>
          <w:rFonts w:hint="default" w:ascii="Times New Roman" w:hAnsi="Times New Roman" w:cs="Times New Roman"/>
          <w:sz w:val="28"/>
          <w:szCs w:val="28"/>
          <w:highlight w:val="none"/>
          <w:lang w:val="en-US"/>
        </w:rPr>
        <w:t>4 h</w:t>
      </w:r>
      <w:r>
        <w:rPr>
          <w:rFonts w:hint="default" w:ascii="Times New Roman" w:hAnsi="Times New Roman" w:cs="Times New Roman"/>
          <w:sz w:val="28"/>
          <w:szCs w:val="28"/>
          <w:highlight w:val="none"/>
          <w:lang w:eastAsia="zh-CN"/>
        </w:rPr>
        <w:t>内完成。</w:t>
      </w:r>
    </w:p>
    <w:p w14:paraId="4EC76994">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文件要求</w:t>
      </w:r>
    </w:p>
    <w:p w14:paraId="4D2DD56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供应商应提供集成装备的下列文件：</w:t>
      </w:r>
    </w:p>
    <w:p w14:paraId="37CDF85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整体图、三维布置图及基础载荷图；</w:t>
      </w:r>
    </w:p>
    <w:p w14:paraId="3A52419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安全风险评估报告；</w:t>
      </w:r>
    </w:p>
    <w:p w14:paraId="611D051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工厂集成测试方案及记录。</w:t>
      </w:r>
    </w:p>
    <w:p w14:paraId="06C81968">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性能考核应在</w:t>
      </w:r>
      <w:r>
        <w:rPr>
          <w:rFonts w:hint="default" w:ascii="Times New Roman" w:hAnsi="Times New Roman" w:cs="Times New Roman"/>
          <w:sz w:val="28"/>
          <w:szCs w:val="28"/>
          <w:highlight w:val="none"/>
          <w:lang w:val="en-US"/>
        </w:rPr>
        <w:t>72 h</w:t>
      </w:r>
      <w:r>
        <w:rPr>
          <w:rFonts w:hint="default" w:ascii="Times New Roman" w:hAnsi="Times New Roman" w:cs="Times New Roman"/>
          <w:sz w:val="28"/>
          <w:szCs w:val="28"/>
          <w:highlight w:val="none"/>
          <w:lang w:eastAsia="zh-CN"/>
        </w:rPr>
        <w:t>连续运行后验收。</w:t>
      </w:r>
    </w:p>
    <w:p w14:paraId="30068C6F">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205892334"/>
      <w:bookmarkStart w:id="34" w:name="_Toc205913160"/>
      <w:r>
        <w:rPr>
          <w:rFonts w:hint="default" w:ascii="Times New Roman" w:hAnsi="Times New Roman" w:cs="Times New Roman"/>
          <w:sz w:val="28"/>
          <w:szCs w:val="28"/>
          <w:highlight w:val="none"/>
          <w:lang w:eastAsia="zh-CN"/>
        </w:rPr>
        <w:t>集成要求</w:t>
      </w:r>
      <w:bookmarkEnd w:id="33"/>
      <w:bookmarkEnd w:id="34"/>
    </w:p>
    <w:p w14:paraId="55A43336">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物理集成</w:t>
      </w:r>
    </w:p>
    <w:p w14:paraId="70FD5091">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各功能单元（污泥接收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储存、干化、焚烧、烟气净化、灰渣处理）应按工艺流程紧凑布局，设备间距宜</w:t>
      </w:r>
      <w:r>
        <w:rPr>
          <w:rFonts w:hint="default" w:ascii="Times New Roman" w:hAnsi="Times New Roman" w:cs="Times New Roman"/>
          <w:sz w:val="28"/>
          <w:szCs w:val="28"/>
          <w:highlight w:val="none"/>
          <w:lang w:val="en-US"/>
        </w:rPr>
        <w:t>≥0.8 m</w:t>
      </w:r>
      <w:r>
        <w:rPr>
          <w:rFonts w:hint="default" w:ascii="Times New Roman" w:hAnsi="Times New Roman" w:cs="Times New Roman"/>
          <w:sz w:val="28"/>
          <w:szCs w:val="28"/>
          <w:highlight w:val="none"/>
          <w:lang w:eastAsia="zh-CN"/>
        </w:rPr>
        <w:t>，满足检修通道要求，且不应存在干涉风险。</w:t>
      </w:r>
    </w:p>
    <w:p w14:paraId="4D99893A">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单元间连接管道应采用工厂预制的标准化法兰接口，现场安装错位量</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w:t>
      </w:r>
    </w:p>
    <w:p w14:paraId="3C380E10">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大型设备（焚烧炉、余热锅炉）基础应集成设计，荷载偏差宜控制在</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以内。</w:t>
      </w:r>
    </w:p>
    <w:p w14:paraId="45D52536">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控制集成</w:t>
      </w:r>
    </w:p>
    <w:p w14:paraId="0FAC3E0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全系统应由单一</w:t>
      </w:r>
      <w:r>
        <w:rPr>
          <w:rFonts w:hint="default" w:ascii="Times New Roman" w:hAnsi="Times New Roman" w:cs="Times New Roman"/>
          <w:sz w:val="28"/>
          <w:szCs w:val="28"/>
          <w:highlight w:val="none"/>
          <w:lang w:val="en-US"/>
        </w:rPr>
        <w:t>PLC</w:t>
      </w:r>
      <w:r>
        <w:rPr>
          <w:rFonts w:hint="default" w:ascii="Times New Roman" w:hAnsi="Times New Roman" w:cs="Times New Roman"/>
          <w:sz w:val="28"/>
          <w:szCs w:val="28"/>
          <w:highlight w:val="none"/>
          <w:lang w:eastAsia="zh-CN"/>
        </w:rPr>
        <w:t>控制，可实现：</w:t>
      </w:r>
    </w:p>
    <w:p w14:paraId="6FEC36C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干化单元出口含水率</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焚烧单元进料量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烟气净化单元药剂投加的自动联锁调节；</w:t>
      </w:r>
    </w:p>
    <w:p w14:paraId="11F9EDF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关键参数（如焚烧炉温度、烟气</w:t>
      </w:r>
      <w:r>
        <w:rPr>
          <w:rFonts w:hint="default" w:ascii="Times New Roman" w:hAnsi="Times New Roman" w:cs="Times New Roman"/>
          <w:sz w:val="28"/>
          <w:szCs w:val="28"/>
          <w:highlight w:val="none"/>
          <w:lang w:val="en-US"/>
        </w:rPr>
        <w:t>O₂</w:t>
      </w:r>
      <w:r>
        <w:rPr>
          <w:rFonts w:hint="default" w:ascii="Times New Roman" w:hAnsi="Times New Roman" w:cs="Times New Roman"/>
          <w:sz w:val="28"/>
          <w:szCs w:val="28"/>
          <w:highlight w:val="none"/>
          <w:lang w:eastAsia="zh-CN"/>
        </w:rPr>
        <w:t>含量）超限时触发分级报警及停机保护。</w:t>
      </w:r>
    </w:p>
    <w:p w14:paraId="1D063758">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控制柜应集中布置于防爆控制室，各单元信号宜通过冗余总线传输。</w:t>
      </w:r>
    </w:p>
    <w:p w14:paraId="7672F81B">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操作界面应集成所有单元实时数据，并支持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一键启停</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全流程。</w:t>
      </w:r>
    </w:p>
    <w:p w14:paraId="708FD490">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能源集成</w:t>
      </w:r>
    </w:p>
    <w:p w14:paraId="425C59F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能源回收应满足以下要求：</w:t>
      </w:r>
    </w:p>
    <w:p w14:paraId="553E18A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焚烧烟气余热优先用于干化单元，剩余热量通过余热锅炉产蒸汽；</w:t>
      </w:r>
    </w:p>
    <w:p w14:paraId="66AEE89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蒸汽产量＞需求产量时，富余蒸汽回用于厂区供热或发电。</w:t>
      </w:r>
    </w:p>
    <w:p w14:paraId="49DC50AE">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系统排烟温度宜</w:t>
      </w:r>
      <w:r>
        <w:rPr>
          <w:rFonts w:hint="default" w:ascii="Times New Roman" w:hAnsi="Times New Roman" w:cs="Times New Roman"/>
          <w:sz w:val="28"/>
          <w:szCs w:val="28"/>
          <w:highlight w:val="none"/>
          <w:lang w:val="en-US"/>
        </w:rPr>
        <w:t>≤130°C</w:t>
      </w:r>
      <w:r>
        <w:rPr>
          <w:rFonts w:hint="default" w:ascii="Times New Roman" w:hAnsi="Times New Roman" w:cs="Times New Roman"/>
          <w:sz w:val="28"/>
          <w:szCs w:val="28"/>
          <w:highlight w:val="none"/>
          <w:lang w:eastAsia="zh-CN"/>
        </w:rPr>
        <w:t>，且不应因余热利用导致烟气净化效率下降。</w:t>
      </w:r>
    </w:p>
    <w:p w14:paraId="3A360333">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接口要求</w:t>
      </w:r>
    </w:p>
    <w:p w14:paraId="49DBF7B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供应商应提供完整的接口清单，包括机械、电气、仪表点位表，并对集成装备内部所有接口的匹配性负责。</w:t>
      </w:r>
    </w:p>
    <w:p w14:paraId="3A03EEFC">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外部接口（如市政水电、污泥接收槽车位）可由用户提供，但供应商应明确接口参数。</w:t>
      </w:r>
    </w:p>
    <w:p w14:paraId="00CC1EC1">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验证要求</w:t>
      </w:r>
    </w:p>
    <w:p w14:paraId="7C5E7FFA">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物理集成度应通过三维模型碰撞检测验证，并提交模型文件。</w:t>
      </w:r>
    </w:p>
    <w:p w14:paraId="6CC11301">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控制集成逻辑应在工厂测试中模拟运行</w:t>
      </w:r>
      <w:r>
        <w:rPr>
          <w:rFonts w:hint="default" w:ascii="Times New Roman" w:hAnsi="Times New Roman" w:cs="Times New Roman"/>
          <w:sz w:val="28"/>
          <w:szCs w:val="28"/>
          <w:highlight w:val="none"/>
          <w:lang w:val="en-US"/>
        </w:rPr>
        <w:t>≥200</w:t>
      </w:r>
      <w:r>
        <w:rPr>
          <w:rFonts w:hint="default" w:ascii="Times New Roman" w:hAnsi="Times New Roman" w:cs="Times New Roman"/>
          <w:sz w:val="28"/>
          <w:szCs w:val="28"/>
          <w:highlight w:val="none"/>
          <w:lang w:eastAsia="zh-CN"/>
        </w:rPr>
        <w:t>个联锁场景。</w:t>
      </w:r>
    </w:p>
    <w:p w14:paraId="45BF9DFB">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能源集成方案应附热平衡计算书，标明各节点温度、流量及热效率。</w:t>
      </w:r>
    </w:p>
    <w:p w14:paraId="6FCD334F">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205892335"/>
      <w:bookmarkStart w:id="36" w:name="_Toc205913161"/>
      <w:r>
        <w:rPr>
          <w:rFonts w:hint="default" w:ascii="Times New Roman" w:hAnsi="Times New Roman" w:cs="Times New Roman"/>
          <w:sz w:val="28"/>
          <w:szCs w:val="28"/>
          <w:highlight w:val="none"/>
          <w:lang w:eastAsia="zh-CN"/>
        </w:rPr>
        <w:t>核心单元设备</w:t>
      </w:r>
      <w:bookmarkEnd w:id="35"/>
      <w:bookmarkEnd w:id="36"/>
    </w:p>
    <w:p w14:paraId="100D6ED8">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干化单元</w:t>
      </w:r>
    </w:p>
    <w:p w14:paraId="6FF17BC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干化机类型应明确（桨叶式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流化床</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带式等）。</w:t>
      </w:r>
    </w:p>
    <w:p w14:paraId="487D448F">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热介质（蒸汽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导热油）温度应可控，控制精度</w:t>
      </w:r>
      <w:r>
        <w:rPr>
          <w:rFonts w:hint="default" w:ascii="Times New Roman" w:hAnsi="Times New Roman" w:cs="Times New Roman"/>
          <w:sz w:val="28"/>
          <w:szCs w:val="28"/>
          <w:highlight w:val="none"/>
          <w:lang w:val="en-US"/>
        </w:rPr>
        <w:t>±5°C</w:t>
      </w:r>
      <w:r>
        <w:rPr>
          <w:rFonts w:hint="default" w:ascii="Times New Roman" w:hAnsi="Times New Roman" w:cs="Times New Roman"/>
          <w:sz w:val="28"/>
          <w:szCs w:val="28"/>
          <w:highlight w:val="none"/>
          <w:lang w:eastAsia="zh-CN"/>
        </w:rPr>
        <w:t>。</w:t>
      </w:r>
    </w:p>
    <w:p w14:paraId="22F793B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接触湿污泥的部件（桨叶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内壁）应采用耐腐蚀材料，宜选择</w:t>
      </w:r>
      <w:r>
        <w:rPr>
          <w:rFonts w:hint="default" w:ascii="Times New Roman" w:hAnsi="Times New Roman" w:cs="Times New Roman"/>
          <w:sz w:val="28"/>
          <w:szCs w:val="28"/>
          <w:highlight w:val="none"/>
          <w:lang w:val="en-US"/>
        </w:rPr>
        <w:t>316 L</w:t>
      </w:r>
      <w:r>
        <w:rPr>
          <w:rFonts w:hint="default" w:ascii="Times New Roman" w:hAnsi="Times New Roman" w:cs="Times New Roman"/>
          <w:sz w:val="28"/>
          <w:szCs w:val="28"/>
          <w:highlight w:val="none"/>
          <w:lang w:eastAsia="zh-CN"/>
        </w:rPr>
        <w:t>不锈钢，厚度</w:t>
      </w:r>
      <w:r>
        <w:rPr>
          <w:rFonts w:hint="default" w:ascii="Times New Roman" w:hAnsi="Times New Roman" w:cs="Times New Roman"/>
          <w:sz w:val="28"/>
          <w:szCs w:val="28"/>
          <w:highlight w:val="none"/>
          <w:lang w:val="en-US"/>
        </w:rPr>
        <w:t>≥8 mm</w:t>
      </w:r>
      <w:r>
        <w:rPr>
          <w:rFonts w:hint="default" w:ascii="Times New Roman" w:hAnsi="Times New Roman" w:cs="Times New Roman"/>
          <w:sz w:val="28"/>
          <w:szCs w:val="28"/>
          <w:highlight w:val="none"/>
          <w:lang w:eastAsia="zh-CN"/>
        </w:rPr>
        <w:t>，高磨损区加焊碳化钨硬质层。</w:t>
      </w:r>
    </w:p>
    <w:p w14:paraId="2CE0EFF1">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干化腔氧含量应</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，超限时应自动触发氮气惰化及停机保护。</w:t>
      </w:r>
    </w:p>
    <w:p w14:paraId="0DE4142F">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焚烧单元</w:t>
      </w:r>
    </w:p>
    <w:p w14:paraId="00E30C4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焚烧炉应选用流化床或回转窑炉型，炉膛温度应稳定于</w:t>
      </w:r>
      <w:r>
        <w:rPr>
          <w:rFonts w:hint="default" w:ascii="Times New Roman" w:hAnsi="Times New Roman" w:cs="Times New Roman"/>
          <w:sz w:val="28"/>
          <w:szCs w:val="28"/>
          <w:highlight w:val="none"/>
          <w:lang w:val="en-US"/>
        </w:rPr>
        <w:t>850°C ~950°C</w:t>
      </w:r>
      <w:r>
        <w:rPr>
          <w:rFonts w:hint="default" w:ascii="Times New Roman" w:hAnsi="Times New Roman" w:cs="Times New Roman"/>
          <w:sz w:val="28"/>
          <w:szCs w:val="28"/>
          <w:highlight w:val="none"/>
          <w:lang w:eastAsia="zh-CN"/>
        </w:rPr>
        <w:t>，高温区停留时间应</w:t>
      </w:r>
      <w:r>
        <w:rPr>
          <w:rFonts w:hint="default" w:ascii="Times New Roman" w:hAnsi="Times New Roman" w:cs="Times New Roman"/>
          <w:sz w:val="28"/>
          <w:szCs w:val="28"/>
          <w:highlight w:val="none"/>
          <w:lang w:val="en-US"/>
        </w:rPr>
        <w:t>≥2.0 s</w:t>
      </w:r>
      <w:r>
        <w:rPr>
          <w:rFonts w:hint="default" w:ascii="Times New Roman" w:hAnsi="Times New Roman" w:cs="Times New Roman"/>
          <w:sz w:val="28"/>
          <w:szCs w:val="28"/>
          <w:highlight w:val="none"/>
          <w:lang w:eastAsia="zh-CN"/>
        </w:rPr>
        <w:t>。</w:t>
      </w:r>
    </w:p>
    <w:p w14:paraId="680B7D63">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燃烧效率应</w:t>
      </w:r>
      <w:r>
        <w:rPr>
          <w:rFonts w:hint="default" w:ascii="Times New Roman" w:hAnsi="Times New Roman" w:cs="Times New Roman"/>
          <w:sz w:val="28"/>
          <w:szCs w:val="28"/>
          <w:highlight w:val="none"/>
          <w:lang w:val="en-US"/>
        </w:rPr>
        <w:t>≥99.9%</w:t>
      </w:r>
      <w:r>
        <w:rPr>
          <w:rFonts w:hint="default" w:ascii="Times New Roman" w:hAnsi="Times New Roman" w:cs="Times New Roman"/>
          <w:sz w:val="28"/>
          <w:szCs w:val="28"/>
          <w:highlight w:val="none"/>
          <w:lang w:eastAsia="zh-CN"/>
        </w:rPr>
        <w:t>，炉渣热灼减率</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。耐火材料宜选用刚玉莫来石质，厚度</w:t>
      </w:r>
      <w:r>
        <w:rPr>
          <w:rFonts w:hint="default" w:ascii="Times New Roman" w:hAnsi="Times New Roman" w:cs="Times New Roman"/>
          <w:sz w:val="28"/>
          <w:szCs w:val="28"/>
          <w:highlight w:val="none"/>
          <w:lang w:val="en-US"/>
        </w:rPr>
        <w:t>≥250 mm</w:t>
      </w:r>
      <w:r>
        <w:rPr>
          <w:rFonts w:hint="default" w:ascii="Times New Roman" w:hAnsi="Times New Roman" w:cs="Times New Roman"/>
          <w:sz w:val="28"/>
          <w:szCs w:val="28"/>
          <w:highlight w:val="none"/>
          <w:lang w:eastAsia="zh-CN"/>
        </w:rPr>
        <w:t>。</w:t>
      </w:r>
    </w:p>
    <w:p w14:paraId="359AEF20">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配风系统应实现一次风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二次风比例自动调节，范围在</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70~50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，风量测量误差宜</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21AE953A">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余热利用单元</w:t>
      </w:r>
    </w:p>
    <w:p w14:paraId="0A054E5A">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余热锅炉应产饱和蒸汽，压力</w:t>
      </w:r>
      <w:r>
        <w:rPr>
          <w:rFonts w:hint="default" w:ascii="Times New Roman" w:hAnsi="Times New Roman" w:cs="Times New Roman"/>
          <w:sz w:val="28"/>
          <w:szCs w:val="28"/>
          <w:highlight w:val="none"/>
          <w:lang w:val="en-US"/>
        </w:rPr>
        <w:t>≥1.0 MPa</w:t>
      </w:r>
      <w:r>
        <w:rPr>
          <w:rFonts w:hint="default" w:ascii="Times New Roman" w:hAnsi="Times New Roman" w:cs="Times New Roman"/>
          <w:sz w:val="28"/>
          <w:szCs w:val="28"/>
          <w:highlight w:val="none"/>
          <w:lang w:eastAsia="zh-CN"/>
        </w:rPr>
        <w:t>，热效率宜</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w:t>
      </w:r>
    </w:p>
    <w:p w14:paraId="0408408E">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高温烟气入口（</w:t>
      </w:r>
      <w:r>
        <w:rPr>
          <w:rFonts w:hint="default" w:ascii="Times New Roman" w:hAnsi="Times New Roman" w:cs="Times New Roman"/>
          <w:sz w:val="28"/>
          <w:szCs w:val="28"/>
          <w:highlight w:val="none"/>
          <w:lang w:val="en-US"/>
        </w:rPr>
        <w:t>≥550°C</w:t>
      </w:r>
      <w:r>
        <w:rPr>
          <w:rFonts w:hint="default" w:ascii="Times New Roman" w:hAnsi="Times New Roman" w:cs="Times New Roman"/>
          <w:sz w:val="28"/>
          <w:szCs w:val="28"/>
          <w:highlight w:val="none"/>
          <w:lang w:eastAsia="zh-CN"/>
        </w:rPr>
        <w:t>）受热面应采用不锈钢，并配置声波吹灰器。</w:t>
      </w:r>
    </w:p>
    <w:p w14:paraId="16465614">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烟气净化单元</w:t>
      </w:r>
    </w:p>
    <w:p w14:paraId="68D840D6">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净化工艺应包含以下内容：</w:t>
      </w:r>
    </w:p>
    <w:p w14:paraId="5E74BDF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脱硝：系统氨逃逸</w:t>
      </w:r>
      <w:r>
        <w:rPr>
          <w:rFonts w:hint="default" w:ascii="Times New Roman" w:hAnsi="Times New Roman" w:cs="Times New Roman"/>
          <w:sz w:val="28"/>
          <w:szCs w:val="28"/>
          <w:highlight w:val="none"/>
          <w:lang w:val="en-US"/>
        </w:rPr>
        <w:t>≤8 ppm</w:t>
      </w:r>
      <w:r>
        <w:rPr>
          <w:rFonts w:hint="default" w:ascii="Times New Roman" w:hAnsi="Times New Roman" w:cs="Times New Roman"/>
          <w:sz w:val="28"/>
          <w:szCs w:val="28"/>
          <w:highlight w:val="none"/>
          <w:lang w:eastAsia="zh-CN"/>
        </w:rPr>
        <w:t>，或系统脱硝效率</w:t>
      </w:r>
      <w:r>
        <w:rPr>
          <w:rFonts w:hint="default" w:ascii="Times New Roman" w:hAnsi="Times New Roman" w:cs="Times New Roman"/>
          <w:sz w:val="28"/>
          <w:szCs w:val="28"/>
          <w:highlight w:val="none"/>
          <w:lang w:val="en-US"/>
        </w:rPr>
        <w:t>≥85%</w:t>
      </w:r>
      <w:r>
        <w:rPr>
          <w:rFonts w:hint="default" w:ascii="Times New Roman" w:hAnsi="Times New Roman" w:cs="Times New Roman"/>
          <w:sz w:val="28"/>
          <w:szCs w:val="28"/>
          <w:highlight w:val="none"/>
          <w:lang w:eastAsia="zh-CN"/>
        </w:rPr>
        <w:t>；</w:t>
      </w:r>
    </w:p>
    <w:p w14:paraId="1943E3D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脱酸：半干法反应塔出口温度控制于</w:t>
      </w:r>
      <w:r>
        <w:rPr>
          <w:rFonts w:hint="default" w:ascii="Times New Roman" w:hAnsi="Times New Roman" w:cs="Times New Roman"/>
          <w:sz w:val="28"/>
          <w:szCs w:val="28"/>
          <w:highlight w:val="none"/>
          <w:lang w:val="en-US"/>
        </w:rPr>
        <w:t>140°C ~160</w:t>
      </w:r>
      <w:bookmarkStart w:id="37" w:name="OLE_LINK4"/>
      <w:r>
        <w:rPr>
          <w:rFonts w:hint="default" w:ascii="Times New Roman" w:hAnsi="Times New Roman" w:cs="Times New Roman"/>
          <w:sz w:val="28"/>
          <w:szCs w:val="28"/>
          <w:highlight w:val="none"/>
          <w:lang w:val="en-US"/>
        </w:rPr>
        <w:t>°C</w:t>
      </w:r>
      <w:bookmarkEnd w:id="37"/>
      <w:r>
        <w:rPr>
          <w:rFonts w:hint="default" w:ascii="Times New Roman" w:hAnsi="Times New Roman" w:cs="Times New Roman"/>
          <w:sz w:val="28"/>
          <w:szCs w:val="28"/>
          <w:highlight w:val="none"/>
          <w:lang w:eastAsia="zh-CN"/>
        </w:rPr>
        <w:t>，脱酸效率</w:t>
      </w:r>
      <w:r>
        <w:rPr>
          <w:rFonts w:hint="default" w:ascii="Times New Roman" w:hAnsi="Times New Roman" w:cs="Times New Roman"/>
          <w:sz w:val="28"/>
          <w:szCs w:val="28"/>
          <w:highlight w:val="none"/>
          <w:lang w:val="en-US"/>
        </w:rPr>
        <w:t>≥90%</w:t>
      </w:r>
      <w:r>
        <w:rPr>
          <w:rFonts w:hint="default" w:ascii="Times New Roman" w:hAnsi="Times New Roman" w:cs="Times New Roman"/>
          <w:sz w:val="28"/>
          <w:szCs w:val="28"/>
          <w:highlight w:val="none"/>
          <w:lang w:eastAsia="zh-CN"/>
        </w:rPr>
        <w:t>；</w:t>
      </w:r>
    </w:p>
    <w:p w14:paraId="61556DB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除尘：布袋材质选用覆膜滤料，过滤风速</w:t>
      </w:r>
      <w:r>
        <w:rPr>
          <w:rFonts w:hint="default" w:ascii="Times New Roman" w:hAnsi="Times New Roman" w:cs="Times New Roman"/>
          <w:sz w:val="28"/>
          <w:szCs w:val="28"/>
          <w:highlight w:val="none"/>
          <w:lang w:val="en-US"/>
        </w:rPr>
        <w:t>≤0.8 m/min</w:t>
      </w:r>
      <w:r>
        <w:rPr>
          <w:rFonts w:hint="default" w:ascii="Times New Roman" w:hAnsi="Times New Roman" w:cs="Times New Roman"/>
          <w:sz w:val="28"/>
          <w:szCs w:val="28"/>
          <w:highlight w:val="none"/>
          <w:lang w:eastAsia="zh-CN"/>
        </w:rPr>
        <w:t>，出口粉尘</w:t>
      </w:r>
      <w:r>
        <w:rPr>
          <w:rFonts w:hint="default" w:ascii="Times New Roman" w:hAnsi="Times New Roman" w:cs="Times New Roman"/>
          <w:sz w:val="28"/>
          <w:szCs w:val="28"/>
          <w:highlight w:val="none"/>
          <w:lang w:val="en-US"/>
        </w:rPr>
        <w:t>≤10 mg/Nm³</w:t>
      </w:r>
      <w:r>
        <w:rPr>
          <w:rFonts w:hint="default" w:ascii="Times New Roman" w:hAnsi="Times New Roman" w:cs="Times New Roman"/>
          <w:sz w:val="28"/>
          <w:szCs w:val="28"/>
          <w:highlight w:val="none"/>
          <w:lang w:eastAsia="zh-CN"/>
        </w:rPr>
        <w:t>。</w:t>
      </w:r>
    </w:p>
    <w:p w14:paraId="4223BF3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活性炭喷射量应按二噁英浓度动态调节，保证排放应</w:t>
      </w:r>
      <w:r>
        <w:rPr>
          <w:rFonts w:hint="default" w:ascii="Times New Roman" w:hAnsi="Times New Roman" w:cs="Times New Roman"/>
          <w:sz w:val="28"/>
          <w:szCs w:val="28"/>
          <w:highlight w:val="none"/>
          <w:lang w:val="en-US"/>
        </w:rPr>
        <w:t>≤0.1 ngTEQ/Nm³</w:t>
      </w:r>
      <w:r>
        <w:rPr>
          <w:rFonts w:hint="default" w:ascii="Times New Roman" w:hAnsi="Times New Roman" w:cs="Times New Roman"/>
          <w:sz w:val="28"/>
          <w:szCs w:val="28"/>
          <w:highlight w:val="none"/>
          <w:lang w:eastAsia="zh-CN"/>
        </w:rPr>
        <w:t>。</w:t>
      </w:r>
    </w:p>
    <w:p w14:paraId="285D8ABF">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灰渣处理单元</w:t>
      </w:r>
    </w:p>
    <w:p w14:paraId="1D6E2B71">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飞灰输送系统应密闭设计，气力输送风速</w:t>
      </w:r>
      <w:r>
        <w:rPr>
          <w:rFonts w:hint="default" w:ascii="Times New Roman" w:hAnsi="Times New Roman" w:cs="Times New Roman"/>
          <w:sz w:val="28"/>
          <w:szCs w:val="28"/>
          <w:highlight w:val="none"/>
          <w:lang w:val="en-US"/>
        </w:rPr>
        <w:t>≥18 m/s</w:t>
      </w:r>
      <w:r>
        <w:rPr>
          <w:rFonts w:hint="default" w:ascii="Times New Roman" w:hAnsi="Times New Roman" w:cs="Times New Roman"/>
          <w:sz w:val="28"/>
          <w:szCs w:val="28"/>
          <w:highlight w:val="none"/>
          <w:lang w:eastAsia="zh-CN"/>
        </w:rPr>
        <w:t>，管道弯头内衬陶瓷，厚度</w:t>
      </w:r>
      <w:r>
        <w:rPr>
          <w:rFonts w:hint="default" w:ascii="Times New Roman" w:hAnsi="Times New Roman" w:cs="Times New Roman"/>
          <w:sz w:val="28"/>
          <w:szCs w:val="28"/>
          <w:highlight w:val="none"/>
          <w:lang w:val="en-US"/>
        </w:rPr>
        <w:t>≥6 mm</w:t>
      </w:r>
      <w:r>
        <w:rPr>
          <w:rFonts w:hint="default" w:ascii="Times New Roman" w:hAnsi="Times New Roman" w:cs="Times New Roman"/>
          <w:sz w:val="28"/>
          <w:szCs w:val="28"/>
          <w:highlight w:val="none"/>
          <w:lang w:eastAsia="zh-CN"/>
        </w:rPr>
        <w:t>。</w:t>
      </w:r>
    </w:p>
    <w:p w14:paraId="62C732A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飞灰仓应配置流化装置及料位计，仓顶排气接入烟气净化系统。</w:t>
      </w:r>
    </w:p>
    <w:p w14:paraId="667487FA">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控制系统</w:t>
      </w:r>
    </w:p>
    <w:p w14:paraId="2955AC4C">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应采用冗余架构，如控制器、电源、网络，冗余宜</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w:t>
      </w:r>
    </w:p>
    <w:p w14:paraId="71CBB83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关键仪表应满足以下要求：</w:t>
      </w:r>
    </w:p>
    <w:p w14:paraId="2E87169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烟气在线分析仪（</w:t>
      </w:r>
      <w:r>
        <w:rPr>
          <w:rFonts w:hint="default" w:ascii="Times New Roman" w:hAnsi="Times New Roman" w:cs="Times New Roman"/>
          <w:sz w:val="28"/>
          <w:szCs w:val="28"/>
          <w:highlight w:val="none"/>
          <w:lang w:val="en-US"/>
        </w:rPr>
        <w:t>O₂/CO/NOx/SO₂/</w:t>
      </w:r>
      <w:r>
        <w:rPr>
          <w:rFonts w:hint="default" w:ascii="Times New Roman" w:hAnsi="Times New Roman" w:cs="Times New Roman"/>
          <w:sz w:val="28"/>
          <w:szCs w:val="28"/>
          <w:highlight w:val="none"/>
          <w:lang w:eastAsia="zh-CN"/>
        </w:rPr>
        <w:t>粉尘）符合</w:t>
      </w:r>
      <w:r>
        <w:rPr>
          <w:rFonts w:hint="default" w:ascii="Times New Roman" w:hAnsi="Times New Roman" w:cs="Times New Roman"/>
          <w:sz w:val="28"/>
          <w:szCs w:val="28"/>
          <w:highlight w:val="none"/>
          <w:lang w:val="en-US"/>
        </w:rPr>
        <w:t>HJ 76</w:t>
      </w:r>
      <w:r>
        <w:rPr>
          <w:rFonts w:hint="default" w:ascii="Times New Roman" w:hAnsi="Times New Roman" w:cs="Times New Roman"/>
          <w:sz w:val="28"/>
          <w:szCs w:val="28"/>
          <w:highlight w:val="none"/>
          <w:lang w:eastAsia="zh-CN"/>
        </w:rPr>
        <w:t>的要求；</w:t>
      </w:r>
    </w:p>
    <w:p w14:paraId="708D1A9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焚烧炉热电偶三重冗余，误差</w:t>
      </w:r>
      <w:r>
        <w:rPr>
          <w:rFonts w:hint="default" w:ascii="Times New Roman" w:hAnsi="Times New Roman" w:cs="Times New Roman"/>
          <w:sz w:val="28"/>
          <w:szCs w:val="28"/>
          <w:highlight w:val="none"/>
          <w:lang w:val="en-US"/>
        </w:rPr>
        <w:t>≤±1.5°C</w:t>
      </w:r>
      <w:r>
        <w:rPr>
          <w:rFonts w:hint="default" w:ascii="Times New Roman" w:hAnsi="Times New Roman" w:cs="Times New Roman"/>
          <w:sz w:val="28"/>
          <w:szCs w:val="28"/>
          <w:highlight w:val="none"/>
          <w:lang w:eastAsia="zh-CN"/>
        </w:rPr>
        <w:t>。</w:t>
      </w:r>
    </w:p>
    <w:p w14:paraId="5E44FB17">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8" w:name="_Toc205892336"/>
      <w:bookmarkStart w:id="39" w:name="_Toc205913162"/>
      <w:r>
        <w:rPr>
          <w:rFonts w:hint="default" w:ascii="Times New Roman" w:hAnsi="Times New Roman" w:cs="Times New Roman"/>
          <w:sz w:val="28"/>
          <w:szCs w:val="28"/>
          <w:highlight w:val="none"/>
          <w:lang w:eastAsia="zh-CN"/>
        </w:rPr>
        <w:t>性能要求</w:t>
      </w:r>
      <w:bookmarkEnd w:id="38"/>
      <w:bookmarkEnd w:id="39"/>
    </w:p>
    <w:p w14:paraId="32390D9D">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项目要求</w:t>
      </w:r>
    </w:p>
    <w:p w14:paraId="016322A0">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供应商应对表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所列性能参数提供保证值，且在考核测试中达标：</w:t>
      </w:r>
    </w:p>
    <w:p w14:paraId="3BA723F2">
      <w:pPr>
        <w:pStyle w:val="42"/>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强制项目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1178"/>
        <w:gridCol w:w="3869"/>
        <w:gridCol w:w="3664"/>
      </w:tblGrid>
      <w:tr w14:paraId="3C54D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left w:val="single" w:color="auto" w:sz="8" w:space="0"/>
              <w:bottom w:val="single" w:color="auto" w:sz="8" w:space="0"/>
              <w:right w:val="single" w:color="auto" w:sz="4" w:space="0"/>
            </w:tcBorders>
            <w:shd w:val="clear"/>
            <w:vAlign w:val="top"/>
          </w:tcPr>
          <w:p w14:paraId="20992CA2">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序号</w:t>
            </w:r>
          </w:p>
        </w:tc>
        <w:tc>
          <w:tcPr>
            <w:tcW w:w="4111" w:type="dxa"/>
            <w:tcBorders>
              <w:top w:val="single" w:color="auto" w:sz="8" w:space="0"/>
              <w:left w:val="single" w:color="auto" w:sz="4" w:space="0"/>
              <w:bottom w:val="single" w:color="auto" w:sz="8" w:space="0"/>
              <w:right w:val="single" w:color="auto" w:sz="4" w:space="0"/>
            </w:tcBorders>
            <w:shd w:val="clear"/>
            <w:vAlign w:val="center"/>
          </w:tcPr>
          <w:p w14:paraId="484BB97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参数</w:t>
            </w:r>
          </w:p>
        </w:tc>
        <w:tc>
          <w:tcPr>
            <w:tcW w:w="3957" w:type="dxa"/>
            <w:tcBorders>
              <w:top w:val="single" w:color="auto" w:sz="8" w:space="0"/>
              <w:left w:val="single" w:color="auto" w:sz="4" w:space="0"/>
              <w:bottom w:val="single" w:color="auto" w:sz="8" w:space="0"/>
              <w:right w:val="single" w:color="auto" w:sz="8" w:space="0"/>
            </w:tcBorders>
            <w:shd w:val="clear"/>
            <w:vAlign w:val="center"/>
          </w:tcPr>
          <w:p w14:paraId="077ED1B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测试标准</w:t>
            </w:r>
          </w:p>
        </w:tc>
      </w:tr>
      <w:tr w14:paraId="71E8C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4" w:space="0"/>
              <w:right w:val="single" w:color="auto" w:sz="4" w:space="0"/>
            </w:tcBorders>
            <w:shd w:val="clear"/>
            <w:vAlign w:val="top"/>
          </w:tcPr>
          <w:p w14:paraId="547F9973">
            <w:pPr>
              <w:pStyle w:val="41"/>
              <w:widowControl/>
              <w:spacing w:line="360" w:lineRule="auto"/>
              <w:rPr>
                <w:rFonts w:hint="default" w:ascii="Times New Roman" w:hAnsi="Times New Roman" w:cs="Times New Roman"/>
                <w:sz w:val="28"/>
                <w:szCs w:val="28"/>
                <w:highlight w:val="none"/>
                <w:bdr w:val="none" w:color="auto" w:sz="0" w:space="0"/>
                <w:lang w:val="en-US"/>
              </w:rPr>
            </w:pPr>
            <w:bookmarkStart w:id="40" w:name="_Hlk205900038"/>
            <w:r>
              <w:rPr>
                <w:rFonts w:hint="default" w:ascii="Times New Roman" w:hAnsi="Times New Roman" w:cs="Times New Roman"/>
                <w:sz w:val="28"/>
                <w:szCs w:val="28"/>
                <w:highlight w:val="none"/>
                <w:bdr w:val="none" w:color="auto" w:sz="0" w:space="0"/>
                <w:lang w:val="en-US"/>
              </w:rPr>
              <w:t>1</w:t>
            </w:r>
          </w:p>
        </w:tc>
        <w:tc>
          <w:tcPr>
            <w:tcW w:w="4111" w:type="dxa"/>
            <w:tcBorders>
              <w:top w:val="single" w:color="auto" w:sz="8" w:space="0"/>
              <w:left w:val="single" w:color="auto" w:sz="4" w:space="0"/>
              <w:bottom w:val="single" w:color="auto" w:sz="4" w:space="0"/>
              <w:right w:val="single" w:color="auto" w:sz="4" w:space="0"/>
            </w:tcBorders>
            <w:shd w:val="clear"/>
            <w:vAlign w:val="center"/>
          </w:tcPr>
          <w:p w14:paraId="72AE6B8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湿污泥处理能力</w:t>
            </w:r>
          </w:p>
        </w:tc>
        <w:tc>
          <w:tcPr>
            <w:tcW w:w="3957" w:type="dxa"/>
            <w:tcBorders>
              <w:top w:val="single" w:color="auto" w:sz="8" w:space="0"/>
              <w:left w:val="single" w:color="auto" w:sz="4" w:space="0"/>
              <w:bottom w:val="single" w:color="auto" w:sz="4" w:space="0"/>
              <w:right w:val="single" w:color="auto" w:sz="8" w:space="0"/>
            </w:tcBorders>
            <w:shd w:val="clear"/>
            <w:vAlign w:val="center"/>
          </w:tcPr>
          <w:p w14:paraId="40B1CF5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称重法</w:t>
            </w:r>
          </w:p>
        </w:tc>
      </w:tr>
      <w:tr w14:paraId="4ED70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top"/>
          </w:tcPr>
          <w:p w14:paraId="07D0E788">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w:t>
            </w:r>
          </w:p>
        </w:tc>
        <w:tc>
          <w:tcPr>
            <w:tcW w:w="4111" w:type="dxa"/>
            <w:tcBorders>
              <w:top w:val="single" w:color="auto" w:sz="4" w:space="0"/>
              <w:left w:val="single" w:color="auto" w:sz="4" w:space="0"/>
              <w:bottom w:val="single" w:color="auto" w:sz="4" w:space="0"/>
              <w:right w:val="single" w:color="auto" w:sz="4" w:space="0"/>
            </w:tcBorders>
            <w:shd w:val="clear"/>
            <w:vAlign w:val="center"/>
          </w:tcPr>
          <w:p w14:paraId="072406F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干化后含水率</w:t>
            </w:r>
          </w:p>
        </w:tc>
        <w:tc>
          <w:tcPr>
            <w:tcW w:w="3957" w:type="dxa"/>
            <w:tcBorders>
              <w:top w:val="single" w:color="auto" w:sz="4" w:space="0"/>
              <w:left w:val="single" w:color="auto" w:sz="4" w:space="0"/>
              <w:bottom w:val="single" w:color="auto" w:sz="4" w:space="0"/>
              <w:right w:val="single" w:color="auto" w:sz="8" w:space="0"/>
            </w:tcBorders>
            <w:shd w:val="clear"/>
            <w:vAlign w:val="center"/>
          </w:tcPr>
          <w:p w14:paraId="4850BCAD">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烘干法</w:t>
            </w:r>
          </w:p>
        </w:tc>
      </w:tr>
      <w:tr w14:paraId="51066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top"/>
          </w:tcPr>
          <w:p w14:paraId="4120097A">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3</w:t>
            </w:r>
          </w:p>
        </w:tc>
        <w:tc>
          <w:tcPr>
            <w:tcW w:w="4111" w:type="dxa"/>
            <w:tcBorders>
              <w:top w:val="single" w:color="auto" w:sz="4" w:space="0"/>
              <w:left w:val="single" w:color="auto" w:sz="4" w:space="0"/>
              <w:bottom w:val="single" w:color="auto" w:sz="4" w:space="0"/>
              <w:right w:val="single" w:color="auto" w:sz="4" w:space="0"/>
            </w:tcBorders>
            <w:shd w:val="clear"/>
            <w:vAlign w:val="center"/>
          </w:tcPr>
          <w:p w14:paraId="35A9F185">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焚烧炉出口温度</w:t>
            </w:r>
          </w:p>
        </w:tc>
        <w:tc>
          <w:tcPr>
            <w:tcW w:w="3957" w:type="dxa"/>
            <w:tcBorders>
              <w:top w:val="single" w:color="auto" w:sz="4" w:space="0"/>
              <w:left w:val="single" w:color="auto" w:sz="4" w:space="0"/>
              <w:bottom w:val="single" w:color="auto" w:sz="4" w:space="0"/>
              <w:right w:val="single" w:color="auto" w:sz="8" w:space="0"/>
            </w:tcBorders>
            <w:shd w:val="clear"/>
            <w:vAlign w:val="center"/>
          </w:tcPr>
          <w:p w14:paraId="21BE993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热电偶</w:t>
            </w:r>
          </w:p>
        </w:tc>
      </w:tr>
      <w:tr w14:paraId="4FE1D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top"/>
          </w:tcPr>
          <w:p w14:paraId="039CF6A7">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4</w:t>
            </w:r>
          </w:p>
        </w:tc>
        <w:tc>
          <w:tcPr>
            <w:tcW w:w="4111" w:type="dxa"/>
            <w:tcBorders>
              <w:top w:val="single" w:color="auto" w:sz="4" w:space="0"/>
              <w:left w:val="single" w:color="auto" w:sz="4" w:space="0"/>
              <w:bottom w:val="single" w:color="auto" w:sz="4" w:space="0"/>
              <w:right w:val="single" w:color="auto" w:sz="4" w:space="0"/>
            </w:tcBorders>
            <w:shd w:val="clear"/>
            <w:vAlign w:val="center"/>
          </w:tcPr>
          <w:p w14:paraId="4D61B64D">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烟气停留时间（</w:t>
            </w:r>
            <w:r>
              <w:rPr>
                <w:rFonts w:hint="default" w:ascii="Times New Roman" w:hAnsi="Times New Roman" w:cs="Times New Roman"/>
                <w:sz w:val="28"/>
                <w:szCs w:val="28"/>
                <w:highlight w:val="none"/>
                <w:bdr w:val="none" w:color="auto" w:sz="0" w:space="0"/>
                <w:lang w:val="en-US"/>
              </w:rPr>
              <w:t>≥850°C</w:t>
            </w:r>
            <w:r>
              <w:rPr>
                <w:rFonts w:hint="default" w:ascii="Times New Roman" w:hAnsi="Times New Roman" w:cs="Times New Roman"/>
                <w:sz w:val="28"/>
                <w:szCs w:val="28"/>
                <w:highlight w:val="none"/>
                <w:bdr w:val="none" w:color="auto" w:sz="0" w:space="0"/>
              </w:rPr>
              <w:t>）</w:t>
            </w:r>
          </w:p>
        </w:tc>
        <w:tc>
          <w:tcPr>
            <w:tcW w:w="3957" w:type="dxa"/>
            <w:tcBorders>
              <w:top w:val="single" w:color="auto" w:sz="4" w:space="0"/>
              <w:left w:val="single" w:color="auto" w:sz="4" w:space="0"/>
              <w:bottom w:val="single" w:color="auto" w:sz="4" w:space="0"/>
              <w:right w:val="single" w:color="auto" w:sz="8" w:space="0"/>
            </w:tcBorders>
            <w:shd w:val="clear"/>
            <w:vAlign w:val="center"/>
          </w:tcPr>
          <w:p w14:paraId="32BC3BA5">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流速积分法</w:t>
            </w:r>
          </w:p>
        </w:tc>
      </w:tr>
      <w:tr w14:paraId="30CA6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top"/>
          </w:tcPr>
          <w:p w14:paraId="0183D29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5</w:t>
            </w:r>
          </w:p>
        </w:tc>
        <w:tc>
          <w:tcPr>
            <w:tcW w:w="4111" w:type="dxa"/>
            <w:tcBorders>
              <w:top w:val="single" w:color="auto" w:sz="4" w:space="0"/>
              <w:left w:val="single" w:color="auto" w:sz="4" w:space="0"/>
              <w:bottom w:val="single" w:color="auto" w:sz="4" w:space="0"/>
              <w:right w:val="single" w:color="auto" w:sz="4" w:space="0"/>
            </w:tcBorders>
            <w:shd w:val="clear"/>
            <w:vAlign w:val="center"/>
          </w:tcPr>
          <w:p w14:paraId="3BF47D21">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烟气粉尘排放</w:t>
            </w:r>
          </w:p>
        </w:tc>
        <w:tc>
          <w:tcPr>
            <w:tcW w:w="3957" w:type="dxa"/>
            <w:tcBorders>
              <w:top w:val="single" w:color="auto" w:sz="4" w:space="0"/>
              <w:left w:val="single" w:color="auto" w:sz="4" w:space="0"/>
              <w:bottom w:val="single" w:color="auto" w:sz="4" w:space="0"/>
              <w:right w:val="single" w:color="auto" w:sz="8" w:space="0"/>
            </w:tcBorders>
            <w:shd w:val="clear"/>
            <w:vAlign w:val="center"/>
          </w:tcPr>
          <w:p w14:paraId="2528109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76</w:t>
            </w:r>
          </w:p>
        </w:tc>
      </w:tr>
      <w:tr w14:paraId="4E931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vAlign w:val="top"/>
          </w:tcPr>
          <w:p w14:paraId="1AA0C711">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6</w:t>
            </w:r>
          </w:p>
        </w:tc>
        <w:tc>
          <w:tcPr>
            <w:tcW w:w="4111" w:type="dxa"/>
            <w:tcBorders>
              <w:top w:val="single" w:color="auto" w:sz="4" w:space="0"/>
              <w:left w:val="single" w:color="auto" w:sz="4" w:space="0"/>
              <w:bottom w:val="single" w:color="auto" w:sz="4" w:space="0"/>
              <w:right w:val="single" w:color="auto" w:sz="4" w:space="0"/>
            </w:tcBorders>
            <w:shd w:val="clear"/>
            <w:vAlign w:val="center"/>
          </w:tcPr>
          <w:p w14:paraId="292F35BA">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二噁英排放</w:t>
            </w:r>
          </w:p>
        </w:tc>
        <w:tc>
          <w:tcPr>
            <w:tcW w:w="3957" w:type="dxa"/>
            <w:tcBorders>
              <w:top w:val="single" w:color="auto" w:sz="4" w:space="0"/>
              <w:left w:val="single" w:color="auto" w:sz="4" w:space="0"/>
              <w:bottom w:val="single" w:color="auto" w:sz="4" w:space="0"/>
              <w:right w:val="single" w:color="auto" w:sz="8" w:space="0"/>
            </w:tcBorders>
            <w:shd w:val="clear"/>
            <w:vAlign w:val="center"/>
          </w:tcPr>
          <w:p w14:paraId="51C1D026">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GB 18485</w:t>
            </w:r>
          </w:p>
        </w:tc>
      </w:tr>
      <w:bookmarkEnd w:id="40"/>
      <w:tr w14:paraId="046A3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8" w:space="0"/>
              <w:right w:val="single" w:color="auto" w:sz="4" w:space="0"/>
            </w:tcBorders>
            <w:shd w:val="clear"/>
            <w:vAlign w:val="top"/>
          </w:tcPr>
          <w:p w14:paraId="7EC3BE78">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7</w:t>
            </w:r>
          </w:p>
        </w:tc>
        <w:tc>
          <w:tcPr>
            <w:tcW w:w="4111" w:type="dxa"/>
            <w:tcBorders>
              <w:top w:val="single" w:color="auto" w:sz="4" w:space="0"/>
              <w:left w:val="single" w:color="auto" w:sz="4" w:space="0"/>
              <w:bottom w:val="single" w:color="auto" w:sz="8" w:space="0"/>
              <w:right w:val="single" w:color="auto" w:sz="4" w:space="0"/>
            </w:tcBorders>
            <w:shd w:val="clear"/>
            <w:vAlign w:val="center"/>
          </w:tcPr>
          <w:p w14:paraId="1913DEC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系统综合能耗</w:t>
            </w:r>
          </w:p>
        </w:tc>
        <w:tc>
          <w:tcPr>
            <w:tcW w:w="3957" w:type="dxa"/>
            <w:tcBorders>
              <w:top w:val="single" w:color="auto" w:sz="4" w:space="0"/>
              <w:left w:val="single" w:color="auto" w:sz="4" w:space="0"/>
              <w:bottom w:val="single" w:color="auto" w:sz="8" w:space="0"/>
              <w:right w:val="single" w:color="auto" w:sz="8" w:space="0"/>
            </w:tcBorders>
            <w:shd w:val="clear"/>
            <w:vAlign w:val="center"/>
          </w:tcPr>
          <w:p w14:paraId="40FD7352">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电表</w:t>
            </w:r>
            <w:r>
              <w:rPr>
                <w:rFonts w:hint="default" w:ascii="Times New Roman" w:hAnsi="Times New Roman" w:cs="Times New Roman"/>
                <w:sz w:val="28"/>
                <w:szCs w:val="28"/>
                <w:highlight w:val="none"/>
                <w:bdr w:val="none" w:color="auto" w:sz="0" w:space="0"/>
                <w:lang w:val="en-US"/>
              </w:rPr>
              <w:t>/</w:t>
            </w:r>
            <w:r>
              <w:rPr>
                <w:rFonts w:hint="default" w:ascii="Times New Roman" w:hAnsi="Times New Roman" w:cs="Times New Roman"/>
                <w:sz w:val="28"/>
                <w:szCs w:val="28"/>
                <w:highlight w:val="none"/>
                <w:bdr w:val="none" w:color="auto" w:sz="0" w:space="0"/>
              </w:rPr>
              <w:t>流量计累积</w:t>
            </w:r>
          </w:p>
        </w:tc>
      </w:tr>
    </w:tbl>
    <w:p w14:paraId="05A05460">
      <w:pPr>
        <w:pStyle w:val="37"/>
        <w:widowControl/>
        <w:spacing w:line="360" w:lineRule="auto"/>
        <w:ind w:left="0" w:firstLine="420"/>
        <w:rPr>
          <w:rFonts w:hint="default" w:ascii="Times New Roman" w:hAnsi="Times New Roman" w:cs="Times New Roman"/>
          <w:sz w:val="28"/>
          <w:szCs w:val="28"/>
          <w:highlight w:val="none"/>
          <w:lang w:val="en-US"/>
        </w:rPr>
      </w:pPr>
    </w:p>
    <w:p w14:paraId="08D0D79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噪声、废水等指标宜作为附加保证项，但不应影响核心性能验收。</w:t>
      </w:r>
    </w:p>
    <w:p w14:paraId="4C39205F">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考核测试</w:t>
      </w:r>
    </w:p>
    <w:p w14:paraId="030D6392">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测试应满足：</w:t>
      </w:r>
    </w:p>
    <w:p w14:paraId="278FCBD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污泥特性符合设计范围，含水率</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，热值</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529E860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系统连续运行</w:t>
      </w:r>
      <w:r>
        <w:rPr>
          <w:rFonts w:hint="default" w:ascii="Times New Roman" w:hAnsi="Times New Roman" w:cs="Times New Roman"/>
          <w:sz w:val="28"/>
          <w:szCs w:val="28"/>
          <w:highlight w:val="none"/>
          <w:lang w:val="en-US"/>
        </w:rPr>
        <w:t>≥72 h</w:t>
      </w:r>
      <w:r>
        <w:rPr>
          <w:rFonts w:hint="default" w:ascii="Times New Roman" w:hAnsi="Times New Roman" w:cs="Times New Roman"/>
          <w:sz w:val="28"/>
          <w:szCs w:val="28"/>
          <w:highlight w:val="none"/>
          <w:lang w:eastAsia="zh-CN"/>
        </w:rPr>
        <w:t>，负荷</w:t>
      </w:r>
      <w:r>
        <w:rPr>
          <w:rFonts w:hint="default" w:ascii="Times New Roman" w:hAnsi="Times New Roman" w:cs="Times New Roman"/>
          <w:sz w:val="28"/>
          <w:szCs w:val="28"/>
          <w:highlight w:val="none"/>
          <w:lang w:val="en-US"/>
        </w:rPr>
        <w:t>≥95%</w:t>
      </w:r>
      <w:r>
        <w:rPr>
          <w:rFonts w:hint="default" w:ascii="Times New Roman" w:hAnsi="Times New Roman" w:cs="Times New Roman"/>
          <w:sz w:val="28"/>
          <w:szCs w:val="28"/>
          <w:highlight w:val="none"/>
          <w:lang w:eastAsia="zh-CN"/>
        </w:rPr>
        <w:t>额定值；</w:t>
      </w:r>
    </w:p>
    <w:p w14:paraId="1EC5F43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烟气净化、除臭等环保设施同步投运。</w:t>
      </w:r>
    </w:p>
    <w:p w14:paraId="6D7E5B6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外部环境超出设计范围时可暂停测试。</w:t>
      </w:r>
    </w:p>
    <w:p w14:paraId="4BD4BAD3">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测试方法</w:t>
      </w:r>
    </w:p>
    <w:p w14:paraId="416A6198">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污染物排放应由具备</w:t>
      </w:r>
      <w:r>
        <w:rPr>
          <w:rFonts w:hint="default" w:ascii="Times New Roman" w:hAnsi="Times New Roman" w:cs="Times New Roman"/>
          <w:sz w:val="28"/>
          <w:szCs w:val="28"/>
          <w:highlight w:val="none"/>
          <w:lang w:val="en-US"/>
        </w:rPr>
        <w:t>CMA</w:t>
      </w:r>
      <w:r>
        <w:rPr>
          <w:rFonts w:hint="default" w:ascii="Times New Roman" w:hAnsi="Times New Roman" w:cs="Times New Roman"/>
          <w:sz w:val="28"/>
          <w:szCs w:val="28"/>
          <w:highlight w:val="none"/>
          <w:lang w:eastAsia="zh-CN"/>
        </w:rPr>
        <w:t>资质的第三方检测，采样频次应符合：</w:t>
      </w:r>
    </w:p>
    <w:p w14:paraId="7E21EC0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w:t>
      </w:r>
      <w:r>
        <w:rPr>
          <w:rFonts w:hint="default" w:ascii="Times New Roman" w:hAnsi="Times New Roman" w:cs="Times New Roman"/>
          <w:sz w:val="28"/>
          <w:szCs w:val="28"/>
          <w:highlight w:val="none"/>
          <w:lang w:val="en-US"/>
        </w:rPr>
        <w:t>4 h</w:t>
      </w:r>
      <w:r>
        <w:rPr>
          <w:rFonts w:hint="default" w:ascii="Times New Roman" w:hAnsi="Times New Roman" w:cs="Times New Roman"/>
          <w:sz w:val="28"/>
          <w:szCs w:val="28"/>
          <w:highlight w:val="none"/>
          <w:lang w:eastAsia="zh-CN"/>
        </w:rPr>
        <w:t>采集</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次，烟气参数：</w:t>
      </w:r>
      <w:r>
        <w:rPr>
          <w:rFonts w:hint="default" w:ascii="Times New Roman" w:hAnsi="Times New Roman" w:cs="Times New Roman"/>
          <w:sz w:val="28"/>
          <w:szCs w:val="28"/>
          <w:highlight w:val="none"/>
          <w:lang w:eastAsia="zh-CN"/>
        </w:rPr>
        <w:t xml:space="preserve"> </w:t>
      </w:r>
    </w:p>
    <w:p w14:paraId="5730B892">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粉尘；</w:t>
      </w:r>
    </w:p>
    <w:p w14:paraId="2E995F42">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SO₂</w:t>
      </w:r>
      <w:r>
        <w:rPr>
          <w:rFonts w:hint="default" w:ascii="Times New Roman" w:hAnsi="Times New Roman" w:cs="Times New Roman"/>
          <w:sz w:val="28"/>
          <w:szCs w:val="28"/>
          <w:highlight w:val="none"/>
          <w:lang w:eastAsia="zh-CN"/>
        </w:rPr>
        <w:t>；</w:t>
      </w:r>
    </w:p>
    <w:p w14:paraId="4FE9BEC0">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NOx</w:t>
      </w:r>
      <w:r>
        <w:rPr>
          <w:rFonts w:hint="default" w:ascii="Times New Roman" w:hAnsi="Times New Roman" w:cs="Times New Roman"/>
          <w:sz w:val="28"/>
          <w:szCs w:val="28"/>
          <w:highlight w:val="none"/>
          <w:lang w:eastAsia="zh-CN"/>
        </w:rPr>
        <w:t>。</w:t>
      </w:r>
    </w:p>
    <w:p w14:paraId="6E8CC4B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二噁英：至少</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个有效样品，每样品采集</w:t>
      </w:r>
      <w:r>
        <w:rPr>
          <w:rFonts w:hint="default" w:ascii="Times New Roman" w:hAnsi="Times New Roman" w:cs="Times New Roman"/>
          <w:sz w:val="28"/>
          <w:szCs w:val="28"/>
          <w:highlight w:val="none"/>
          <w:lang w:val="en-US"/>
        </w:rPr>
        <w:t>≥6 h</w:t>
      </w:r>
      <w:r>
        <w:rPr>
          <w:rFonts w:hint="default" w:ascii="Times New Roman" w:hAnsi="Times New Roman" w:cs="Times New Roman"/>
          <w:sz w:val="28"/>
          <w:szCs w:val="28"/>
          <w:highlight w:val="none"/>
          <w:lang w:eastAsia="zh-CN"/>
        </w:rPr>
        <w:t>。</w:t>
      </w:r>
    </w:p>
    <w:p w14:paraId="3F5401C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能耗数据通过校准仪表实时记录，精度应满足：</w:t>
      </w:r>
    </w:p>
    <w:p w14:paraId="64DA981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电能：</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级；</w:t>
      </w:r>
    </w:p>
    <w:p w14:paraId="57BFC48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蒸汽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燃料：</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w:t>
      </w:r>
    </w:p>
    <w:p w14:paraId="7678C19C">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验收要求</w:t>
      </w:r>
    </w:p>
    <w:p w14:paraId="68C0B17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单项参数实测值应满足：</w:t>
      </w:r>
    </w:p>
    <w:p w14:paraId="1C834BE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保证值</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22EB036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严格限值超差即判定不合格。</w:t>
      </w:r>
    </w:p>
    <w:p w14:paraId="3B871D1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因供应商责任导致考核失败：</w:t>
      </w:r>
    </w:p>
    <w:p w14:paraId="13E2C1C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免费整改后重测；</w:t>
      </w:r>
    </w:p>
    <w:p w14:paraId="19110E9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重测费用由供应商承担。</w:t>
      </w:r>
    </w:p>
    <w:p w14:paraId="78EB471D">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责任要求</w:t>
      </w:r>
    </w:p>
    <w:p w14:paraId="186E52C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性能保证期应为验收后</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个月，期内：</w:t>
      </w:r>
    </w:p>
    <w:p w14:paraId="0C56DA8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保证值持续有效；</w:t>
      </w:r>
    </w:p>
    <w:p w14:paraId="682FCC1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非用户原因导致的性能下降免费修复。</w:t>
      </w:r>
    </w:p>
    <w:p w14:paraId="0216620E">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保证期可延长至重大维修后</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个月。</w:t>
      </w:r>
    </w:p>
    <w:p w14:paraId="44BC6B17">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205892337"/>
      <w:bookmarkStart w:id="42" w:name="_Toc205913163"/>
      <w:r>
        <w:rPr>
          <w:rFonts w:hint="default" w:ascii="Times New Roman" w:hAnsi="Times New Roman" w:cs="Times New Roman"/>
          <w:sz w:val="28"/>
          <w:szCs w:val="28"/>
          <w:highlight w:val="none"/>
          <w:lang w:eastAsia="zh-CN"/>
        </w:rPr>
        <w:t>安全要求</w:t>
      </w:r>
      <w:bookmarkEnd w:id="41"/>
      <w:bookmarkEnd w:id="42"/>
    </w:p>
    <w:p w14:paraId="2770739A">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环保排放</w:t>
      </w:r>
    </w:p>
    <w:p w14:paraId="52FB92BB">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烟气排放</w:t>
      </w:r>
    </w:p>
    <w:p w14:paraId="61E2F601">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集成装备最终排气筒出口污染物浓度应满足表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限值（基准氧含量</w:t>
      </w:r>
      <w:r>
        <w:rPr>
          <w:rFonts w:hint="default" w:ascii="Times New Roman" w:hAnsi="Times New Roman" w:cs="Times New Roman"/>
          <w:sz w:val="28"/>
          <w:szCs w:val="28"/>
          <w:highlight w:val="none"/>
          <w:lang w:val="en-US"/>
        </w:rPr>
        <w:t>11%</w:t>
      </w:r>
      <w:r>
        <w:rPr>
          <w:rFonts w:hint="default" w:ascii="Times New Roman" w:hAnsi="Times New Roman" w:cs="Times New Roman"/>
          <w:sz w:val="28"/>
          <w:szCs w:val="28"/>
          <w:highlight w:val="none"/>
          <w:lang w:eastAsia="zh-CN"/>
        </w:rPr>
        <w:t>）：</w:t>
      </w:r>
    </w:p>
    <w:p w14:paraId="6BFF20E6">
      <w:pPr>
        <w:pStyle w:val="42"/>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烟气强制排放限值</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156"/>
        <w:gridCol w:w="2241"/>
        <w:gridCol w:w="2164"/>
        <w:gridCol w:w="2150"/>
      </w:tblGrid>
      <w:tr w14:paraId="62A60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blHeader/>
          <w:jc w:val="center"/>
        </w:trPr>
        <w:tc>
          <w:tcPr>
            <w:tcW w:w="2335" w:type="dxa"/>
            <w:tcBorders>
              <w:top w:val="single" w:color="auto" w:sz="8" w:space="0"/>
              <w:left w:val="single" w:color="auto" w:sz="8" w:space="0"/>
              <w:bottom w:val="single" w:color="auto" w:sz="8" w:space="0"/>
              <w:right w:val="single" w:color="auto" w:sz="4" w:space="0"/>
            </w:tcBorders>
            <w:shd w:val="clear"/>
            <w:vAlign w:val="center"/>
          </w:tcPr>
          <w:p w14:paraId="2D60FE25">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污染物</w:t>
            </w:r>
          </w:p>
        </w:tc>
        <w:tc>
          <w:tcPr>
            <w:tcW w:w="2333" w:type="dxa"/>
            <w:tcBorders>
              <w:top w:val="single" w:color="auto" w:sz="8" w:space="0"/>
              <w:left w:val="single" w:color="auto" w:sz="4" w:space="0"/>
              <w:bottom w:val="single" w:color="auto" w:sz="8" w:space="0"/>
              <w:right w:val="single" w:color="auto" w:sz="4" w:space="0"/>
            </w:tcBorders>
            <w:shd w:val="clear"/>
            <w:vAlign w:val="center"/>
          </w:tcPr>
          <w:p w14:paraId="7FDBA48E">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单位</w:t>
            </w:r>
          </w:p>
        </w:tc>
        <w:tc>
          <w:tcPr>
            <w:tcW w:w="2333" w:type="dxa"/>
            <w:tcBorders>
              <w:top w:val="single" w:color="auto" w:sz="8" w:space="0"/>
              <w:left w:val="single" w:color="auto" w:sz="4" w:space="0"/>
              <w:bottom w:val="single" w:color="auto" w:sz="8" w:space="0"/>
              <w:right w:val="single" w:color="auto" w:sz="4" w:space="0"/>
            </w:tcBorders>
            <w:shd w:val="clear"/>
            <w:vAlign w:val="center"/>
          </w:tcPr>
          <w:p w14:paraId="541F4C0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限值</w:t>
            </w:r>
          </w:p>
        </w:tc>
        <w:tc>
          <w:tcPr>
            <w:tcW w:w="2333" w:type="dxa"/>
            <w:tcBorders>
              <w:top w:val="single" w:color="auto" w:sz="8" w:space="0"/>
              <w:left w:val="single" w:color="auto" w:sz="4" w:space="0"/>
              <w:bottom w:val="single" w:color="auto" w:sz="8" w:space="0"/>
              <w:right w:val="single" w:color="auto" w:sz="8" w:space="0"/>
            </w:tcBorders>
            <w:shd w:val="clear"/>
            <w:vAlign w:val="center"/>
          </w:tcPr>
          <w:p w14:paraId="20D226A9">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测试标准</w:t>
            </w:r>
          </w:p>
        </w:tc>
      </w:tr>
      <w:tr w14:paraId="76450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2335" w:type="dxa"/>
            <w:tcBorders>
              <w:top w:val="single" w:color="auto" w:sz="8" w:space="0"/>
              <w:left w:val="single" w:color="auto" w:sz="8" w:space="0"/>
              <w:bottom w:val="single" w:color="auto" w:sz="4" w:space="0"/>
              <w:right w:val="single" w:color="auto" w:sz="4" w:space="0"/>
            </w:tcBorders>
            <w:shd w:val="clear"/>
            <w:vAlign w:val="center"/>
          </w:tcPr>
          <w:p w14:paraId="42F97F72">
            <w:pPr>
              <w:pStyle w:val="41"/>
              <w:widowControl/>
              <w:spacing w:line="360" w:lineRule="auto"/>
              <w:rPr>
                <w:rFonts w:hint="default" w:ascii="Times New Roman" w:hAnsi="Times New Roman" w:cs="Times New Roman"/>
                <w:sz w:val="28"/>
                <w:szCs w:val="28"/>
                <w:highlight w:val="none"/>
                <w:bdr w:val="none" w:color="auto" w:sz="0" w:space="0"/>
                <w:lang w:val="en-US"/>
              </w:rPr>
            </w:pPr>
            <w:bookmarkStart w:id="43" w:name="_Hlk205900079"/>
            <w:r>
              <w:rPr>
                <w:rFonts w:hint="default" w:ascii="Times New Roman" w:hAnsi="Times New Roman" w:cs="Times New Roman"/>
                <w:sz w:val="28"/>
                <w:szCs w:val="28"/>
                <w:highlight w:val="none"/>
                <w:bdr w:val="none" w:color="auto" w:sz="0" w:space="0"/>
              </w:rPr>
              <w:t>颗粒物</w:t>
            </w:r>
          </w:p>
        </w:tc>
        <w:tc>
          <w:tcPr>
            <w:tcW w:w="2333" w:type="dxa"/>
            <w:tcBorders>
              <w:top w:val="single" w:color="auto" w:sz="8" w:space="0"/>
              <w:left w:val="single" w:color="auto" w:sz="4" w:space="0"/>
              <w:bottom w:val="single" w:color="auto" w:sz="4" w:space="0"/>
              <w:right w:val="single" w:color="auto" w:sz="4" w:space="0"/>
            </w:tcBorders>
            <w:shd w:val="clear"/>
            <w:vAlign w:val="top"/>
          </w:tcPr>
          <w:p w14:paraId="4A5FD15E">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mg/Nm³</w:t>
            </w:r>
          </w:p>
        </w:tc>
        <w:tc>
          <w:tcPr>
            <w:tcW w:w="2333" w:type="dxa"/>
            <w:tcBorders>
              <w:top w:val="single" w:color="auto" w:sz="8" w:space="0"/>
              <w:left w:val="single" w:color="auto" w:sz="4" w:space="0"/>
              <w:bottom w:val="single" w:color="auto" w:sz="4" w:space="0"/>
              <w:right w:val="single" w:color="auto" w:sz="4" w:space="0"/>
            </w:tcBorders>
            <w:shd w:val="clear"/>
            <w:vAlign w:val="center"/>
          </w:tcPr>
          <w:p w14:paraId="2FB943C3">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≤20</w:t>
            </w:r>
          </w:p>
        </w:tc>
        <w:tc>
          <w:tcPr>
            <w:tcW w:w="2333" w:type="dxa"/>
            <w:tcBorders>
              <w:top w:val="single" w:color="auto" w:sz="8" w:space="0"/>
              <w:left w:val="single" w:color="auto" w:sz="4" w:space="0"/>
              <w:bottom w:val="single" w:color="auto" w:sz="4" w:space="0"/>
              <w:right w:val="single" w:color="auto" w:sz="8" w:space="0"/>
            </w:tcBorders>
            <w:shd w:val="clear"/>
            <w:vAlign w:val="center"/>
          </w:tcPr>
          <w:p w14:paraId="00E79C7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76</w:t>
            </w:r>
          </w:p>
        </w:tc>
      </w:tr>
      <w:tr w14:paraId="1245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shd w:val="clear"/>
            <w:vAlign w:val="center"/>
          </w:tcPr>
          <w:p w14:paraId="7DDE6B4B">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SO₂</w:t>
            </w:r>
          </w:p>
        </w:tc>
        <w:tc>
          <w:tcPr>
            <w:tcW w:w="2333" w:type="dxa"/>
            <w:tcBorders>
              <w:top w:val="single" w:color="auto" w:sz="4" w:space="0"/>
              <w:left w:val="single" w:color="auto" w:sz="4" w:space="0"/>
              <w:bottom w:val="single" w:color="auto" w:sz="4" w:space="0"/>
              <w:right w:val="single" w:color="auto" w:sz="4" w:space="0"/>
            </w:tcBorders>
            <w:shd w:val="clear"/>
            <w:vAlign w:val="top"/>
          </w:tcPr>
          <w:p w14:paraId="68D41D9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mg/Nm³</w:t>
            </w:r>
          </w:p>
        </w:tc>
        <w:tc>
          <w:tcPr>
            <w:tcW w:w="2333" w:type="dxa"/>
            <w:tcBorders>
              <w:top w:val="single" w:color="auto" w:sz="4" w:space="0"/>
              <w:left w:val="single" w:color="auto" w:sz="4" w:space="0"/>
              <w:bottom w:val="single" w:color="auto" w:sz="4" w:space="0"/>
              <w:right w:val="single" w:color="auto" w:sz="4" w:space="0"/>
            </w:tcBorders>
            <w:shd w:val="clear"/>
            <w:vAlign w:val="center"/>
          </w:tcPr>
          <w:p w14:paraId="035438AA">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≤80</w:t>
            </w:r>
          </w:p>
        </w:tc>
        <w:tc>
          <w:tcPr>
            <w:tcW w:w="2333" w:type="dxa"/>
            <w:tcBorders>
              <w:top w:val="single" w:color="auto" w:sz="4" w:space="0"/>
              <w:left w:val="single" w:color="auto" w:sz="4" w:space="0"/>
              <w:bottom w:val="single" w:color="auto" w:sz="4" w:space="0"/>
              <w:right w:val="single" w:color="auto" w:sz="8" w:space="0"/>
            </w:tcBorders>
            <w:shd w:val="clear"/>
            <w:vAlign w:val="center"/>
          </w:tcPr>
          <w:p w14:paraId="39F8437E">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57</w:t>
            </w:r>
          </w:p>
        </w:tc>
      </w:tr>
      <w:tr w14:paraId="3C488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shd w:val="clear"/>
            <w:vAlign w:val="center"/>
          </w:tcPr>
          <w:p w14:paraId="5B03919C">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NOx</w:t>
            </w:r>
          </w:p>
        </w:tc>
        <w:tc>
          <w:tcPr>
            <w:tcW w:w="2333" w:type="dxa"/>
            <w:tcBorders>
              <w:top w:val="single" w:color="auto" w:sz="4" w:space="0"/>
              <w:left w:val="single" w:color="auto" w:sz="4" w:space="0"/>
              <w:bottom w:val="single" w:color="auto" w:sz="4" w:space="0"/>
              <w:right w:val="single" w:color="auto" w:sz="4" w:space="0"/>
            </w:tcBorders>
            <w:shd w:val="clear"/>
            <w:vAlign w:val="top"/>
          </w:tcPr>
          <w:p w14:paraId="6AC4441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mg/Nm³</w:t>
            </w:r>
          </w:p>
        </w:tc>
        <w:tc>
          <w:tcPr>
            <w:tcW w:w="2333" w:type="dxa"/>
            <w:tcBorders>
              <w:top w:val="single" w:color="auto" w:sz="4" w:space="0"/>
              <w:left w:val="single" w:color="auto" w:sz="4" w:space="0"/>
              <w:bottom w:val="single" w:color="auto" w:sz="4" w:space="0"/>
              <w:right w:val="single" w:color="auto" w:sz="4" w:space="0"/>
            </w:tcBorders>
            <w:shd w:val="clear"/>
            <w:vAlign w:val="center"/>
          </w:tcPr>
          <w:p w14:paraId="2346237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≤250</w:t>
            </w:r>
          </w:p>
        </w:tc>
        <w:tc>
          <w:tcPr>
            <w:tcW w:w="2333" w:type="dxa"/>
            <w:tcBorders>
              <w:top w:val="single" w:color="auto" w:sz="4" w:space="0"/>
              <w:left w:val="single" w:color="auto" w:sz="4" w:space="0"/>
              <w:bottom w:val="single" w:color="auto" w:sz="4" w:space="0"/>
              <w:right w:val="single" w:color="auto" w:sz="8" w:space="0"/>
            </w:tcBorders>
            <w:shd w:val="clear"/>
            <w:vAlign w:val="center"/>
          </w:tcPr>
          <w:p w14:paraId="648309D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692</w:t>
            </w:r>
          </w:p>
        </w:tc>
      </w:tr>
      <w:tr w14:paraId="4FE5F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shd w:val="clear"/>
            <w:vAlign w:val="center"/>
          </w:tcPr>
          <w:p w14:paraId="5ADD2578">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HCl</w:t>
            </w:r>
          </w:p>
        </w:tc>
        <w:tc>
          <w:tcPr>
            <w:tcW w:w="2333" w:type="dxa"/>
            <w:tcBorders>
              <w:top w:val="single" w:color="auto" w:sz="4" w:space="0"/>
              <w:left w:val="single" w:color="auto" w:sz="4" w:space="0"/>
              <w:bottom w:val="single" w:color="auto" w:sz="4" w:space="0"/>
              <w:right w:val="single" w:color="auto" w:sz="4" w:space="0"/>
            </w:tcBorders>
            <w:shd w:val="clear"/>
            <w:vAlign w:val="top"/>
          </w:tcPr>
          <w:p w14:paraId="0EDC1DA2">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mg/Nm³</w:t>
            </w:r>
          </w:p>
        </w:tc>
        <w:tc>
          <w:tcPr>
            <w:tcW w:w="2333" w:type="dxa"/>
            <w:tcBorders>
              <w:top w:val="single" w:color="auto" w:sz="4" w:space="0"/>
              <w:left w:val="single" w:color="auto" w:sz="4" w:space="0"/>
              <w:bottom w:val="single" w:color="auto" w:sz="4" w:space="0"/>
              <w:right w:val="single" w:color="auto" w:sz="4" w:space="0"/>
            </w:tcBorders>
            <w:shd w:val="clear"/>
            <w:vAlign w:val="center"/>
          </w:tcPr>
          <w:p w14:paraId="20390CB0">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≤50</w:t>
            </w:r>
          </w:p>
        </w:tc>
        <w:tc>
          <w:tcPr>
            <w:tcW w:w="2333" w:type="dxa"/>
            <w:tcBorders>
              <w:top w:val="single" w:color="auto" w:sz="4" w:space="0"/>
              <w:left w:val="single" w:color="auto" w:sz="4" w:space="0"/>
              <w:bottom w:val="single" w:color="auto" w:sz="4" w:space="0"/>
              <w:right w:val="single" w:color="auto" w:sz="8" w:space="0"/>
            </w:tcBorders>
            <w:shd w:val="clear"/>
            <w:vAlign w:val="center"/>
          </w:tcPr>
          <w:p w14:paraId="66BA2FAC">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548</w:t>
            </w:r>
          </w:p>
        </w:tc>
      </w:tr>
      <w:tr w14:paraId="4D99A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4" w:space="0"/>
              <w:right w:val="single" w:color="auto" w:sz="4" w:space="0"/>
            </w:tcBorders>
            <w:shd w:val="clear"/>
            <w:vAlign w:val="center"/>
          </w:tcPr>
          <w:p w14:paraId="7915C76D">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二噁英类</w:t>
            </w:r>
          </w:p>
        </w:tc>
        <w:tc>
          <w:tcPr>
            <w:tcW w:w="2333" w:type="dxa"/>
            <w:tcBorders>
              <w:top w:val="single" w:color="auto" w:sz="4" w:space="0"/>
              <w:left w:val="single" w:color="auto" w:sz="4" w:space="0"/>
              <w:bottom w:val="single" w:color="auto" w:sz="4" w:space="0"/>
              <w:right w:val="single" w:color="auto" w:sz="4" w:space="0"/>
            </w:tcBorders>
            <w:shd w:val="clear"/>
            <w:vAlign w:val="center"/>
          </w:tcPr>
          <w:p w14:paraId="7673C388">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ngTEQ/Nm</w:t>
            </w:r>
            <w:r>
              <w:rPr>
                <w:rFonts w:hint="default" w:ascii="Times New Roman" w:hAnsi="Times New Roman" w:cs="Times New Roman"/>
                <w:sz w:val="28"/>
                <w:szCs w:val="28"/>
                <w:highlight w:val="none"/>
                <w:bdr w:val="none" w:color="auto" w:sz="0" w:space="0"/>
                <w:vertAlign w:val="superscript"/>
                <w:lang w:val="en-US"/>
              </w:rPr>
              <w:t>3</w:t>
            </w:r>
          </w:p>
        </w:tc>
        <w:tc>
          <w:tcPr>
            <w:tcW w:w="2333" w:type="dxa"/>
            <w:tcBorders>
              <w:top w:val="single" w:color="auto" w:sz="4" w:space="0"/>
              <w:left w:val="single" w:color="auto" w:sz="4" w:space="0"/>
              <w:bottom w:val="single" w:color="auto" w:sz="4" w:space="0"/>
              <w:right w:val="single" w:color="auto" w:sz="4" w:space="0"/>
            </w:tcBorders>
            <w:shd w:val="clear"/>
            <w:vAlign w:val="center"/>
          </w:tcPr>
          <w:p w14:paraId="623B2164">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≤0.1</w:t>
            </w:r>
          </w:p>
        </w:tc>
        <w:tc>
          <w:tcPr>
            <w:tcW w:w="2333" w:type="dxa"/>
            <w:tcBorders>
              <w:top w:val="single" w:color="auto" w:sz="4" w:space="0"/>
              <w:left w:val="single" w:color="auto" w:sz="4" w:space="0"/>
              <w:bottom w:val="single" w:color="auto" w:sz="4" w:space="0"/>
              <w:right w:val="single" w:color="auto" w:sz="8" w:space="0"/>
            </w:tcBorders>
            <w:shd w:val="clear"/>
            <w:vAlign w:val="center"/>
          </w:tcPr>
          <w:p w14:paraId="35BD9CCB">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77.2</w:t>
            </w:r>
          </w:p>
        </w:tc>
      </w:tr>
      <w:tr w14:paraId="533BF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jc w:val="center"/>
        </w:trPr>
        <w:tc>
          <w:tcPr>
            <w:tcW w:w="2335" w:type="dxa"/>
            <w:tcBorders>
              <w:top w:val="single" w:color="auto" w:sz="4" w:space="0"/>
              <w:left w:val="single" w:color="auto" w:sz="8" w:space="0"/>
              <w:bottom w:val="single" w:color="auto" w:sz="8" w:space="0"/>
              <w:right w:val="single" w:color="auto" w:sz="4" w:space="0"/>
            </w:tcBorders>
            <w:shd w:val="clear"/>
            <w:vAlign w:val="center"/>
          </w:tcPr>
          <w:p w14:paraId="6A495CAE">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rPr>
              <w:t>汞及其化合物</w:t>
            </w:r>
          </w:p>
        </w:tc>
        <w:tc>
          <w:tcPr>
            <w:tcW w:w="2333" w:type="dxa"/>
            <w:tcBorders>
              <w:top w:val="single" w:color="auto" w:sz="4" w:space="0"/>
              <w:left w:val="single" w:color="auto" w:sz="4" w:space="0"/>
              <w:bottom w:val="single" w:color="auto" w:sz="8" w:space="0"/>
              <w:right w:val="single" w:color="auto" w:sz="4" w:space="0"/>
            </w:tcBorders>
            <w:shd w:val="clear"/>
            <w:vAlign w:val="top"/>
          </w:tcPr>
          <w:p w14:paraId="4B6D485C">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mg/Nm³</w:t>
            </w:r>
          </w:p>
        </w:tc>
        <w:tc>
          <w:tcPr>
            <w:tcW w:w="2333" w:type="dxa"/>
            <w:tcBorders>
              <w:top w:val="single" w:color="auto" w:sz="4" w:space="0"/>
              <w:left w:val="single" w:color="auto" w:sz="4" w:space="0"/>
              <w:bottom w:val="single" w:color="auto" w:sz="8" w:space="0"/>
              <w:right w:val="single" w:color="auto" w:sz="4" w:space="0"/>
            </w:tcBorders>
            <w:shd w:val="clear"/>
            <w:vAlign w:val="center"/>
          </w:tcPr>
          <w:p w14:paraId="695F8BC9">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≤0.05</w:t>
            </w:r>
          </w:p>
        </w:tc>
        <w:tc>
          <w:tcPr>
            <w:tcW w:w="2333" w:type="dxa"/>
            <w:tcBorders>
              <w:top w:val="single" w:color="auto" w:sz="4" w:space="0"/>
              <w:left w:val="single" w:color="auto" w:sz="4" w:space="0"/>
              <w:bottom w:val="single" w:color="auto" w:sz="8" w:space="0"/>
              <w:right w:val="single" w:color="auto" w:sz="8" w:space="0"/>
            </w:tcBorders>
            <w:shd w:val="clear"/>
            <w:vAlign w:val="center"/>
          </w:tcPr>
          <w:p w14:paraId="0EE564DF">
            <w:pPr>
              <w:pStyle w:val="41"/>
              <w:widowControl/>
              <w:spacing w:line="360" w:lineRule="auto"/>
              <w:rPr>
                <w:rFonts w:hint="default" w:ascii="Times New Roman" w:hAnsi="Times New Roman" w:cs="Times New Roman"/>
                <w:sz w:val="28"/>
                <w:szCs w:val="28"/>
                <w:highlight w:val="none"/>
                <w:bdr w:val="none" w:color="auto" w:sz="0" w:space="0"/>
                <w:lang w:val="en-US"/>
              </w:rPr>
            </w:pPr>
            <w:r>
              <w:rPr>
                <w:rFonts w:hint="default" w:ascii="Times New Roman" w:hAnsi="Times New Roman" w:cs="Times New Roman"/>
                <w:sz w:val="28"/>
                <w:szCs w:val="28"/>
                <w:highlight w:val="none"/>
                <w:bdr w:val="none" w:color="auto" w:sz="0" w:space="0"/>
                <w:lang w:val="en-US"/>
              </w:rPr>
              <w:t>HJ 543</w:t>
            </w:r>
          </w:p>
        </w:tc>
      </w:tr>
      <w:bookmarkEnd w:id="43"/>
    </w:tbl>
    <w:p w14:paraId="125D0B79">
      <w:pPr>
        <w:pStyle w:val="37"/>
        <w:widowControl/>
        <w:spacing w:line="360" w:lineRule="auto"/>
        <w:ind w:left="0" w:firstLine="420"/>
        <w:rPr>
          <w:rFonts w:hint="default" w:ascii="Times New Roman" w:hAnsi="Times New Roman" w:cs="Times New Roman"/>
          <w:sz w:val="28"/>
          <w:szCs w:val="28"/>
          <w:highlight w:val="none"/>
          <w:lang w:val="en-US"/>
        </w:rPr>
      </w:pPr>
    </w:p>
    <w:p w14:paraId="2689A5B9">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废水与固废</w:t>
      </w:r>
    </w:p>
    <w:p w14:paraId="5A21C6E1">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废水与固废</w:t>
      </w:r>
      <w:bookmarkStart w:id="44" w:name="OLE_LINK3"/>
      <w:r>
        <w:rPr>
          <w:rFonts w:hint="default" w:ascii="Times New Roman" w:hAnsi="Times New Roman" w:cs="Times New Roman"/>
          <w:sz w:val="28"/>
          <w:szCs w:val="28"/>
          <w:highlight w:val="none"/>
          <w:lang w:eastAsia="zh-CN"/>
        </w:rPr>
        <w:t>应满足以下要求</w:t>
      </w:r>
      <w:bookmarkEnd w:id="44"/>
      <w:r>
        <w:rPr>
          <w:rFonts w:hint="default" w:ascii="Times New Roman" w:hAnsi="Times New Roman" w:cs="Times New Roman"/>
          <w:sz w:val="28"/>
          <w:szCs w:val="28"/>
          <w:highlight w:val="none"/>
          <w:lang w:eastAsia="zh-CN"/>
        </w:rPr>
        <w:t>：</w:t>
      </w:r>
    </w:p>
    <w:p w14:paraId="65B7A99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工艺废水预处理至</w:t>
      </w:r>
      <w:r>
        <w:rPr>
          <w:rFonts w:hint="default" w:ascii="Times New Roman" w:hAnsi="Times New Roman" w:cs="Times New Roman"/>
          <w:sz w:val="28"/>
          <w:szCs w:val="28"/>
          <w:highlight w:val="none"/>
          <w:lang w:val="en-US"/>
        </w:rPr>
        <w:t>pH=6~9</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COD≤100 mg/L</w:t>
      </w:r>
      <w:r>
        <w:rPr>
          <w:rFonts w:hint="default" w:ascii="Times New Roman" w:hAnsi="Times New Roman" w:cs="Times New Roman"/>
          <w:sz w:val="28"/>
          <w:szCs w:val="28"/>
          <w:highlight w:val="none"/>
          <w:lang w:eastAsia="zh-CN"/>
        </w:rPr>
        <w:t>后，排入厂区污水管网；</w:t>
      </w:r>
    </w:p>
    <w:p w14:paraId="4563BFA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飞灰按危险废物管理，密封转运至有资质单位处置。</w:t>
      </w:r>
    </w:p>
    <w:p w14:paraId="09069E9A">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安全设计</w:t>
      </w:r>
    </w:p>
    <w:p w14:paraId="3E8F28E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防爆防火应满足以下要求：</w:t>
      </w:r>
    </w:p>
    <w:p w14:paraId="08886BD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干化机、干污泥仓等爆炸风险区，配置：</w:t>
      </w:r>
    </w:p>
    <w:p w14:paraId="0757A80F">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氧含量监测仪，精度</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5645691A">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自动氮气惰化系统，氧含量</w:t>
      </w:r>
      <w:r>
        <w:rPr>
          <w:rFonts w:hint="default" w:ascii="Times New Roman" w:hAnsi="Times New Roman" w:cs="Times New Roman"/>
          <w:sz w:val="28"/>
          <w:szCs w:val="28"/>
          <w:highlight w:val="none"/>
          <w:lang w:val="en-US"/>
        </w:rPr>
        <w:t>&gt;8%</w:t>
      </w:r>
      <w:r>
        <w:rPr>
          <w:rFonts w:hint="default" w:ascii="Times New Roman" w:hAnsi="Times New Roman" w:cs="Times New Roman"/>
          <w:sz w:val="28"/>
          <w:szCs w:val="28"/>
          <w:highlight w:val="none"/>
          <w:lang w:eastAsia="zh-CN"/>
        </w:rPr>
        <w:t>时触发；</w:t>
      </w:r>
    </w:p>
    <w:p w14:paraId="716A52B5">
      <w:pPr>
        <w:pStyle w:val="4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泄爆片，爆破压力</w:t>
      </w:r>
      <w:r>
        <w:rPr>
          <w:rFonts w:hint="default" w:ascii="Times New Roman" w:hAnsi="Times New Roman" w:cs="Times New Roman"/>
          <w:sz w:val="28"/>
          <w:szCs w:val="28"/>
          <w:highlight w:val="none"/>
          <w:lang w:val="en-US"/>
        </w:rPr>
        <w:t>≤0.1 MPa</w:t>
      </w:r>
      <w:r>
        <w:rPr>
          <w:rFonts w:hint="default" w:ascii="Times New Roman" w:hAnsi="Times New Roman" w:cs="Times New Roman"/>
          <w:sz w:val="28"/>
          <w:szCs w:val="28"/>
          <w:highlight w:val="none"/>
          <w:lang w:eastAsia="zh-CN"/>
        </w:rPr>
        <w:t>。</w:t>
      </w:r>
    </w:p>
    <w:p w14:paraId="2C0F2F4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焚烧炉周边</w:t>
      </w:r>
      <w:r>
        <w:rPr>
          <w:rFonts w:hint="default" w:ascii="Times New Roman" w:hAnsi="Times New Roman" w:cs="Times New Roman"/>
          <w:sz w:val="28"/>
          <w:szCs w:val="28"/>
          <w:highlight w:val="none"/>
          <w:lang w:val="en-US"/>
        </w:rPr>
        <w:t>5 m</w:t>
      </w:r>
      <w:r>
        <w:rPr>
          <w:rFonts w:hint="default" w:ascii="Times New Roman" w:hAnsi="Times New Roman" w:cs="Times New Roman"/>
          <w:sz w:val="28"/>
          <w:szCs w:val="28"/>
          <w:highlight w:val="none"/>
          <w:lang w:eastAsia="zh-CN"/>
        </w:rPr>
        <w:t>内设置消防栓，水压</w:t>
      </w:r>
      <w:r>
        <w:rPr>
          <w:rFonts w:hint="default" w:ascii="Times New Roman" w:hAnsi="Times New Roman" w:cs="Times New Roman"/>
          <w:sz w:val="28"/>
          <w:szCs w:val="28"/>
          <w:highlight w:val="none"/>
          <w:lang w:val="en-US"/>
        </w:rPr>
        <w:t>≥0.4 MPa</w:t>
      </w:r>
      <w:r>
        <w:rPr>
          <w:rFonts w:hint="default" w:ascii="Times New Roman" w:hAnsi="Times New Roman" w:cs="Times New Roman"/>
          <w:sz w:val="28"/>
          <w:szCs w:val="28"/>
          <w:highlight w:val="none"/>
          <w:lang w:eastAsia="zh-CN"/>
        </w:rPr>
        <w:t>，及</w:t>
      </w:r>
      <w:r>
        <w:rPr>
          <w:rFonts w:hint="default" w:ascii="Times New Roman" w:hAnsi="Times New Roman" w:cs="Times New Roman"/>
          <w:sz w:val="28"/>
          <w:szCs w:val="28"/>
          <w:highlight w:val="none"/>
          <w:lang w:val="en-US"/>
        </w:rPr>
        <w:t>CO₂</w:t>
      </w:r>
      <w:r>
        <w:rPr>
          <w:rFonts w:hint="default" w:ascii="Times New Roman" w:hAnsi="Times New Roman" w:cs="Times New Roman"/>
          <w:sz w:val="28"/>
          <w:szCs w:val="28"/>
          <w:highlight w:val="none"/>
          <w:lang w:eastAsia="zh-CN"/>
        </w:rPr>
        <w:t>灭火器。</w:t>
      </w:r>
    </w:p>
    <w:p w14:paraId="0052F52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毒害防护应满足以下要求：</w:t>
      </w:r>
    </w:p>
    <w:p w14:paraId="22BBBC5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储泥池、反应塔等有限空间安装</w:t>
      </w:r>
      <w:r>
        <w:rPr>
          <w:rFonts w:hint="default" w:ascii="Times New Roman" w:hAnsi="Times New Roman" w:cs="Times New Roman"/>
          <w:sz w:val="28"/>
          <w:szCs w:val="28"/>
          <w:highlight w:val="none"/>
          <w:lang w:val="en-US"/>
        </w:rPr>
        <w:t>H₂S/CH₄</w:t>
      </w:r>
      <w:r>
        <w:rPr>
          <w:rFonts w:hint="default" w:ascii="Times New Roman" w:hAnsi="Times New Roman" w:cs="Times New Roman"/>
          <w:sz w:val="28"/>
          <w:szCs w:val="28"/>
          <w:highlight w:val="none"/>
          <w:lang w:eastAsia="zh-CN"/>
        </w:rPr>
        <w:t>检测仪，一级报警值</w:t>
      </w:r>
      <w:r>
        <w:rPr>
          <w:rFonts w:hint="default" w:ascii="Times New Roman" w:hAnsi="Times New Roman" w:cs="Times New Roman"/>
          <w:sz w:val="28"/>
          <w:szCs w:val="28"/>
          <w:highlight w:val="none"/>
          <w:lang w:val="en-US"/>
        </w:rPr>
        <w:t>10 ppm</w:t>
      </w:r>
      <w:r>
        <w:rPr>
          <w:rFonts w:hint="default" w:ascii="Times New Roman" w:hAnsi="Times New Roman" w:cs="Times New Roman"/>
          <w:sz w:val="28"/>
          <w:szCs w:val="28"/>
          <w:highlight w:val="none"/>
          <w:lang w:eastAsia="zh-CN"/>
        </w:rPr>
        <w:t>，二级报警值</w:t>
      </w:r>
      <w:r>
        <w:rPr>
          <w:rFonts w:hint="default" w:ascii="Times New Roman" w:hAnsi="Times New Roman" w:cs="Times New Roman"/>
          <w:sz w:val="28"/>
          <w:szCs w:val="28"/>
          <w:highlight w:val="none"/>
          <w:lang w:val="en-US"/>
        </w:rPr>
        <w:t>15 ppm</w:t>
      </w:r>
      <w:r>
        <w:rPr>
          <w:rFonts w:hint="default" w:ascii="Times New Roman" w:hAnsi="Times New Roman" w:cs="Times New Roman"/>
          <w:sz w:val="28"/>
          <w:szCs w:val="28"/>
          <w:highlight w:val="none"/>
          <w:lang w:eastAsia="zh-CN"/>
        </w:rPr>
        <w:t>，并联锁启动事故风机，风量</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次</w:t>
      </w:r>
      <w:r>
        <w:rPr>
          <w:rFonts w:hint="default" w:ascii="Times New Roman" w:hAnsi="Times New Roman" w:cs="Times New Roman"/>
          <w:sz w:val="28"/>
          <w:szCs w:val="28"/>
          <w:highlight w:val="none"/>
          <w:lang w:val="en-US"/>
        </w:rPr>
        <w:t>/h</w:t>
      </w:r>
      <w:r>
        <w:rPr>
          <w:rFonts w:hint="default" w:ascii="Times New Roman" w:hAnsi="Times New Roman" w:cs="Times New Roman"/>
          <w:sz w:val="28"/>
          <w:szCs w:val="28"/>
          <w:highlight w:val="none"/>
          <w:lang w:eastAsia="zh-CN"/>
        </w:rPr>
        <w:t>换气。</w:t>
      </w:r>
    </w:p>
    <w:p w14:paraId="607D8B4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接触腐蚀性介质的操作位配置紧急淋浴器，响应时间</w:t>
      </w:r>
      <w:r>
        <w:rPr>
          <w:rFonts w:hint="default" w:ascii="Times New Roman" w:hAnsi="Times New Roman" w:cs="Times New Roman"/>
          <w:sz w:val="28"/>
          <w:szCs w:val="28"/>
          <w:highlight w:val="none"/>
          <w:lang w:val="en-US"/>
        </w:rPr>
        <w:t>≤1 s</w:t>
      </w:r>
      <w:r>
        <w:rPr>
          <w:rFonts w:hint="default" w:ascii="Times New Roman" w:hAnsi="Times New Roman" w:cs="Times New Roman"/>
          <w:sz w:val="28"/>
          <w:szCs w:val="28"/>
          <w:highlight w:val="none"/>
          <w:lang w:eastAsia="zh-CN"/>
        </w:rPr>
        <w:t>。</w:t>
      </w:r>
    </w:p>
    <w:p w14:paraId="5BD836B9">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职业健康</w:t>
      </w:r>
    </w:p>
    <w:p w14:paraId="3575D03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高噪声设备（引风机、空压机）应采取：</w:t>
      </w:r>
    </w:p>
    <w:p w14:paraId="71B1DBC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隔声罩，插入损失</w:t>
      </w:r>
      <w:r>
        <w:rPr>
          <w:rFonts w:hint="default" w:ascii="Times New Roman" w:hAnsi="Times New Roman" w:cs="Times New Roman"/>
          <w:sz w:val="28"/>
          <w:szCs w:val="28"/>
          <w:highlight w:val="none"/>
          <w:lang w:val="en-US"/>
        </w:rPr>
        <w:t>≥25 dB(A)</w:t>
      </w:r>
      <w:r>
        <w:rPr>
          <w:rFonts w:hint="default" w:ascii="Times New Roman" w:hAnsi="Times New Roman" w:cs="Times New Roman"/>
          <w:sz w:val="28"/>
          <w:szCs w:val="28"/>
          <w:highlight w:val="none"/>
          <w:lang w:eastAsia="zh-CN"/>
        </w:rPr>
        <w:t>；</w:t>
      </w:r>
    </w:p>
    <w:p w14:paraId="02F2F0F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减振基础，振动速度</w:t>
      </w:r>
      <w:r>
        <w:rPr>
          <w:rFonts w:hint="default" w:ascii="Times New Roman" w:hAnsi="Times New Roman" w:cs="Times New Roman"/>
          <w:sz w:val="28"/>
          <w:szCs w:val="28"/>
          <w:highlight w:val="none"/>
          <w:lang w:val="en-US"/>
        </w:rPr>
        <w:t>≤4.5 mm/s</w:t>
      </w:r>
      <w:r>
        <w:rPr>
          <w:rFonts w:hint="default" w:ascii="Times New Roman" w:hAnsi="Times New Roman" w:cs="Times New Roman"/>
          <w:sz w:val="28"/>
          <w:szCs w:val="28"/>
          <w:highlight w:val="none"/>
          <w:lang w:eastAsia="zh-CN"/>
        </w:rPr>
        <w:t>。</w:t>
      </w:r>
    </w:p>
    <w:p w14:paraId="0AAADCD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巡检通道噪声宜</w:t>
      </w:r>
      <w:r>
        <w:rPr>
          <w:rFonts w:hint="default" w:ascii="Times New Roman" w:hAnsi="Times New Roman" w:cs="Times New Roman"/>
          <w:sz w:val="28"/>
          <w:szCs w:val="28"/>
          <w:highlight w:val="none"/>
          <w:lang w:val="en-US"/>
        </w:rPr>
        <w:t>≤85 dB(A)</w:t>
      </w:r>
      <w:r>
        <w:rPr>
          <w:rFonts w:hint="default" w:ascii="Times New Roman" w:hAnsi="Times New Roman" w:cs="Times New Roman"/>
          <w:sz w:val="28"/>
          <w:szCs w:val="28"/>
          <w:highlight w:val="none"/>
          <w:lang w:eastAsia="zh-CN"/>
        </w:rPr>
        <w:t>，否则应配发护耳器。</w:t>
      </w:r>
    </w:p>
    <w:p w14:paraId="415DDEB3">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应急管理</w:t>
      </w:r>
    </w:p>
    <w:p w14:paraId="28CED73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控制系统应预设紧急停车程序，触发条件应包括：</w:t>
      </w:r>
    </w:p>
    <w:p w14:paraId="42B1504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焚烧炉温度</w:t>
      </w:r>
      <w:r>
        <w:rPr>
          <w:rFonts w:hint="default" w:ascii="Times New Roman" w:hAnsi="Times New Roman" w:cs="Times New Roman"/>
          <w:sz w:val="28"/>
          <w:szCs w:val="28"/>
          <w:highlight w:val="none"/>
          <w:lang w:val="en-US"/>
        </w:rPr>
        <w:t>&lt;800°C</w:t>
      </w:r>
      <w:r>
        <w:rPr>
          <w:rFonts w:hint="default" w:ascii="Times New Roman" w:hAnsi="Times New Roman" w:cs="Times New Roman"/>
          <w:sz w:val="28"/>
          <w:szCs w:val="28"/>
          <w:highlight w:val="none"/>
          <w:lang w:eastAsia="zh-CN"/>
        </w:rPr>
        <w:t>，持续</w:t>
      </w:r>
      <w:r>
        <w:rPr>
          <w:rFonts w:hint="default" w:ascii="Times New Roman" w:hAnsi="Times New Roman" w:cs="Times New Roman"/>
          <w:sz w:val="28"/>
          <w:szCs w:val="28"/>
          <w:highlight w:val="none"/>
          <w:lang w:val="en-US"/>
        </w:rPr>
        <w:t>&gt;5 s</w:t>
      </w:r>
      <w:r>
        <w:rPr>
          <w:rFonts w:hint="default" w:ascii="Times New Roman" w:hAnsi="Times New Roman" w:cs="Times New Roman"/>
          <w:sz w:val="28"/>
          <w:szCs w:val="28"/>
          <w:highlight w:val="none"/>
          <w:lang w:eastAsia="zh-CN"/>
        </w:rPr>
        <w:t>；</w:t>
      </w:r>
    </w:p>
    <w:p w14:paraId="114DE57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干化系统氧含量</w:t>
      </w:r>
      <w:r>
        <w:rPr>
          <w:rFonts w:hint="default" w:ascii="Times New Roman" w:hAnsi="Times New Roman" w:cs="Times New Roman"/>
          <w:sz w:val="28"/>
          <w:szCs w:val="28"/>
          <w:highlight w:val="none"/>
          <w:lang w:val="en-US"/>
        </w:rPr>
        <w:t>&gt;10%</w:t>
      </w:r>
      <w:r>
        <w:rPr>
          <w:rFonts w:hint="default" w:ascii="Times New Roman" w:hAnsi="Times New Roman" w:cs="Times New Roman"/>
          <w:sz w:val="28"/>
          <w:szCs w:val="28"/>
          <w:highlight w:val="none"/>
          <w:lang w:eastAsia="zh-CN"/>
        </w:rPr>
        <w:t>；</w:t>
      </w:r>
    </w:p>
    <w:p w14:paraId="3C48A81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烟气净化失效，粉尘</w:t>
      </w:r>
      <w:r>
        <w:rPr>
          <w:rFonts w:hint="default" w:ascii="Times New Roman" w:hAnsi="Times New Roman" w:cs="Times New Roman"/>
          <w:sz w:val="28"/>
          <w:szCs w:val="28"/>
          <w:highlight w:val="none"/>
          <w:lang w:val="en-US"/>
        </w:rPr>
        <w:t>&gt;50 mg/Nm³</w:t>
      </w:r>
      <w:r>
        <w:rPr>
          <w:rFonts w:hint="default" w:ascii="Times New Roman" w:hAnsi="Times New Roman" w:cs="Times New Roman"/>
          <w:sz w:val="28"/>
          <w:szCs w:val="28"/>
          <w:highlight w:val="none"/>
          <w:lang w:eastAsia="zh-CN"/>
        </w:rPr>
        <w:t>。</w:t>
      </w:r>
    </w:p>
    <w:p w14:paraId="0CAEF2D1">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供应商应提供应急预案，涵盖火灾、有毒泄漏、粉尘爆炸场景的处置流程。</w:t>
      </w:r>
    </w:p>
    <w:p w14:paraId="6E8D7C14">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文件要求</w:t>
      </w:r>
    </w:p>
    <w:p w14:paraId="1828F5C0">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供应商应提交：</w:t>
      </w:r>
    </w:p>
    <w:p w14:paraId="6A58C7B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环保设备性能承诺书；</w:t>
      </w:r>
    </w:p>
    <w:p w14:paraId="5CDE253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防爆区域划分图；</w:t>
      </w:r>
    </w:p>
    <w:p w14:paraId="451C58E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安全阀、泄爆片计算书及型式试验证书。</w:t>
      </w:r>
    </w:p>
    <w:p w14:paraId="1CB7E58D">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5" w:name="_Toc205892338"/>
      <w:bookmarkStart w:id="46" w:name="_Toc205913164"/>
      <w:r>
        <w:rPr>
          <w:rFonts w:hint="default" w:ascii="Times New Roman" w:hAnsi="Times New Roman" w:cs="Times New Roman"/>
          <w:sz w:val="28"/>
          <w:szCs w:val="28"/>
          <w:highlight w:val="none"/>
          <w:lang w:eastAsia="zh-CN"/>
        </w:rPr>
        <w:t>包装、运输与标识</w:t>
      </w:r>
      <w:bookmarkEnd w:id="45"/>
      <w:bookmarkEnd w:id="46"/>
    </w:p>
    <w:p w14:paraId="0446B7D2">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w:t>
      </w:r>
    </w:p>
    <w:p w14:paraId="16167E4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焚烧炉、余热锅炉等大型设备，应采用模块化钢结构框架包装，框架刚度满足：</w:t>
      </w:r>
    </w:p>
    <w:p w14:paraId="38A614E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抗变形能力</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设备自重</w:t>
      </w:r>
      <w:r>
        <w:rPr>
          <w:rFonts w:hint="default" w:ascii="Times New Roman" w:hAnsi="Times New Roman" w:cs="Times New Roman"/>
          <w:sz w:val="28"/>
          <w:szCs w:val="28"/>
          <w:highlight w:val="none"/>
          <w:lang w:val="en-US"/>
        </w:rPr>
        <w:t>200%</w:t>
      </w:r>
      <w:r>
        <w:rPr>
          <w:rFonts w:hint="default" w:ascii="Times New Roman" w:hAnsi="Times New Roman" w:cs="Times New Roman"/>
          <w:sz w:val="28"/>
          <w:szCs w:val="28"/>
          <w:highlight w:val="none"/>
          <w:lang w:eastAsia="zh-CN"/>
        </w:rPr>
        <w:t>；</w:t>
      </w:r>
    </w:p>
    <w:p w14:paraId="28E3D21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顶面承压</w:t>
      </w:r>
      <w:r>
        <w:rPr>
          <w:rFonts w:hint="default" w:ascii="Times New Roman" w:hAnsi="Times New Roman" w:cs="Times New Roman"/>
          <w:sz w:val="28"/>
          <w:szCs w:val="28"/>
          <w:highlight w:val="none"/>
          <w:lang w:val="en-US"/>
        </w:rPr>
        <w:t>≥5 kN/m²</w:t>
      </w:r>
      <w:r>
        <w:rPr>
          <w:rFonts w:hint="default" w:ascii="Times New Roman" w:hAnsi="Times New Roman" w:cs="Times New Roman"/>
          <w:sz w:val="28"/>
          <w:szCs w:val="28"/>
          <w:highlight w:val="none"/>
          <w:lang w:eastAsia="zh-CN"/>
        </w:rPr>
        <w:t>。</w:t>
      </w:r>
    </w:p>
    <w:p w14:paraId="5DB91B7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分析仪等精密仪表，应独立包装：</w:t>
      </w:r>
    </w:p>
    <w:p w14:paraId="35647F8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防静电袋密封后装入硬质发泡箱，抗震</w:t>
      </w:r>
      <w:r>
        <w:rPr>
          <w:rFonts w:hint="default" w:ascii="Times New Roman" w:hAnsi="Times New Roman" w:cs="Times New Roman"/>
          <w:sz w:val="28"/>
          <w:szCs w:val="28"/>
          <w:highlight w:val="none"/>
          <w:lang w:val="en-US"/>
        </w:rPr>
        <w:t>≥5 g</w:t>
      </w:r>
      <w:r>
        <w:rPr>
          <w:rFonts w:hint="default" w:ascii="Times New Roman" w:hAnsi="Times New Roman" w:cs="Times New Roman"/>
          <w:sz w:val="28"/>
          <w:szCs w:val="28"/>
          <w:highlight w:val="none"/>
          <w:lang w:eastAsia="zh-CN"/>
        </w:rPr>
        <w:t>；</w:t>
      </w:r>
    </w:p>
    <w:p w14:paraId="40DA795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箱内湿度指示卡宜显色阈值</w:t>
      </w:r>
      <w:r>
        <w:rPr>
          <w:rFonts w:hint="default" w:ascii="Times New Roman" w:hAnsi="Times New Roman" w:cs="Times New Roman"/>
          <w:sz w:val="28"/>
          <w:szCs w:val="28"/>
          <w:highlight w:val="none"/>
          <w:lang w:val="en-US"/>
        </w:rPr>
        <w:t>≤30%RH</w:t>
      </w:r>
      <w:r>
        <w:rPr>
          <w:rFonts w:hint="default" w:ascii="Times New Roman" w:hAnsi="Times New Roman" w:cs="Times New Roman"/>
          <w:sz w:val="28"/>
          <w:szCs w:val="28"/>
          <w:highlight w:val="none"/>
          <w:lang w:eastAsia="zh-CN"/>
        </w:rPr>
        <w:t>。</w:t>
      </w:r>
    </w:p>
    <w:p w14:paraId="62C81DD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滤袋、陶瓷内衬等易损件，可采用木箱包装，内衬防水油毡</w:t>
      </w:r>
      <w:r>
        <w:rPr>
          <w:rFonts w:hint="default" w:ascii="Times New Roman" w:hAnsi="Times New Roman" w:cs="Times New Roman"/>
          <w:sz w:val="28"/>
          <w:szCs w:val="28"/>
          <w:highlight w:val="none"/>
          <w:lang w:val="en-US"/>
        </w:rPr>
        <w:t>≥0.5 mm</w:t>
      </w:r>
      <w:r>
        <w:rPr>
          <w:rFonts w:hint="default" w:ascii="Times New Roman" w:hAnsi="Times New Roman" w:cs="Times New Roman"/>
          <w:sz w:val="28"/>
          <w:szCs w:val="28"/>
          <w:highlight w:val="none"/>
          <w:lang w:eastAsia="zh-CN"/>
        </w:rPr>
        <w:t>厚。</w:t>
      </w:r>
    </w:p>
    <w:p w14:paraId="54845455">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w:t>
      </w:r>
    </w:p>
    <w:p w14:paraId="246FBB79">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超限设备（宽度＞</w:t>
      </w:r>
      <w:r>
        <w:rPr>
          <w:rFonts w:hint="default" w:ascii="Times New Roman" w:hAnsi="Times New Roman" w:cs="Times New Roman"/>
          <w:sz w:val="28"/>
          <w:szCs w:val="28"/>
          <w:highlight w:val="none"/>
          <w:lang w:val="en-US"/>
        </w:rPr>
        <w:t>3.5 m</w:t>
      </w:r>
      <w:r>
        <w:rPr>
          <w:rFonts w:hint="default" w:ascii="Times New Roman" w:hAnsi="Times New Roman" w:cs="Times New Roman"/>
          <w:sz w:val="28"/>
          <w:szCs w:val="28"/>
          <w:highlight w:val="none"/>
          <w:lang w:eastAsia="zh-CN"/>
        </w:rPr>
        <w:t>）应申请特种运输许可，并提交：</w:t>
      </w:r>
    </w:p>
    <w:p w14:paraId="444E89D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三维尺寸图；</w:t>
      </w:r>
    </w:p>
    <w:p w14:paraId="5803211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公路</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水路运输路线勘察报告。</w:t>
      </w:r>
    </w:p>
    <w:p w14:paraId="36B34D9D">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运输过程应满足以下要求：</w:t>
      </w:r>
    </w:p>
    <w:p w14:paraId="3F81137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加速度</w:t>
      </w:r>
      <w:r>
        <w:rPr>
          <w:rFonts w:hint="default" w:ascii="Times New Roman" w:hAnsi="Times New Roman" w:cs="Times New Roman"/>
          <w:sz w:val="28"/>
          <w:szCs w:val="28"/>
          <w:highlight w:val="none"/>
          <w:lang w:val="en-US"/>
        </w:rPr>
        <w:t>≤0.3 g</w:t>
      </w:r>
      <w:r>
        <w:rPr>
          <w:rFonts w:hint="default" w:ascii="Times New Roman" w:hAnsi="Times New Roman" w:cs="Times New Roman"/>
          <w:sz w:val="28"/>
          <w:szCs w:val="28"/>
          <w:highlight w:val="none"/>
          <w:lang w:eastAsia="zh-CN"/>
        </w:rPr>
        <w:t>；</w:t>
      </w:r>
    </w:p>
    <w:p w14:paraId="16F0F0B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设备表面温度宜保持</w:t>
      </w:r>
      <w:r>
        <w:rPr>
          <w:rFonts w:hint="default" w:ascii="Times New Roman" w:hAnsi="Times New Roman" w:cs="Times New Roman"/>
          <w:sz w:val="28"/>
          <w:szCs w:val="28"/>
          <w:highlight w:val="none"/>
          <w:lang w:val="en-US"/>
        </w:rPr>
        <w:t>-25°C</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50°C</w:t>
      </w:r>
      <w:r>
        <w:rPr>
          <w:rFonts w:hint="default" w:ascii="Times New Roman" w:hAnsi="Times New Roman" w:cs="Times New Roman"/>
          <w:sz w:val="28"/>
          <w:szCs w:val="28"/>
          <w:highlight w:val="none"/>
          <w:lang w:eastAsia="zh-CN"/>
        </w:rPr>
        <w:t>。</w:t>
      </w:r>
    </w:p>
    <w:p w14:paraId="4DCC73C7">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海运集装箱箱内宜投用气相防锈剂。</w:t>
      </w:r>
    </w:p>
    <w:p w14:paraId="1E83C0B0">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标识</w:t>
      </w:r>
    </w:p>
    <w:p w14:paraId="09E59E4A">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外箱标识应包含：</w:t>
      </w:r>
    </w:p>
    <w:p w14:paraId="70D3CE7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设备名称</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编号；</w:t>
      </w:r>
    </w:p>
    <w:p w14:paraId="4FFFC75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尺寸；</w:t>
      </w:r>
    </w:p>
    <w:p w14:paraId="21DC9D1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毛重</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净重；</w:t>
      </w:r>
    </w:p>
    <w:p w14:paraId="39BEA6D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重心位置；</w:t>
      </w:r>
    </w:p>
    <w:p w14:paraId="0F304E9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防雨；</w:t>
      </w:r>
    </w:p>
    <w:p w14:paraId="5065286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禁止翻滚。</w:t>
      </w:r>
    </w:p>
    <w:p w14:paraId="0C83DBC5">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危险警示应符合</w:t>
      </w:r>
      <w:r>
        <w:rPr>
          <w:rFonts w:hint="default" w:ascii="Times New Roman" w:hAnsi="Times New Roman" w:cs="Times New Roman"/>
          <w:sz w:val="28"/>
          <w:szCs w:val="28"/>
          <w:highlight w:val="none"/>
          <w:lang w:val="en-US"/>
        </w:rPr>
        <w:t>G</w:t>
      </w:r>
      <w:bookmarkStart w:id="47" w:name="OLE_LINK6"/>
      <w:r>
        <w:rPr>
          <w:rFonts w:hint="default" w:ascii="Times New Roman" w:hAnsi="Times New Roman" w:cs="Times New Roman"/>
          <w:sz w:val="28"/>
          <w:szCs w:val="28"/>
          <w:highlight w:val="none"/>
          <w:lang w:val="en-US"/>
        </w:rPr>
        <w:t>B 190</w:t>
      </w:r>
      <w:r>
        <w:rPr>
          <w:rFonts w:hint="default" w:ascii="Times New Roman" w:hAnsi="Times New Roman" w:cs="Times New Roman"/>
          <w:sz w:val="28"/>
          <w:szCs w:val="28"/>
          <w:highlight w:val="none"/>
          <w:lang w:eastAsia="zh-CN"/>
        </w:rPr>
        <w:t>的</w:t>
      </w:r>
      <w:bookmarkEnd w:id="47"/>
      <w:r>
        <w:rPr>
          <w:rFonts w:hint="default" w:ascii="Times New Roman" w:hAnsi="Times New Roman" w:cs="Times New Roman"/>
          <w:sz w:val="28"/>
          <w:szCs w:val="28"/>
          <w:highlight w:val="none"/>
          <w:lang w:eastAsia="zh-CN"/>
        </w:rPr>
        <w:t>要求：</w:t>
      </w:r>
    </w:p>
    <w:p w14:paraId="29CE98E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腐蚀性介质包件贴</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腐蚀</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标识；</w:t>
      </w:r>
    </w:p>
    <w:p w14:paraId="0CB94E2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电气设备贴</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防静电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标识。</w:t>
      </w:r>
    </w:p>
    <w:p w14:paraId="640E32EC">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接口防护应满足以下要求：</w:t>
      </w:r>
    </w:p>
    <w:p w14:paraId="7C90F79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法兰口加盖盲板；</w:t>
      </w:r>
    </w:p>
    <w:p w14:paraId="3C40B60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电缆接口注密封胶。</w:t>
      </w:r>
    </w:p>
    <w:p w14:paraId="61685525">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文件</w:t>
      </w:r>
    </w:p>
    <w:p w14:paraId="1D2B51C2">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每箱应内置防水袋封装：</w:t>
      </w:r>
    </w:p>
    <w:p w14:paraId="7CC6122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装箱清单；</w:t>
      </w:r>
    </w:p>
    <w:p w14:paraId="07E5E8E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安装方位示意图。</w:t>
      </w:r>
    </w:p>
    <w:p w14:paraId="078E4B14">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整套设备应提供总装箱目录，注明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关键箱</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备件箱</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分类。</w:t>
      </w:r>
    </w:p>
    <w:p w14:paraId="4C8C3610">
      <w:pPr>
        <w:pStyle w:val="38"/>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责任</w:t>
      </w:r>
    </w:p>
    <w:p w14:paraId="7CD3AC43">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运输导致的设备损伤：</w:t>
      </w:r>
    </w:p>
    <w:p w14:paraId="4FC8D29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包装完好但内部损坏由供应商担责；</w:t>
      </w:r>
    </w:p>
    <w:p w14:paraId="28B15CA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外箱破损且未购买保险归责于承运方。</w:t>
      </w:r>
    </w:p>
    <w:p w14:paraId="14135150">
      <w:pPr>
        <w:pStyle w:val="35"/>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到货开箱应双方签字确认，争议问题宜</w:t>
      </w:r>
      <w:r>
        <w:rPr>
          <w:rFonts w:hint="default" w:ascii="Times New Roman" w:hAnsi="Times New Roman" w:cs="Times New Roman"/>
          <w:sz w:val="28"/>
          <w:szCs w:val="28"/>
          <w:highlight w:val="none"/>
          <w:lang w:val="en-US"/>
        </w:rPr>
        <w:t>48 h</w:t>
      </w:r>
      <w:r>
        <w:rPr>
          <w:rFonts w:hint="default" w:ascii="Times New Roman" w:hAnsi="Times New Roman" w:cs="Times New Roman"/>
          <w:sz w:val="28"/>
          <w:szCs w:val="28"/>
          <w:highlight w:val="none"/>
          <w:lang w:eastAsia="zh-CN"/>
        </w:rPr>
        <w:t>内书面提出。</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8"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8"/>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15961A7">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污泥干化焚烧系统集成装备的研发过程中，开展了全面且深入的试验验证工作。针对干化环节，通过搭建中试平台，模拟不同含水率、成分的污泥，对多种干化工艺及设备参数进行反复测试，精确记录干化时间、能耗以及污泥最终含水率等关键指标，累计试验次数超[X]次，确保干化设备在各种工况下都能稳定高效运行，将污泥含水率精准控制在设定范围内。对于焚烧部分，在大型试验炉中进行了长时间的连续焚烧试验，详细分析不同焚烧温度、停留时间以及空气过剩系数等因素对污泥焚烧效果的影响，重点监测污染物排放情况，如二噁英、氮氧化物、二氧化硫等，经过</w:t>
      </w:r>
      <w:r>
        <w:rPr>
          <w:rFonts w:hint="default" w:ascii="Times New Roman" w:hAnsi="Times New Roman" w:cs="Times New Roman"/>
          <w:sz w:val="28"/>
          <w:szCs w:val="28"/>
          <w:highlight w:val="none"/>
          <w:lang w:val="en-US" w:eastAsia="zh-CN"/>
        </w:rPr>
        <w:t>多</w:t>
      </w:r>
      <w:r>
        <w:rPr>
          <w:rFonts w:hint="default" w:ascii="Times New Roman" w:hAnsi="Times New Roman" w:cs="Times New Roman"/>
          <w:sz w:val="28"/>
          <w:szCs w:val="28"/>
          <w:highlight w:val="none"/>
        </w:rPr>
        <w:t>次优化调整试验，使焚烧过程达到最佳状态，污染物排放远低于国家相关标准。同时，对整个系统集成装备进行了联动试验，检验各子系统之间的协同配合能力，模拟实际运行中可能出现的各种突发情况，如设备故障、污泥流量波动等，通过多次应急演练和故障排除试验，确保系统具备高度的可靠性和稳定性。</w:t>
      </w:r>
    </w:p>
    <w:p w14:paraId="4299132E">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通过本污泥干化焚烧系统集成装备技术的应用，预期能够实现多方面显著效果。在污泥处理能力上，可高效处理不同规模产生的污泥，满足城市污水处理厂、工业废水处理设施等日益增长的污泥处置需求，日处理量可根据实际需求灵活调整，有效解决污泥堆积带来的环境隐患。在处理质量方面，经该系统处理后的污泥能够实现充分干化和彻底焚烧，最终产物为无害化的灰渣，体积大幅减小，便于后续处置和资源化利用。在环保性能上，严格遵循国家及地方最严格的环保标准，通过先进的污染控制技术，确保焚烧过程中各类污染物排放浓度极低，氮氧化物、二氧化硫等污染物排放浓度也远低于标准限值，最大程度减少对环境的二次污染。此外，该系统集成装备具备智能化控制功能，能够实现运行参数的实时监测和自动调整，降低人工操作强度，提高运行效率，同时通过优化能源利用，降低整体能耗，实现节能减排与经济效益的双赢，为污泥处理行业的可持续发展提供有力技术支撑。</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9"/>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0"/>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污泥干化</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51"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51"/>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52"/>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3"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3"/>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4"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4"/>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5"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5"/>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6"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6"/>
    </w:p>
    <w:p w14:paraId="72CE720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80E60"/>
    <w:multiLevelType w:val="multilevel"/>
    <w:tmpl w:val="8FF80E60"/>
    <w:lvl w:ilvl="0" w:tentative="0">
      <w:start w:val="1"/>
      <w:numFmt w:val="decimal"/>
      <w:pStyle w:val="4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pStyle w:val="40"/>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ED6CCF8B"/>
    <w:multiLevelType w:val="multilevel"/>
    <w:tmpl w:val="ED6CCF8B"/>
    <w:lvl w:ilvl="0" w:tentative="0">
      <w:start w:val="1"/>
      <w:numFmt w:val="none"/>
      <w:suff w:val="nothing"/>
      <w:lvlText w:val="%1"/>
      <w:lvlJc w:val="left"/>
      <w:pPr>
        <w:ind w:left="0" w:firstLine="0"/>
      </w:pPr>
    </w:lvl>
    <w:lvl w:ilvl="1" w:tentative="0">
      <w:start w:val="1"/>
      <w:numFmt w:val="decimal"/>
      <w:pStyle w:val="3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6"/>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7FA1A76"/>
    <w:multiLevelType w:val="multilevel"/>
    <w:tmpl w:val="37FA1A76"/>
    <w:lvl w:ilvl="0" w:tentative="0">
      <w:start w:val="1"/>
      <w:numFmt w:val="none"/>
      <w:pStyle w:val="34"/>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4"/>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69901DF"/>
    <w:rsid w:val="170D2EB2"/>
    <w:rsid w:val="18E71105"/>
    <w:rsid w:val="19312DFE"/>
    <w:rsid w:val="1F15287C"/>
    <w:rsid w:val="255B6B18"/>
    <w:rsid w:val="2C2D1EE2"/>
    <w:rsid w:val="2D467F37"/>
    <w:rsid w:val="2DAD6C8F"/>
    <w:rsid w:val="3AFC0F1D"/>
    <w:rsid w:val="3BDF00F2"/>
    <w:rsid w:val="40E14CE3"/>
    <w:rsid w:val="4E77301A"/>
    <w:rsid w:val="542D0422"/>
    <w:rsid w:val="57BF1D4F"/>
    <w:rsid w:val="663F4E49"/>
    <w:rsid w:val="67A80C44"/>
    <w:rsid w:val="6AA02B84"/>
    <w:rsid w:val="6B9E6287"/>
    <w:rsid w:val="6BCD19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5">
    <w:name w:val="标准文件_二级无标题"/>
    <w:basedOn w:val="36"/>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6">
    <w:name w:val="标准文件_二级条标题"/>
    <w:basedOn w:val="1"/>
    <w:next w:val="37"/>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7">
    <w:name w:val="标准文件_段"/>
    <w:basedOn w:val="1"/>
    <w:link w:val="43"/>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8">
    <w:name w:val="标准文件_一级条标题"/>
    <w:basedOn w:val="39"/>
    <w:next w:val="37"/>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9">
    <w:name w:val="标准文件_章标题"/>
    <w:basedOn w:val="1"/>
    <w:next w:val="37"/>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0">
    <w:name w:val="标准文件_术语条一"/>
    <w:basedOn w:val="1"/>
    <w:next w:val="37"/>
    <w:uiPriority w:val="0"/>
    <w:pPr>
      <w:keepNext w:val="0"/>
      <w:keepLines w:val="0"/>
      <w:widowControl/>
      <w:numPr>
        <w:ilvl w:val="2"/>
        <w:numId w:val="4"/>
      </w:numPr>
      <w:suppressLineNumbers w:val="0"/>
      <w:adjustRightInd/>
      <w:spacing w:before="0" w:beforeAutospacing="0" w:after="0" w:afterAutospacing="0" w:line="240" w:lineRule="auto"/>
      <w:ind w:left="1417" w:right="0" w:hanging="567"/>
      <w:jc w:val="both"/>
    </w:pPr>
    <w:rPr>
      <w:rFonts w:hint="eastAsia" w:ascii="宋体" w:hAnsi="Times New Roman" w:eastAsia="宋体" w:cs="Times New Roman"/>
      <w:kern w:val="0"/>
      <w:sz w:val="21"/>
      <w:szCs w:val="20"/>
      <w:lang w:val="en-US" w:eastAsia="zh-CN" w:bidi="ar"/>
    </w:rPr>
  </w:style>
  <w:style w:type="paragraph" w:customStyle="1" w:styleId="41">
    <w:name w:val="标准文件_表格"/>
    <w:basedOn w:val="37"/>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42">
    <w:name w:val="标准文件_正文表标题"/>
    <w:basedOn w:val="1"/>
    <w:next w:val="37"/>
    <w:uiPriority w:val="0"/>
    <w:pPr>
      <w:keepNext w:val="0"/>
      <w:keepLines w:val="0"/>
      <w:widowControl/>
      <w:numPr>
        <w:ilvl w:val="0"/>
        <w:numId w:val="4"/>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character" w:customStyle="1" w:styleId="43">
    <w:name w:val="标准文件_段 Char"/>
    <w:basedOn w:val="14"/>
    <w:link w:val="37"/>
    <w:uiPriority w:val="0"/>
    <w:rPr>
      <w:rFonts w:hint="eastAsia" w:ascii="宋体" w:hAnsi="Times New Roman" w:eastAsia="宋体" w:cs="宋体"/>
      <w:sz w:val="21"/>
    </w:rPr>
  </w:style>
  <w:style w:type="paragraph" w:customStyle="1" w:styleId="44">
    <w:name w:val="标准文件_二级项2"/>
    <w:basedOn w:val="37"/>
    <w:uiPriority w:val="0"/>
    <w:pPr>
      <w:keepNext w:val="0"/>
      <w:keepLines w:val="0"/>
      <w:widowControl/>
      <w:numPr>
        <w:ilvl w:val="1"/>
        <w:numId w:val="2"/>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1486</Words>
  <Characters>1507</Characters>
  <Lines>62</Lines>
  <Paragraphs>17</Paragraphs>
  <TotalTime>1</TotalTime>
  <ScaleCrop>false</ScaleCrop>
  <LinksUpToDate>false</LinksUpToDate>
  <CharactersWithSpaces>1551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2025-08-12T09:57:43Z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