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4FC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E881A7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66B7F3A">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13.030.40</w:t>
            </w:r>
            <w:r>
              <w:rPr>
                <w:rFonts w:ascii="黑体" w:hAnsi="黑体" w:eastAsia="黑体"/>
                <w:sz w:val="21"/>
                <w:szCs w:val="21"/>
              </w:rPr>
              <w:fldChar w:fldCharType="end"/>
            </w:r>
            <w:bookmarkEnd w:id="0"/>
          </w:p>
        </w:tc>
      </w:tr>
      <w:tr w14:paraId="2E85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9755A2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E105F5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6113AF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652744C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05</w:t>
            </w:r>
            <w:r>
              <w:rPr>
                <w:rFonts w:ascii="黑体" w:hAnsi="黑体" w:eastAsia="黑体"/>
                <w:sz w:val="21"/>
                <w:szCs w:val="21"/>
              </w:rPr>
              <w:fldChar w:fldCharType="end"/>
            </w:r>
            <w:bookmarkEnd w:id="2"/>
          </w:p>
        </w:tc>
      </w:tr>
    </w:tbl>
    <w:p w14:paraId="55C067FA">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161D56F">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3145E794">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1D1F3F4">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E88B3A7">
      <w:pPr>
        <w:pStyle w:val="50"/>
        <w:framePr w:w="9639" w:h="6976" w:hRule="exact" w:hSpace="0" w:vSpace="0" w:wrap="around" w:hAnchor="page" w:y="6408"/>
        <w:jc w:val="center"/>
        <w:rPr>
          <w:rFonts w:hint="eastAsia" w:ascii="黑体" w:hAnsi="黑体" w:eastAsia="黑体"/>
          <w:b w:val="0"/>
          <w:bCs w:val="0"/>
          <w:w w:val="100"/>
        </w:rPr>
      </w:pPr>
    </w:p>
    <w:p w14:paraId="6D60E99A">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污泥干化焚烧系统集成装备技术要求</w:t>
      </w:r>
      <w:r>
        <w:fldChar w:fldCharType="end"/>
      </w:r>
      <w:bookmarkEnd w:id="9"/>
    </w:p>
    <w:p w14:paraId="39EEB447">
      <w:pPr>
        <w:framePr w:w="9639" w:h="6974" w:hRule="exact" w:wrap="around" w:vAnchor="page" w:hAnchor="page" w:x="1419" w:y="6408" w:anchorLock="1"/>
        <w:ind w:left="-1418"/>
      </w:pPr>
    </w:p>
    <w:p w14:paraId="1586E109">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Sludge dewatering and incineration system integration equipment technology requirements</w:t>
      </w:r>
      <w:r>
        <w:rPr>
          <w:rFonts w:eastAsia="黑体"/>
          <w:szCs w:val="28"/>
        </w:rPr>
        <w:fldChar w:fldCharType="end"/>
      </w:r>
      <w:bookmarkEnd w:id="10"/>
    </w:p>
    <w:p w14:paraId="7273D68E">
      <w:pPr>
        <w:framePr w:w="9639" w:h="6974" w:hRule="exact" w:wrap="around" w:vAnchor="page" w:hAnchor="page" w:x="1419" w:y="6408" w:anchorLock="1"/>
        <w:spacing w:line="760" w:lineRule="exact"/>
        <w:ind w:left="-1418"/>
      </w:pPr>
    </w:p>
    <w:p w14:paraId="60FAFFF1">
      <w:pPr>
        <w:pStyle w:val="125"/>
        <w:framePr w:w="9639" w:h="6974" w:hRule="exact" w:wrap="around" w:vAnchor="page" w:hAnchor="page" w:x="1419" w:y="6408" w:anchorLock="1"/>
        <w:textAlignment w:val="bottom"/>
        <w:rPr>
          <w:rFonts w:eastAsia="黑体"/>
          <w:szCs w:val="28"/>
        </w:rPr>
      </w:pPr>
    </w:p>
    <w:p w14:paraId="1839B238">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876D6D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21E22A0">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5923001B">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EC7FD8E">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4956F0B9">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75DD5A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5342BF6">
      <w:pPr>
        <w:pStyle w:val="91"/>
        <w:spacing w:after="360"/>
        <w:rPr>
          <w:rFonts w:ascii="Times New Roman" w:hAnsi="Times New Roman"/>
        </w:rPr>
      </w:pPr>
      <w:bookmarkStart w:id="21" w:name="BookMark1"/>
      <w:bookmarkStart w:id="22" w:name="_Toc205892329"/>
      <w:r>
        <w:rPr>
          <w:rFonts w:ascii="Times New Roman" w:hAnsi="Times New Roman"/>
          <w:spacing w:val="320"/>
        </w:rPr>
        <w:t>目</w:t>
      </w:r>
      <w:r>
        <w:rPr>
          <w:rFonts w:ascii="Times New Roman" w:hAnsi="Times New Roman"/>
        </w:rPr>
        <w:t>次</w:t>
      </w:r>
    </w:p>
    <w:p w14:paraId="1E9E8181">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"_Toc205913155"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_Toc205913155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41DAEBC8">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"_Toc205913156"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_Toc205913156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694412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"_Toc205913157"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_Toc205913157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00946BC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"_Toc205913158"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_Toc205913158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8F79FB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"_Toc205913159" </w:instrText>
      </w:r>
      <w:r>
        <w:fldChar w:fldCharType="separate"/>
      </w:r>
      <w:r>
        <w:rPr>
          <w:rStyle w:val="32"/>
          <w:rFonts w:ascii="Times New Roman"/>
        </w:rPr>
        <w:t>4  总体要求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_Toc205913159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EB7E57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"_Toc205913160" </w:instrText>
      </w:r>
      <w:r>
        <w:fldChar w:fldCharType="separate"/>
      </w:r>
      <w:r>
        <w:rPr>
          <w:rStyle w:val="32"/>
          <w:rFonts w:ascii="Times New Roman"/>
        </w:rPr>
        <w:t>5  集成要求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_Toc205913160 \h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fldChar w:fldCharType="end"/>
      </w:r>
    </w:p>
    <w:p w14:paraId="5FEAAFF7">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"_Toc205913161" </w:instrText>
      </w:r>
      <w:r>
        <w:fldChar w:fldCharType="separate"/>
      </w:r>
      <w:r>
        <w:rPr>
          <w:rStyle w:val="32"/>
          <w:rFonts w:ascii="Times New Roman"/>
        </w:rPr>
        <w:t>6  核心单元设备</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_Toc205913161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496D773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"_Toc205913162" </w:instrText>
      </w:r>
      <w:r>
        <w:fldChar w:fldCharType="separate"/>
      </w:r>
      <w:r>
        <w:rPr>
          <w:rStyle w:val="32"/>
          <w:rFonts w:ascii="Times New Roman"/>
        </w:rPr>
        <w:t>7  性能要求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_Toc205913162 \h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fldChar w:fldCharType="end"/>
      </w:r>
    </w:p>
    <w:p w14:paraId="07843734">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"_Toc205913163" </w:instrText>
      </w:r>
      <w:r>
        <w:fldChar w:fldCharType="separate"/>
      </w:r>
      <w:r>
        <w:rPr>
          <w:rStyle w:val="32"/>
          <w:rFonts w:ascii="Times New Roman"/>
        </w:rPr>
        <w:t>8  安全要求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_Toc205913163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764689C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"_Toc205913164" </w:instrText>
      </w:r>
      <w:r>
        <w:fldChar w:fldCharType="separate"/>
      </w:r>
      <w:r>
        <w:rPr>
          <w:rStyle w:val="32"/>
          <w:rFonts w:ascii="Times New Roman"/>
        </w:rPr>
        <w:t>9  包装、运输与标识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_Toc205913164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46CDA494">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21"/>
    <w:p w14:paraId="7FE362E9">
      <w:pPr>
        <w:pStyle w:val="89"/>
        <w:spacing w:before="900" w:after="360"/>
        <w:rPr>
          <w:rFonts w:ascii="Times New Roman"/>
        </w:rPr>
      </w:pPr>
      <w:bookmarkStart w:id="23" w:name="_Toc205913155"/>
      <w:bookmarkStart w:id="24" w:name="BookMark2"/>
      <w:r>
        <w:rPr>
          <w:rFonts w:ascii="Times New Roman"/>
          <w:spacing w:val="320"/>
        </w:rPr>
        <w:t>前</w:t>
      </w:r>
      <w:r>
        <w:rPr>
          <w:rFonts w:ascii="Times New Roman"/>
        </w:rPr>
        <w:t>言</w:t>
      </w:r>
      <w:bookmarkEnd w:id="22"/>
      <w:bookmarkEnd w:id="23"/>
    </w:p>
    <w:p w14:paraId="5156897E">
      <w:pPr>
        <w:pStyle w:val="56"/>
        <w:ind w:firstLine="420"/>
        <w:rPr>
          <w:rFonts w:ascii="Times New Roman"/>
        </w:rPr>
      </w:pPr>
      <w:r>
        <w:rPr>
          <w:rFonts w:ascii="Times New Roman"/>
        </w:rPr>
        <w:t>本文件按照GB/T 1.1—2020《标准化工作导则  第1部分：标准化文件的结构和起草规则》的规定起草。</w:t>
      </w:r>
    </w:p>
    <w:p w14:paraId="7FE5828F">
      <w:pPr>
        <w:pStyle w:val="56"/>
        <w:ind w:firstLine="420"/>
        <w:rPr>
          <w:rFonts w:ascii="Times New Roman"/>
        </w:rPr>
      </w:pPr>
      <w:r>
        <w:rPr>
          <w:rFonts w:hint="eastAsia" w:ascii="Times New Roman"/>
        </w:rPr>
        <w:t>请注意本文件的某些内容可能涉及专利。本文件的发布机构不承担识别专利的责任。</w:t>
      </w:r>
    </w:p>
    <w:p w14:paraId="22CE9559">
      <w:pPr>
        <w:pStyle w:val="56"/>
        <w:ind w:firstLine="420"/>
        <w:rPr>
          <w:rFonts w:ascii="Times New Roman"/>
        </w:rPr>
      </w:pPr>
      <w:r>
        <w:rPr>
          <w:rFonts w:ascii="Times New Roman"/>
        </w:rPr>
        <w:t>本文件由</w:t>
      </w:r>
      <w:r>
        <w:rPr>
          <w:rFonts w:hint="eastAsia" w:ascii="Times New Roman"/>
        </w:rPr>
        <w:t>绿水股份有限公司</w:t>
      </w:r>
      <w:r>
        <w:rPr>
          <w:rFonts w:ascii="Times New Roman"/>
        </w:rPr>
        <w:t>提出。</w:t>
      </w:r>
    </w:p>
    <w:p w14:paraId="6A44324C">
      <w:pPr>
        <w:pStyle w:val="56"/>
        <w:ind w:firstLine="420"/>
        <w:rPr>
          <w:rFonts w:ascii="Times New Roman"/>
        </w:rPr>
      </w:pPr>
      <w:r>
        <w:rPr>
          <w:rFonts w:ascii="Times New Roman"/>
        </w:rPr>
        <w:t>本文件由</w:t>
      </w:r>
      <w:r>
        <w:rPr>
          <w:rFonts w:hint="eastAsia" w:ascii="Times New Roman"/>
        </w:rPr>
        <w:t>中国中小企业协会</w:t>
      </w:r>
      <w:r>
        <w:rPr>
          <w:rFonts w:ascii="Times New Roman"/>
        </w:rPr>
        <w:t>归口。</w:t>
      </w:r>
    </w:p>
    <w:p w14:paraId="554A8BF0">
      <w:pPr>
        <w:pStyle w:val="56"/>
        <w:ind w:firstLine="420"/>
        <w:rPr>
          <w:rFonts w:hint="eastAsia" w:ascii="Times New Roman" w:eastAsia="宋体"/>
          <w:lang w:val="en-US" w:eastAsia="zh-CN"/>
        </w:rPr>
      </w:pPr>
      <w:r>
        <w:rPr>
          <w:rFonts w:ascii="Times New Roman"/>
        </w:rPr>
        <w:t>本文件起草单位：</w:t>
      </w:r>
      <w:r>
        <w:rPr>
          <w:rFonts w:hint="eastAsia" w:ascii="Times New Roman"/>
        </w:rPr>
        <w:t>绿水股份有限公司</w:t>
      </w:r>
      <w:r>
        <w:rPr>
          <w:rFonts w:hint="eastAsia" w:ascii="Times New Roman"/>
          <w:lang w:eastAsia="zh-CN"/>
        </w:rPr>
        <w:t>。</w:t>
      </w:r>
    </w:p>
    <w:p w14:paraId="27E75978">
      <w:pPr>
        <w:pStyle w:val="56"/>
        <w:ind w:firstLine="420"/>
        <w:rPr>
          <w:rFonts w:ascii="Times New Roman"/>
        </w:rPr>
      </w:pPr>
      <w:r>
        <w:rPr>
          <w:rFonts w:ascii="Times New Roman"/>
        </w:rPr>
        <w:t>本文件主要起草人：</w:t>
      </w:r>
    </w:p>
    <w:p w14:paraId="71601DEB">
      <w:pPr>
        <w:pStyle w:val="56"/>
        <w:ind w:firstLine="420"/>
        <w:rPr>
          <w:rFonts w:ascii="Times New Roman"/>
        </w:rPr>
      </w:pPr>
    </w:p>
    <w:p w14:paraId="0F68AB99">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bookmarkStart w:id="74" w:name="_GoBack"/>
      <w:bookmarkEnd w:id="74"/>
    </w:p>
    <w:bookmarkEnd w:id="24"/>
    <w:p w14:paraId="3D8BBD5C">
      <w:pPr>
        <w:spacing w:line="20" w:lineRule="exact"/>
        <w:jc w:val="center"/>
        <w:rPr>
          <w:rFonts w:ascii="Times New Roman" w:hAnsi="Times New Roman" w:eastAsia="黑体"/>
          <w:sz w:val="32"/>
          <w:szCs w:val="32"/>
        </w:rPr>
      </w:pPr>
      <w:bookmarkStart w:id="25" w:name="BookMark4"/>
    </w:p>
    <w:p w14:paraId="34EC55C7">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AC70DBF9C3874EA680669D3E90041BE2"/>
        </w:placeholder>
      </w:sdtPr>
      <w:sdtEndPr>
        <w:rPr>
          <w:rFonts w:ascii="Times New Roman" w:hAnsi="Times New Roman"/>
        </w:rPr>
      </w:sdtEndPr>
      <w:sdtContent>
        <w:p w14:paraId="69A38796">
          <w:pPr>
            <w:pStyle w:val="177"/>
            <w:spacing w:before="240" w:beforeLines="100" w:after="528" w:afterLines="220"/>
            <w:rPr>
              <w:rFonts w:ascii="Times New Roman" w:hAnsi="Times New Roman"/>
            </w:rPr>
          </w:pPr>
          <w:bookmarkStart w:id="26" w:name="NEW_STAND_NAME"/>
          <w:r>
            <w:rPr>
              <w:rFonts w:ascii="Times New Roman" w:hAnsi="Times New Roman"/>
            </w:rPr>
            <w:t>污泥干化焚烧系统集成装备技术要求</w:t>
          </w:r>
        </w:p>
      </w:sdtContent>
    </w:sdt>
    <w:bookmarkEnd w:id="26"/>
    <w:p w14:paraId="41956C98">
      <w:pPr>
        <w:pStyle w:val="104"/>
        <w:spacing w:before="240" w:after="240"/>
        <w:rPr>
          <w:rFonts w:ascii="Times New Roman"/>
        </w:rPr>
      </w:pPr>
      <w:bookmarkStart w:id="27" w:name="_Toc26986771"/>
      <w:bookmarkStart w:id="28" w:name="_Toc17233333"/>
      <w:bookmarkStart w:id="29" w:name="_Toc24884218"/>
      <w:bookmarkStart w:id="30" w:name="_Toc17233325"/>
      <w:bookmarkStart w:id="31" w:name="_Toc26648465"/>
      <w:bookmarkStart w:id="32" w:name="_Toc26718930"/>
      <w:bookmarkStart w:id="33" w:name="_Toc26986530"/>
      <w:bookmarkStart w:id="34" w:name="_Toc24884211"/>
      <w:bookmarkStart w:id="35" w:name="_Toc205913156"/>
      <w:bookmarkStart w:id="36" w:name="_Toc205892330"/>
      <w:bookmarkStart w:id="37" w:name="_Toc97192964"/>
      <w:r>
        <w:rPr>
          <w:rFonts w:ascii="Times New Roman"/>
        </w:rPr>
        <w:t>范围</w:t>
      </w:r>
      <w:bookmarkEnd w:id="27"/>
      <w:bookmarkEnd w:id="28"/>
      <w:bookmarkEnd w:id="29"/>
      <w:bookmarkEnd w:id="30"/>
      <w:bookmarkEnd w:id="31"/>
      <w:bookmarkEnd w:id="32"/>
      <w:bookmarkEnd w:id="33"/>
      <w:bookmarkEnd w:id="34"/>
      <w:bookmarkEnd w:id="35"/>
      <w:bookmarkEnd w:id="36"/>
      <w:bookmarkEnd w:id="37"/>
    </w:p>
    <w:p w14:paraId="1C73DAAA">
      <w:pPr>
        <w:pStyle w:val="56"/>
        <w:ind w:firstLine="420"/>
        <w:rPr>
          <w:rFonts w:ascii="Times New Roman"/>
        </w:rPr>
      </w:pPr>
      <w:bookmarkStart w:id="38" w:name="_Toc17233326"/>
      <w:bookmarkStart w:id="39" w:name="_Toc24884212"/>
      <w:bookmarkStart w:id="40" w:name="_Toc17233334"/>
      <w:bookmarkStart w:id="41" w:name="_Toc26648466"/>
      <w:bookmarkStart w:id="42" w:name="_Toc24884219"/>
      <w:r>
        <w:rPr>
          <w:rFonts w:ascii="Times New Roman"/>
        </w:rPr>
        <w:t>本文件规定了污泥干化焚烧系统集成装备的术语和定义</w:t>
      </w:r>
      <w:r>
        <w:rPr>
          <w:rFonts w:hint="eastAsia" w:ascii="Times New Roman"/>
        </w:rPr>
        <w:t>、总体要求、集成要求、核心单元设备、性能要求、安全要求、包装、运输与标识</w:t>
      </w:r>
      <w:r>
        <w:rPr>
          <w:rFonts w:ascii="Times New Roman"/>
        </w:rPr>
        <w:t>内容。</w:t>
      </w:r>
    </w:p>
    <w:p w14:paraId="23985E43">
      <w:pPr>
        <w:pStyle w:val="56"/>
        <w:ind w:firstLine="420"/>
        <w:rPr>
          <w:rFonts w:ascii="Times New Roman"/>
        </w:rPr>
      </w:pPr>
      <w:r>
        <w:rPr>
          <w:rFonts w:ascii="Times New Roman"/>
        </w:rPr>
        <w:t>本文件适用于污泥干化焚烧系统集成装备。</w:t>
      </w:r>
    </w:p>
    <w:p w14:paraId="2764F427">
      <w:pPr>
        <w:pStyle w:val="104"/>
        <w:spacing w:before="240" w:after="240"/>
        <w:rPr>
          <w:rFonts w:ascii="Times New Roman"/>
        </w:rPr>
      </w:pPr>
      <w:bookmarkStart w:id="43" w:name="_Toc26986531"/>
      <w:bookmarkStart w:id="44" w:name="_Toc26718931"/>
      <w:bookmarkStart w:id="45" w:name="_Toc97192965"/>
      <w:bookmarkStart w:id="46" w:name="_Toc205892331"/>
      <w:bookmarkStart w:id="47" w:name="_Toc26986772"/>
      <w:bookmarkStart w:id="48" w:name="_Toc205913157"/>
      <w:r>
        <w:rPr>
          <w:rFonts w:ascii="Times New Roman"/>
        </w:rPr>
        <w:t>规范性引用文件</w:t>
      </w:r>
      <w:bookmarkEnd w:id="38"/>
      <w:bookmarkEnd w:id="39"/>
      <w:bookmarkEnd w:id="40"/>
      <w:bookmarkEnd w:id="41"/>
      <w:bookmarkEnd w:id="42"/>
      <w:bookmarkEnd w:id="43"/>
      <w:bookmarkEnd w:id="44"/>
      <w:bookmarkEnd w:id="45"/>
      <w:bookmarkEnd w:id="46"/>
      <w:bookmarkEnd w:id="47"/>
      <w:bookmarkEnd w:id="48"/>
    </w:p>
    <w:sdt>
      <w:sdtPr>
        <w:rPr>
          <w:rFonts w:ascii="Times New Roman"/>
        </w:rPr>
        <w:id w:val="715848253"/>
        <w:placeholder>
          <w:docPart w:val="04CFAAA8F0BF4CE6A31DAF7BBDFF493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66F73E67">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621E523">
      <w:pPr>
        <w:pStyle w:val="56"/>
        <w:ind w:firstLine="420"/>
        <w:rPr>
          <w:rFonts w:ascii="Times New Roman"/>
        </w:rPr>
      </w:pPr>
      <w:r>
        <w:rPr>
          <w:rFonts w:hint="eastAsia" w:ascii="Times New Roman"/>
        </w:rPr>
        <w:t>GB 190 危险货物包装标志</w:t>
      </w:r>
    </w:p>
    <w:p w14:paraId="4D6042E2">
      <w:pPr>
        <w:pStyle w:val="56"/>
        <w:ind w:firstLine="420"/>
        <w:rPr>
          <w:rFonts w:ascii="Times New Roman"/>
        </w:rPr>
      </w:pPr>
      <w:r>
        <w:rPr>
          <w:rFonts w:hint="eastAsia" w:ascii="Times New Roman"/>
        </w:rPr>
        <w:t>GB 12348 工业企业厂界环境噪声排放标准</w:t>
      </w:r>
    </w:p>
    <w:p w14:paraId="00F2C9C6">
      <w:pPr>
        <w:pStyle w:val="56"/>
        <w:ind w:firstLine="420"/>
        <w:rPr>
          <w:rFonts w:ascii="Times New Roman"/>
        </w:rPr>
      </w:pPr>
      <w:r>
        <w:rPr>
          <w:rFonts w:hint="eastAsia" w:ascii="Times New Roman"/>
        </w:rPr>
        <w:t>GB 18485 生活垃圾焚烧污染控制标准</w:t>
      </w:r>
    </w:p>
    <w:p w14:paraId="7D335318">
      <w:pPr>
        <w:pStyle w:val="56"/>
        <w:ind w:firstLine="420"/>
        <w:rPr>
          <w:rFonts w:ascii="Times New Roman"/>
        </w:rPr>
      </w:pPr>
      <w:r>
        <w:rPr>
          <w:rFonts w:hint="eastAsia" w:ascii="Times New Roman"/>
        </w:rPr>
        <w:t>HJ 57 固定污染源废气 二氧化硫的测定 定电位电解法</w:t>
      </w:r>
    </w:p>
    <w:p w14:paraId="3507B954">
      <w:pPr>
        <w:pStyle w:val="56"/>
        <w:ind w:firstLine="420"/>
        <w:rPr>
          <w:rFonts w:ascii="Times New Roman"/>
        </w:rPr>
      </w:pPr>
      <w:r>
        <w:rPr>
          <w:rFonts w:hint="eastAsia" w:ascii="Times New Roman"/>
        </w:rPr>
        <w:t>HJ 76 固定污染源烟气（SO</w:t>
      </w:r>
      <w:r>
        <w:rPr>
          <w:rFonts w:hint="eastAsia" w:ascii="Times New Roman"/>
          <w:vertAlign w:val="subscript"/>
        </w:rPr>
        <w:t>2</w:t>
      </w:r>
      <w:r>
        <w:rPr>
          <w:rFonts w:hint="eastAsia" w:ascii="Times New Roman"/>
        </w:rPr>
        <w:t>、NO</w:t>
      </w:r>
      <w:r>
        <w:rPr>
          <w:rFonts w:hint="eastAsia" w:ascii="Times New Roman"/>
          <w:vertAlign w:val="subscript"/>
        </w:rPr>
        <w:t>X</w:t>
      </w:r>
      <w:r>
        <w:rPr>
          <w:rFonts w:hint="eastAsia" w:ascii="Times New Roman"/>
        </w:rPr>
        <w:t xml:space="preserve">、颗粒物）排放连续监测系统技术要求及检测方法 </w:t>
      </w:r>
    </w:p>
    <w:p w14:paraId="045DA968">
      <w:pPr>
        <w:pStyle w:val="56"/>
        <w:ind w:firstLine="420"/>
        <w:rPr>
          <w:rFonts w:ascii="Times New Roman"/>
        </w:rPr>
      </w:pPr>
      <w:r>
        <w:rPr>
          <w:rFonts w:hint="eastAsia" w:ascii="Times New Roman"/>
        </w:rPr>
        <w:t>HJ 77.2 环境空气和废气 二噁英类的测定 同位素稀释高分辨气相色谱-高分辨质谱法</w:t>
      </w:r>
    </w:p>
    <w:p w14:paraId="18389EC0">
      <w:pPr>
        <w:pStyle w:val="56"/>
        <w:ind w:firstLine="420"/>
        <w:rPr>
          <w:rFonts w:ascii="Times New Roman"/>
        </w:rPr>
      </w:pPr>
      <w:r>
        <w:rPr>
          <w:rFonts w:hint="eastAsia" w:ascii="Times New Roman"/>
        </w:rPr>
        <w:t>HJ 543 固定污染源废气 汞的测定 冷原子吸收分光光度法</w:t>
      </w:r>
    </w:p>
    <w:p w14:paraId="4F2EE66B">
      <w:pPr>
        <w:pStyle w:val="56"/>
        <w:ind w:firstLine="420"/>
        <w:rPr>
          <w:rFonts w:ascii="Times New Roman"/>
        </w:rPr>
      </w:pPr>
      <w:r>
        <w:rPr>
          <w:rFonts w:hint="eastAsia" w:ascii="Times New Roman"/>
        </w:rPr>
        <w:t>HJ 548 固定污染源废气 氯化氢的测定 硝酸银容量法</w:t>
      </w:r>
    </w:p>
    <w:p w14:paraId="554A7953">
      <w:pPr>
        <w:pStyle w:val="56"/>
        <w:ind w:firstLine="420"/>
        <w:rPr>
          <w:rFonts w:ascii="Times New Roman"/>
        </w:rPr>
      </w:pPr>
      <w:r>
        <w:rPr>
          <w:rFonts w:hint="eastAsia" w:ascii="Times New Roman"/>
        </w:rPr>
        <w:t>HJ 692 固定污染源废气 氮氧化物的测定 非分散红外吸收法</w:t>
      </w:r>
    </w:p>
    <w:p w14:paraId="251D58EB">
      <w:pPr>
        <w:pStyle w:val="104"/>
        <w:spacing w:before="240" w:after="240"/>
        <w:rPr>
          <w:rFonts w:ascii="Times New Roman"/>
        </w:rPr>
      </w:pPr>
      <w:bookmarkStart w:id="49" w:name="_Toc205892332"/>
      <w:bookmarkStart w:id="50" w:name="_Toc205913158"/>
      <w:bookmarkStart w:id="51" w:name="_Toc97192966"/>
      <w:r>
        <w:rPr>
          <w:rFonts w:ascii="Times New Roman"/>
          <w:szCs w:val="21"/>
        </w:rPr>
        <w:t>术语和定义</w:t>
      </w:r>
      <w:bookmarkEnd w:id="49"/>
      <w:bookmarkEnd w:id="50"/>
      <w:bookmarkEnd w:id="51"/>
    </w:p>
    <w:sdt>
      <w:sdtPr>
        <w:rPr>
          <w:rFonts w:ascii="Times New Roman"/>
        </w:rPr>
        <w:id w:val="-1909835108"/>
        <w:placeholder>
          <w:docPart w:val="0699B64C91DA4E9C87D789404DFDF7E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71E8FB32">
          <w:pPr>
            <w:pStyle w:val="56"/>
            <w:ind w:firstLine="420"/>
            <w:rPr>
              <w:rFonts w:ascii="Times New Roman"/>
            </w:rPr>
          </w:pPr>
          <w:bookmarkStart w:id="52" w:name="_Toc26986532"/>
          <w:bookmarkEnd w:id="52"/>
          <w:r>
            <w:rPr>
              <w:rFonts w:ascii="Times New Roman"/>
            </w:rPr>
            <w:t>下列术语和定义适用于本文件。</w:t>
          </w:r>
        </w:p>
      </w:sdtContent>
    </w:sdt>
    <w:p w14:paraId="11F9A67A">
      <w:pPr>
        <w:pStyle w:val="223"/>
        <w:ind w:left="420" w:hanging="420" w:hangingChars="200"/>
        <w:rPr>
          <w:rFonts w:ascii="Times New Roman" w:eastAsia="黑体"/>
        </w:rPr>
      </w:pPr>
      <w:r>
        <w:rPr>
          <w:rFonts w:ascii="Times New Roman" w:eastAsia="黑体"/>
        </w:rPr>
        <w:br w:type="textWrapping"/>
      </w:r>
      <w:r>
        <w:rPr>
          <w:rFonts w:ascii="Times New Roman" w:eastAsia="黑体"/>
        </w:rPr>
        <w:t>干化 drying</w:t>
      </w:r>
    </w:p>
    <w:p w14:paraId="31744CCB">
      <w:pPr>
        <w:pStyle w:val="56"/>
        <w:ind w:firstLine="420"/>
        <w:rPr>
          <w:rFonts w:ascii="Times New Roman"/>
        </w:rPr>
      </w:pPr>
      <w:r>
        <w:rPr>
          <w:rFonts w:ascii="Times New Roman"/>
        </w:rPr>
        <w:t>通过物理或化学方法降低污泥含水率的过程。</w:t>
      </w:r>
    </w:p>
    <w:p w14:paraId="55B2E39B">
      <w:pPr>
        <w:pStyle w:val="223"/>
        <w:ind w:left="420" w:hanging="420" w:hangingChars="200"/>
        <w:rPr>
          <w:rFonts w:ascii="Times New Roman" w:eastAsia="黑体"/>
        </w:rPr>
      </w:pPr>
      <w:r>
        <w:rPr>
          <w:rFonts w:ascii="Times New Roman" w:eastAsia="黑体"/>
        </w:rPr>
        <w:br w:type="textWrapping"/>
      </w:r>
      <w:r>
        <w:rPr>
          <w:rFonts w:ascii="Times New Roman" w:eastAsia="黑体"/>
        </w:rPr>
        <w:t>焚烧 burning</w:t>
      </w:r>
    </w:p>
    <w:p w14:paraId="4AD2A5AC">
      <w:pPr>
        <w:pStyle w:val="56"/>
        <w:ind w:firstLine="420"/>
        <w:rPr>
          <w:rFonts w:ascii="Times New Roman"/>
        </w:rPr>
      </w:pPr>
      <w:r>
        <w:rPr>
          <w:rFonts w:ascii="Times New Roman"/>
        </w:rPr>
        <w:t>在高温条件下，将污泥中的可燃成分氧化分解，转化为灰渣和烟气的过程。</w:t>
      </w:r>
    </w:p>
    <w:p w14:paraId="0E2A94B3">
      <w:pPr>
        <w:pStyle w:val="223"/>
        <w:ind w:left="420" w:hanging="420" w:hangingChars="200"/>
        <w:rPr>
          <w:rFonts w:ascii="Times New Roman" w:eastAsia="黑体"/>
        </w:rPr>
      </w:pPr>
      <w:r>
        <w:rPr>
          <w:rFonts w:ascii="Times New Roman" w:eastAsia="黑体"/>
        </w:rPr>
        <w:br w:type="textWrapping"/>
      </w:r>
      <w:r>
        <w:rPr>
          <w:rFonts w:ascii="Times New Roman" w:eastAsia="黑体"/>
        </w:rPr>
        <w:t>关键装备 key equipment</w:t>
      </w:r>
    </w:p>
    <w:p w14:paraId="12974902">
      <w:pPr>
        <w:pStyle w:val="56"/>
        <w:ind w:firstLine="420"/>
        <w:rPr>
          <w:rFonts w:ascii="Times New Roman"/>
        </w:rPr>
      </w:pPr>
      <w:r>
        <w:rPr>
          <w:rFonts w:ascii="Times New Roman"/>
        </w:rPr>
        <w:t>污泥干化、焚烧及辅助系统组成的主要装备。</w:t>
      </w:r>
    </w:p>
    <w:p w14:paraId="50D88B1F">
      <w:pPr>
        <w:pStyle w:val="104"/>
        <w:spacing w:before="240" w:after="240"/>
        <w:rPr>
          <w:rFonts w:ascii="Times New Roman"/>
        </w:rPr>
      </w:pPr>
      <w:bookmarkStart w:id="53" w:name="_Toc205892333"/>
      <w:bookmarkStart w:id="54" w:name="_Toc205913159"/>
      <w:r>
        <w:rPr>
          <w:rFonts w:ascii="Times New Roman"/>
        </w:rPr>
        <w:t>总体要求</w:t>
      </w:r>
      <w:bookmarkEnd w:id="53"/>
      <w:bookmarkEnd w:id="54"/>
    </w:p>
    <w:p w14:paraId="1E5E0359">
      <w:pPr>
        <w:pStyle w:val="105"/>
        <w:spacing w:before="120" w:after="120"/>
        <w:rPr>
          <w:rFonts w:ascii="Times New Roman"/>
        </w:rPr>
      </w:pPr>
      <w:r>
        <w:rPr>
          <w:rFonts w:ascii="Times New Roman"/>
        </w:rPr>
        <w:t>集成要求</w:t>
      </w:r>
    </w:p>
    <w:p w14:paraId="17B33411">
      <w:pPr>
        <w:pStyle w:val="165"/>
        <w:rPr>
          <w:rFonts w:ascii="Times New Roman"/>
        </w:rPr>
      </w:pPr>
      <w:r>
        <w:rPr>
          <w:rFonts w:ascii="Times New Roman"/>
        </w:rPr>
        <w:t>系统集成装备应采用模块化设计，</w:t>
      </w:r>
      <w:bookmarkStart w:id="55" w:name="OLE_LINK1"/>
      <w:r>
        <w:rPr>
          <w:rFonts w:ascii="Times New Roman"/>
        </w:rPr>
        <w:t>各功能单元</w:t>
      </w:r>
      <w:bookmarkEnd w:id="55"/>
      <w:r>
        <w:rPr>
          <w:rFonts w:ascii="Times New Roman"/>
        </w:rPr>
        <w:t>的布局应紧凑合理，物理连接可减少现场组装接口，各功能单元包括但不限于：</w:t>
      </w:r>
    </w:p>
    <w:p w14:paraId="50E135A2">
      <w:pPr>
        <w:pStyle w:val="132"/>
        <w:rPr>
          <w:rFonts w:ascii="Times New Roman"/>
        </w:rPr>
      </w:pPr>
      <w:r>
        <w:rPr>
          <w:rFonts w:ascii="Times New Roman"/>
        </w:rPr>
        <w:t>接收/储存；</w:t>
      </w:r>
    </w:p>
    <w:p w14:paraId="6AD3704D">
      <w:pPr>
        <w:pStyle w:val="132"/>
        <w:rPr>
          <w:rFonts w:ascii="Times New Roman"/>
        </w:rPr>
      </w:pPr>
      <w:r>
        <w:rPr>
          <w:rFonts w:ascii="Times New Roman"/>
        </w:rPr>
        <w:t>干化；</w:t>
      </w:r>
    </w:p>
    <w:p w14:paraId="4C881BC1">
      <w:pPr>
        <w:pStyle w:val="132"/>
        <w:rPr>
          <w:rFonts w:ascii="Times New Roman"/>
        </w:rPr>
      </w:pPr>
      <w:r>
        <w:rPr>
          <w:rFonts w:ascii="Times New Roman"/>
        </w:rPr>
        <w:t>焚烧；</w:t>
      </w:r>
    </w:p>
    <w:p w14:paraId="1C9D969A">
      <w:pPr>
        <w:pStyle w:val="132"/>
        <w:rPr>
          <w:rFonts w:ascii="Times New Roman"/>
        </w:rPr>
      </w:pPr>
      <w:r>
        <w:rPr>
          <w:rFonts w:ascii="Times New Roman"/>
        </w:rPr>
        <w:t>烟气净化；</w:t>
      </w:r>
    </w:p>
    <w:p w14:paraId="64A76377">
      <w:pPr>
        <w:pStyle w:val="132"/>
        <w:rPr>
          <w:rFonts w:ascii="Times New Roman"/>
        </w:rPr>
      </w:pPr>
      <w:r>
        <w:rPr>
          <w:rFonts w:ascii="Times New Roman"/>
        </w:rPr>
        <w:t>灰渣处理。</w:t>
      </w:r>
    </w:p>
    <w:p w14:paraId="049FBE0D">
      <w:pPr>
        <w:pStyle w:val="165"/>
        <w:rPr>
          <w:rFonts w:ascii="Times New Roman"/>
        </w:rPr>
      </w:pPr>
      <w:r>
        <w:rPr>
          <w:rFonts w:ascii="Times New Roman"/>
        </w:rPr>
        <w:t>设备间机械、管道、电气及仪表的接口应标准化，单元间应无缝衔接。控制系统应实现全流程一体化监控。</w:t>
      </w:r>
    </w:p>
    <w:p w14:paraId="7F4AA8D3">
      <w:pPr>
        <w:pStyle w:val="165"/>
        <w:rPr>
          <w:rFonts w:ascii="Times New Roman"/>
        </w:rPr>
      </w:pPr>
      <w:r>
        <w:rPr>
          <w:rFonts w:ascii="Times New Roman"/>
        </w:rPr>
        <w:t>能源集成宜优化设计：</w:t>
      </w:r>
    </w:p>
    <w:p w14:paraId="6E3B9804">
      <w:pPr>
        <w:pStyle w:val="132"/>
        <w:rPr>
          <w:rFonts w:ascii="Times New Roman"/>
        </w:rPr>
      </w:pPr>
      <w:r>
        <w:rPr>
          <w:rFonts w:ascii="Times New Roman"/>
        </w:rPr>
        <w:t>焚烧余热优先回用于干化单元；</w:t>
      </w:r>
    </w:p>
    <w:p w14:paraId="7F43CAE9">
      <w:pPr>
        <w:pStyle w:val="132"/>
        <w:rPr>
          <w:rFonts w:ascii="Times New Roman"/>
        </w:rPr>
      </w:pPr>
      <w:r>
        <w:rPr>
          <w:rFonts w:ascii="Times New Roman"/>
        </w:rPr>
        <w:t>外部热源消耗通过热能回收装置（如余热锅炉）降至最低。</w:t>
      </w:r>
    </w:p>
    <w:p w14:paraId="66CC376A">
      <w:pPr>
        <w:pStyle w:val="105"/>
        <w:spacing w:before="120" w:after="120"/>
        <w:rPr>
          <w:rFonts w:ascii="Times New Roman"/>
        </w:rPr>
      </w:pPr>
      <w:r>
        <w:rPr>
          <w:rFonts w:ascii="Times New Roman"/>
        </w:rPr>
        <w:t>性能要求</w:t>
      </w:r>
    </w:p>
    <w:p w14:paraId="4376D791">
      <w:pPr>
        <w:pStyle w:val="165"/>
        <w:rPr>
          <w:rFonts w:ascii="Times New Roman"/>
        </w:rPr>
      </w:pPr>
      <w:r>
        <w:rPr>
          <w:rFonts w:ascii="Times New Roman"/>
        </w:rPr>
        <w:t>系统应在额定设计工况下考虑以下因素：</w:t>
      </w:r>
    </w:p>
    <w:p w14:paraId="4138AB65">
      <w:pPr>
        <w:pStyle w:val="132"/>
        <w:rPr>
          <w:rFonts w:ascii="Times New Roman"/>
        </w:rPr>
      </w:pPr>
      <w:r>
        <w:rPr>
          <w:rFonts w:ascii="Times New Roman"/>
        </w:rPr>
        <w:t>湿污泥处理能力；</w:t>
      </w:r>
    </w:p>
    <w:p w14:paraId="361413BD">
      <w:pPr>
        <w:pStyle w:val="132"/>
        <w:rPr>
          <w:rFonts w:ascii="Times New Roman"/>
        </w:rPr>
      </w:pPr>
      <w:r>
        <w:rPr>
          <w:rFonts w:ascii="Times New Roman"/>
        </w:rPr>
        <w:t>干化后污泥含水率；</w:t>
      </w:r>
    </w:p>
    <w:p w14:paraId="3B460F87">
      <w:pPr>
        <w:pStyle w:val="132"/>
        <w:rPr>
          <w:rFonts w:ascii="Times New Roman"/>
        </w:rPr>
      </w:pPr>
      <w:r>
        <w:rPr>
          <w:rFonts w:ascii="Times New Roman"/>
        </w:rPr>
        <w:t>焚烧炉膛温度、烟气停留时间；</w:t>
      </w:r>
    </w:p>
    <w:p w14:paraId="09CE8E08">
      <w:pPr>
        <w:pStyle w:val="132"/>
        <w:rPr>
          <w:rFonts w:ascii="Times New Roman"/>
        </w:rPr>
      </w:pPr>
      <w:r>
        <w:rPr>
          <w:rFonts w:ascii="Times New Roman"/>
        </w:rPr>
        <w:t>年可用率。</w:t>
      </w:r>
    </w:p>
    <w:p w14:paraId="542B702B">
      <w:pPr>
        <w:pStyle w:val="165"/>
        <w:rPr>
          <w:rFonts w:ascii="Times New Roman"/>
        </w:rPr>
      </w:pPr>
      <w:r>
        <w:rPr>
          <w:rFonts w:ascii="Times New Roman"/>
        </w:rPr>
        <w:t>干化机、焚烧炉、主风机、余热锅炉等关键设备应设置冗余配置或快速切换措施。</w:t>
      </w:r>
    </w:p>
    <w:p w14:paraId="217B025B">
      <w:pPr>
        <w:pStyle w:val="105"/>
        <w:spacing w:before="120" w:after="120"/>
        <w:rPr>
          <w:rFonts w:ascii="Times New Roman"/>
        </w:rPr>
      </w:pPr>
      <w:r>
        <w:rPr>
          <w:rFonts w:ascii="Times New Roman"/>
        </w:rPr>
        <w:t>安全与环保</w:t>
      </w:r>
    </w:p>
    <w:p w14:paraId="071623A5">
      <w:pPr>
        <w:pStyle w:val="65"/>
        <w:spacing w:before="120" w:after="120"/>
        <w:rPr>
          <w:rFonts w:ascii="Times New Roman"/>
        </w:rPr>
      </w:pPr>
      <w:r>
        <w:rPr>
          <w:rFonts w:ascii="Times New Roman"/>
        </w:rPr>
        <w:t>安全设计</w:t>
      </w:r>
    </w:p>
    <w:p w14:paraId="77622876">
      <w:pPr>
        <w:pStyle w:val="56"/>
        <w:ind w:firstLine="420"/>
        <w:rPr>
          <w:rFonts w:ascii="Times New Roman"/>
        </w:rPr>
      </w:pPr>
      <w:r>
        <w:rPr>
          <w:rFonts w:ascii="Times New Roman"/>
        </w:rPr>
        <w:t>安全设计应满足以下要求：</w:t>
      </w:r>
    </w:p>
    <w:p w14:paraId="0BB72790">
      <w:pPr>
        <w:pStyle w:val="132"/>
        <w:rPr>
          <w:rFonts w:ascii="Times New Roman"/>
        </w:rPr>
      </w:pPr>
      <w:r>
        <w:rPr>
          <w:rFonts w:ascii="Times New Roman"/>
        </w:rPr>
        <w:t>粉尘爆炸风险区域（干化单元、干污泥仓），配置氧含量监控、惰化系统及泄爆装置；</w:t>
      </w:r>
    </w:p>
    <w:p w14:paraId="0C7579FC">
      <w:pPr>
        <w:pStyle w:val="132"/>
        <w:rPr>
          <w:rFonts w:ascii="Times New Roman"/>
        </w:rPr>
      </w:pPr>
      <w:r>
        <w:rPr>
          <w:rFonts w:ascii="Times New Roman"/>
        </w:rPr>
        <w:t>高温设备表面温度&gt;60°C时，设置隔热层及警示标识；</w:t>
      </w:r>
    </w:p>
    <w:p w14:paraId="11D574A4">
      <w:pPr>
        <w:pStyle w:val="132"/>
        <w:rPr>
          <w:rFonts w:ascii="Times New Roman"/>
        </w:rPr>
      </w:pPr>
      <w:r>
        <w:rPr>
          <w:rFonts w:ascii="Times New Roman"/>
        </w:rPr>
        <w:t>有毒气体（如H₂S、CO）泄漏点安装在线检测仪及联锁报警。</w:t>
      </w:r>
    </w:p>
    <w:p w14:paraId="44E884FB">
      <w:pPr>
        <w:pStyle w:val="65"/>
        <w:spacing w:before="120" w:after="120"/>
        <w:rPr>
          <w:rFonts w:ascii="Times New Roman"/>
        </w:rPr>
      </w:pPr>
      <w:r>
        <w:rPr>
          <w:rFonts w:ascii="Times New Roman"/>
        </w:rPr>
        <w:t>环保合规</w:t>
      </w:r>
    </w:p>
    <w:p w14:paraId="27425D03">
      <w:pPr>
        <w:pStyle w:val="56"/>
        <w:ind w:firstLine="420"/>
        <w:rPr>
          <w:rFonts w:ascii="Times New Roman"/>
        </w:rPr>
      </w:pPr>
      <w:r>
        <w:rPr>
          <w:rFonts w:ascii="Times New Roman"/>
        </w:rPr>
        <w:t>环保合规应满足以下要求：</w:t>
      </w:r>
    </w:p>
    <w:p w14:paraId="37F70F09">
      <w:pPr>
        <w:pStyle w:val="132"/>
        <w:rPr>
          <w:rFonts w:ascii="Times New Roman"/>
        </w:rPr>
      </w:pPr>
      <w:r>
        <w:rPr>
          <w:rFonts w:ascii="Times New Roman"/>
        </w:rPr>
        <w:t>烟气排放满足</w:t>
      </w:r>
      <w:bookmarkStart w:id="56" w:name="_Hlk205899928"/>
      <w:r>
        <w:rPr>
          <w:rFonts w:ascii="Times New Roman"/>
        </w:rPr>
        <w:t>GB 18485的规定；</w:t>
      </w:r>
    </w:p>
    <w:p w14:paraId="1C08A909">
      <w:pPr>
        <w:pStyle w:val="132"/>
        <w:rPr>
          <w:rFonts w:ascii="Times New Roman"/>
        </w:rPr>
      </w:pPr>
      <w:r>
        <w:rPr>
          <w:rFonts w:ascii="Times New Roman"/>
        </w:rPr>
        <w:t>厂界噪声满足GB 12348</w:t>
      </w:r>
      <w:bookmarkEnd w:id="56"/>
      <w:bookmarkStart w:id="57" w:name="OLE_LINK2"/>
      <w:r>
        <w:rPr>
          <w:rFonts w:ascii="Times New Roman"/>
        </w:rPr>
        <w:t>的规定</w:t>
      </w:r>
      <w:bookmarkEnd w:id="57"/>
      <w:r>
        <w:rPr>
          <w:rFonts w:ascii="Times New Roman"/>
        </w:rPr>
        <w:t>；</w:t>
      </w:r>
    </w:p>
    <w:p w14:paraId="13496CCE">
      <w:pPr>
        <w:pStyle w:val="132"/>
        <w:rPr>
          <w:rFonts w:ascii="Times New Roman"/>
        </w:rPr>
      </w:pPr>
      <w:r>
        <w:rPr>
          <w:rFonts w:ascii="Times New Roman"/>
        </w:rPr>
        <w:t>废水、臭气排放通过集成净化单元达标。</w:t>
      </w:r>
    </w:p>
    <w:p w14:paraId="02DFC699">
      <w:pPr>
        <w:pStyle w:val="105"/>
        <w:spacing w:before="120" w:after="120"/>
        <w:rPr>
          <w:rFonts w:ascii="Times New Roman"/>
        </w:rPr>
      </w:pPr>
      <w:r>
        <w:rPr>
          <w:rFonts w:ascii="Times New Roman"/>
        </w:rPr>
        <w:t>自动控制</w:t>
      </w:r>
    </w:p>
    <w:p w14:paraId="5DD2920E">
      <w:pPr>
        <w:pStyle w:val="165"/>
        <w:rPr>
          <w:rFonts w:ascii="Times New Roman"/>
        </w:rPr>
      </w:pPr>
      <w:r>
        <w:rPr>
          <w:rFonts w:ascii="Times New Roman"/>
        </w:rPr>
        <w:t>集成控制系统应实现：</w:t>
      </w:r>
    </w:p>
    <w:p w14:paraId="7239FEF3">
      <w:pPr>
        <w:pStyle w:val="132"/>
        <w:rPr>
          <w:rFonts w:ascii="Times New Roman"/>
        </w:rPr>
      </w:pPr>
      <w:r>
        <w:rPr>
          <w:rFonts w:ascii="Times New Roman"/>
        </w:rPr>
        <w:t>全流程自动启停、负荷调节及安全联锁；</w:t>
      </w:r>
    </w:p>
    <w:p w14:paraId="35F69548">
      <w:pPr>
        <w:pStyle w:val="132"/>
        <w:rPr>
          <w:rFonts w:ascii="Times New Roman"/>
        </w:rPr>
      </w:pPr>
      <w:r>
        <w:rPr>
          <w:rFonts w:ascii="Times New Roman"/>
        </w:rPr>
        <w:t>烟气O₂、NOx、粉尘浓度等关键参数实时显示、存储及超标报警；</w:t>
      </w:r>
    </w:p>
    <w:p w14:paraId="4FC9BF4D">
      <w:pPr>
        <w:pStyle w:val="132"/>
        <w:rPr>
          <w:rFonts w:ascii="Times New Roman"/>
        </w:rPr>
      </w:pPr>
      <w:r>
        <w:rPr>
          <w:rFonts w:ascii="Times New Roman"/>
        </w:rPr>
        <w:t>支持远程诊断接口。</w:t>
      </w:r>
    </w:p>
    <w:p w14:paraId="09BCC624">
      <w:pPr>
        <w:pStyle w:val="165"/>
        <w:rPr>
          <w:rFonts w:ascii="Times New Roman"/>
        </w:rPr>
      </w:pPr>
      <w:r>
        <w:rPr>
          <w:rFonts w:ascii="Times New Roman"/>
        </w:rPr>
        <w:t>人机界面宜提供多级操作权限及故障处理指导模块。</w:t>
      </w:r>
    </w:p>
    <w:p w14:paraId="2A0A0C66">
      <w:pPr>
        <w:pStyle w:val="105"/>
        <w:spacing w:before="120" w:after="120"/>
        <w:rPr>
          <w:rFonts w:ascii="Times New Roman"/>
        </w:rPr>
      </w:pPr>
      <w:r>
        <w:rPr>
          <w:rFonts w:ascii="Times New Roman"/>
        </w:rPr>
        <w:t>材料结构</w:t>
      </w:r>
    </w:p>
    <w:p w14:paraId="5E8A7D2B">
      <w:pPr>
        <w:pStyle w:val="165"/>
        <w:rPr>
          <w:rFonts w:ascii="Times New Roman"/>
        </w:rPr>
      </w:pPr>
      <w:r>
        <w:rPr>
          <w:rFonts w:ascii="Times New Roman"/>
        </w:rPr>
        <w:t>接触腐蚀性介质（污泥、酸性烟气）的设备及管道应采用耐蚀材料，并注明厚度裕量。</w:t>
      </w:r>
    </w:p>
    <w:p w14:paraId="01F0CBD8">
      <w:pPr>
        <w:pStyle w:val="165"/>
        <w:rPr>
          <w:rFonts w:ascii="Times New Roman"/>
        </w:rPr>
      </w:pPr>
      <w:r>
        <w:rPr>
          <w:rFonts w:ascii="Times New Roman"/>
        </w:rPr>
        <w:t>高磨损部位（污泥输送机、灰渣阀）宜采用碳化钨涂层或陶瓷内衬。</w:t>
      </w:r>
    </w:p>
    <w:p w14:paraId="0DC8BC31">
      <w:pPr>
        <w:pStyle w:val="105"/>
        <w:spacing w:before="120" w:after="120"/>
        <w:rPr>
          <w:rFonts w:ascii="Times New Roman"/>
        </w:rPr>
      </w:pPr>
      <w:r>
        <w:rPr>
          <w:rFonts w:ascii="Times New Roman"/>
        </w:rPr>
        <w:t>维护要求</w:t>
      </w:r>
    </w:p>
    <w:p w14:paraId="68E86969">
      <w:pPr>
        <w:pStyle w:val="56"/>
        <w:ind w:firstLine="420"/>
        <w:rPr>
          <w:rFonts w:ascii="Times New Roman"/>
        </w:rPr>
      </w:pPr>
      <w:r>
        <w:rPr>
          <w:rFonts w:ascii="Times New Roman"/>
        </w:rPr>
        <w:t>关键设备应预留检修空间，易损件（滤袋、密封件）更换可在4 h内完成。</w:t>
      </w:r>
    </w:p>
    <w:p w14:paraId="3720C82C">
      <w:pPr>
        <w:pStyle w:val="105"/>
        <w:spacing w:before="120" w:after="120"/>
        <w:rPr>
          <w:rFonts w:ascii="Times New Roman"/>
        </w:rPr>
      </w:pPr>
      <w:r>
        <w:rPr>
          <w:rFonts w:ascii="Times New Roman"/>
        </w:rPr>
        <w:t>文件要求</w:t>
      </w:r>
    </w:p>
    <w:p w14:paraId="7FAC1074">
      <w:pPr>
        <w:pStyle w:val="165"/>
        <w:rPr>
          <w:rFonts w:ascii="Times New Roman"/>
        </w:rPr>
      </w:pPr>
      <w:r>
        <w:rPr>
          <w:rFonts w:ascii="Times New Roman"/>
        </w:rPr>
        <w:t>供应商应提供集成装备的下列文件：</w:t>
      </w:r>
    </w:p>
    <w:p w14:paraId="0700357E">
      <w:pPr>
        <w:pStyle w:val="132"/>
        <w:rPr>
          <w:rFonts w:ascii="Times New Roman"/>
        </w:rPr>
      </w:pPr>
      <w:r>
        <w:rPr>
          <w:rFonts w:ascii="Times New Roman"/>
        </w:rPr>
        <w:t>整体图、三维布置图及基础载荷图；</w:t>
      </w:r>
    </w:p>
    <w:p w14:paraId="2E10E649">
      <w:pPr>
        <w:pStyle w:val="132"/>
        <w:rPr>
          <w:rFonts w:ascii="Times New Roman"/>
        </w:rPr>
      </w:pPr>
      <w:r>
        <w:rPr>
          <w:rFonts w:ascii="Times New Roman"/>
        </w:rPr>
        <w:t>安全风险评估报告；</w:t>
      </w:r>
    </w:p>
    <w:p w14:paraId="595F4B3F">
      <w:pPr>
        <w:pStyle w:val="132"/>
        <w:rPr>
          <w:rFonts w:ascii="Times New Roman"/>
        </w:rPr>
      </w:pPr>
      <w:r>
        <w:rPr>
          <w:rFonts w:ascii="Times New Roman"/>
        </w:rPr>
        <w:t>工厂集成测试方案及记录。</w:t>
      </w:r>
    </w:p>
    <w:p w14:paraId="37D689BA">
      <w:pPr>
        <w:pStyle w:val="165"/>
        <w:rPr>
          <w:rFonts w:ascii="Times New Roman"/>
        </w:rPr>
      </w:pPr>
      <w:r>
        <w:rPr>
          <w:rFonts w:ascii="Times New Roman"/>
        </w:rPr>
        <w:t>性能考核应在72 h连续运行后验收。</w:t>
      </w:r>
    </w:p>
    <w:p w14:paraId="3C6E763E">
      <w:pPr>
        <w:pStyle w:val="104"/>
        <w:spacing w:before="240" w:after="240"/>
        <w:rPr>
          <w:rFonts w:ascii="Times New Roman"/>
        </w:rPr>
      </w:pPr>
      <w:bookmarkStart w:id="58" w:name="_Toc205892334"/>
      <w:bookmarkStart w:id="59" w:name="_Toc205913160"/>
      <w:r>
        <w:rPr>
          <w:rFonts w:ascii="Times New Roman"/>
        </w:rPr>
        <w:t>集成要求</w:t>
      </w:r>
      <w:bookmarkEnd w:id="58"/>
      <w:bookmarkEnd w:id="59"/>
    </w:p>
    <w:p w14:paraId="74BB01E9">
      <w:pPr>
        <w:pStyle w:val="105"/>
        <w:spacing w:before="120" w:after="120"/>
        <w:rPr>
          <w:rFonts w:ascii="Times New Roman"/>
        </w:rPr>
      </w:pPr>
      <w:r>
        <w:rPr>
          <w:rFonts w:ascii="Times New Roman"/>
        </w:rPr>
        <w:t>物理集成</w:t>
      </w:r>
    </w:p>
    <w:p w14:paraId="45453C3C">
      <w:pPr>
        <w:pStyle w:val="165"/>
        <w:rPr>
          <w:rFonts w:ascii="Times New Roman"/>
        </w:rPr>
      </w:pPr>
      <w:r>
        <w:rPr>
          <w:rFonts w:ascii="Times New Roman"/>
        </w:rPr>
        <w:t>各功能单元（污泥接收/储存、干化、焚烧、烟气净化、灰渣处理）应按工艺流程紧凑布局，设备间距宜≥0.8 m，满足检修通道要求，且不应存在干涉风险。</w:t>
      </w:r>
    </w:p>
    <w:p w14:paraId="0C24958E">
      <w:pPr>
        <w:pStyle w:val="165"/>
        <w:rPr>
          <w:rFonts w:ascii="Times New Roman"/>
        </w:rPr>
      </w:pPr>
      <w:r>
        <w:rPr>
          <w:rFonts w:ascii="Times New Roman"/>
        </w:rPr>
        <w:t>单元间连接管道应采用工厂预制的标准化法兰接口，现场安装错位量≤2 mm。</w:t>
      </w:r>
    </w:p>
    <w:p w14:paraId="728A0E32">
      <w:pPr>
        <w:pStyle w:val="165"/>
        <w:rPr>
          <w:rFonts w:ascii="Times New Roman"/>
        </w:rPr>
      </w:pPr>
      <w:r>
        <w:rPr>
          <w:rFonts w:ascii="Times New Roman"/>
        </w:rPr>
        <w:t>大型设备（焚烧炉、余热锅炉）基础应集成设计，荷载偏差宜控制在±5%以内。</w:t>
      </w:r>
    </w:p>
    <w:p w14:paraId="354F9B69">
      <w:pPr>
        <w:pStyle w:val="105"/>
        <w:spacing w:before="120" w:after="120"/>
        <w:rPr>
          <w:rFonts w:ascii="Times New Roman"/>
        </w:rPr>
      </w:pPr>
      <w:r>
        <w:rPr>
          <w:rFonts w:ascii="Times New Roman"/>
        </w:rPr>
        <w:t>控制集成</w:t>
      </w:r>
    </w:p>
    <w:p w14:paraId="4A09DFBD">
      <w:pPr>
        <w:pStyle w:val="165"/>
        <w:rPr>
          <w:rFonts w:ascii="Times New Roman"/>
        </w:rPr>
      </w:pPr>
      <w:r>
        <w:rPr>
          <w:rFonts w:ascii="Times New Roman"/>
        </w:rPr>
        <w:t>全系统应由单一PLC控制，可实现：</w:t>
      </w:r>
    </w:p>
    <w:p w14:paraId="77D93245">
      <w:pPr>
        <w:pStyle w:val="132"/>
        <w:rPr>
          <w:rFonts w:ascii="Times New Roman"/>
        </w:rPr>
      </w:pPr>
      <w:r>
        <w:rPr>
          <w:rFonts w:ascii="Times New Roman"/>
        </w:rPr>
        <w:t>干化单元出口含水率→焚烧单元进料量→烟气净化单元药剂投加的自动联锁调节；</w:t>
      </w:r>
    </w:p>
    <w:p w14:paraId="626A6E63">
      <w:pPr>
        <w:pStyle w:val="132"/>
        <w:rPr>
          <w:rFonts w:ascii="Times New Roman"/>
        </w:rPr>
      </w:pPr>
      <w:r>
        <w:rPr>
          <w:rFonts w:ascii="Times New Roman"/>
        </w:rPr>
        <w:t>关键参数（如焚烧炉温度、烟气O₂含量）超限时触发分级报警及停机保护。</w:t>
      </w:r>
    </w:p>
    <w:p w14:paraId="2819A668">
      <w:pPr>
        <w:pStyle w:val="165"/>
        <w:rPr>
          <w:rFonts w:ascii="Times New Roman"/>
        </w:rPr>
      </w:pPr>
      <w:r>
        <w:rPr>
          <w:rFonts w:ascii="Times New Roman"/>
        </w:rPr>
        <w:t>控制柜应集中布置于防爆控制室，各单元信号宜通过冗余总线传输。</w:t>
      </w:r>
    </w:p>
    <w:p w14:paraId="7B11A078">
      <w:pPr>
        <w:pStyle w:val="165"/>
        <w:rPr>
          <w:rFonts w:ascii="Times New Roman"/>
        </w:rPr>
      </w:pPr>
      <w:r>
        <w:rPr>
          <w:rFonts w:ascii="Times New Roman"/>
        </w:rPr>
        <w:t>操作界面应集成所有单元实时数据，并支持“一键启停”全流程。</w:t>
      </w:r>
    </w:p>
    <w:p w14:paraId="6E4620BD">
      <w:pPr>
        <w:pStyle w:val="105"/>
        <w:spacing w:before="120" w:after="120"/>
        <w:rPr>
          <w:rFonts w:ascii="Times New Roman"/>
        </w:rPr>
      </w:pPr>
      <w:r>
        <w:rPr>
          <w:rFonts w:ascii="Times New Roman"/>
        </w:rPr>
        <w:t>能源集成</w:t>
      </w:r>
    </w:p>
    <w:p w14:paraId="1362EA53">
      <w:pPr>
        <w:pStyle w:val="165"/>
        <w:rPr>
          <w:rFonts w:ascii="Times New Roman"/>
        </w:rPr>
      </w:pPr>
      <w:r>
        <w:rPr>
          <w:rFonts w:ascii="Times New Roman"/>
        </w:rPr>
        <w:t>能源回收应满足以下要求：</w:t>
      </w:r>
    </w:p>
    <w:p w14:paraId="54C428C6">
      <w:pPr>
        <w:pStyle w:val="132"/>
        <w:rPr>
          <w:rFonts w:ascii="Times New Roman"/>
        </w:rPr>
      </w:pPr>
      <w:r>
        <w:rPr>
          <w:rFonts w:ascii="Times New Roman"/>
        </w:rPr>
        <w:t>焚烧烟气余热优先用于干化单元，剩余热量通过余热锅炉产蒸汽；</w:t>
      </w:r>
    </w:p>
    <w:p w14:paraId="045D1DBB">
      <w:pPr>
        <w:pStyle w:val="132"/>
        <w:rPr>
          <w:rFonts w:ascii="Times New Roman"/>
        </w:rPr>
      </w:pPr>
      <w:r>
        <w:rPr>
          <w:rFonts w:ascii="Times New Roman"/>
        </w:rPr>
        <w:t>蒸汽产量＞需求产量时，富余蒸汽回用于厂区供热或发电。</w:t>
      </w:r>
    </w:p>
    <w:p w14:paraId="034A54B2">
      <w:pPr>
        <w:pStyle w:val="165"/>
        <w:rPr>
          <w:rFonts w:ascii="Times New Roman"/>
        </w:rPr>
      </w:pPr>
      <w:r>
        <w:rPr>
          <w:rFonts w:ascii="Times New Roman"/>
        </w:rPr>
        <w:t>系统排烟温度宜≤130°C，且不应因余热利用导致烟气净化效率下降。</w:t>
      </w:r>
    </w:p>
    <w:p w14:paraId="559FE843">
      <w:pPr>
        <w:pStyle w:val="105"/>
        <w:spacing w:before="120" w:after="120"/>
        <w:rPr>
          <w:rFonts w:ascii="Times New Roman"/>
        </w:rPr>
      </w:pPr>
      <w:r>
        <w:rPr>
          <w:rFonts w:ascii="Times New Roman"/>
        </w:rPr>
        <w:t>接口要求</w:t>
      </w:r>
    </w:p>
    <w:p w14:paraId="729E23A3">
      <w:pPr>
        <w:pStyle w:val="165"/>
        <w:rPr>
          <w:rFonts w:ascii="Times New Roman"/>
        </w:rPr>
      </w:pPr>
      <w:r>
        <w:rPr>
          <w:rFonts w:ascii="Times New Roman"/>
        </w:rPr>
        <w:t>供应商应提供完整的接口清单，包括机械、电气、仪表点位表，并对集成装备内部所有接口的匹配性负责。</w:t>
      </w:r>
    </w:p>
    <w:p w14:paraId="37CA1821">
      <w:pPr>
        <w:pStyle w:val="165"/>
        <w:rPr>
          <w:rFonts w:ascii="Times New Roman"/>
        </w:rPr>
      </w:pPr>
      <w:r>
        <w:rPr>
          <w:rFonts w:ascii="Times New Roman"/>
        </w:rPr>
        <w:t>外部接口（如市政水电、污泥接收槽车位）可由用户提供，但供应商应明确接口参数。</w:t>
      </w:r>
    </w:p>
    <w:p w14:paraId="5F0C83D3">
      <w:pPr>
        <w:pStyle w:val="105"/>
        <w:spacing w:before="120" w:after="120"/>
        <w:rPr>
          <w:rFonts w:ascii="Times New Roman"/>
        </w:rPr>
      </w:pPr>
      <w:r>
        <w:rPr>
          <w:rFonts w:ascii="Times New Roman"/>
        </w:rPr>
        <w:t>验证要求</w:t>
      </w:r>
    </w:p>
    <w:p w14:paraId="7E2A2DAF">
      <w:pPr>
        <w:pStyle w:val="165"/>
        <w:rPr>
          <w:rFonts w:ascii="Times New Roman"/>
        </w:rPr>
      </w:pPr>
      <w:r>
        <w:rPr>
          <w:rFonts w:ascii="Times New Roman"/>
        </w:rPr>
        <w:t>物理集成度应通过三维模型碰撞检测验证，并提交模型文件。</w:t>
      </w:r>
    </w:p>
    <w:p w14:paraId="33279254">
      <w:pPr>
        <w:pStyle w:val="165"/>
        <w:rPr>
          <w:rFonts w:ascii="Times New Roman"/>
        </w:rPr>
      </w:pPr>
      <w:r>
        <w:rPr>
          <w:rFonts w:ascii="Times New Roman"/>
        </w:rPr>
        <w:t>控制集成逻辑应在工厂测试中模拟运行≥200个联锁场景。</w:t>
      </w:r>
    </w:p>
    <w:p w14:paraId="10256ED2">
      <w:pPr>
        <w:pStyle w:val="165"/>
        <w:rPr>
          <w:rFonts w:ascii="Times New Roman"/>
        </w:rPr>
      </w:pPr>
      <w:r>
        <w:rPr>
          <w:rFonts w:ascii="Times New Roman"/>
        </w:rPr>
        <w:t>能源集成方案</w:t>
      </w:r>
      <w:r>
        <w:rPr>
          <w:rFonts w:hint="eastAsia" w:ascii="Times New Roman"/>
        </w:rPr>
        <w:t>应</w:t>
      </w:r>
      <w:r>
        <w:rPr>
          <w:rFonts w:ascii="Times New Roman"/>
        </w:rPr>
        <w:t>附热平衡计算书，标明各节点温度、流量及热效率。</w:t>
      </w:r>
    </w:p>
    <w:p w14:paraId="07191AA7">
      <w:pPr>
        <w:pStyle w:val="104"/>
        <w:spacing w:before="240" w:after="240"/>
        <w:rPr>
          <w:rFonts w:ascii="Times New Roman"/>
        </w:rPr>
      </w:pPr>
      <w:bookmarkStart w:id="60" w:name="_Toc205892335"/>
      <w:bookmarkStart w:id="61" w:name="_Toc205913161"/>
      <w:r>
        <w:rPr>
          <w:rFonts w:ascii="Times New Roman"/>
        </w:rPr>
        <w:t>核心单元设备</w:t>
      </w:r>
      <w:bookmarkEnd w:id="60"/>
      <w:bookmarkEnd w:id="61"/>
    </w:p>
    <w:p w14:paraId="69201A29">
      <w:pPr>
        <w:pStyle w:val="105"/>
        <w:spacing w:before="120" w:after="120"/>
        <w:rPr>
          <w:rFonts w:ascii="Times New Roman"/>
        </w:rPr>
      </w:pPr>
      <w:r>
        <w:rPr>
          <w:rFonts w:ascii="Times New Roman"/>
        </w:rPr>
        <w:t>干化单元</w:t>
      </w:r>
    </w:p>
    <w:p w14:paraId="0F987828">
      <w:pPr>
        <w:pStyle w:val="165"/>
        <w:rPr>
          <w:rFonts w:ascii="Times New Roman"/>
        </w:rPr>
      </w:pPr>
      <w:r>
        <w:rPr>
          <w:rFonts w:ascii="Times New Roman"/>
        </w:rPr>
        <w:t>干化机类型应明确（桨叶式/流化床/带式等）。</w:t>
      </w:r>
    </w:p>
    <w:p w14:paraId="6746412A">
      <w:pPr>
        <w:pStyle w:val="165"/>
        <w:rPr>
          <w:rFonts w:ascii="Times New Roman"/>
        </w:rPr>
      </w:pPr>
      <w:r>
        <w:rPr>
          <w:rFonts w:ascii="Times New Roman"/>
        </w:rPr>
        <w:t>热介质（蒸汽/导热油）温度应可控，控制精度±5°C。</w:t>
      </w:r>
    </w:p>
    <w:p w14:paraId="0D3ECFAA">
      <w:pPr>
        <w:pStyle w:val="165"/>
        <w:rPr>
          <w:rFonts w:ascii="Times New Roman"/>
        </w:rPr>
      </w:pPr>
      <w:r>
        <w:rPr>
          <w:rFonts w:ascii="Times New Roman"/>
        </w:rPr>
        <w:t>接触湿污泥的部件（桨叶/内壁）应采用耐腐蚀材料，宜选择316 L不锈钢，厚度≥8 mm，高磨损区加焊碳化钨硬质层。</w:t>
      </w:r>
    </w:p>
    <w:p w14:paraId="3DB15359">
      <w:pPr>
        <w:pStyle w:val="165"/>
        <w:rPr>
          <w:rFonts w:ascii="Times New Roman"/>
        </w:rPr>
      </w:pPr>
      <w:r>
        <w:rPr>
          <w:rFonts w:ascii="Times New Roman"/>
        </w:rPr>
        <w:t>干化腔氧含量应≤8%，超限时应自动触发氮气惰化及停机保护。</w:t>
      </w:r>
    </w:p>
    <w:p w14:paraId="56D745B6">
      <w:pPr>
        <w:pStyle w:val="105"/>
        <w:spacing w:before="120" w:after="120"/>
        <w:rPr>
          <w:rFonts w:ascii="Times New Roman"/>
        </w:rPr>
      </w:pPr>
      <w:r>
        <w:rPr>
          <w:rFonts w:ascii="Times New Roman"/>
        </w:rPr>
        <w:t>焚烧单元</w:t>
      </w:r>
    </w:p>
    <w:p w14:paraId="1B9A42CB">
      <w:pPr>
        <w:pStyle w:val="165"/>
        <w:rPr>
          <w:rFonts w:ascii="Times New Roman"/>
        </w:rPr>
      </w:pPr>
      <w:r>
        <w:rPr>
          <w:rFonts w:ascii="Times New Roman"/>
        </w:rPr>
        <w:t>焚烧炉应选用流化床或回转窑炉型，炉膛温度应稳定于850°C ~950°C，高温区停留时间应≥2.0 s。</w:t>
      </w:r>
    </w:p>
    <w:p w14:paraId="080119E6">
      <w:pPr>
        <w:pStyle w:val="165"/>
        <w:rPr>
          <w:rFonts w:ascii="Times New Roman"/>
        </w:rPr>
      </w:pPr>
      <w:r>
        <w:rPr>
          <w:rFonts w:ascii="Times New Roman"/>
        </w:rPr>
        <w:t>燃烧效率应≥99.9%，炉渣热灼减率≤3%。耐火材料宜选用刚玉莫来石质，厚度≥250 mm。</w:t>
      </w:r>
    </w:p>
    <w:p w14:paraId="2D4B5037">
      <w:pPr>
        <w:pStyle w:val="165"/>
        <w:rPr>
          <w:rFonts w:ascii="Times New Roman"/>
        </w:rPr>
      </w:pPr>
      <w:r>
        <w:rPr>
          <w:rFonts w:ascii="Times New Roman"/>
        </w:rPr>
        <w:t>配风系统应实现一次风/二次风比例自动调节，范围在30：70~50：50，风量测量误差宜≤±2%。</w:t>
      </w:r>
    </w:p>
    <w:p w14:paraId="3D5128A5">
      <w:pPr>
        <w:pStyle w:val="105"/>
        <w:spacing w:before="120" w:after="120"/>
        <w:rPr>
          <w:rFonts w:ascii="Times New Roman"/>
        </w:rPr>
      </w:pPr>
      <w:r>
        <w:rPr>
          <w:rFonts w:ascii="Times New Roman"/>
        </w:rPr>
        <w:t>余热利用单元</w:t>
      </w:r>
    </w:p>
    <w:p w14:paraId="6D911389">
      <w:pPr>
        <w:pStyle w:val="165"/>
        <w:rPr>
          <w:rFonts w:ascii="Times New Roman"/>
        </w:rPr>
      </w:pPr>
      <w:r>
        <w:rPr>
          <w:rFonts w:ascii="Times New Roman"/>
        </w:rPr>
        <w:t>余热锅炉应产饱和蒸汽，压力≥1.0 MPa，热效率宜≥75%。</w:t>
      </w:r>
    </w:p>
    <w:p w14:paraId="71A7678D">
      <w:pPr>
        <w:pStyle w:val="165"/>
        <w:rPr>
          <w:rFonts w:ascii="Times New Roman"/>
        </w:rPr>
      </w:pPr>
      <w:r>
        <w:rPr>
          <w:rFonts w:ascii="Times New Roman"/>
        </w:rPr>
        <w:t>高温烟气入口（≥550°C）受热面应采用不锈钢，并配置声波吹灰器。</w:t>
      </w:r>
    </w:p>
    <w:p w14:paraId="3E3C84EF">
      <w:pPr>
        <w:pStyle w:val="105"/>
        <w:spacing w:before="120" w:after="120"/>
        <w:rPr>
          <w:rFonts w:ascii="Times New Roman"/>
        </w:rPr>
      </w:pPr>
      <w:r>
        <w:rPr>
          <w:rFonts w:ascii="Times New Roman"/>
        </w:rPr>
        <w:t>烟气净化单元</w:t>
      </w:r>
    </w:p>
    <w:p w14:paraId="32C49047">
      <w:pPr>
        <w:pStyle w:val="165"/>
        <w:rPr>
          <w:rFonts w:ascii="Times New Roman"/>
        </w:rPr>
      </w:pPr>
      <w:r>
        <w:rPr>
          <w:rFonts w:ascii="Times New Roman"/>
        </w:rPr>
        <w:t>净化工艺应包含以下内容：</w:t>
      </w:r>
    </w:p>
    <w:p w14:paraId="39DFCA43">
      <w:pPr>
        <w:pStyle w:val="132"/>
        <w:rPr>
          <w:rFonts w:ascii="Times New Roman"/>
        </w:rPr>
      </w:pPr>
      <w:r>
        <w:rPr>
          <w:rFonts w:ascii="Times New Roman"/>
        </w:rPr>
        <w:t>脱硝：系统氨逃逸≤8 ppm，或系统脱硝效率≥85%；</w:t>
      </w:r>
    </w:p>
    <w:p w14:paraId="595F3758">
      <w:pPr>
        <w:pStyle w:val="132"/>
        <w:rPr>
          <w:rFonts w:ascii="Times New Roman"/>
        </w:rPr>
      </w:pPr>
      <w:r>
        <w:rPr>
          <w:rFonts w:ascii="Times New Roman"/>
        </w:rPr>
        <w:t>脱酸：半干法反应塔出口温度控制于140°C ~160</w:t>
      </w:r>
      <w:bookmarkStart w:id="62" w:name="OLE_LINK4"/>
      <w:r>
        <w:rPr>
          <w:rFonts w:ascii="Times New Roman"/>
        </w:rPr>
        <w:t>°C</w:t>
      </w:r>
      <w:bookmarkEnd w:id="62"/>
      <w:r>
        <w:rPr>
          <w:rFonts w:ascii="Times New Roman"/>
        </w:rPr>
        <w:t>，脱酸效率≥90%；</w:t>
      </w:r>
    </w:p>
    <w:p w14:paraId="34DAFDFE">
      <w:pPr>
        <w:pStyle w:val="132"/>
        <w:rPr>
          <w:rFonts w:ascii="Times New Roman"/>
        </w:rPr>
      </w:pPr>
      <w:r>
        <w:rPr>
          <w:rFonts w:ascii="Times New Roman"/>
        </w:rPr>
        <w:t>除尘：布袋材质选用覆膜滤料，过滤风速≤0.8 m/min，出口粉尘≤10 mg/Nm³。</w:t>
      </w:r>
    </w:p>
    <w:p w14:paraId="504EB6A4">
      <w:pPr>
        <w:pStyle w:val="165"/>
        <w:rPr>
          <w:rFonts w:ascii="Times New Roman"/>
        </w:rPr>
      </w:pPr>
      <w:r>
        <w:rPr>
          <w:rFonts w:ascii="Times New Roman"/>
        </w:rPr>
        <w:t>活性炭喷射量应按二噁英浓度动态调节，保证排放应≤0.1 ngTEQ/Nm³。</w:t>
      </w:r>
    </w:p>
    <w:p w14:paraId="76C18259">
      <w:pPr>
        <w:pStyle w:val="105"/>
        <w:spacing w:before="120" w:after="120"/>
        <w:rPr>
          <w:rFonts w:ascii="Times New Roman"/>
        </w:rPr>
      </w:pPr>
      <w:r>
        <w:rPr>
          <w:rFonts w:ascii="Times New Roman"/>
        </w:rPr>
        <w:t>灰渣处理单元</w:t>
      </w:r>
    </w:p>
    <w:p w14:paraId="78B28930">
      <w:pPr>
        <w:pStyle w:val="165"/>
        <w:rPr>
          <w:rFonts w:ascii="Times New Roman"/>
        </w:rPr>
      </w:pPr>
      <w:r>
        <w:rPr>
          <w:rFonts w:ascii="Times New Roman"/>
        </w:rPr>
        <w:t>飞灰输送系统应密闭设计，气力输送风速≥18</w:t>
      </w:r>
      <w:r>
        <w:rPr>
          <w:rFonts w:hint="eastAsia" w:ascii="Times New Roman"/>
        </w:rPr>
        <w:t xml:space="preserve"> </w:t>
      </w:r>
      <w:r>
        <w:rPr>
          <w:rFonts w:ascii="Times New Roman"/>
        </w:rPr>
        <w:t>m/s，管道弯头内衬陶瓷，厚度≥6 mm。</w:t>
      </w:r>
    </w:p>
    <w:p w14:paraId="7445F630">
      <w:pPr>
        <w:pStyle w:val="165"/>
        <w:rPr>
          <w:rFonts w:ascii="Times New Roman"/>
        </w:rPr>
      </w:pPr>
      <w:r>
        <w:rPr>
          <w:rFonts w:ascii="Times New Roman"/>
        </w:rPr>
        <w:t>飞灰仓应配置流化装置及料位计，仓顶排气接入烟气净化系统。</w:t>
      </w:r>
    </w:p>
    <w:p w14:paraId="3B02841A">
      <w:pPr>
        <w:pStyle w:val="105"/>
        <w:spacing w:before="120" w:after="120"/>
        <w:rPr>
          <w:rFonts w:ascii="Times New Roman"/>
        </w:rPr>
      </w:pPr>
      <w:r>
        <w:rPr>
          <w:rFonts w:ascii="Times New Roman"/>
        </w:rPr>
        <w:t>控制系统</w:t>
      </w:r>
    </w:p>
    <w:p w14:paraId="6A92AC3D">
      <w:pPr>
        <w:pStyle w:val="165"/>
        <w:rPr>
          <w:rFonts w:ascii="Times New Roman"/>
        </w:rPr>
      </w:pPr>
      <w:r>
        <w:rPr>
          <w:rFonts w:ascii="Times New Roman"/>
        </w:rPr>
        <w:t>应采用冗余架构，如控制器、电源、网络，冗余宜≥15%。</w:t>
      </w:r>
    </w:p>
    <w:p w14:paraId="17E6955A">
      <w:pPr>
        <w:pStyle w:val="165"/>
        <w:rPr>
          <w:rFonts w:ascii="Times New Roman"/>
        </w:rPr>
      </w:pPr>
      <w:r>
        <w:rPr>
          <w:rFonts w:ascii="Times New Roman"/>
        </w:rPr>
        <w:t>关键仪表应满足以下要求：</w:t>
      </w:r>
    </w:p>
    <w:p w14:paraId="03FC5479">
      <w:pPr>
        <w:pStyle w:val="132"/>
        <w:rPr>
          <w:rFonts w:ascii="Times New Roman"/>
        </w:rPr>
      </w:pPr>
      <w:r>
        <w:rPr>
          <w:rFonts w:ascii="Times New Roman"/>
        </w:rPr>
        <w:t>烟气在线分析仪（O₂/CO/NOx/SO₂/粉尘）符合HJ 76的要求；</w:t>
      </w:r>
    </w:p>
    <w:p w14:paraId="024150F8">
      <w:pPr>
        <w:pStyle w:val="132"/>
        <w:rPr>
          <w:rFonts w:ascii="Times New Roman"/>
        </w:rPr>
      </w:pPr>
      <w:r>
        <w:rPr>
          <w:rFonts w:ascii="Times New Roman"/>
        </w:rPr>
        <w:t>焚烧炉热电偶三重冗余，误差≤±1.5°C。</w:t>
      </w:r>
    </w:p>
    <w:p w14:paraId="1ECBF79D">
      <w:pPr>
        <w:pStyle w:val="104"/>
        <w:spacing w:before="240" w:after="240"/>
        <w:rPr>
          <w:rFonts w:ascii="Times New Roman"/>
        </w:rPr>
      </w:pPr>
      <w:bookmarkStart w:id="63" w:name="_Toc205892336"/>
      <w:bookmarkStart w:id="64" w:name="_Toc205913162"/>
      <w:r>
        <w:rPr>
          <w:rFonts w:ascii="Times New Roman"/>
        </w:rPr>
        <w:t>性能要求</w:t>
      </w:r>
      <w:bookmarkEnd w:id="63"/>
      <w:bookmarkEnd w:id="64"/>
    </w:p>
    <w:p w14:paraId="11E6FA63">
      <w:pPr>
        <w:pStyle w:val="105"/>
        <w:spacing w:before="120" w:after="120"/>
        <w:rPr>
          <w:rFonts w:ascii="Times New Roman"/>
        </w:rPr>
      </w:pPr>
      <w:r>
        <w:rPr>
          <w:rFonts w:ascii="Times New Roman"/>
        </w:rPr>
        <w:t>项目要求</w:t>
      </w:r>
    </w:p>
    <w:p w14:paraId="652062DB">
      <w:pPr>
        <w:pStyle w:val="165"/>
        <w:rPr>
          <w:rFonts w:ascii="Times New Roman"/>
        </w:rPr>
      </w:pPr>
      <w:r>
        <w:rPr>
          <w:rFonts w:ascii="Times New Roman"/>
        </w:rPr>
        <w:t>供应商应对表1所列性能参数提供保证值，且在考核测试中达标：</w:t>
      </w:r>
    </w:p>
    <w:p w14:paraId="267D62EC">
      <w:pPr>
        <w:pStyle w:val="112"/>
        <w:spacing w:before="120" w:after="120"/>
        <w:rPr>
          <w:rFonts w:ascii="Times New Roman"/>
        </w:rPr>
      </w:pPr>
      <w:r>
        <w:rPr>
          <w:rFonts w:ascii="Times New Roman"/>
        </w:rPr>
        <w:t>强制项目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4111"/>
        <w:gridCol w:w="3957"/>
      </w:tblGrid>
      <w:tr w14:paraId="16D17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tcPr>
          <w:p w14:paraId="3348B8C6">
            <w:pPr>
              <w:pStyle w:val="178"/>
              <w:rPr>
                <w:rFonts w:ascii="Times New Roman"/>
              </w:rPr>
            </w:pPr>
            <w:r>
              <w:rPr>
                <w:rFonts w:ascii="Times New Roman"/>
              </w:rPr>
              <w:t>序号</w:t>
            </w:r>
          </w:p>
        </w:tc>
        <w:tc>
          <w:tcPr>
            <w:tcW w:w="4111" w:type="dxa"/>
            <w:tcBorders>
              <w:top w:val="single" w:color="auto" w:sz="8" w:space="0"/>
              <w:bottom w:val="single" w:color="auto" w:sz="8" w:space="0"/>
            </w:tcBorders>
            <w:vAlign w:val="center"/>
          </w:tcPr>
          <w:p w14:paraId="07E550E3">
            <w:pPr>
              <w:pStyle w:val="178"/>
              <w:rPr>
                <w:rFonts w:ascii="Times New Roman"/>
              </w:rPr>
            </w:pPr>
            <w:r>
              <w:rPr>
                <w:rFonts w:ascii="Times New Roman"/>
              </w:rPr>
              <w:t>参数</w:t>
            </w:r>
          </w:p>
        </w:tc>
        <w:tc>
          <w:tcPr>
            <w:tcW w:w="3957" w:type="dxa"/>
            <w:tcBorders>
              <w:top w:val="single" w:color="auto" w:sz="8" w:space="0"/>
              <w:bottom w:val="single" w:color="auto" w:sz="8" w:space="0"/>
            </w:tcBorders>
            <w:vAlign w:val="center"/>
          </w:tcPr>
          <w:p w14:paraId="035CB67C">
            <w:pPr>
              <w:pStyle w:val="178"/>
              <w:rPr>
                <w:rFonts w:ascii="Times New Roman"/>
              </w:rPr>
            </w:pPr>
            <w:r>
              <w:rPr>
                <w:rFonts w:ascii="Times New Roman"/>
              </w:rPr>
              <w:t>测试标准</w:t>
            </w:r>
          </w:p>
        </w:tc>
      </w:tr>
      <w:tr w14:paraId="4ED40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tcPr>
          <w:p w14:paraId="7D031592">
            <w:pPr>
              <w:pStyle w:val="178"/>
              <w:rPr>
                <w:rFonts w:ascii="Times New Roman"/>
              </w:rPr>
            </w:pPr>
            <w:bookmarkStart w:id="65" w:name="_Hlk205900038"/>
            <w:r>
              <w:rPr>
                <w:rFonts w:ascii="Times New Roman"/>
              </w:rPr>
              <w:t>1</w:t>
            </w:r>
          </w:p>
        </w:tc>
        <w:tc>
          <w:tcPr>
            <w:tcW w:w="4111" w:type="dxa"/>
            <w:tcBorders>
              <w:top w:val="single" w:color="auto" w:sz="8" w:space="0"/>
            </w:tcBorders>
            <w:vAlign w:val="center"/>
          </w:tcPr>
          <w:p w14:paraId="7A5F6C0F">
            <w:pPr>
              <w:pStyle w:val="178"/>
              <w:rPr>
                <w:rFonts w:ascii="Times New Roman"/>
              </w:rPr>
            </w:pPr>
            <w:r>
              <w:rPr>
                <w:rFonts w:ascii="Times New Roman"/>
              </w:rPr>
              <w:t>湿污泥处理能力</w:t>
            </w:r>
          </w:p>
        </w:tc>
        <w:tc>
          <w:tcPr>
            <w:tcW w:w="3957" w:type="dxa"/>
            <w:tcBorders>
              <w:top w:val="single" w:color="auto" w:sz="8" w:space="0"/>
            </w:tcBorders>
            <w:vAlign w:val="center"/>
          </w:tcPr>
          <w:p w14:paraId="39C17C8D">
            <w:pPr>
              <w:pStyle w:val="178"/>
              <w:rPr>
                <w:rFonts w:ascii="Times New Roman"/>
              </w:rPr>
            </w:pPr>
            <w:r>
              <w:rPr>
                <w:rFonts w:ascii="Times New Roman"/>
              </w:rPr>
              <w:t>称重法</w:t>
            </w:r>
          </w:p>
        </w:tc>
      </w:tr>
      <w:tr w14:paraId="4A380C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36F1C48E">
            <w:pPr>
              <w:pStyle w:val="178"/>
              <w:rPr>
                <w:rFonts w:ascii="Times New Roman"/>
              </w:rPr>
            </w:pPr>
            <w:r>
              <w:rPr>
                <w:rFonts w:ascii="Times New Roman"/>
              </w:rPr>
              <w:t>2</w:t>
            </w:r>
          </w:p>
        </w:tc>
        <w:tc>
          <w:tcPr>
            <w:tcW w:w="4111" w:type="dxa"/>
            <w:vAlign w:val="center"/>
          </w:tcPr>
          <w:p w14:paraId="740E4A2F">
            <w:pPr>
              <w:pStyle w:val="178"/>
              <w:rPr>
                <w:rFonts w:ascii="Times New Roman"/>
              </w:rPr>
            </w:pPr>
            <w:r>
              <w:rPr>
                <w:rFonts w:ascii="Times New Roman"/>
              </w:rPr>
              <w:t>干化后含水率</w:t>
            </w:r>
          </w:p>
        </w:tc>
        <w:tc>
          <w:tcPr>
            <w:tcW w:w="3957" w:type="dxa"/>
            <w:vAlign w:val="center"/>
          </w:tcPr>
          <w:p w14:paraId="6340DBAB">
            <w:pPr>
              <w:pStyle w:val="178"/>
              <w:rPr>
                <w:rFonts w:ascii="Times New Roman"/>
              </w:rPr>
            </w:pPr>
            <w:r>
              <w:rPr>
                <w:rFonts w:ascii="Times New Roman"/>
              </w:rPr>
              <w:t>烘干法</w:t>
            </w:r>
          </w:p>
        </w:tc>
      </w:tr>
      <w:tr w14:paraId="461A58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63521050">
            <w:pPr>
              <w:pStyle w:val="178"/>
              <w:rPr>
                <w:rFonts w:ascii="Times New Roman"/>
              </w:rPr>
            </w:pPr>
            <w:r>
              <w:rPr>
                <w:rFonts w:ascii="Times New Roman"/>
              </w:rPr>
              <w:t>3</w:t>
            </w:r>
          </w:p>
        </w:tc>
        <w:tc>
          <w:tcPr>
            <w:tcW w:w="4111" w:type="dxa"/>
            <w:vAlign w:val="center"/>
          </w:tcPr>
          <w:p w14:paraId="5E48B656">
            <w:pPr>
              <w:pStyle w:val="178"/>
              <w:rPr>
                <w:rFonts w:ascii="Times New Roman"/>
              </w:rPr>
            </w:pPr>
            <w:r>
              <w:rPr>
                <w:rFonts w:ascii="Times New Roman"/>
              </w:rPr>
              <w:t>焚烧炉出口温度</w:t>
            </w:r>
          </w:p>
        </w:tc>
        <w:tc>
          <w:tcPr>
            <w:tcW w:w="3957" w:type="dxa"/>
            <w:vAlign w:val="center"/>
          </w:tcPr>
          <w:p w14:paraId="2687E2F3">
            <w:pPr>
              <w:pStyle w:val="178"/>
              <w:rPr>
                <w:rFonts w:ascii="Times New Roman"/>
              </w:rPr>
            </w:pPr>
            <w:r>
              <w:rPr>
                <w:rFonts w:ascii="Times New Roman"/>
              </w:rPr>
              <w:t>热电偶</w:t>
            </w:r>
          </w:p>
        </w:tc>
      </w:tr>
      <w:tr w14:paraId="3D3F8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7BCA7FE1">
            <w:pPr>
              <w:pStyle w:val="178"/>
              <w:rPr>
                <w:rFonts w:ascii="Times New Roman"/>
              </w:rPr>
            </w:pPr>
            <w:r>
              <w:rPr>
                <w:rFonts w:ascii="Times New Roman"/>
              </w:rPr>
              <w:t>4</w:t>
            </w:r>
          </w:p>
        </w:tc>
        <w:tc>
          <w:tcPr>
            <w:tcW w:w="4111" w:type="dxa"/>
            <w:vAlign w:val="center"/>
          </w:tcPr>
          <w:p w14:paraId="2298D04E">
            <w:pPr>
              <w:pStyle w:val="178"/>
              <w:rPr>
                <w:rFonts w:ascii="Times New Roman"/>
              </w:rPr>
            </w:pPr>
            <w:r>
              <w:rPr>
                <w:rFonts w:ascii="Times New Roman"/>
              </w:rPr>
              <w:t>烟气停留时间（≥850°C）</w:t>
            </w:r>
          </w:p>
        </w:tc>
        <w:tc>
          <w:tcPr>
            <w:tcW w:w="3957" w:type="dxa"/>
            <w:vAlign w:val="center"/>
          </w:tcPr>
          <w:p w14:paraId="5B7BF3A9">
            <w:pPr>
              <w:pStyle w:val="178"/>
              <w:rPr>
                <w:rFonts w:ascii="Times New Roman"/>
              </w:rPr>
            </w:pPr>
            <w:r>
              <w:rPr>
                <w:rFonts w:ascii="Times New Roman"/>
              </w:rPr>
              <w:t>流速积分法</w:t>
            </w:r>
          </w:p>
        </w:tc>
      </w:tr>
      <w:tr w14:paraId="0CBCE6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48CAB768">
            <w:pPr>
              <w:pStyle w:val="178"/>
              <w:rPr>
                <w:rFonts w:ascii="Times New Roman"/>
              </w:rPr>
            </w:pPr>
            <w:r>
              <w:rPr>
                <w:rFonts w:ascii="Times New Roman"/>
              </w:rPr>
              <w:t>5</w:t>
            </w:r>
          </w:p>
        </w:tc>
        <w:tc>
          <w:tcPr>
            <w:tcW w:w="4111" w:type="dxa"/>
            <w:vAlign w:val="center"/>
          </w:tcPr>
          <w:p w14:paraId="23EADE42">
            <w:pPr>
              <w:pStyle w:val="178"/>
              <w:rPr>
                <w:rFonts w:ascii="Times New Roman"/>
              </w:rPr>
            </w:pPr>
            <w:r>
              <w:rPr>
                <w:rFonts w:ascii="Times New Roman"/>
              </w:rPr>
              <w:t>烟气粉尘排放</w:t>
            </w:r>
          </w:p>
        </w:tc>
        <w:tc>
          <w:tcPr>
            <w:tcW w:w="3957" w:type="dxa"/>
            <w:vAlign w:val="center"/>
          </w:tcPr>
          <w:p w14:paraId="045D5CC7">
            <w:pPr>
              <w:pStyle w:val="178"/>
              <w:rPr>
                <w:rFonts w:ascii="Times New Roman"/>
              </w:rPr>
            </w:pPr>
            <w:r>
              <w:rPr>
                <w:rFonts w:ascii="Times New Roman"/>
              </w:rPr>
              <w:t>HJ 76</w:t>
            </w:r>
          </w:p>
        </w:tc>
      </w:tr>
      <w:tr w14:paraId="50A048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45ED5740">
            <w:pPr>
              <w:pStyle w:val="178"/>
              <w:rPr>
                <w:rFonts w:ascii="Times New Roman"/>
              </w:rPr>
            </w:pPr>
            <w:r>
              <w:rPr>
                <w:rFonts w:ascii="Times New Roman"/>
              </w:rPr>
              <w:t>6</w:t>
            </w:r>
          </w:p>
        </w:tc>
        <w:tc>
          <w:tcPr>
            <w:tcW w:w="4111" w:type="dxa"/>
            <w:vAlign w:val="center"/>
          </w:tcPr>
          <w:p w14:paraId="3D39039F">
            <w:pPr>
              <w:pStyle w:val="178"/>
              <w:rPr>
                <w:rFonts w:ascii="Times New Roman"/>
              </w:rPr>
            </w:pPr>
            <w:r>
              <w:rPr>
                <w:rFonts w:ascii="Times New Roman"/>
              </w:rPr>
              <w:t>二噁英排放</w:t>
            </w:r>
          </w:p>
        </w:tc>
        <w:tc>
          <w:tcPr>
            <w:tcW w:w="3957" w:type="dxa"/>
            <w:vAlign w:val="center"/>
          </w:tcPr>
          <w:p w14:paraId="4F4CCEA4">
            <w:pPr>
              <w:pStyle w:val="178"/>
              <w:rPr>
                <w:rFonts w:ascii="Times New Roman"/>
              </w:rPr>
            </w:pPr>
            <w:r>
              <w:rPr>
                <w:rFonts w:ascii="Times New Roman"/>
              </w:rPr>
              <w:t>GB 18485</w:t>
            </w:r>
          </w:p>
        </w:tc>
      </w:tr>
      <w:bookmarkEnd w:id="65"/>
      <w:tr w14:paraId="480215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30020923">
            <w:pPr>
              <w:pStyle w:val="178"/>
              <w:rPr>
                <w:rFonts w:ascii="Times New Roman"/>
              </w:rPr>
            </w:pPr>
            <w:r>
              <w:rPr>
                <w:rFonts w:ascii="Times New Roman"/>
              </w:rPr>
              <w:t>7</w:t>
            </w:r>
          </w:p>
        </w:tc>
        <w:tc>
          <w:tcPr>
            <w:tcW w:w="4111" w:type="dxa"/>
            <w:vAlign w:val="center"/>
          </w:tcPr>
          <w:p w14:paraId="59255DC7">
            <w:pPr>
              <w:pStyle w:val="178"/>
              <w:rPr>
                <w:rFonts w:ascii="Times New Roman"/>
              </w:rPr>
            </w:pPr>
            <w:r>
              <w:rPr>
                <w:rFonts w:ascii="Times New Roman"/>
              </w:rPr>
              <w:t>系统综合能耗</w:t>
            </w:r>
          </w:p>
        </w:tc>
        <w:tc>
          <w:tcPr>
            <w:tcW w:w="3957" w:type="dxa"/>
            <w:vAlign w:val="center"/>
          </w:tcPr>
          <w:p w14:paraId="098B81E0">
            <w:pPr>
              <w:pStyle w:val="178"/>
              <w:rPr>
                <w:rFonts w:ascii="Times New Roman"/>
              </w:rPr>
            </w:pPr>
            <w:r>
              <w:rPr>
                <w:rFonts w:ascii="Times New Roman"/>
              </w:rPr>
              <w:t>电表/流量计累积</w:t>
            </w:r>
          </w:p>
        </w:tc>
      </w:tr>
    </w:tbl>
    <w:p w14:paraId="12EDEFFC">
      <w:pPr>
        <w:pStyle w:val="56"/>
        <w:ind w:firstLine="420"/>
        <w:rPr>
          <w:rFonts w:ascii="Times New Roman"/>
        </w:rPr>
      </w:pPr>
    </w:p>
    <w:p w14:paraId="4D1C57BC">
      <w:pPr>
        <w:pStyle w:val="165"/>
        <w:rPr>
          <w:rFonts w:ascii="Times New Roman"/>
        </w:rPr>
      </w:pPr>
      <w:r>
        <w:rPr>
          <w:rFonts w:ascii="Times New Roman"/>
        </w:rPr>
        <w:t>噪声、废水等指标宜作为附加保证项，但不应影响核心性能验收。</w:t>
      </w:r>
    </w:p>
    <w:p w14:paraId="535EA22F">
      <w:pPr>
        <w:pStyle w:val="105"/>
        <w:spacing w:before="120" w:after="120"/>
        <w:rPr>
          <w:rFonts w:ascii="Times New Roman"/>
        </w:rPr>
      </w:pPr>
      <w:r>
        <w:rPr>
          <w:rFonts w:ascii="Times New Roman"/>
        </w:rPr>
        <w:t>考核测试</w:t>
      </w:r>
    </w:p>
    <w:p w14:paraId="7080CB93">
      <w:pPr>
        <w:pStyle w:val="165"/>
        <w:rPr>
          <w:rFonts w:ascii="Times New Roman"/>
        </w:rPr>
      </w:pPr>
      <w:r>
        <w:rPr>
          <w:rFonts w:ascii="Times New Roman"/>
        </w:rPr>
        <w:t>测试应满足：</w:t>
      </w:r>
    </w:p>
    <w:p w14:paraId="180EB2D4">
      <w:pPr>
        <w:pStyle w:val="132"/>
        <w:rPr>
          <w:rFonts w:ascii="Times New Roman"/>
        </w:rPr>
      </w:pPr>
      <w:r>
        <w:rPr>
          <w:rFonts w:ascii="Times New Roman"/>
        </w:rPr>
        <w:t>污泥特性符合设计范围，含水率±3%，热值±5%；</w:t>
      </w:r>
    </w:p>
    <w:p w14:paraId="06EF1C34">
      <w:pPr>
        <w:pStyle w:val="132"/>
        <w:rPr>
          <w:rFonts w:ascii="Times New Roman"/>
        </w:rPr>
      </w:pPr>
      <w:r>
        <w:rPr>
          <w:rFonts w:ascii="Times New Roman"/>
        </w:rPr>
        <w:t>系统连续运行≥72 h，负荷≥95%额定值；</w:t>
      </w:r>
    </w:p>
    <w:p w14:paraId="1E199850">
      <w:pPr>
        <w:pStyle w:val="132"/>
        <w:rPr>
          <w:rFonts w:ascii="Times New Roman"/>
        </w:rPr>
      </w:pPr>
      <w:r>
        <w:rPr>
          <w:rFonts w:ascii="Times New Roman"/>
        </w:rPr>
        <w:t>烟气净化、除臭等环保设施同步投运。</w:t>
      </w:r>
    </w:p>
    <w:p w14:paraId="56F4E8FD">
      <w:pPr>
        <w:pStyle w:val="165"/>
        <w:rPr>
          <w:rFonts w:ascii="Times New Roman"/>
        </w:rPr>
      </w:pPr>
      <w:r>
        <w:rPr>
          <w:rFonts w:ascii="Times New Roman"/>
        </w:rPr>
        <w:t>外部环境超出设计范围时可暂停测试。</w:t>
      </w:r>
    </w:p>
    <w:p w14:paraId="0C9B0708">
      <w:pPr>
        <w:pStyle w:val="105"/>
        <w:spacing w:before="120" w:after="120"/>
        <w:rPr>
          <w:rFonts w:ascii="Times New Roman"/>
        </w:rPr>
      </w:pPr>
      <w:r>
        <w:rPr>
          <w:rFonts w:ascii="Times New Roman"/>
        </w:rPr>
        <w:t>测试方法</w:t>
      </w:r>
    </w:p>
    <w:p w14:paraId="32697E92">
      <w:pPr>
        <w:pStyle w:val="165"/>
        <w:rPr>
          <w:rFonts w:ascii="Times New Roman"/>
        </w:rPr>
      </w:pPr>
      <w:r>
        <w:rPr>
          <w:rFonts w:ascii="Times New Roman"/>
        </w:rPr>
        <w:t>污染物排放应由具备CMA资质的第三方检测，采样频次应符合：</w:t>
      </w:r>
    </w:p>
    <w:p w14:paraId="14297784">
      <w:pPr>
        <w:pStyle w:val="132"/>
        <w:rPr>
          <w:rFonts w:ascii="Times New Roman"/>
        </w:rPr>
      </w:pPr>
      <w:r>
        <w:rPr>
          <w:rFonts w:ascii="Times New Roman"/>
        </w:rPr>
        <w:t xml:space="preserve">每4 h采集1次，烟气参数： </w:t>
      </w:r>
    </w:p>
    <w:p w14:paraId="15DAB994">
      <w:pPr>
        <w:pStyle w:val="187"/>
        <w:rPr>
          <w:rFonts w:ascii="Times New Roman"/>
        </w:rPr>
      </w:pPr>
      <w:r>
        <w:rPr>
          <w:rFonts w:ascii="Times New Roman"/>
        </w:rPr>
        <w:t>粉尘；</w:t>
      </w:r>
    </w:p>
    <w:p w14:paraId="030E2635">
      <w:pPr>
        <w:pStyle w:val="187"/>
        <w:rPr>
          <w:rFonts w:ascii="Times New Roman"/>
        </w:rPr>
      </w:pPr>
      <w:r>
        <w:rPr>
          <w:rFonts w:ascii="Times New Roman"/>
        </w:rPr>
        <w:t>SO₂；</w:t>
      </w:r>
    </w:p>
    <w:p w14:paraId="50DC5EA6">
      <w:pPr>
        <w:pStyle w:val="187"/>
        <w:rPr>
          <w:rFonts w:ascii="Times New Roman"/>
        </w:rPr>
      </w:pPr>
      <w:r>
        <w:rPr>
          <w:rFonts w:ascii="Times New Roman"/>
        </w:rPr>
        <w:t>NOx。</w:t>
      </w:r>
    </w:p>
    <w:p w14:paraId="3127E445">
      <w:pPr>
        <w:pStyle w:val="132"/>
        <w:rPr>
          <w:rFonts w:ascii="Times New Roman"/>
        </w:rPr>
      </w:pPr>
      <w:r>
        <w:rPr>
          <w:rFonts w:ascii="Times New Roman"/>
        </w:rPr>
        <w:t>二噁英：至少3个有效样品，每样品采集≥6 h。</w:t>
      </w:r>
    </w:p>
    <w:p w14:paraId="626CED00">
      <w:pPr>
        <w:pStyle w:val="165"/>
        <w:rPr>
          <w:rFonts w:ascii="Times New Roman"/>
        </w:rPr>
      </w:pPr>
      <w:r>
        <w:rPr>
          <w:rFonts w:ascii="Times New Roman"/>
        </w:rPr>
        <w:t>能耗数据通过校准仪表实时记录，精度应满足：</w:t>
      </w:r>
    </w:p>
    <w:p w14:paraId="07CD1336">
      <w:pPr>
        <w:pStyle w:val="132"/>
        <w:rPr>
          <w:rFonts w:ascii="Times New Roman"/>
        </w:rPr>
      </w:pPr>
      <w:r>
        <w:rPr>
          <w:rFonts w:ascii="Times New Roman"/>
        </w:rPr>
        <w:t>电能：±0.5级；</w:t>
      </w:r>
    </w:p>
    <w:p w14:paraId="6166BBE8">
      <w:pPr>
        <w:pStyle w:val="132"/>
        <w:rPr>
          <w:rFonts w:ascii="Times New Roman"/>
        </w:rPr>
      </w:pPr>
      <w:r>
        <w:rPr>
          <w:rFonts w:ascii="Times New Roman"/>
        </w:rPr>
        <w:t>蒸汽/燃料：±1.5%。</w:t>
      </w:r>
    </w:p>
    <w:p w14:paraId="3D43A373">
      <w:pPr>
        <w:pStyle w:val="105"/>
        <w:spacing w:before="120" w:after="120"/>
        <w:rPr>
          <w:rFonts w:ascii="Times New Roman"/>
        </w:rPr>
      </w:pPr>
      <w:r>
        <w:rPr>
          <w:rFonts w:ascii="Times New Roman"/>
        </w:rPr>
        <w:t>验收要求</w:t>
      </w:r>
    </w:p>
    <w:p w14:paraId="66E24964">
      <w:pPr>
        <w:pStyle w:val="165"/>
        <w:rPr>
          <w:rFonts w:ascii="Times New Roman"/>
        </w:rPr>
      </w:pPr>
      <w:r>
        <w:rPr>
          <w:rFonts w:ascii="Times New Roman"/>
        </w:rPr>
        <w:t>单项参数实测值应满足：</w:t>
      </w:r>
    </w:p>
    <w:p w14:paraId="122680A2">
      <w:pPr>
        <w:pStyle w:val="132"/>
        <w:rPr>
          <w:rFonts w:ascii="Times New Roman"/>
        </w:rPr>
      </w:pPr>
      <w:r>
        <w:rPr>
          <w:rFonts w:ascii="Times New Roman"/>
        </w:rPr>
        <w:t>保证值±5%；</w:t>
      </w:r>
    </w:p>
    <w:p w14:paraId="6A2191A1">
      <w:pPr>
        <w:pStyle w:val="132"/>
        <w:rPr>
          <w:rFonts w:ascii="Times New Roman"/>
        </w:rPr>
      </w:pPr>
      <w:r>
        <w:rPr>
          <w:rFonts w:ascii="Times New Roman"/>
        </w:rPr>
        <w:t>严格限值超差即判定不合格。</w:t>
      </w:r>
    </w:p>
    <w:p w14:paraId="24DCB1F8">
      <w:pPr>
        <w:pStyle w:val="165"/>
        <w:rPr>
          <w:rFonts w:ascii="Times New Roman"/>
        </w:rPr>
      </w:pPr>
      <w:r>
        <w:rPr>
          <w:rFonts w:ascii="Times New Roman"/>
        </w:rPr>
        <w:t>因供应商责任导致考核失败：</w:t>
      </w:r>
    </w:p>
    <w:p w14:paraId="41A440D3">
      <w:pPr>
        <w:pStyle w:val="132"/>
        <w:rPr>
          <w:rFonts w:ascii="Times New Roman"/>
        </w:rPr>
      </w:pPr>
      <w:r>
        <w:rPr>
          <w:rFonts w:ascii="Times New Roman"/>
        </w:rPr>
        <w:t>免费整改后重测；</w:t>
      </w:r>
    </w:p>
    <w:p w14:paraId="5557AE4D">
      <w:pPr>
        <w:pStyle w:val="132"/>
        <w:rPr>
          <w:rFonts w:ascii="Times New Roman"/>
        </w:rPr>
      </w:pPr>
      <w:r>
        <w:rPr>
          <w:rFonts w:ascii="Times New Roman"/>
        </w:rPr>
        <w:t>重测费用由供应商承担。</w:t>
      </w:r>
    </w:p>
    <w:p w14:paraId="1FC69D09">
      <w:pPr>
        <w:pStyle w:val="105"/>
        <w:spacing w:before="120" w:after="120"/>
        <w:rPr>
          <w:rFonts w:ascii="Times New Roman"/>
        </w:rPr>
      </w:pPr>
      <w:r>
        <w:rPr>
          <w:rFonts w:ascii="Times New Roman"/>
        </w:rPr>
        <w:t>责任要求</w:t>
      </w:r>
    </w:p>
    <w:p w14:paraId="21832CAD">
      <w:pPr>
        <w:pStyle w:val="165"/>
        <w:rPr>
          <w:rFonts w:ascii="Times New Roman"/>
        </w:rPr>
      </w:pPr>
      <w:r>
        <w:rPr>
          <w:rFonts w:ascii="Times New Roman"/>
        </w:rPr>
        <w:t>性能保证期应为验收后12个月，期内：</w:t>
      </w:r>
    </w:p>
    <w:p w14:paraId="4055AA7C">
      <w:pPr>
        <w:pStyle w:val="132"/>
        <w:rPr>
          <w:rFonts w:ascii="Times New Roman"/>
        </w:rPr>
      </w:pPr>
      <w:r>
        <w:rPr>
          <w:rFonts w:ascii="Times New Roman"/>
        </w:rPr>
        <w:t>保证值持续有效；</w:t>
      </w:r>
    </w:p>
    <w:p w14:paraId="317A3562">
      <w:pPr>
        <w:pStyle w:val="132"/>
        <w:rPr>
          <w:rFonts w:ascii="Times New Roman"/>
        </w:rPr>
      </w:pPr>
      <w:r>
        <w:rPr>
          <w:rFonts w:ascii="Times New Roman"/>
        </w:rPr>
        <w:t>非用户原因导致的性能下降免费修复。</w:t>
      </w:r>
    </w:p>
    <w:p w14:paraId="385EBE61">
      <w:pPr>
        <w:pStyle w:val="165"/>
        <w:rPr>
          <w:rFonts w:ascii="Times New Roman"/>
        </w:rPr>
      </w:pPr>
      <w:r>
        <w:rPr>
          <w:rFonts w:ascii="Times New Roman"/>
        </w:rPr>
        <w:t>保证期可延长至重大维修后12个月。</w:t>
      </w:r>
    </w:p>
    <w:p w14:paraId="25BA578C">
      <w:pPr>
        <w:pStyle w:val="104"/>
        <w:spacing w:before="240" w:after="240"/>
        <w:rPr>
          <w:rFonts w:ascii="Times New Roman"/>
        </w:rPr>
      </w:pPr>
      <w:bookmarkStart w:id="66" w:name="_Toc205892337"/>
      <w:bookmarkStart w:id="67" w:name="_Toc205913163"/>
      <w:r>
        <w:rPr>
          <w:rFonts w:ascii="Times New Roman"/>
        </w:rPr>
        <w:t>安全要求</w:t>
      </w:r>
      <w:bookmarkEnd w:id="66"/>
      <w:bookmarkEnd w:id="67"/>
    </w:p>
    <w:p w14:paraId="78BD5432">
      <w:pPr>
        <w:pStyle w:val="105"/>
        <w:spacing w:before="120" w:after="120"/>
        <w:rPr>
          <w:rFonts w:ascii="Times New Roman"/>
        </w:rPr>
      </w:pPr>
      <w:r>
        <w:rPr>
          <w:rFonts w:ascii="Times New Roman"/>
        </w:rPr>
        <w:t>环保排放</w:t>
      </w:r>
    </w:p>
    <w:p w14:paraId="1254072A">
      <w:pPr>
        <w:pStyle w:val="65"/>
        <w:spacing w:before="120" w:after="120"/>
        <w:rPr>
          <w:rFonts w:ascii="Times New Roman"/>
        </w:rPr>
      </w:pPr>
      <w:r>
        <w:rPr>
          <w:rFonts w:ascii="Times New Roman"/>
        </w:rPr>
        <w:t>烟气排放</w:t>
      </w:r>
    </w:p>
    <w:p w14:paraId="3CA3999E">
      <w:pPr>
        <w:pStyle w:val="56"/>
        <w:ind w:firstLine="420"/>
        <w:rPr>
          <w:rFonts w:ascii="Times New Roman"/>
        </w:rPr>
      </w:pPr>
      <w:r>
        <w:rPr>
          <w:rFonts w:ascii="Times New Roman"/>
        </w:rPr>
        <w:t>集成装备最终排气筒出口污染物浓度应满足表2限值（基准氧含量11%）：</w:t>
      </w:r>
    </w:p>
    <w:p w14:paraId="6B49278D">
      <w:pPr>
        <w:pStyle w:val="112"/>
        <w:spacing w:before="120" w:after="120"/>
        <w:rPr>
          <w:rFonts w:ascii="Times New Roman"/>
        </w:rPr>
      </w:pPr>
      <w:r>
        <w:rPr>
          <w:rFonts w:ascii="Times New Roman"/>
        </w:rPr>
        <w:t>烟气强制排放限值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5"/>
        <w:gridCol w:w="2333"/>
        <w:gridCol w:w="2333"/>
        <w:gridCol w:w="2333"/>
      </w:tblGrid>
      <w:tr w14:paraId="352216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335" w:type="dxa"/>
            <w:tcBorders>
              <w:top w:val="single" w:color="auto" w:sz="8" w:space="0"/>
              <w:bottom w:val="single" w:color="auto" w:sz="8" w:space="0"/>
            </w:tcBorders>
            <w:vAlign w:val="center"/>
          </w:tcPr>
          <w:p w14:paraId="707F2E4D">
            <w:pPr>
              <w:pStyle w:val="178"/>
              <w:rPr>
                <w:rFonts w:ascii="Times New Roman"/>
              </w:rPr>
            </w:pPr>
            <w:r>
              <w:rPr>
                <w:rFonts w:ascii="Times New Roman"/>
              </w:rPr>
              <w:t>污染物</w:t>
            </w:r>
          </w:p>
        </w:tc>
        <w:tc>
          <w:tcPr>
            <w:tcW w:w="2333" w:type="dxa"/>
            <w:tcBorders>
              <w:top w:val="single" w:color="auto" w:sz="8" w:space="0"/>
              <w:bottom w:val="single" w:color="auto" w:sz="8" w:space="0"/>
            </w:tcBorders>
            <w:vAlign w:val="center"/>
          </w:tcPr>
          <w:p w14:paraId="5A203755">
            <w:pPr>
              <w:pStyle w:val="178"/>
              <w:rPr>
                <w:rFonts w:ascii="Times New Roman"/>
              </w:rPr>
            </w:pPr>
            <w:r>
              <w:rPr>
                <w:rFonts w:ascii="Times New Roman"/>
              </w:rPr>
              <w:t>单位</w:t>
            </w:r>
          </w:p>
        </w:tc>
        <w:tc>
          <w:tcPr>
            <w:tcW w:w="2333" w:type="dxa"/>
            <w:tcBorders>
              <w:top w:val="single" w:color="auto" w:sz="8" w:space="0"/>
              <w:bottom w:val="single" w:color="auto" w:sz="8" w:space="0"/>
            </w:tcBorders>
            <w:vAlign w:val="center"/>
          </w:tcPr>
          <w:p w14:paraId="20F79F5B">
            <w:pPr>
              <w:pStyle w:val="178"/>
              <w:rPr>
                <w:rFonts w:ascii="Times New Roman"/>
              </w:rPr>
            </w:pPr>
            <w:r>
              <w:rPr>
                <w:rFonts w:ascii="Times New Roman"/>
              </w:rPr>
              <w:t>限值</w:t>
            </w:r>
          </w:p>
        </w:tc>
        <w:tc>
          <w:tcPr>
            <w:tcW w:w="2333" w:type="dxa"/>
            <w:tcBorders>
              <w:top w:val="single" w:color="auto" w:sz="8" w:space="0"/>
              <w:bottom w:val="single" w:color="auto" w:sz="8" w:space="0"/>
            </w:tcBorders>
            <w:vAlign w:val="center"/>
          </w:tcPr>
          <w:p w14:paraId="56A939FA">
            <w:pPr>
              <w:pStyle w:val="178"/>
              <w:rPr>
                <w:rFonts w:ascii="Times New Roman"/>
              </w:rPr>
            </w:pPr>
            <w:r>
              <w:rPr>
                <w:rFonts w:ascii="Times New Roman"/>
              </w:rPr>
              <w:t>测试标准</w:t>
            </w:r>
          </w:p>
        </w:tc>
      </w:tr>
      <w:tr w14:paraId="13A24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tcBorders>
              <w:top w:val="single" w:color="auto" w:sz="8" w:space="0"/>
            </w:tcBorders>
            <w:vAlign w:val="center"/>
          </w:tcPr>
          <w:p w14:paraId="77C3D918">
            <w:pPr>
              <w:pStyle w:val="178"/>
              <w:rPr>
                <w:rFonts w:ascii="Times New Roman"/>
              </w:rPr>
            </w:pPr>
            <w:bookmarkStart w:id="68" w:name="_Hlk205900079"/>
            <w:r>
              <w:rPr>
                <w:rFonts w:ascii="Times New Roman"/>
              </w:rPr>
              <w:t>颗粒物</w:t>
            </w:r>
          </w:p>
        </w:tc>
        <w:tc>
          <w:tcPr>
            <w:tcW w:w="2333" w:type="dxa"/>
            <w:tcBorders>
              <w:top w:val="single" w:color="auto" w:sz="8" w:space="0"/>
            </w:tcBorders>
          </w:tcPr>
          <w:p w14:paraId="2F6C6B13">
            <w:pPr>
              <w:pStyle w:val="178"/>
              <w:rPr>
                <w:rFonts w:ascii="Times New Roman"/>
              </w:rPr>
            </w:pPr>
            <w:r>
              <w:rPr>
                <w:rFonts w:ascii="Times New Roman"/>
              </w:rPr>
              <w:t>mg/Nm³</w:t>
            </w:r>
          </w:p>
        </w:tc>
        <w:tc>
          <w:tcPr>
            <w:tcW w:w="2333" w:type="dxa"/>
            <w:tcBorders>
              <w:top w:val="single" w:color="auto" w:sz="8" w:space="0"/>
            </w:tcBorders>
            <w:vAlign w:val="center"/>
          </w:tcPr>
          <w:p w14:paraId="6D548D65">
            <w:pPr>
              <w:pStyle w:val="178"/>
              <w:rPr>
                <w:rFonts w:ascii="Times New Roman"/>
              </w:rPr>
            </w:pPr>
            <w:r>
              <w:rPr>
                <w:rFonts w:ascii="Times New Roman"/>
              </w:rPr>
              <w:t>≤</w:t>
            </w:r>
            <w:r>
              <w:rPr>
                <w:rFonts w:hint="eastAsia" w:ascii="Times New Roman"/>
              </w:rPr>
              <w:t>2</w:t>
            </w:r>
            <w:r>
              <w:rPr>
                <w:rFonts w:ascii="Times New Roman"/>
              </w:rPr>
              <w:t>0</w:t>
            </w:r>
          </w:p>
        </w:tc>
        <w:tc>
          <w:tcPr>
            <w:tcW w:w="2333" w:type="dxa"/>
            <w:tcBorders>
              <w:top w:val="single" w:color="auto" w:sz="8" w:space="0"/>
            </w:tcBorders>
            <w:vAlign w:val="center"/>
          </w:tcPr>
          <w:p w14:paraId="5FC13F32">
            <w:pPr>
              <w:pStyle w:val="178"/>
              <w:rPr>
                <w:rFonts w:ascii="Times New Roman"/>
              </w:rPr>
            </w:pPr>
            <w:r>
              <w:rPr>
                <w:rFonts w:ascii="Times New Roman"/>
              </w:rPr>
              <w:t>HJ 76</w:t>
            </w:r>
          </w:p>
        </w:tc>
      </w:tr>
      <w:tr w14:paraId="364C96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vAlign w:val="center"/>
          </w:tcPr>
          <w:p w14:paraId="5300588D">
            <w:pPr>
              <w:pStyle w:val="178"/>
              <w:rPr>
                <w:rFonts w:ascii="Times New Roman"/>
              </w:rPr>
            </w:pPr>
            <w:r>
              <w:rPr>
                <w:rFonts w:ascii="Times New Roman"/>
              </w:rPr>
              <w:t>SO₂</w:t>
            </w:r>
          </w:p>
        </w:tc>
        <w:tc>
          <w:tcPr>
            <w:tcW w:w="2333" w:type="dxa"/>
          </w:tcPr>
          <w:p w14:paraId="4F51F16A">
            <w:pPr>
              <w:pStyle w:val="178"/>
              <w:rPr>
                <w:rFonts w:ascii="Times New Roman"/>
              </w:rPr>
            </w:pPr>
            <w:r>
              <w:rPr>
                <w:rFonts w:ascii="Times New Roman"/>
              </w:rPr>
              <w:t>mg/Nm³</w:t>
            </w:r>
          </w:p>
        </w:tc>
        <w:tc>
          <w:tcPr>
            <w:tcW w:w="2333" w:type="dxa"/>
            <w:vAlign w:val="center"/>
          </w:tcPr>
          <w:p w14:paraId="15A74155">
            <w:pPr>
              <w:pStyle w:val="178"/>
              <w:rPr>
                <w:rFonts w:ascii="Times New Roman"/>
              </w:rPr>
            </w:pPr>
            <w:r>
              <w:rPr>
                <w:rFonts w:ascii="Times New Roman"/>
              </w:rPr>
              <w:t>≤</w:t>
            </w:r>
            <w:r>
              <w:rPr>
                <w:rFonts w:hint="eastAsia" w:ascii="Times New Roman"/>
              </w:rPr>
              <w:t>8</w:t>
            </w:r>
            <w:r>
              <w:rPr>
                <w:rFonts w:ascii="Times New Roman"/>
              </w:rPr>
              <w:t>0</w:t>
            </w:r>
          </w:p>
        </w:tc>
        <w:tc>
          <w:tcPr>
            <w:tcW w:w="2333" w:type="dxa"/>
            <w:vAlign w:val="center"/>
          </w:tcPr>
          <w:p w14:paraId="4C821AD7">
            <w:pPr>
              <w:pStyle w:val="178"/>
              <w:rPr>
                <w:rFonts w:ascii="Times New Roman"/>
              </w:rPr>
            </w:pPr>
            <w:r>
              <w:rPr>
                <w:rFonts w:ascii="Times New Roman"/>
              </w:rPr>
              <w:t>HJ 57</w:t>
            </w:r>
          </w:p>
        </w:tc>
      </w:tr>
      <w:tr w14:paraId="4E3E6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vAlign w:val="center"/>
          </w:tcPr>
          <w:p w14:paraId="3334ACA5">
            <w:pPr>
              <w:pStyle w:val="178"/>
              <w:rPr>
                <w:rFonts w:ascii="Times New Roman"/>
              </w:rPr>
            </w:pPr>
            <w:r>
              <w:rPr>
                <w:rFonts w:ascii="Times New Roman"/>
              </w:rPr>
              <w:t>NOx</w:t>
            </w:r>
          </w:p>
        </w:tc>
        <w:tc>
          <w:tcPr>
            <w:tcW w:w="2333" w:type="dxa"/>
          </w:tcPr>
          <w:p w14:paraId="06CFFAE1">
            <w:pPr>
              <w:pStyle w:val="178"/>
              <w:rPr>
                <w:rFonts w:ascii="Times New Roman"/>
              </w:rPr>
            </w:pPr>
            <w:r>
              <w:rPr>
                <w:rFonts w:ascii="Times New Roman"/>
              </w:rPr>
              <w:t>mg/Nm³</w:t>
            </w:r>
          </w:p>
        </w:tc>
        <w:tc>
          <w:tcPr>
            <w:tcW w:w="2333" w:type="dxa"/>
            <w:vAlign w:val="center"/>
          </w:tcPr>
          <w:p w14:paraId="73D84168">
            <w:pPr>
              <w:pStyle w:val="178"/>
              <w:rPr>
                <w:rFonts w:ascii="Times New Roman"/>
              </w:rPr>
            </w:pPr>
            <w:r>
              <w:rPr>
                <w:rFonts w:ascii="Times New Roman"/>
              </w:rPr>
              <w:t>≤2</w:t>
            </w:r>
            <w:r>
              <w:rPr>
                <w:rFonts w:hint="eastAsia" w:ascii="Times New Roman"/>
              </w:rPr>
              <w:t>5</w:t>
            </w:r>
            <w:r>
              <w:rPr>
                <w:rFonts w:ascii="Times New Roman"/>
              </w:rPr>
              <w:t>0</w:t>
            </w:r>
          </w:p>
        </w:tc>
        <w:tc>
          <w:tcPr>
            <w:tcW w:w="2333" w:type="dxa"/>
            <w:vAlign w:val="center"/>
          </w:tcPr>
          <w:p w14:paraId="4A523169">
            <w:pPr>
              <w:pStyle w:val="178"/>
              <w:rPr>
                <w:rFonts w:ascii="Times New Roman"/>
              </w:rPr>
            </w:pPr>
            <w:r>
              <w:rPr>
                <w:rFonts w:ascii="Times New Roman"/>
              </w:rPr>
              <w:t>HJ 692</w:t>
            </w:r>
          </w:p>
        </w:tc>
      </w:tr>
      <w:tr w14:paraId="7C4B8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vAlign w:val="center"/>
          </w:tcPr>
          <w:p w14:paraId="4A45B0C5">
            <w:pPr>
              <w:pStyle w:val="178"/>
              <w:rPr>
                <w:rFonts w:ascii="Times New Roman"/>
              </w:rPr>
            </w:pPr>
            <w:r>
              <w:rPr>
                <w:rFonts w:ascii="Times New Roman"/>
              </w:rPr>
              <w:t>HCl</w:t>
            </w:r>
          </w:p>
        </w:tc>
        <w:tc>
          <w:tcPr>
            <w:tcW w:w="2333" w:type="dxa"/>
          </w:tcPr>
          <w:p w14:paraId="6E9B5A0B">
            <w:pPr>
              <w:pStyle w:val="178"/>
              <w:rPr>
                <w:rFonts w:ascii="Times New Roman"/>
              </w:rPr>
            </w:pPr>
            <w:r>
              <w:rPr>
                <w:rFonts w:ascii="Times New Roman"/>
              </w:rPr>
              <w:t>mg/Nm³</w:t>
            </w:r>
          </w:p>
        </w:tc>
        <w:tc>
          <w:tcPr>
            <w:tcW w:w="2333" w:type="dxa"/>
            <w:vAlign w:val="center"/>
          </w:tcPr>
          <w:p w14:paraId="58DA4816">
            <w:pPr>
              <w:pStyle w:val="178"/>
              <w:rPr>
                <w:rFonts w:ascii="Times New Roman"/>
              </w:rPr>
            </w:pPr>
            <w:r>
              <w:rPr>
                <w:rFonts w:ascii="Times New Roman"/>
              </w:rPr>
              <w:t>≤</w:t>
            </w:r>
            <w:r>
              <w:rPr>
                <w:rFonts w:hint="eastAsia" w:ascii="Times New Roman"/>
              </w:rPr>
              <w:t>5</w:t>
            </w:r>
            <w:r>
              <w:rPr>
                <w:rFonts w:ascii="Times New Roman"/>
              </w:rPr>
              <w:t>0</w:t>
            </w:r>
          </w:p>
        </w:tc>
        <w:tc>
          <w:tcPr>
            <w:tcW w:w="2333" w:type="dxa"/>
            <w:vAlign w:val="center"/>
          </w:tcPr>
          <w:p w14:paraId="490C6A01">
            <w:pPr>
              <w:pStyle w:val="178"/>
              <w:rPr>
                <w:rFonts w:ascii="Times New Roman"/>
              </w:rPr>
            </w:pPr>
            <w:r>
              <w:rPr>
                <w:rFonts w:ascii="Times New Roman"/>
              </w:rPr>
              <w:t>HJ 548</w:t>
            </w:r>
          </w:p>
        </w:tc>
      </w:tr>
      <w:tr w14:paraId="30F9A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vAlign w:val="center"/>
          </w:tcPr>
          <w:p w14:paraId="784A7100">
            <w:pPr>
              <w:pStyle w:val="178"/>
              <w:rPr>
                <w:rFonts w:ascii="Times New Roman"/>
              </w:rPr>
            </w:pPr>
            <w:r>
              <w:rPr>
                <w:rFonts w:ascii="Times New Roman"/>
              </w:rPr>
              <w:t>二噁英类</w:t>
            </w:r>
          </w:p>
        </w:tc>
        <w:tc>
          <w:tcPr>
            <w:tcW w:w="2333" w:type="dxa"/>
            <w:vAlign w:val="center"/>
          </w:tcPr>
          <w:p w14:paraId="5ADDF513">
            <w:pPr>
              <w:pStyle w:val="178"/>
              <w:rPr>
                <w:rFonts w:ascii="Times New Roman"/>
              </w:rPr>
            </w:pPr>
            <w:r>
              <w:rPr>
                <w:rFonts w:ascii="Times New Roman"/>
              </w:rPr>
              <w:t>ngTEQ/Nm</w:t>
            </w:r>
            <w:r>
              <w:rPr>
                <w:rFonts w:ascii="Times New Roman"/>
                <w:vertAlign w:val="superscript"/>
              </w:rPr>
              <w:t>3</w:t>
            </w:r>
          </w:p>
        </w:tc>
        <w:tc>
          <w:tcPr>
            <w:tcW w:w="2333" w:type="dxa"/>
            <w:vAlign w:val="center"/>
          </w:tcPr>
          <w:p w14:paraId="100FBF49">
            <w:pPr>
              <w:pStyle w:val="178"/>
              <w:rPr>
                <w:rFonts w:ascii="Times New Roman"/>
              </w:rPr>
            </w:pPr>
            <w:r>
              <w:rPr>
                <w:rFonts w:ascii="Times New Roman"/>
              </w:rPr>
              <w:t>≤0.1</w:t>
            </w:r>
          </w:p>
        </w:tc>
        <w:tc>
          <w:tcPr>
            <w:tcW w:w="2333" w:type="dxa"/>
            <w:vAlign w:val="center"/>
          </w:tcPr>
          <w:p w14:paraId="4729FDC7">
            <w:pPr>
              <w:pStyle w:val="178"/>
              <w:rPr>
                <w:rFonts w:ascii="Times New Roman"/>
              </w:rPr>
            </w:pPr>
            <w:r>
              <w:rPr>
                <w:rFonts w:ascii="Times New Roman"/>
              </w:rPr>
              <w:t>HJ 77.2</w:t>
            </w:r>
          </w:p>
        </w:tc>
      </w:tr>
      <w:tr w14:paraId="6665F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5" w:type="dxa"/>
            <w:vAlign w:val="center"/>
          </w:tcPr>
          <w:p w14:paraId="746A6D89">
            <w:pPr>
              <w:pStyle w:val="178"/>
              <w:rPr>
                <w:rFonts w:ascii="Times New Roman"/>
              </w:rPr>
            </w:pPr>
            <w:r>
              <w:rPr>
                <w:rFonts w:ascii="Times New Roman"/>
              </w:rPr>
              <w:t>汞及其化合物</w:t>
            </w:r>
          </w:p>
        </w:tc>
        <w:tc>
          <w:tcPr>
            <w:tcW w:w="2333" w:type="dxa"/>
          </w:tcPr>
          <w:p w14:paraId="31F90DA4">
            <w:pPr>
              <w:pStyle w:val="178"/>
              <w:rPr>
                <w:rFonts w:ascii="Times New Roman"/>
              </w:rPr>
            </w:pPr>
            <w:r>
              <w:rPr>
                <w:rFonts w:ascii="Times New Roman"/>
              </w:rPr>
              <w:t>mg/Nm³</w:t>
            </w:r>
          </w:p>
        </w:tc>
        <w:tc>
          <w:tcPr>
            <w:tcW w:w="2333" w:type="dxa"/>
            <w:vAlign w:val="center"/>
          </w:tcPr>
          <w:p w14:paraId="3A8D2392">
            <w:pPr>
              <w:pStyle w:val="178"/>
              <w:rPr>
                <w:rFonts w:ascii="Times New Roman"/>
              </w:rPr>
            </w:pPr>
            <w:r>
              <w:rPr>
                <w:rFonts w:ascii="Times New Roman"/>
              </w:rPr>
              <w:t>≤0.05</w:t>
            </w:r>
          </w:p>
        </w:tc>
        <w:tc>
          <w:tcPr>
            <w:tcW w:w="2333" w:type="dxa"/>
            <w:vAlign w:val="center"/>
          </w:tcPr>
          <w:p w14:paraId="539A6D75">
            <w:pPr>
              <w:pStyle w:val="178"/>
              <w:rPr>
                <w:rFonts w:ascii="Times New Roman"/>
              </w:rPr>
            </w:pPr>
            <w:r>
              <w:rPr>
                <w:rFonts w:ascii="Times New Roman"/>
              </w:rPr>
              <w:t>HJ 543</w:t>
            </w:r>
          </w:p>
        </w:tc>
      </w:tr>
      <w:bookmarkEnd w:id="68"/>
    </w:tbl>
    <w:p w14:paraId="71CFABFB">
      <w:pPr>
        <w:pStyle w:val="56"/>
        <w:ind w:firstLine="420"/>
        <w:rPr>
          <w:rFonts w:ascii="Times New Roman"/>
        </w:rPr>
      </w:pPr>
    </w:p>
    <w:p w14:paraId="4705C108">
      <w:pPr>
        <w:pStyle w:val="65"/>
        <w:spacing w:before="120" w:after="120"/>
        <w:rPr>
          <w:rFonts w:ascii="Times New Roman"/>
        </w:rPr>
      </w:pPr>
      <w:r>
        <w:rPr>
          <w:rFonts w:ascii="Times New Roman"/>
        </w:rPr>
        <w:t>废水与固废</w:t>
      </w:r>
    </w:p>
    <w:p w14:paraId="42CB2BB2">
      <w:pPr>
        <w:pStyle w:val="56"/>
        <w:ind w:firstLine="420"/>
        <w:rPr>
          <w:rFonts w:ascii="Times New Roman"/>
        </w:rPr>
      </w:pPr>
      <w:r>
        <w:rPr>
          <w:rFonts w:ascii="Times New Roman"/>
        </w:rPr>
        <w:t>废水与固废</w:t>
      </w:r>
      <w:bookmarkStart w:id="69" w:name="OLE_LINK3"/>
      <w:r>
        <w:rPr>
          <w:rFonts w:ascii="Times New Roman"/>
        </w:rPr>
        <w:t>应满足以下要求</w:t>
      </w:r>
      <w:bookmarkEnd w:id="69"/>
      <w:r>
        <w:rPr>
          <w:rFonts w:ascii="Times New Roman"/>
        </w:rPr>
        <w:t>：</w:t>
      </w:r>
    </w:p>
    <w:p w14:paraId="075812B3">
      <w:pPr>
        <w:pStyle w:val="132"/>
        <w:rPr>
          <w:rFonts w:ascii="Times New Roman"/>
        </w:rPr>
      </w:pPr>
      <w:r>
        <w:rPr>
          <w:rFonts w:ascii="Times New Roman"/>
        </w:rPr>
        <w:t>工艺废水预处理至pH=6~9、COD≤100 mg/L后，排入厂区污水管网；</w:t>
      </w:r>
    </w:p>
    <w:p w14:paraId="58D217FF">
      <w:pPr>
        <w:pStyle w:val="132"/>
        <w:rPr>
          <w:rFonts w:ascii="Times New Roman"/>
        </w:rPr>
      </w:pPr>
      <w:r>
        <w:rPr>
          <w:rFonts w:ascii="Times New Roman"/>
        </w:rPr>
        <w:t>飞灰按危险废物管理，密封转运至有资质单位处置。</w:t>
      </w:r>
    </w:p>
    <w:p w14:paraId="0EEF699B">
      <w:pPr>
        <w:pStyle w:val="105"/>
        <w:spacing w:before="120" w:after="120"/>
        <w:rPr>
          <w:rFonts w:ascii="Times New Roman"/>
        </w:rPr>
      </w:pPr>
      <w:r>
        <w:rPr>
          <w:rFonts w:ascii="Times New Roman"/>
        </w:rPr>
        <w:t>安全设计</w:t>
      </w:r>
    </w:p>
    <w:p w14:paraId="11B31C3A">
      <w:pPr>
        <w:pStyle w:val="165"/>
        <w:rPr>
          <w:rFonts w:ascii="Times New Roman"/>
        </w:rPr>
      </w:pPr>
      <w:r>
        <w:rPr>
          <w:rFonts w:ascii="Times New Roman"/>
        </w:rPr>
        <w:t>防爆防火应满足以下要求：</w:t>
      </w:r>
    </w:p>
    <w:p w14:paraId="1F4EAA66">
      <w:pPr>
        <w:pStyle w:val="132"/>
        <w:rPr>
          <w:rFonts w:ascii="Times New Roman"/>
        </w:rPr>
      </w:pPr>
      <w:r>
        <w:rPr>
          <w:rFonts w:ascii="Times New Roman"/>
        </w:rPr>
        <w:t>干化机、干污泥仓等爆炸风险区，配置：</w:t>
      </w:r>
    </w:p>
    <w:p w14:paraId="27EBCFEA">
      <w:pPr>
        <w:pStyle w:val="187"/>
        <w:rPr>
          <w:rFonts w:ascii="Times New Roman"/>
        </w:rPr>
      </w:pPr>
      <w:r>
        <w:rPr>
          <w:rFonts w:ascii="Times New Roman"/>
        </w:rPr>
        <w:t xml:space="preserve">氧含量监测仪，精度±0.5%； </w:t>
      </w:r>
    </w:p>
    <w:p w14:paraId="1C941B14">
      <w:pPr>
        <w:pStyle w:val="187"/>
        <w:rPr>
          <w:rFonts w:ascii="Times New Roman"/>
        </w:rPr>
      </w:pPr>
      <w:r>
        <w:rPr>
          <w:rFonts w:ascii="Times New Roman"/>
        </w:rPr>
        <w:t>自动氮气惰化系统，氧含量&gt;8%时触发；</w:t>
      </w:r>
    </w:p>
    <w:p w14:paraId="78DF8449">
      <w:pPr>
        <w:pStyle w:val="187"/>
        <w:rPr>
          <w:rFonts w:ascii="Times New Roman"/>
        </w:rPr>
      </w:pPr>
      <w:r>
        <w:rPr>
          <w:rFonts w:ascii="Times New Roman"/>
        </w:rPr>
        <w:t>泄爆片，爆破压力≤0.1 MPa。</w:t>
      </w:r>
    </w:p>
    <w:p w14:paraId="31E2E34D">
      <w:pPr>
        <w:pStyle w:val="132"/>
        <w:rPr>
          <w:rFonts w:ascii="Times New Roman"/>
        </w:rPr>
      </w:pPr>
      <w:r>
        <w:rPr>
          <w:rFonts w:ascii="Times New Roman"/>
        </w:rPr>
        <w:t>焚烧炉周边5 m内设置消防栓，水压≥0.4 MPa，及CO₂灭火器。</w:t>
      </w:r>
    </w:p>
    <w:p w14:paraId="6836C155">
      <w:pPr>
        <w:pStyle w:val="165"/>
        <w:rPr>
          <w:rFonts w:ascii="Times New Roman"/>
        </w:rPr>
      </w:pPr>
      <w:r>
        <w:rPr>
          <w:rFonts w:ascii="Times New Roman"/>
        </w:rPr>
        <w:t>毒害防护应满足以下要求：</w:t>
      </w:r>
    </w:p>
    <w:p w14:paraId="17A3DB35">
      <w:pPr>
        <w:pStyle w:val="132"/>
        <w:rPr>
          <w:rFonts w:ascii="Times New Roman"/>
        </w:rPr>
      </w:pPr>
      <w:r>
        <w:rPr>
          <w:rFonts w:ascii="Times New Roman"/>
        </w:rPr>
        <w:t>储泥池、反应塔等有限空间安装H₂S/CH₄检测仪，一级报警值10 ppm，二级报警值15 ppm，并联锁启动事故风机，风量≥12次/h换气。</w:t>
      </w:r>
    </w:p>
    <w:p w14:paraId="041D475D">
      <w:pPr>
        <w:pStyle w:val="132"/>
        <w:rPr>
          <w:rFonts w:ascii="Times New Roman"/>
        </w:rPr>
      </w:pPr>
      <w:r>
        <w:rPr>
          <w:rFonts w:ascii="Times New Roman"/>
        </w:rPr>
        <w:t>接触腐蚀性介质的操作位配置紧急淋浴器，响应时间≤1 s。</w:t>
      </w:r>
    </w:p>
    <w:p w14:paraId="72477CB8">
      <w:pPr>
        <w:pStyle w:val="105"/>
        <w:spacing w:before="120" w:after="120"/>
        <w:rPr>
          <w:rFonts w:ascii="Times New Roman"/>
        </w:rPr>
      </w:pPr>
      <w:r>
        <w:rPr>
          <w:rFonts w:ascii="Times New Roman"/>
        </w:rPr>
        <w:t>职业健康</w:t>
      </w:r>
    </w:p>
    <w:p w14:paraId="3B88990D">
      <w:pPr>
        <w:pStyle w:val="165"/>
        <w:rPr>
          <w:rFonts w:ascii="Times New Roman"/>
        </w:rPr>
      </w:pPr>
      <w:r>
        <w:rPr>
          <w:rFonts w:ascii="Times New Roman"/>
        </w:rPr>
        <w:t>高噪声设备（引风机、空压机）应采取：</w:t>
      </w:r>
    </w:p>
    <w:p w14:paraId="02646B75">
      <w:pPr>
        <w:pStyle w:val="132"/>
        <w:rPr>
          <w:rFonts w:ascii="Times New Roman"/>
        </w:rPr>
      </w:pPr>
      <w:r>
        <w:rPr>
          <w:rFonts w:ascii="Times New Roman"/>
        </w:rPr>
        <w:t>隔声罩，插入损失≥25</w:t>
      </w:r>
      <w:r>
        <w:rPr>
          <w:rFonts w:hint="eastAsia" w:ascii="Times New Roman"/>
        </w:rPr>
        <w:t xml:space="preserve"> </w:t>
      </w:r>
      <w:r>
        <w:rPr>
          <w:rFonts w:ascii="Times New Roman"/>
        </w:rPr>
        <w:t>dB(A)；</w:t>
      </w:r>
    </w:p>
    <w:p w14:paraId="617B11E9">
      <w:pPr>
        <w:pStyle w:val="132"/>
        <w:rPr>
          <w:rFonts w:ascii="Times New Roman"/>
        </w:rPr>
      </w:pPr>
      <w:r>
        <w:rPr>
          <w:rFonts w:ascii="Times New Roman"/>
        </w:rPr>
        <w:t>减振基础，振动速度≤4.5 mm/s。</w:t>
      </w:r>
    </w:p>
    <w:p w14:paraId="496B1082">
      <w:pPr>
        <w:pStyle w:val="165"/>
        <w:rPr>
          <w:rFonts w:ascii="Times New Roman"/>
        </w:rPr>
      </w:pPr>
      <w:r>
        <w:rPr>
          <w:rFonts w:ascii="Times New Roman"/>
        </w:rPr>
        <w:t>巡检通道噪声宜≤85</w:t>
      </w:r>
      <w:r>
        <w:rPr>
          <w:rFonts w:hint="eastAsia" w:ascii="Times New Roman"/>
        </w:rPr>
        <w:t xml:space="preserve"> </w:t>
      </w:r>
      <w:r>
        <w:rPr>
          <w:rFonts w:ascii="Times New Roman"/>
        </w:rPr>
        <w:t>dB(A)，否则应配发护耳器。</w:t>
      </w:r>
    </w:p>
    <w:p w14:paraId="2B65152F">
      <w:pPr>
        <w:pStyle w:val="105"/>
        <w:spacing w:before="120" w:after="120"/>
        <w:rPr>
          <w:rFonts w:ascii="Times New Roman"/>
        </w:rPr>
      </w:pPr>
      <w:r>
        <w:rPr>
          <w:rFonts w:ascii="Times New Roman"/>
        </w:rPr>
        <w:t>应急管理</w:t>
      </w:r>
    </w:p>
    <w:p w14:paraId="5FEA6A43">
      <w:pPr>
        <w:pStyle w:val="165"/>
        <w:rPr>
          <w:rFonts w:ascii="Times New Roman"/>
        </w:rPr>
      </w:pPr>
      <w:r>
        <w:rPr>
          <w:rFonts w:ascii="Times New Roman"/>
        </w:rPr>
        <w:t>控制系统应预设紧急停车程序，触发条件应包括：</w:t>
      </w:r>
    </w:p>
    <w:p w14:paraId="3EFB8367">
      <w:pPr>
        <w:pStyle w:val="132"/>
        <w:rPr>
          <w:rFonts w:ascii="Times New Roman"/>
        </w:rPr>
      </w:pPr>
      <w:r>
        <w:rPr>
          <w:rFonts w:ascii="Times New Roman"/>
        </w:rPr>
        <w:t>焚烧炉温度&lt;800°C，持续&gt;5</w:t>
      </w:r>
      <w:r>
        <w:rPr>
          <w:rFonts w:hint="eastAsia" w:ascii="Times New Roman"/>
        </w:rPr>
        <w:t xml:space="preserve"> </w:t>
      </w:r>
      <w:r>
        <w:rPr>
          <w:rFonts w:ascii="Times New Roman"/>
        </w:rPr>
        <w:t>s；</w:t>
      </w:r>
    </w:p>
    <w:p w14:paraId="51ECD1F2">
      <w:pPr>
        <w:pStyle w:val="132"/>
        <w:rPr>
          <w:rFonts w:ascii="Times New Roman"/>
        </w:rPr>
      </w:pPr>
      <w:r>
        <w:rPr>
          <w:rFonts w:ascii="Times New Roman"/>
        </w:rPr>
        <w:t>干化系统氧含量&gt;10%；</w:t>
      </w:r>
    </w:p>
    <w:p w14:paraId="053F0E5B">
      <w:pPr>
        <w:pStyle w:val="132"/>
        <w:rPr>
          <w:rFonts w:ascii="Times New Roman"/>
        </w:rPr>
      </w:pPr>
      <w:r>
        <w:rPr>
          <w:rFonts w:ascii="Times New Roman"/>
        </w:rPr>
        <w:t>烟气净化失效，粉尘&gt;50 mg/Nm³。</w:t>
      </w:r>
    </w:p>
    <w:p w14:paraId="5F165993">
      <w:pPr>
        <w:pStyle w:val="165"/>
        <w:rPr>
          <w:rFonts w:ascii="Times New Roman"/>
        </w:rPr>
      </w:pPr>
      <w:r>
        <w:rPr>
          <w:rFonts w:ascii="Times New Roman"/>
        </w:rPr>
        <w:t>供应商应提供应急预案，涵盖火灾、有毒泄漏、粉尘爆炸场景的处置流程。</w:t>
      </w:r>
    </w:p>
    <w:p w14:paraId="77775628">
      <w:pPr>
        <w:pStyle w:val="105"/>
        <w:spacing w:before="120" w:after="120"/>
        <w:rPr>
          <w:rFonts w:ascii="Times New Roman"/>
        </w:rPr>
      </w:pPr>
      <w:r>
        <w:rPr>
          <w:rFonts w:ascii="Times New Roman"/>
        </w:rPr>
        <w:t>文件要求</w:t>
      </w:r>
    </w:p>
    <w:p w14:paraId="3831431A">
      <w:pPr>
        <w:pStyle w:val="56"/>
        <w:ind w:firstLine="420"/>
        <w:rPr>
          <w:rFonts w:ascii="Times New Roman"/>
        </w:rPr>
      </w:pPr>
      <w:r>
        <w:rPr>
          <w:rFonts w:ascii="Times New Roman"/>
        </w:rPr>
        <w:t>供应商应提交：</w:t>
      </w:r>
    </w:p>
    <w:p w14:paraId="54E81EFA">
      <w:pPr>
        <w:pStyle w:val="132"/>
        <w:rPr>
          <w:rFonts w:ascii="Times New Roman"/>
        </w:rPr>
      </w:pPr>
      <w:r>
        <w:rPr>
          <w:rFonts w:ascii="Times New Roman"/>
        </w:rPr>
        <w:t>环保设备性能承诺书；</w:t>
      </w:r>
    </w:p>
    <w:p w14:paraId="67F93130">
      <w:pPr>
        <w:pStyle w:val="132"/>
        <w:rPr>
          <w:rFonts w:ascii="Times New Roman"/>
        </w:rPr>
      </w:pPr>
      <w:r>
        <w:rPr>
          <w:rFonts w:ascii="Times New Roman"/>
        </w:rPr>
        <w:t>防爆区域划分图；</w:t>
      </w:r>
    </w:p>
    <w:p w14:paraId="5DE0EC81">
      <w:pPr>
        <w:pStyle w:val="132"/>
        <w:rPr>
          <w:rFonts w:ascii="Times New Roman"/>
        </w:rPr>
      </w:pPr>
      <w:r>
        <w:rPr>
          <w:rFonts w:ascii="Times New Roman"/>
        </w:rPr>
        <w:t>安全阀、泄爆片计算书及型式试验证书。</w:t>
      </w:r>
    </w:p>
    <w:p w14:paraId="18DE0A8D">
      <w:pPr>
        <w:pStyle w:val="104"/>
        <w:spacing w:before="240" w:after="240"/>
        <w:rPr>
          <w:rFonts w:ascii="Times New Roman"/>
        </w:rPr>
      </w:pPr>
      <w:bookmarkStart w:id="70" w:name="_Toc205892338"/>
      <w:bookmarkStart w:id="71" w:name="_Toc205913164"/>
      <w:r>
        <w:rPr>
          <w:rFonts w:ascii="Times New Roman"/>
        </w:rPr>
        <w:t>包装、运输与标识</w:t>
      </w:r>
      <w:bookmarkEnd w:id="70"/>
      <w:bookmarkEnd w:id="71"/>
    </w:p>
    <w:p w14:paraId="1947761A">
      <w:pPr>
        <w:pStyle w:val="105"/>
        <w:spacing w:before="120" w:after="120"/>
        <w:rPr>
          <w:rFonts w:ascii="Times New Roman"/>
        </w:rPr>
      </w:pPr>
      <w:r>
        <w:rPr>
          <w:rFonts w:ascii="Times New Roman"/>
        </w:rPr>
        <w:t>包装</w:t>
      </w:r>
    </w:p>
    <w:p w14:paraId="658A83BB">
      <w:pPr>
        <w:pStyle w:val="165"/>
        <w:rPr>
          <w:rFonts w:ascii="Times New Roman"/>
        </w:rPr>
      </w:pPr>
      <w:r>
        <w:rPr>
          <w:rFonts w:ascii="Times New Roman"/>
        </w:rPr>
        <w:t>焚烧炉、余热锅炉</w:t>
      </w:r>
      <w:r>
        <w:rPr>
          <w:rFonts w:hint="eastAsia" w:ascii="Times New Roman"/>
        </w:rPr>
        <w:t>等</w:t>
      </w:r>
      <w:r>
        <w:rPr>
          <w:rFonts w:ascii="Times New Roman"/>
        </w:rPr>
        <w:t>大型设备</w:t>
      </w:r>
      <w:r>
        <w:rPr>
          <w:rFonts w:hint="eastAsia" w:ascii="Times New Roman"/>
        </w:rPr>
        <w:t>，</w:t>
      </w:r>
      <w:r>
        <w:rPr>
          <w:rFonts w:ascii="Times New Roman"/>
        </w:rPr>
        <w:t>应采用模块化钢结构框架包装，框架刚度满足：</w:t>
      </w:r>
    </w:p>
    <w:p w14:paraId="0DEC974B">
      <w:pPr>
        <w:pStyle w:val="132"/>
        <w:rPr>
          <w:rFonts w:ascii="Times New Roman"/>
        </w:rPr>
      </w:pPr>
      <w:r>
        <w:rPr>
          <w:rFonts w:ascii="Times New Roman"/>
        </w:rPr>
        <w:t>抗变形能力≥设备自重200%；</w:t>
      </w:r>
    </w:p>
    <w:p w14:paraId="4874E379">
      <w:pPr>
        <w:pStyle w:val="132"/>
        <w:rPr>
          <w:rFonts w:ascii="Times New Roman"/>
        </w:rPr>
      </w:pPr>
      <w:r>
        <w:rPr>
          <w:rFonts w:ascii="Times New Roman"/>
        </w:rPr>
        <w:t>顶面承压≥5 kN/m²。</w:t>
      </w:r>
    </w:p>
    <w:p w14:paraId="474780E2">
      <w:pPr>
        <w:pStyle w:val="165"/>
        <w:rPr>
          <w:rFonts w:ascii="Times New Roman"/>
        </w:rPr>
      </w:pPr>
      <w:r>
        <w:rPr>
          <w:rFonts w:ascii="Times New Roman"/>
        </w:rPr>
        <w:t>分析仪</w:t>
      </w:r>
      <w:r>
        <w:rPr>
          <w:rFonts w:hint="eastAsia" w:ascii="Times New Roman"/>
        </w:rPr>
        <w:t>等</w:t>
      </w:r>
      <w:r>
        <w:rPr>
          <w:rFonts w:ascii="Times New Roman"/>
        </w:rPr>
        <w:t>精密仪表</w:t>
      </w:r>
      <w:r>
        <w:rPr>
          <w:rFonts w:hint="eastAsia" w:ascii="Times New Roman"/>
        </w:rPr>
        <w:t>，</w:t>
      </w:r>
      <w:r>
        <w:rPr>
          <w:rFonts w:ascii="Times New Roman"/>
        </w:rPr>
        <w:t>应独立包装：</w:t>
      </w:r>
    </w:p>
    <w:p w14:paraId="1D283578">
      <w:pPr>
        <w:pStyle w:val="132"/>
        <w:rPr>
          <w:rFonts w:ascii="Times New Roman"/>
        </w:rPr>
      </w:pPr>
      <w:r>
        <w:rPr>
          <w:rFonts w:ascii="Times New Roman"/>
        </w:rPr>
        <w:t>防静电袋密封后装入硬质发泡箱，抗震≥5 g；</w:t>
      </w:r>
    </w:p>
    <w:p w14:paraId="2A980E7E">
      <w:pPr>
        <w:pStyle w:val="132"/>
        <w:rPr>
          <w:rFonts w:ascii="Times New Roman"/>
        </w:rPr>
      </w:pPr>
      <w:r>
        <w:rPr>
          <w:rFonts w:ascii="Times New Roman"/>
        </w:rPr>
        <w:t>箱内湿度指示卡宜显色阈值≤30%RH。</w:t>
      </w:r>
    </w:p>
    <w:p w14:paraId="2670BFB5">
      <w:pPr>
        <w:pStyle w:val="165"/>
        <w:rPr>
          <w:rFonts w:ascii="Times New Roman"/>
        </w:rPr>
      </w:pPr>
      <w:r>
        <w:rPr>
          <w:rFonts w:ascii="Times New Roman"/>
        </w:rPr>
        <w:t>滤袋、陶瓷内衬</w:t>
      </w:r>
      <w:r>
        <w:rPr>
          <w:rFonts w:hint="eastAsia" w:ascii="Times New Roman"/>
        </w:rPr>
        <w:t>等</w:t>
      </w:r>
      <w:r>
        <w:rPr>
          <w:rFonts w:ascii="Times New Roman"/>
        </w:rPr>
        <w:t>易损件</w:t>
      </w:r>
      <w:r>
        <w:rPr>
          <w:rFonts w:hint="eastAsia" w:ascii="Times New Roman"/>
        </w:rPr>
        <w:t>，</w:t>
      </w:r>
      <w:r>
        <w:rPr>
          <w:rFonts w:ascii="Times New Roman"/>
        </w:rPr>
        <w:t>可采用木箱包装，内衬防水油毡≥0.5 mm厚。</w:t>
      </w:r>
    </w:p>
    <w:p w14:paraId="4E77449E">
      <w:pPr>
        <w:pStyle w:val="105"/>
        <w:spacing w:before="120" w:after="120"/>
        <w:rPr>
          <w:rFonts w:ascii="Times New Roman"/>
        </w:rPr>
      </w:pPr>
      <w:r>
        <w:rPr>
          <w:rFonts w:ascii="Times New Roman"/>
        </w:rPr>
        <w:t>运输</w:t>
      </w:r>
    </w:p>
    <w:p w14:paraId="50902E46">
      <w:pPr>
        <w:pStyle w:val="165"/>
        <w:rPr>
          <w:rFonts w:ascii="Times New Roman"/>
        </w:rPr>
      </w:pPr>
      <w:r>
        <w:rPr>
          <w:rFonts w:ascii="Times New Roman"/>
        </w:rPr>
        <w:t>超限设备（宽度＞3.5</w:t>
      </w:r>
      <w:r>
        <w:rPr>
          <w:rFonts w:hint="eastAsia" w:ascii="Times New Roman"/>
        </w:rPr>
        <w:t xml:space="preserve"> </w:t>
      </w:r>
      <w:r>
        <w:rPr>
          <w:rFonts w:ascii="Times New Roman"/>
        </w:rPr>
        <w:t>m）应申请特种运输许可，并提交：</w:t>
      </w:r>
    </w:p>
    <w:p w14:paraId="464C1B35">
      <w:pPr>
        <w:pStyle w:val="132"/>
        <w:rPr>
          <w:rFonts w:ascii="Times New Roman"/>
        </w:rPr>
      </w:pPr>
      <w:r>
        <w:rPr>
          <w:rFonts w:ascii="Times New Roman"/>
        </w:rPr>
        <w:t>三维尺寸图；</w:t>
      </w:r>
    </w:p>
    <w:p w14:paraId="70BC89AE">
      <w:pPr>
        <w:pStyle w:val="132"/>
        <w:rPr>
          <w:rFonts w:ascii="Times New Roman"/>
        </w:rPr>
      </w:pPr>
      <w:r>
        <w:rPr>
          <w:rFonts w:ascii="Times New Roman"/>
        </w:rPr>
        <w:t>公路/水路运输路线勘察报告。</w:t>
      </w:r>
    </w:p>
    <w:p w14:paraId="0BFAD8B7">
      <w:pPr>
        <w:pStyle w:val="165"/>
        <w:rPr>
          <w:rFonts w:ascii="Times New Roman"/>
        </w:rPr>
      </w:pPr>
      <w:r>
        <w:rPr>
          <w:rFonts w:ascii="Times New Roman"/>
        </w:rPr>
        <w:t>运输过程应满足以下要求：</w:t>
      </w:r>
    </w:p>
    <w:p w14:paraId="3158ABBD">
      <w:pPr>
        <w:pStyle w:val="132"/>
        <w:rPr>
          <w:rFonts w:ascii="Times New Roman"/>
        </w:rPr>
      </w:pPr>
      <w:r>
        <w:rPr>
          <w:rFonts w:ascii="Times New Roman"/>
        </w:rPr>
        <w:t>加速度≤0.3 g；</w:t>
      </w:r>
    </w:p>
    <w:p w14:paraId="31C14189">
      <w:pPr>
        <w:pStyle w:val="132"/>
        <w:rPr>
          <w:rFonts w:ascii="Times New Roman"/>
        </w:rPr>
      </w:pPr>
      <w:r>
        <w:rPr>
          <w:rFonts w:ascii="Times New Roman"/>
        </w:rPr>
        <w:t>设备表面温度宜保持-25°C～50°C。</w:t>
      </w:r>
    </w:p>
    <w:p w14:paraId="5DFBF05F">
      <w:pPr>
        <w:pStyle w:val="165"/>
        <w:rPr>
          <w:rFonts w:ascii="Times New Roman"/>
        </w:rPr>
      </w:pPr>
      <w:r>
        <w:rPr>
          <w:rFonts w:ascii="Times New Roman"/>
        </w:rPr>
        <w:t>海运集装箱箱内宜投用气相防锈剂。</w:t>
      </w:r>
    </w:p>
    <w:p w14:paraId="254150EB">
      <w:pPr>
        <w:pStyle w:val="105"/>
        <w:spacing w:before="120" w:after="120"/>
        <w:rPr>
          <w:rFonts w:ascii="Times New Roman"/>
        </w:rPr>
      </w:pPr>
      <w:r>
        <w:rPr>
          <w:rFonts w:ascii="Times New Roman"/>
        </w:rPr>
        <w:t>标识</w:t>
      </w:r>
    </w:p>
    <w:p w14:paraId="55CA0A22">
      <w:pPr>
        <w:pStyle w:val="165"/>
        <w:rPr>
          <w:rFonts w:ascii="Times New Roman"/>
        </w:rPr>
      </w:pPr>
      <w:r>
        <w:rPr>
          <w:rFonts w:ascii="Times New Roman"/>
        </w:rPr>
        <w:t>外箱标识应包含：</w:t>
      </w:r>
    </w:p>
    <w:p w14:paraId="42F38E1F">
      <w:pPr>
        <w:pStyle w:val="132"/>
        <w:rPr>
          <w:rFonts w:ascii="Times New Roman"/>
        </w:rPr>
      </w:pPr>
      <w:r>
        <w:rPr>
          <w:rFonts w:ascii="Times New Roman"/>
        </w:rPr>
        <w:t>设备名称/编号；</w:t>
      </w:r>
    </w:p>
    <w:p w14:paraId="14A017F3">
      <w:pPr>
        <w:pStyle w:val="132"/>
        <w:rPr>
          <w:rFonts w:ascii="Times New Roman"/>
        </w:rPr>
      </w:pPr>
      <w:r>
        <w:rPr>
          <w:rFonts w:ascii="Times New Roman"/>
        </w:rPr>
        <w:t>尺寸；</w:t>
      </w:r>
    </w:p>
    <w:p w14:paraId="5CC39334">
      <w:pPr>
        <w:pStyle w:val="132"/>
        <w:rPr>
          <w:rFonts w:ascii="Times New Roman"/>
        </w:rPr>
      </w:pPr>
      <w:r>
        <w:rPr>
          <w:rFonts w:ascii="Times New Roman"/>
        </w:rPr>
        <w:t>毛重/净重；</w:t>
      </w:r>
    </w:p>
    <w:p w14:paraId="55F30822">
      <w:pPr>
        <w:pStyle w:val="132"/>
        <w:rPr>
          <w:rFonts w:ascii="Times New Roman"/>
        </w:rPr>
      </w:pPr>
      <w:r>
        <w:rPr>
          <w:rFonts w:ascii="Times New Roman"/>
        </w:rPr>
        <w:t>重心位置；</w:t>
      </w:r>
    </w:p>
    <w:p w14:paraId="678BDCD0">
      <w:pPr>
        <w:pStyle w:val="132"/>
        <w:rPr>
          <w:rFonts w:ascii="Times New Roman"/>
        </w:rPr>
      </w:pPr>
      <w:r>
        <w:rPr>
          <w:rFonts w:ascii="Times New Roman"/>
        </w:rPr>
        <w:t>防雨；</w:t>
      </w:r>
    </w:p>
    <w:p w14:paraId="7BA2F6F1">
      <w:pPr>
        <w:pStyle w:val="132"/>
        <w:rPr>
          <w:rFonts w:ascii="Times New Roman"/>
        </w:rPr>
      </w:pPr>
      <w:r>
        <w:rPr>
          <w:rFonts w:ascii="Times New Roman"/>
        </w:rPr>
        <w:t>禁止翻滚。</w:t>
      </w:r>
    </w:p>
    <w:p w14:paraId="35E88485">
      <w:pPr>
        <w:pStyle w:val="165"/>
        <w:rPr>
          <w:rFonts w:ascii="Times New Roman"/>
        </w:rPr>
      </w:pPr>
      <w:r>
        <w:rPr>
          <w:rFonts w:ascii="Times New Roman"/>
        </w:rPr>
        <w:t>危险警示应符合G</w:t>
      </w:r>
      <w:bookmarkStart w:id="72" w:name="OLE_LINK6"/>
      <w:r>
        <w:rPr>
          <w:rFonts w:ascii="Times New Roman"/>
        </w:rPr>
        <w:t>B 190的</w:t>
      </w:r>
      <w:bookmarkEnd w:id="72"/>
      <w:r>
        <w:rPr>
          <w:rFonts w:ascii="Times New Roman"/>
        </w:rPr>
        <w:t>要求：</w:t>
      </w:r>
    </w:p>
    <w:p w14:paraId="3430BDA8">
      <w:pPr>
        <w:pStyle w:val="132"/>
        <w:rPr>
          <w:rFonts w:ascii="Times New Roman"/>
        </w:rPr>
      </w:pPr>
      <w:r>
        <w:rPr>
          <w:rFonts w:ascii="Times New Roman"/>
        </w:rPr>
        <w:t>腐蚀性介质包件贴“腐蚀”标识；</w:t>
      </w:r>
    </w:p>
    <w:p w14:paraId="4CE8999E">
      <w:pPr>
        <w:pStyle w:val="132"/>
        <w:rPr>
          <w:rFonts w:ascii="Times New Roman"/>
        </w:rPr>
      </w:pPr>
      <w:r>
        <w:rPr>
          <w:rFonts w:ascii="Times New Roman"/>
        </w:rPr>
        <w:t>电气设备贴“防静电”标识。</w:t>
      </w:r>
    </w:p>
    <w:p w14:paraId="125A1619">
      <w:pPr>
        <w:pStyle w:val="165"/>
        <w:rPr>
          <w:rFonts w:ascii="Times New Roman"/>
        </w:rPr>
      </w:pPr>
      <w:r>
        <w:rPr>
          <w:rFonts w:ascii="Times New Roman"/>
        </w:rPr>
        <w:t>接口防护应满足以下要求：</w:t>
      </w:r>
    </w:p>
    <w:p w14:paraId="250E6C70">
      <w:pPr>
        <w:pStyle w:val="132"/>
        <w:rPr>
          <w:rFonts w:ascii="Times New Roman"/>
        </w:rPr>
      </w:pPr>
      <w:r>
        <w:rPr>
          <w:rFonts w:ascii="Times New Roman"/>
        </w:rPr>
        <w:t>法兰口加盖盲板；</w:t>
      </w:r>
    </w:p>
    <w:p w14:paraId="3562D6BC">
      <w:pPr>
        <w:pStyle w:val="132"/>
        <w:rPr>
          <w:rFonts w:ascii="Times New Roman"/>
        </w:rPr>
      </w:pPr>
      <w:r>
        <w:rPr>
          <w:rFonts w:ascii="Times New Roman"/>
        </w:rPr>
        <w:t>电缆接口注密封胶。</w:t>
      </w:r>
    </w:p>
    <w:p w14:paraId="2BD4C02B">
      <w:pPr>
        <w:pStyle w:val="105"/>
        <w:spacing w:before="120" w:after="120"/>
        <w:rPr>
          <w:rFonts w:ascii="Times New Roman"/>
        </w:rPr>
      </w:pPr>
      <w:r>
        <w:rPr>
          <w:rFonts w:ascii="Times New Roman"/>
        </w:rPr>
        <w:t>文件</w:t>
      </w:r>
    </w:p>
    <w:p w14:paraId="1BDCEB3E">
      <w:pPr>
        <w:pStyle w:val="165"/>
        <w:rPr>
          <w:rFonts w:ascii="Times New Roman"/>
        </w:rPr>
      </w:pPr>
      <w:r>
        <w:rPr>
          <w:rFonts w:ascii="Times New Roman"/>
        </w:rPr>
        <w:t>每箱应内置防水袋封装：</w:t>
      </w:r>
    </w:p>
    <w:p w14:paraId="05397727">
      <w:pPr>
        <w:pStyle w:val="132"/>
        <w:rPr>
          <w:rFonts w:ascii="Times New Roman"/>
        </w:rPr>
      </w:pPr>
      <w:r>
        <w:rPr>
          <w:rFonts w:ascii="Times New Roman"/>
        </w:rPr>
        <w:t>装箱清单；</w:t>
      </w:r>
    </w:p>
    <w:p w14:paraId="089CCD8A">
      <w:pPr>
        <w:pStyle w:val="132"/>
        <w:rPr>
          <w:rFonts w:ascii="Times New Roman"/>
        </w:rPr>
      </w:pPr>
      <w:r>
        <w:rPr>
          <w:rFonts w:ascii="Times New Roman"/>
        </w:rPr>
        <w:t>安装方位示意图。</w:t>
      </w:r>
    </w:p>
    <w:p w14:paraId="0285EDB8">
      <w:pPr>
        <w:pStyle w:val="165"/>
        <w:rPr>
          <w:rFonts w:ascii="Times New Roman"/>
        </w:rPr>
      </w:pPr>
      <w:r>
        <w:rPr>
          <w:rFonts w:ascii="Times New Roman"/>
        </w:rPr>
        <w:t>整套设备应提供总装箱目录，注明“关键箱”与“备件箱”分类。</w:t>
      </w:r>
    </w:p>
    <w:p w14:paraId="66FD635D">
      <w:pPr>
        <w:pStyle w:val="105"/>
        <w:spacing w:before="120" w:after="120"/>
        <w:rPr>
          <w:rFonts w:ascii="Times New Roman"/>
        </w:rPr>
      </w:pPr>
      <w:r>
        <w:rPr>
          <w:rFonts w:ascii="Times New Roman"/>
        </w:rPr>
        <w:t>责任</w:t>
      </w:r>
    </w:p>
    <w:p w14:paraId="21D9D77B">
      <w:pPr>
        <w:pStyle w:val="165"/>
        <w:rPr>
          <w:rFonts w:ascii="Times New Roman"/>
        </w:rPr>
      </w:pPr>
      <w:r>
        <w:rPr>
          <w:rFonts w:ascii="Times New Roman"/>
        </w:rPr>
        <w:t>运输导致的设备损伤：</w:t>
      </w:r>
    </w:p>
    <w:p w14:paraId="3D2C5B5B">
      <w:pPr>
        <w:pStyle w:val="132"/>
        <w:rPr>
          <w:rFonts w:ascii="Times New Roman"/>
        </w:rPr>
      </w:pPr>
      <w:r>
        <w:rPr>
          <w:rFonts w:ascii="Times New Roman"/>
        </w:rPr>
        <w:t>包装完好但内部损坏由供应商担责；</w:t>
      </w:r>
    </w:p>
    <w:p w14:paraId="69B98B72">
      <w:pPr>
        <w:pStyle w:val="132"/>
        <w:rPr>
          <w:rFonts w:ascii="Times New Roman"/>
        </w:rPr>
      </w:pPr>
      <w:r>
        <w:rPr>
          <w:rFonts w:ascii="Times New Roman"/>
        </w:rPr>
        <w:t>外箱破损且未购买保险归责于承运方。</w:t>
      </w:r>
    </w:p>
    <w:p w14:paraId="0E278901">
      <w:pPr>
        <w:pStyle w:val="165"/>
        <w:rPr>
          <w:rFonts w:ascii="Times New Roman"/>
        </w:rPr>
      </w:pPr>
      <w:r>
        <w:rPr>
          <w:rFonts w:ascii="Times New Roman"/>
        </w:rPr>
        <w:t>到货开箱应双方签字确认，争议问题宜48 h内书面提出。</w:t>
      </w:r>
    </w:p>
    <w:bookmarkEnd w:id="25"/>
    <w:p w14:paraId="1DBFB71E">
      <w:pPr>
        <w:pStyle w:val="56"/>
        <w:ind w:firstLine="0" w:firstLineChars="0"/>
        <w:jc w:val="center"/>
        <w:rPr>
          <w:rFonts w:ascii="Times New Roman"/>
        </w:rPr>
      </w:pPr>
      <w:bookmarkStart w:id="73" w:name="BookMark8"/>
      <w:r>
        <w:rPr>
          <w:rFonts w:ascii="Times New Roman"/>
        </w:rPr>
        <w:drawing>
          <wp:inline distT="0" distB="0" distL="0" distR="0">
            <wp:extent cx="1485900" cy="317500"/>
            <wp:effectExtent l="0" t="0" r="0" b="6350"/>
            <wp:docPr id="1651194832" name="图片 1"/>
            <wp:cNvGraphicFramePr/>
            <a:graphic xmlns:a="http://schemas.openxmlformats.org/drawingml/2006/main">
              <a:graphicData uri="http://schemas.openxmlformats.org/drawingml/2006/picture">
                <pic:pic xmlns:pic="http://schemas.openxmlformats.org/drawingml/2006/picture">
                  <pic:nvPicPr>
                    <pic:cNvPr id="1651194832"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3"/>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Gulim">
    <w:panose1 w:val="020B0600000101010101"/>
    <w:charset w:val="81"/>
    <w:family w:val="auto"/>
    <w:pitch w:val="default"/>
    <w:sig w:usb0="B00002AF" w:usb1="69D77CFB" w:usb2="00000030" w:usb3="00000000" w:csb0="4008009F" w:csb1="DFD7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BB5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519F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236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36F5">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800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BDD1E">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7A293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1A1C0">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31BCB">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CA"/>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CB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18BD"/>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5ED7"/>
    <w:rsid w:val="000F67E9"/>
    <w:rsid w:val="00104926"/>
    <w:rsid w:val="00111402"/>
    <w:rsid w:val="00113B1E"/>
    <w:rsid w:val="0011711C"/>
    <w:rsid w:val="00124E4F"/>
    <w:rsid w:val="001260B7"/>
    <w:rsid w:val="001265CB"/>
    <w:rsid w:val="001321C6"/>
    <w:rsid w:val="001325C4"/>
    <w:rsid w:val="00133010"/>
    <w:rsid w:val="001338EE"/>
    <w:rsid w:val="00133AAE"/>
    <w:rsid w:val="00135323"/>
    <w:rsid w:val="001356C4"/>
    <w:rsid w:val="00137565"/>
    <w:rsid w:val="001408F4"/>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4BA"/>
    <w:rsid w:val="00205F2C"/>
    <w:rsid w:val="00210B15"/>
    <w:rsid w:val="002142EA"/>
    <w:rsid w:val="00215ADD"/>
    <w:rsid w:val="002204BB"/>
    <w:rsid w:val="00221B79"/>
    <w:rsid w:val="00221C6B"/>
    <w:rsid w:val="00223190"/>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43A1"/>
    <w:rsid w:val="00285170"/>
    <w:rsid w:val="00285361"/>
    <w:rsid w:val="00286BF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173"/>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5B0"/>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1D1A"/>
    <w:rsid w:val="004746B1"/>
    <w:rsid w:val="0047583F"/>
    <w:rsid w:val="00475DE8"/>
    <w:rsid w:val="00481C44"/>
    <w:rsid w:val="00484936"/>
    <w:rsid w:val="00485C89"/>
    <w:rsid w:val="00486BE3"/>
    <w:rsid w:val="00487BB9"/>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4B"/>
    <w:rsid w:val="004F696E"/>
    <w:rsid w:val="004F6C71"/>
    <w:rsid w:val="00501139"/>
    <w:rsid w:val="0050363E"/>
    <w:rsid w:val="005039BC"/>
    <w:rsid w:val="005043BB"/>
    <w:rsid w:val="00504A3D"/>
    <w:rsid w:val="0050561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9E2"/>
    <w:rsid w:val="005D6A95"/>
    <w:rsid w:val="005D6B2C"/>
    <w:rsid w:val="005D6D9C"/>
    <w:rsid w:val="005E2335"/>
    <w:rsid w:val="005E34CA"/>
    <w:rsid w:val="005E3C18"/>
    <w:rsid w:val="005E4250"/>
    <w:rsid w:val="005E6812"/>
    <w:rsid w:val="005E7881"/>
    <w:rsid w:val="005E78E0"/>
    <w:rsid w:val="005F0D9C"/>
    <w:rsid w:val="005F284E"/>
    <w:rsid w:val="005F379B"/>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2AEC"/>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FE9"/>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5F70"/>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59BF"/>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2677"/>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4054"/>
    <w:rsid w:val="009F5866"/>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2E0C"/>
    <w:rsid w:val="00A237D5"/>
    <w:rsid w:val="00A30EFC"/>
    <w:rsid w:val="00A31984"/>
    <w:rsid w:val="00A32D73"/>
    <w:rsid w:val="00A3367B"/>
    <w:rsid w:val="00A33C67"/>
    <w:rsid w:val="00A3597D"/>
    <w:rsid w:val="00A36DD1"/>
    <w:rsid w:val="00A4006C"/>
    <w:rsid w:val="00A40091"/>
    <w:rsid w:val="00A4030F"/>
    <w:rsid w:val="00A41C79"/>
    <w:rsid w:val="00A41CB5"/>
    <w:rsid w:val="00A41F50"/>
    <w:rsid w:val="00A42CDF"/>
    <w:rsid w:val="00A4452E"/>
    <w:rsid w:val="00A4472C"/>
    <w:rsid w:val="00A44E69"/>
    <w:rsid w:val="00A4661E"/>
    <w:rsid w:val="00A52D1C"/>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0DFF"/>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67D7"/>
    <w:rsid w:val="00B20F9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06C"/>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1443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3D2D"/>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4EF"/>
    <w:rsid w:val="00D25E37"/>
    <w:rsid w:val="00D2661A"/>
    <w:rsid w:val="00D27582"/>
    <w:rsid w:val="00D27EC4"/>
    <w:rsid w:val="00D31656"/>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556"/>
    <w:rsid w:val="00E51E68"/>
    <w:rsid w:val="00E52EFD"/>
    <w:rsid w:val="00E5408A"/>
    <w:rsid w:val="00E56800"/>
    <w:rsid w:val="00E60C63"/>
    <w:rsid w:val="00E61A8A"/>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250"/>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7CA"/>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083"/>
    <w:rsid w:val="00FA662D"/>
    <w:rsid w:val="00FA73B1"/>
    <w:rsid w:val="00FB0CB9"/>
    <w:rsid w:val="00FB231D"/>
    <w:rsid w:val="00FB45F1"/>
    <w:rsid w:val="00FB4A72"/>
    <w:rsid w:val="00FB54E8"/>
    <w:rsid w:val="00FB5F37"/>
    <w:rsid w:val="00FB7054"/>
    <w:rsid w:val="00FC17B7"/>
    <w:rsid w:val="00FC2CB7"/>
    <w:rsid w:val="00FC4090"/>
    <w:rsid w:val="00FC55B4"/>
    <w:rsid w:val="00FC5DEB"/>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30E5515E"/>
    <w:rsid w:val="6902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C70DBF9C3874EA680669D3E90041BE2"/>
        <w:style w:val=""/>
        <w:category>
          <w:name w:val="常规"/>
          <w:gallery w:val="placeholder"/>
        </w:category>
        <w:types>
          <w:type w:val="bbPlcHdr"/>
        </w:types>
        <w:behaviors>
          <w:behavior w:val="content"/>
        </w:behaviors>
        <w:description w:val=""/>
        <w:guid w:val="{5877A630-D4CD-4814-A192-5629AE2B2BEC}"/>
      </w:docPartPr>
      <w:docPartBody>
        <w:p w14:paraId="55199783">
          <w:pPr>
            <w:pStyle w:val="5"/>
            <w:rPr>
              <w:rFonts w:hint="eastAsia"/>
            </w:rPr>
          </w:pPr>
          <w:r>
            <w:rPr>
              <w:rStyle w:val="4"/>
              <w:rFonts w:hint="eastAsia"/>
            </w:rPr>
            <w:t>单击或点击此处输入文字。</w:t>
          </w:r>
        </w:p>
      </w:docPartBody>
    </w:docPart>
    <w:docPart>
      <w:docPartPr>
        <w:name w:val="04CFAAA8F0BF4CE6A31DAF7BBDFF493B"/>
        <w:style w:val=""/>
        <w:category>
          <w:name w:val="常规"/>
          <w:gallery w:val="placeholder"/>
        </w:category>
        <w:types>
          <w:type w:val="bbPlcHdr"/>
        </w:types>
        <w:behaviors>
          <w:behavior w:val="content"/>
        </w:behaviors>
        <w:description w:val=""/>
        <w:guid w:val="{F5F504B0-8A4E-41E4-BF21-D5B9F84A54F9}"/>
      </w:docPartPr>
      <w:docPartBody>
        <w:p w14:paraId="7F9F8CBD">
          <w:pPr>
            <w:pStyle w:val="6"/>
            <w:rPr>
              <w:rFonts w:hint="eastAsia"/>
            </w:rPr>
          </w:pPr>
          <w:r>
            <w:rPr>
              <w:rStyle w:val="4"/>
              <w:rFonts w:hint="eastAsia"/>
            </w:rPr>
            <w:t>选择一项。</w:t>
          </w:r>
        </w:p>
      </w:docPartBody>
    </w:docPart>
    <w:docPart>
      <w:docPartPr>
        <w:name w:val="0699B64C91DA4E9C87D789404DFDF7E4"/>
        <w:style w:val=""/>
        <w:category>
          <w:name w:val="常规"/>
          <w:gallery w:val="placeholder"/>
        </w:category>
        <w:types>
          <w:type w:val="bbPlcHdr"/>
        </w:types>
        <w:behaviors>
          <w:behavior w:val="content"/>
        </w:behaviors>
        <w:description w:val=""/>
        <w:guid w:val="{188BFD53-5CEB-443F-AEC0-2E1B5F912911}"/>
      </w:docPartPr>
      <w:docPartBody>
        <w:p w14:paraId="701F8E9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CE"/>
    <w:rsid w:val="000D2909"/>
    <w:rsid w:val="000E5B4E"/>
    <w:rsid w:val="001408F4"/>
    <w:rsid w:val="002054BA"/>
    <w:rsid w:val="00223190"/>
    <w:rsid w:val="004640D5"/>
    <w:rsid w:val="00471D1A"/>
    <w:rsid w:val="00582FA1"/>
    <w:rsid w:val="005D69E2"/>
    <w:rsid w:val="00602D14"/>
    <w:rsid w:val="00714044"/>
    <w:rsid w:val="00815F70"/>
    <w:rsid w:val="00882BE1"/>
    <w:rsid w:val="008A5F35"/>
    <w:rsid w:val="00952677"/>
    <w:rsid w:val="00A22E0C"/>
    <w:rsid w:val="00A41F50"/>
    <w:rsid w:val="00B20F9F"/>
    <w:rsid w:val="00C10C90"/>
    <w:rsid w:val="00C36051"/>
    <w:rsid w:val="00C45E48"/>
    <w:rsid w:val="00CF2D4B"/>
    <w:rsid w:val="00E142BF"/>
    <w:rsid w:val="00EF07CE"/>
    <w:rsid w:val="00F56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AC70DBF9C3874EA680669D3E90041BE2"/>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04CFAAA8F0BF4CE6A31DAF7BBDFF493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0699B64C91DA4E9C87D789404DFDF7E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3883</Words>
  <Characters>4457</Characters>
  <Lines>43</Lines>
  <Paragraphs>12</Paragraphs>
  <TotalTime>295</TotalTime>
  <ScaleCrop>false</ScaleCrop>
  <LinksUpToDate>false</LinksUpToDate>
  <CharactersWithSpaces>4594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2025-08-11T08:06:00Z</dcterms:created>
  <dc:creator>1</dc:creator>
  <dc:description>&lt;config cover="true" show_menu="true" version="1.0.0" doctype="SDKXY"&gt;_x000d_
&lt;/config&gt;</dc:description>
  <cp:lastModifiedBy>Shimmer</cp:lastModifiedBy>
  <cp:lastPrinted>2021-02-02T08:22:00Z</cp:lastPrinted>
  <dcterms:modified xsi:type="dcterms:W3CDTF">2025-09-19T02:13:25Z</dcterms:modified>
  <dc:title>团体标准</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2052-12.1.0.22529</vt:lpwstr>
  </property>
  <property fmtid="{D5CDD505-2E9C-101B-9397-08002B2CF9AE}" pid="16" name="ICV">
    <vt:lpwstr>5A2F138244F74293A4651121C6734529_12</vt:lpwstr>
  </property>
</Properties>
</file>