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5A1EF" w14:textId="77777777" w:rsidR="00DC7ED7" w:rsidRDefault="00DC7ED7">
      <w:pPr>
        <w:rPr>
          <w:rFonts w:hint="eastAsia"/>
        </w:rPr>
      </w:pPr>
      <w:bookmarkStart w:id="0" w:name="_Hlk157455943"/>
    </w:p>
    <w:p w14:paraId="713238F8" w14:textId="16BDEB65" w:rsidR="00DC7ED7" w:rsidRDefault="00000000" w:rsidP="00F035C0">
      <w:pPr>
        <w:rPr>
          <w:rFonts w:hint="eastAsia"/>
          <w:b/>
          <w:bCs/>
          <w:sz w:val="32"/>
          <w:szCs w:val="32"/>
        </w:rPr>
      </w:pPr>
      <w:r>
        <w:rPr>
          <w:rFonts w:hint="eastAsia"/>
          <w:b/>
          <w:bCs/>
          <w:sz w:val="32"/>
          <w:szCs w:val="32"/>
        </w:rPr>
        <w:t>《</w:t>
      </w:r>
      <w:r w:rsidR="001745EF" w:rsidRPr="001745EF">
        <w:rPr>
          <w:rFonts w:hint="eastAsia"/>
          <w:b/>
          <w:bCs/>
          <w:sz w:val="32"/>
          <w:szCs w:val="32"/>
        </w:rPr>
        <w:t>社会信息物理系统  数字电网数据规范</w:t>
      </w:r>
      <w:r>
        <w:rPr>
          <w:rFonts w:hint="eastAsia"/>
          <w:b/>
          <w:bCs/>
          <w:sz w:val="32"/>
          <w:szCs w:val="32"/>
        </w:rPr>
        <w:t>》（征求意见稿）</w:t>
      </w:r>
    </w:p>
    <w:p w14:paraId="2EC078B5" w14:textId="77777777" w:rsidR="00DC7ED7" w:rsidRDefault="00000000">
      <w:pPr>
        <w:ind w:firstLineChars="300" w:firstLine="964"/>
        <w:jc w:val="center"/>
        <w:rPr>
          <w:rFonts w:hint="eastAsia"/>
          <w:b/>
          <w:bCs/>
          <w:sz w:val="32"/>
          <w:szCs w:val="32"/>
        </w:rPr>
      </w:pPr>
      <w:r>
        <w:rPr>
          <w:rFonts w:hint="eastAsia"/>
          <w:b/>
          <w:bCs/>
          <w:sz w:val="32"/>
          <w:szCs w:val="32"/>
        </w:rPr>
        <w:t>编制说明</w:t>
      </w:r>
    </w:p>
    <w:p w14:paraId="28E37FE9" w14:textId="77777777" w:rsidR="00DC7ED7" w:rsidRDefault="00DC7ED7">
      <w:pPr>
        <w:rPr>
          <w:rFonts w:hint="eastAsia"/>
          <w:b/>
          <w:bCs/>
        </w:rPr>
      </w:pPr>
    </w:p>
    <w:p w14:paraId="3AAEE46A" w14:textId="77777777" w:rsidR="00DC7ED7" w:rsidRDefault="00000000">
      <w:pPr>
        <w:rPr>
          <w:rFonts w:hint="eastAsia"/>
          <w:b/>
          <w:bCs/>
        </w:rPr>
      </w:pPr>
      <w:r>
        <w:rPr>
          <w:rFonts w:hint="eastAsia"/>
          <w:b/>
          <w:bCs/>
        </w:rPr>
        <w:t>一、标准制定的背景及目的</w:t>
      </w:r>
      <w:bookmarkEnd w:id="0"/>
    </w:p>
    <w:p w14:paraId="627D7705" w14:textId="77777777" w:rsidR="00DC7ED7" w:rsidRDefault="00000000">
      <w:pPr>
        <w:rPr>
          <w:rFonts w:hint="eastAsia"/>
        </w:rPr>
      </w:pPr>
      <w:r>
        <w:rPr>
          <w:rFonts w:hint="eastAsia"/>
        </w:rPr>
        <w:t>1、背景</w:t>
      </w:r>
    </w:p>
    <w:p w14:paraId="4C813E3E" w14:textId="153DA63F" w:rsidR="00DE4CBC" w:rsidRDefault="00DE4CBC" w:rsidP="00DE4CBC">
      <w:pPr>
        <w:ind w:firstLine="560"/>
        <w:rPr>
          <w:rFonts w:hint="eastAsia"/>
        </w:rPr>
      </w:pPr>
      <w:r>
        <w:rPr>
          <w:rFonts w:hint="eastAsia"/>
        </w:rPr>
        <w:t>近年来，随着“双碳”战略的持续推进和能源互联网体系的快速构建，电力系统正加速迈向高度数字化与智能化。作为能源互联网的核心支撑，数字电网逐步从传统的电力传输和调度网络，演进为集成感知、通信、计算与智能决策的新型基础设施。与此同时，社会信息物理系统（Cyber-Physical-Social System, CPSS）的理念正在引入电网运行场景，推动物理世界、信息世界与社会要素的深度融合，构建起“物理—信息—社会”三元交互的复杂系统格局。这一转型不仅为电力系统的智能化发展带来了前所未有的机遇，也对数据的管理与规范提出了更高要求。</w:t>
      </w:r>
    </w:p>
    <w:p w14:paraId="0CCF4A13" w14:textId="77777777" w:rsidR="00DE4CBC" w:rsidRDefault="00DE4CBC" w:rsidP="00DE4CBC">
      <w:pPr>
        <w:ind w:firstLine="560"/>
        <w:rPr>
          <w:rFonts w:hint="eastAsia"/>
        </w:rPr>
      </w:pPr>
      <w:r>
        <w:rPr>
          <w:rFonts w:hint="eastAsia"/>
        </w:rPr>
        <w:t>在这一背景下，电网数据的规模与复杂度呈现爆发式增长。数据来源广泛，既包括发电、输电、配电设备的运行参数，也涵盖用户用</w:t>
      </w:r>
      <w:r>
        <w:rPr>
          <w:rFonts w:hint="eastAsia"/>
        </w:rPr>
        <w:lastRenderedPageBreak/>
        <w:t>能行为、市场交易记录、调度控制指令等多样化信息。跨设备、跨组织、跨场景的数据交互已经成为常态。多源异构数据的并行存在，使得电网运行具备了更丰富的感知与调控能力，但同时也增加了数据管理的复杂性和风险暴露面。</w:t>
      </w:r>
    </w:p>
    <w:p w14:paraId="2A562841" w14:textId="77777777" w:rsidR="00DE4CBC" w:rsidRDefault="00DE4CBC" w:rsidP="00DE4CBC">
      <w:pPr>
        <w:ind w:firstLine="560"/>
        <w:rPr>
          <w:rFonts w:hint="eastAsia"/>
        </w:rPr>
      </w:pPr>
      <w:r>
        <w:rPr>
          <w:rFonts w:hint="eastAsia"/>
        </w:rPr>
        <w:t>然而，现有体系在数据治理方面存在诸多瓶颈。一方面，数据交互的开放性和频繁性导致安全攻击面不断扩大，数据泄露与非法滥用风险显著上升；另一方面，不同环节的数据标准不统一、接口不兼容、管理流程缺失，导致数据碎片化、孤岛化问题突出。这些问题严重制约了电网数据价值的深度挖掘与跨系统协同运行的实现，也直接影响到新型电力系统高质量发展的整体进程。</w:t>
      </w:r>
    </w:p>
    <w:p w14:paraId="00569D40" w14:textId="77777777" w:rsidR="00DE4CBC" w:rsidRDefault="00DE4CBC" w:rsidP="00DE4CBC">
      <w:pPr>
        <w:ind w:firstLine="560"/>
        <w:rPr>
          <w:rFonts w:hint="eastAsia"/>
        </w:rPr>
      </w:pPr>
      <w:r>
        <w:rPr>
          <w:rFonts w:hint="eastAsia"/>
        </w:rPr>
        <w:t>与此同时，国家层面正在大力推进数字基础设施建设，强调通过数据要素的高效流通与安全治理，支撑能源领域数字化转型与绿色低碳发展。在这一战略背景下，建立科学、统一、可操作的数据规范，不仅是保障电网安全、提升运行效能的客观需求，更是推动CPSS与数字电网深度融合、实现智能决策与自主运行的关键举措。</w:t>
      </w:r>
    </w:p>
    <w:p w14:paraId="024BE3B8" w14:textId="15DB5BAC" w:rsidR="00DC7ED7" w:rsidRDefault="00DE4CBC" w:rsidP="00DE4CBC">
      <w:pPr>
        <w:ind w:firstLine="560"/>
        <w:rPr>
          <w:rFonts w:hint="eastAsia"/>
        </w:rPr>
      </w:pPr>
      <w:r>
        <w:rPr>
          <w:rFonts w:hint="eastAsia"/>
        </w:rPr>
        <w:t>因此，制定《社会信息物理系统 数字电网数据规范》具有突出的现实意义与战略价值。通过标准化建设，可以有效打破数据壁垒，提升跨域数据互联互通能力，增强电网数据的安全性、可用性与合规</w:t>
      </w:r>
      <w:r>
        <w:rPr>
          <w:rFonts w:hint="eastAsia"/>
        </w:rPr>
        <w:lastRenderedPageBreak/>
        <w:t>性，为智能感知、智能控制和智能服务体系提供坚实的数据基础，最终成为我国能源数字化转型和新型电力系统建设的重要技术支撑。</w:t>
      </w:r>
    </w:p>
    <w:p w14:paraId="346BC8B6" w14:textId="77777777" w:rsidR="00DC7ED7" w:rsidRDefault="00000000">
      <w:pPr>
        <w:rPr>
          <w:rFonts w:hint="eastAsia"/>
        </w:rPr>
      </w:pPr>
      <w:r>
        <w:rPr>
          <w:rFonts w:hint="eastAsia"/>
        </w:rPr>
        <w:t>2、目的</w:t>
      </w:r>
    </w:p>
    <w:p w14:paraId="25FFB0CF" w14:textId="02977576" w:rsidR="00DC7ED7" w:rsidRDefault="00000000">
      <w:pPr>
        <w:rPr>
          <w:rFonts w:hint="eastAsia"/>
        </w:rPr>
      </w:pPr>
      <w:r>
        <w:rPr>
          <w:rFonts w:hint="eastAsia"/>
        </w:rPr>
        <w:t xml:space="preserve"> </w:t>
      </w:r>
      <w:r>
        <w:t xml:space="preserve">   </w:t>
      </w:r>
      <w:r>
        <w:rPr>
          <w:rFonts w:hint="eastAsia"/>
        </w:rPr>
        <w:t>《</w:t>
      </w:r>
      <w:r w:rsidR="00DE4CBC" w:rsidRPr="00DE4CBC">
        <w:rPr>
          <w:rFonts w:hint="eastAsia"/>
        </w:rPr>
        <w:t>社会信息物理系统  数字电网数据规范</w:t>
      </w:r>
      <w:r>
        <w:rPr>
          <w:rFonts w:hint="eastAsia"/>
        </w:rPr>
        <w:t>》</w:t>
      </w:r>
      <w:r w:rsidR="00152E37" w:rsidRPr="00152E37">
        <w:rPr>
          <w:rFonts w:hint="eastAsia"/>
        </w:rPr>
        <w:t>标准的制定目的在于建立面向社会信息物理系统环境下数字电网运行需求的统一数据规范，形成系统完备、科学合理、可操作性强的数据管理框架。通过明确物理系统、信息系统与社会系统的多源异构数据类型及结构特征，规范数据采集、处理、交换、共享与使用的全过程管理，推动跨部门、跨组织、跨平台的数据互联互通与安全合规运行。本标准旨在为数字电网数据治理提供统一的技术依据与制度保障，提升数据资源的可用性、可靠性和安全性，支撑电力系统的智能感知、智能决策与协同优化，促进数字电网与社会信息物理系统的深度融合，推动我国新型电力系统的高质量发展</w:t>
      </w:r>
      <w:r w:rsidR="00DE4CBC" w:rsidRPr="00DE4CBC">
        <w:rPr>
          <w:rFonts w:hint="eastAsia"/>
        </w:rPr>
        <w:t>。</w:t>
      </w:r>
    </w:p>
    <w:p w14:paraId="5D2EB2A4" w14:textId="77777777" w:rsidR="00DC7ED7" w:rsidRDefault="00000000">
      <w:pPr>
        <w:rPr>
          <w:rFonts w:hint="eastAsia"/>
        </w:rPr>
      </w:pPr>
      <w:r>
        <w:rPr>
          <w:rFonts w:hint="eastAsia"/>
        </w:rPr>
        <w:t>3、意义</w:t>
      </w:r>
    </w:p>
    <w:p w14:paraId="63881551" w14:textId="719EAD24" w:rsidR="00DC7ED7" w:rsidRDefault="00000000">
      <w:pPr>
        <w:rPr>
          <w:rFonts w:hint="eastAsia"/>
        </w:rPr>
      </w:pPr>
      <w:r>
        <w:rPr>
          <w:rFonts w:hint="eastAsia"/>
        </w:rPr>
        <w:t xml:space="preserve"> </w:t>
      </w:r>
      <w:r>
        <w:t xml:space="preserve">   </w:t>
      </w:r>
      <w:r>
        <w:rPr>
          <w:rFonts w:hint="eastAsia"/>
        </w:rPr>
        <w:t>《</w:t>
      </w:r>
      <w:r w:rsidR="005E01D2" w:rsidRPr="005E01D2">
        <w:rPr>
          <w:rFonts w:hint="eastAsia"/>
        </w:rPr>
        <w:t>社会信息物理系统  数字电网数据规范</w:t>
      </w:r>
      <w:r>
        <w:rPr>
          <w:rFonts w:hint="eastAsia"/>
        </w:rPr>
        <w:t>》</w:t>
      </w:r>
      <w:r w:rsidR="0079530D" w:rsidRPr="0079530D">
        <w:rPr>
          <w:rFonts w:hint="eastAsia"/>
        </w:rPr>
        <w:t>标准的实施对于提升数字电网社会信息物理系统的数据治理水平和运行效能具有重要意义。一方面，标准将有效解决当前数据碎片化、孤岛化及缺乏统一规</w:t>
      </w:r>
      <w:r w:rsidR="0079530D" w:rsidRPr="0079530D">
        <w:rPr>
          <w:rFonts w:hint="eastAsia"/>
        </w:rPr>
        <w:lastRenderedPageBreak/>
        <w:t>范的问题，打破不同设备、系统和组织之间的数据壁垒，实现全链条的数据高效集成与共享；另一方面，标准通过建立统一的数据接口与交互规则，强化数据安全与合规管理，降低数据泄露与滥用风险，提升数据资源的可信度与可控性。同时，本标准的推广应用将为智能感知、预测分析、辅助决策和系统优化提供可靠的数据基础，推动电力系统向更加智能、自主和安全的方向发展。最终，本标准将成为促进数字电网与社会信息物理系统深度融合的重要技术支撑，对加快能源数字化转型和保障新型电力系统高质量建设具有长远价值</w:t>
      </w:r>
      <w:r>
        <w:rPr>
          <w:rFonts w:hint="eastAsia"/>
        </w:rPr>
        <w:t>。</w:t>
      </w:r>
    </w:p>
    <w:p w14:paraId="751A59F2" w14:textId="74725E0A" w:rsidR="00DC7ED7" w:rsidRDefault="00DC7ED7">
      <w:pPr>
        <w:rPr>
          <w:rFonts w:hint="eastAsia"/>
        </w:rPr>
      </w:pPr>
    </w:p>
    <w:p w14:paraId="0EF98317" w14:textId="77777777" w:rsidR="00DC7ED7" w:rsidRDefault="00000000">
      <w:pPr>
        <w:rPr>
          <w:rFonts w:hint="eastAsia"/>
          <w:b/>
          <w:bCs/>
        </w:rPr>
      </w:pPr>
      <w:r>
        <w:rPr>
          <w:rFonts w:hint="eastAsia"/>
          <w:b/>
          <w:bCs/>
        </w:rPr>
        <w:t>二、工作概况</w:t>
      </w:r>
    </w:p>
    <w:p w14:paraId="1526CBAC" w14:textId="77777777" w:rsidR="00DC7ED7" w:rsidRDefault="00000000">
      <w:pPr>
        <w:rPr>
          <w:rFonts w:hint="eastAsia"/>
        </w:rPr>
      </w:pPr>
      <w:r>
        <w:t>1</w:t>
      </w:r>
      <w:r>
        <w:rPr>
          <w:rFonts w:hint="eastAsia"/>
        </w:rPr>
        <w:t>、任务来源</w:t>
      </w:r>
    </w:p>
    <w:p w14:paraId="09E392FA" w14:textId="7A8A3C89" w:rsidR="0037132F" w:rsidRDefault="0037132F" w:rsidP="0037132F">
      <w:pPr>
        <w:ind w:firstLine="560"/>
        <w:rPr>
          <w:rFonts w:hint="eastAsia"/>
        </w:rPr>
      </w:pPr>
      <w:r>
        <w:rPr>
          <w:rFonts w:hint="eastAsia"/>
        </w:rPr>
        <w:t>本标准的制定任务来源于国家“双碳”战略和能源互联网体系建设对电力系统数字化转型的迫切需求。随着新型电力系统建设的深入推进，数字电网在国家能源安全、清洁低碳发展以及智能社会建设中承担着关键作用。为解决电网数据在跨系统、跨领域、跨主体交互过程中存在的标准不统一、管理不规范、安全风险突出的突出问题，亟需通过标准化手段构建统一的数据治理体系。</w:t>
      </w:r>
    </w:p>
    <w:p w14:paraId="0C602F73" w14:textId="63E17F25" w:rsidR="00DC7ED7" w:rsidRDefault="0037132F" w:rsidP="0037132F">
      <w:pPr>
        <w:ind w:firstLine="560"/>
        <w:rPr>
          <w:rFonts w:hint="eastAsia"/>
        </w:rPr>
      </w:pPr>
      <w:r>
        <w:rPr>
          <w:rFonts w:hint="eastAsia"/>
        </w:rPr>
        <w:lastRenderedPageBreak/>
        <w:t>本任务由</w:t>
      </w:r>
      <w:r w:rsidRPr="0037132F">
        <w:rPr>
          <w:rFonts w:hint="eastAsia"/>
        </w:rPr>
        <w:t>中国南方电网有限责任公司</w:t>
      </w:r>
      <w:r>
        <w:rPr>
          <w:rFonts w:hint="eastAsia"/>
        </w:rPr>
        <w:t>提出，经</w:t>
      </w:r>
      <w:r w:rsidRPr="0037132F">
        <w:rPr>
          <w:rFonts w:hint="eastAsia"/>
        </w:rPr>
        <w:t>中国产学研合作促进会</w:t>
      </w:r>
      <w:r>
        <w:rPr>
          <w:rFonts w:hint="eastAsia"/>
        </w:rPr>
        <w:t>标准化组织立项，并在</w:t>
      </w:r>
      <w:r w:rsidR="005E01D2" w:rsidRPr="005E01D2">
        <w:rPr>
          <w:rFonts w:hint="eastAsia"/>
        </w:rPr>
        <w:t>南方电网数字电网科技（广东）有限公司、上海交通大学、中通服建设有限公司、中国地质大学（武汉）</w:t>
      </w:r>
      <w:r w:rsidR="005E01D2">
        <w:rPr>
          <w:rFonts w:hint="eastAsia"/>
        </w:rPr>
        <w:t>等</w:t>
      </w:r>
      <w:r>
        <w:rPr>
          <w:rFonts w:hint="eastAsia"/>
        </w:rPr>
        <w:t>能源电力、信息通信及智能制造领域</w:t>
      </w:r>
      <w:r w:rsidR="005E01D2">
        <w:rPr>
          <w:rFonts w:hint="eastAsia"/>
        </w:rPr>
        <w:t>领先的企业和高校</w:t>
      </w:r>
      <w:r>
        <w:rPr>
          <w:rFonts w:hint="eastAsia"/>
        </w:rPr>
        <w:t>的支持下组织实施。标准的研制过程立足国家政策导向，紧扣行业发展需求，结合电网企业和科研机构的实践经验，力求为数字电网与社会信息物理系统的深度融合提供可行、有效的制度性支撑。</w:t>
      </w:r>
    </w:p>
    <w:p w14:paraId="6108F776" w14:textId="77777777" w:rsidR="00DC7ED7" w:rsidRDefault="00000000">
      <w:pPr>
        <w:rPr>
          <w:rFonts w:hint="eastAsia"/>
        </w:rPr>
      </w:pPr>
      <w:r>
        <w:t>2</w:t>
      </w:r>
      <w:r>
        <w:rPr>
          <w:rFonts w:hint="eastAsia"/>
        </w:rPr>
        <w:t>、主要工作过程</w:t>
      </w:r>
    </w:p>
    <w:p w14:paraId="300A5BE9" w14:textId="77777777" w:rsidR="00DC7ED7" w:rsidRDefault="00000000">
      <w:pPr>
        <w:rPr>
          <w:rFonts w:hint="eastAsia"/>
        </w:rPr>
      </w:pPr>
      <w:r>
        <w:rPr>
          <w:rFonts w:hint="eastAsia"/>
        </w:rPr>
        <w:t>1）前期准备工作</w:t>
      </w:r>
    </w:p>
    <w:p w14:paraId="0E27448F" w14:textId="77777777" w:rsidR="00622ACB" w:rsidRDefault="00000000" w:rsidP="00622ACB">
      <w:pPr>
        <w:ind w:firstLineChars="200" w:firstLine="560"/>
        <w:rPr>
          <w:rFonts w:hint="eastAsia"/>
        </w:rPr>
      </w:pPr>
      <w:r>
        <w:rPr>
          <w:rFonts w:hint="eastAsia"/>
        </w:rPr>
        <w:t>《</w:t>
      </w:r>
      <w:r w:rsidR="00E417BC" w:rsidRPr="00E417BC">
        <w:rPr>
          <w:rFonts w:hint="eastAsia"/>
        </w:rPr>
        <w:t>社会信息物理系统  数字电网数据规范</w:t>
      </w:r>
      <w:r>
        <w:rPr>
          <w:rFonts w:hint="eastAsia"/>
        </w:rPr>
        <w:t>》编制</w:t>
      </w:r>
      <w:r w:rsidR="00622ACB">
        <w:rPr>
          <w:rFonts w:hint="eastAsia"/>
        </w:rPr>
        <w:t>前，工作组围绕数字电网与社会信息物理系统的数据治理需求，开展了系统性的前期准备工作。首先，对国内外相关标准与技术规范进行了全面梳理与分析，重点研究了电力数据管理、信息安全、物联网数据交换以及能源互联网等领域的标准体系，形成了对现有规范框架与适用边界的清晰认知，为本标准的定位与范围界定提供了参考。</w:t>
      </w:r>
    </w:p>
    <w:p w14:paraId="5C26F724" w14:textId="77777777" w:rsidR="00622ACB" w:rsidRDefault="00622ACB" w:rsidP="00622ACB">
      <w:pPr>
        <w:ind w:firstLineChars="200" w:firstLine="560"/>
        <w:rPr>
          <w:rFonts w:hint="eastAsia"/>
        </w:rPr>
      </w:pPr>
      <w:r>
        <w:rPr>
          <w:rFonts w:hint="eastAsia"/>
        </w:rPr>
        <w:t>其次，组织了多轮调研与需求分析，涵盖电网企业、科研院所、设备制造商及信息通信服务提供商等多类主体，系统收集了行业在数</w:t>
      </w:r>
      <w:r>
        <w:rPr>
          <w:rFonts w:hint="eastAsia"/>
        </w:rPr>
        <w:lastRenderedPageBreak/>
        <w:t>据类型、接口规范、交互规则、安全管理等方面的实际需求与痛点问题。通过问卷、访谈与专题研讨的方式，明确了当前数据碎片化、标准缺失、接口不兼容、安全风险突出的突出矛盾，并凝练出本标准亟需解决的关键问题。</w:t>
      </w:r>
    </w:p>
    <w:p w14:paraId="1874BEA8" w14:textId="1C0B38F8" w:rsidR="00DC7ED7" w:rsidRDefault="00622ACB" w:rsidP="00622ACB">
      <w:pPr>
        <w:ind w:firstLineChars="200" w:firstLine="560"/>
        <w:rPr>
          <w:rFonts w:hint="eastAsia"/>
        </w:rPr>
      </w:pPr>
      <w:r>
        <w:rPr>
          <w:rFonts w:hint="eastAsia"/>
        </w:rPr>
        <w:t>同时，工作组对典型示范工程和应用场景进行了跟踪与案例分析，重点关注数字电网在多源异构数据融合、跨域协同运行和智能化应用方面的实践经验，提炼出具备推广价值的通用做法。结合上述研究成果，完成了标准的可行性论证、适用性评估和初步框架设计，为后续标准文本的起草工作奠定了坚实基础。</w:t>
      </w:r>
    </w:p>
    <w:p w14:paraId="51C2F1AC" w14:textId="77777777" w:rsidR="00DC7ED7" w:rsidRDefault="00000000">
      <w:pPr>
        <w:rPr>
          <w:rFonts w:hint="eastAsia"/>
        </w:rPr>
      </w:pPr>
      <w:r>
        <w:t>2</w:t>
      </w:r>
      <w:r>
        <w:rPr>
          <w:rFonts w:hint="eastAsia"/>
        </w:rPr>
        <w:t>）编制工作过程</w:t>
      </w:r>
    </w:p>
    <w:p w14:paraId="3E1C58E4" w14:textId="6F0DBA6A" w:rsidR="00DB74EE" w:rsidRDefault="00DB74EE" w:rsidP="00DB74EE">
      <w:pPr>
        <w:ind w:firstLine="560"/>
        <w:rPr>
          <w:rFonts w:hint="eastAsia"/>
        </w:rPr>
      </w:pPr>
      <w:r>
        <w:rPr>
          <w:rFonts w:hint="eastAsia"/>
        </w:rPr>
        <w:t>本标准的编制工作由标准工作组及</w:t>
      </w:r>
      <w:r w:rsidRPr="00DB74EE">
        <w:rPr>
          <w:rFonts w:hint="eastAsia"/>
        </w:rPr>
        <w:t>中国南方电网有限责任公司</w:t>
      </w:r>
      <w:r>
        <w:rPr>
          <w:rFonts w:hint="eastAsia"/>
        </w:rPr>
        <w:t>牵头组织实施。工作过程中严格遵循团体标准制定程序，确保内容的科学性、系统性与可操作性。首先，工作组成立了由电力系统、信息通信、数据治理及安全管理等多领域专家组成的编制团队，明确分工，建立协作机制。编制团队根据前期调研成果，完成了标准框架的总体设计，初步确定了标准的适用范围、基本原则和数据管理的总体要求。</w:t>
      </w:r>
    </w:p>
    <w:p w14:paraId="567176CF" w14:textId="77777777" w:rsidR="00DB74EE" w:rsidRDefault="00DB74EE" w:rsidP="00DB74EE">
      <w:pPr>
        <w:ind w:firstLine="560"/>
        <w:rPr>
          <w:rFonts w:hint="eastAsia"/>
        </w:rPr>
      </w:pPr>
      <w:r>
        <w:rPr>
          <w:rFonts w:hint="eastAsia"/>
        </w:rPr>
        <w:t>其次，按照标准研制计划，工作组多次组织专题讨论与集中研讨，</w:t>
      </w:r>
      <w:r>
        <w:rPr>
          <w:rFonts w:hint="eastAsia"/>
        </w:rPr>
        <w:lastRenderedPageBreak/>
        <w:t>围绕数据分类与结构、交互规则与接口、安全与合规要求等重点问题反复论证。通过多轮专家咨询与意见征集，不断完善标准条款，保证其技术先进性与实践可行性。</w:t>
      </w:r>
    </w:p>
    <w:p w14:paraId="1DCFDEE6" w14:textId="77777777" w:rsidR="00DB74EE" w:rsidRDefault="00DB74EE" w:rsidP="00DB74EE">
      <w:pPr>
        <w:ind w:firstLine="560"/>
        <w:rPr>
          <w:rFonts w:hint="eastAsia"/>
        </w:rPr>
      </w:pPr>
      <w:r>
        <w:rPr>
          <w:rFonts w:hint="eastAsia"/>
        </w:rPr>
        <w:t>在此基础上，工作组开展了试点验证与案例分析，对标准条款在典型电网场景下的适用性进行检验，并根据反馈意见对标准内容进行修订与优化。经过多轮讨论、修改与审查，最终形成了统一意见，完成了标准送审稿的编制。</w:t>
      </w:r>
    </w:p>
    <w:p w14:paraId="200324A8" w14:textId="2D793415" w:rsidR="00DC7ED7" w:rsidRDefault="00DB74EE" w:rsidP="00DB74EE">
      <w:pPr>
        <w:ind w:firstLine="560"/>
        <w:rPr>
          <w:rFonts w:hint="eastAsia"/>
        </w:rPr>
      </w:pPr>
      <w:r>
        <w:rPr>
          <w:rFonts w:hint="eastAsia"/>
        </w:rPr>
        <w:t>整个编制过程始终坚持开放性与协同性，注重多方参与和广泛征求意见，确保标准能够充分反映行业发展需求和应用实践经验，为数字电网与社会信息物理系统的融合发展提供权威、可靠的技术依据。。</w:t>
      </w:r>
    </w:p>
    <w:p w14:paraId="33A1FA5A" w14:textId="77777777" w:rsidR="00DC7ED7" w:rsidRDefault="00000000">
      <w:pPr>
        <w:rPr>
          <w:rFonts w:hint="eastAsia"/>
        </w:rPr>
      </w:pPr>
      <w:r>
        <w:rPr>
          <w:rFonts w:hint="eastAsia"/>
        </w:rPr>
        <w:t>3、总体要求</w:t>
      </w:r>
    </w:p>
    <w:p w14:paraId="680E26CF" w14:textId="4AB2E4B2" w:rsidR="00DC7ED7" w:rsidRDefault="00000000">
      <w:pPr>
        <w:ind w:firstLineChars="200" w:firstLine="560"/>
        <w:rPr>
          <w:rFonts w:ascii="宋体" w:eastAsia="宋体" w:hAnsi="宋体" w:cs="宋体" w:hint="eastAsia"/>
        </w:rPr>
      </w:pPr>
      <w:r>
        <w:rPr>
          <w:rFonts w:hint="eastAsia"/>
        </w:rPr>
        <w:t>《</w:t>
      </w:r>
      <w:r w:rsidR="00DB74EE" w:rsidRPr="00DB74EE">
        <w:rPr>
          <w:rFonts w:hint="eastAsia"/>
        </w:rPr>
        <w:t>社会信息物理系统  数字电网数据规范</w:t>
      </w:r>
      <w:r>
        <w:rPr>
          <w:rFonts w:hint="eastAsia"/>
        </w:rPr>
        <w:t>》</w:t>
      </w:r>
      <w:r w:rsidR="00DB74EE" w:rsidRPr="00DB74EE">
        <w:rPr>
          <w:rFonts w:hint="eastAsia"/>
        </w:rPr>
        <w:t>标准旨在支撑数字电网与社会信息物理系统的深度融合，建立统一、系统、可操作的数据规范体系。标准要求全面覆盖物理、信息与社会三类子系统，明确多源异构数据的分类、结构与表达方式，规范数据全生命周期的采集、处理、交换与共享，推动跨部门、跨组织、跨平台的数据互通与协同运行，并严格落实数据安全与合规要求，确保电网数据的完整性、可</w:t>
      </w:r>
      <w:r w:rsidR="00DB74EE" w:rsidRPr="00DB74EE">
        <w:rPr>
          <w:rFonts w:hint="eastAsia"/>
        </w:rPr>
        <w:lastRenderedPageBreak/>
        <w:t>靠性与安全性，为新型电力系统建设提供统一的技术依据与制度保障。</w:t>
      </w:r>
    </w:p>
    <w:p w14:paraId="772ED99D" w14:textId="77777777" w:rsidR="00DC7ED7" w:rsidRDefault="00DC7ED7">
      <w:pPr>
        <w:ind w:firstLineChars="200" w:firstLine="560"/>
        <w:rPr>
          <w:rFonts w:ascii="宋体" w:eastAsia="宋体" w:hAnsi="宋体" w:cs="宋体" w:hint="eastAsia"/>
        </w:rPr>
      </w:pPr>
    </w:p>
    <w:p w14:paraId="5B5F430F" w14:textId="77777777" w:rsidR="00DC7ED7" w:rsidRDefault="00000000">
      <w:pPr>
        <w:rPr>
          <w:rFonts w:hint="eastAsia"/>
          <w:b/>
          <w:bCs/>
        </w:rPr>
      </w:pPr>
      <w:r>
        <w:rPr>
          <w:rFonts w:hint="eastAsia"/>
        </w:rPr>
        <w:t>4、主要参编单位和工作人员</w:t>
      </w:r>
    </w:p>
    <w:tbl>
      <w:tblPr>
        <w:tblStyle w:val="a7"/>
        <w:tblW w:w="9639" w:type="dxa"/>
        <w:jc w:val="center"/>
        <w:tblLayout w:type="fixed"/>
        <w:tblLook w:val="04A0" w:firstRow="1" w:lastRow="0" w:firstColumn="1" w:lastColumn="0" w:noHBand="0" w:noVBand="1"/>
      </w:tblPr>
      <w:tblGrid>
        <w:gridCol w:w="709"/>
        <w:gridCol w:w="3940"/>
        <w:gridCol w:w="1872"/>
        <w:gridCol w:w="3118"/>
      </w:tblGrid>
      <w:tr w:rsidR="00DC7ED7" w14:paraId="07CD0011" w14:textId="77777777" w:rsidTr="00F259D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09C8D5C" w14:textId="77777777" w:rsidR="00DC7ED7" w:rsidRDefault="00000000" w:rsidP="00F259DC">
            <w:pPr>
              <w:jc w:val="center"/>
              <w:rPr>
                <w:rFonts w:hint="eastAsia"/>
                <w:kern w:val="0"/>
                <w:sz w:val="24"/>
              </w:rPr>
            </w:pPr>
            <w:bookmarkStart w:id="1" w:name="_Hlk209793646"/>
            <w:r>
              <w:rPr>
                <w:rFonts w:hint="eastAsia"/>
                <w:kern w:val="0"/>
                <w:sz w:val="24"/>
              </w:rPr>
              <w:t>序号</w:t>
            </w:r>
          </w:p>
        </w:tc>
        <w:tc>
          <w:tcPr>
            <w:tcW w:w="3940" w:type="dxa"/>
            <w:tcBorders>
              <w:top w:val="single" w:sz="4" w:space="0" w:color="auto"/>
              <w:left w:val="single" w:sz="4" w:space="0" w:color="auto"/>
              <w:bottom w:val="single" w:sz="4" w:space="0" w:color="auto"/>
              <w:right w:val="single" w:sz="4" w:space="0" w:color="auto"/>
            </w:tcBorders>
            <w:vAlign w:val="center"/>
          </w:tcPr>
          <w:p w14:paraId="40E7E660" w14:textId="2425772B" w:rsidR="00DC7ED7" w:rsidRDefault="00000000" w:rsidP="00F259DC">
            <w:pPr>
              <w:jc w:val="center"/>
              <w:rPr>
                <w:rFonts w:hint="eastAsia"/>
                <w:kern w:val="0"/>
                <w:sz w:val="24"/>
              </w:rPr>
            </w:pPr>
            <w:r>
              <w:rPr>
                <w:rFonts w:hint="eastAsia"/>
                <w:kern w:val="0"/>
                <w:sz w:val="24"/>
              </w:rPr>
              <w:t>单位名称</w:t>
            </w:r>
          </w:p>
        </w:tc>
        <w:tc>
          <w:tcPr>
            <w:tcW w:w="1872" w:type="dxa"/>
            <w:tcBorders>
              <w:top w:val="single" w:sz="4" w:space="0" w:color="auto"/>
              <w:left w:val="single" w:sz="4" w:space="0" w:color="auto"/>
              <w:bottom w:val="single" w:sz="4" w:space="0" w:color="auto"/>
              <w:right w:val="single" w:sz="4" w:space="0" w:color="auto"/>
            </w:tcBorders>
            <w:vAlign w:val="center"/>
          </w:tcPr>
          <w:p w14:paraId="1B7DD6B5" w14:textId="4C598230" w:rsidR="00DC7ED7" w:rsidRDefault="00000000" w:rsidP="00F259DC">
            <w:pPr>
              <w:jc w:val="center"/>
              <w:rPr>
                <w:rFonts w:hint="eastAsia"/>
                <w:kern w:val="0"/>
                <w:sz w:val="24"/>
              </w:rPr>
            </w:pPr>
            <w:r>
              <w:rPr>
                <w:rFonts w:hint="eastAsia"/>
                <w:kern w:val="0"/>
                <w:sz w:val="24"/>
              </w:rPr>
              <w:t>参编人员</w:t>
            </w:r>
          </w:p>
        </w:tc>
        <w:tc>
          <w:tcPr>
            <w:tcW w:w="3118" w:type="dxa"/>
            <w:tcBorders>
              <w:top w:val="single" w:sz="4" w:space="0" w:color="auto"/>
              <w:left w:val="single" w:sz="4" w:space="0" w:color="auto"/>
              <w:bottom w:val="single" w:sz="4" w:space="0" w:color="auto"/>
              <w:right w:val="single" w:sz="4" w:space="0" w:color="auto"/>
            </w:tcBorders>
            <w:vAlign w:val="center"/>
          </w:tcPr>
          <w:p w14:paraId="45A28B76" w14:textId="20E455EA" w:rsidR="00DC7ED7" w:rsidRDefault="00000000" w:rsidP="00F259DC">
            <w:pPr>
              <w:jc w:val="center"/>
              <w:rPr>
                <w:rFonts w:hint="eastAsia"/>
                <w:kern w:val="0"/>
                <w:sz w:val="24"/>
              </w:rPr>
            </w:pPr>
            <w:r>
              <w:rPr>
                <w:rFonts w:hint="eastAsia"/>
                <w:kern w:val="0"/>
                <w:sz w:val="24"/>
              </w:rPr>
              <w:t>主要工作内容</w:t>
            </w:r>
          </w:p>
        </w:tc>
      </w:tr>
      <w:tr w:rsidR="00DC7ED7" w14:paraId="011C5B1E" w14:textId="77777777" w:rsidTr="00F259D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E88499E" w14:textId="77777777" w:rsidR="00DC7ED7" w:rsidRDefault="00000000" w:rsidP="00F259DC">
            <w:pPr>
              <w:jc w:val="center"/>
              <w:rPr>
                <w:rFonts w:hint="eastAsia"/>
                <w:kern w:val="0"/>
                <w:sz w:val="24"/>
              </w:rPr>
            </w:pPr>
            <w:r>
              <w:rPr>
                <w:rFonts w:hint="eastAsia"/>
                <w:kern w:val="0"/>
                <w:sz w:val="24"/>
              </w:rPr>
              <w:t>1</w:t>
            </w:r>
          </w:p>
        </w:tc>
        <w:tc>
          <w:tcPr>
            <w:tcW w:w="3940" w:type="dxa"/>
            <w:tcBorders>
              <w:top w:val="single" w:sz="4" w:space="0" w:color="auto"/>
              <w:left w:val="single" w:sz="4" w:space="0" w:color="auto"/>
              <w:bottom w:val="single" w:sz="4" w:space="0" w:color="auto"/>
              <w:right w:val="single" w:sz="4" w:space="0" w:color="auto"/>
            </w:tcBorders>
            <w:vAlign w:val="center"/>
          </w:tcPr>
          <w:p w14:paraId="2D7D0A24" w14:textId="7472D8CC" w:rsidR="00DC7ED7" w:rsidRDefault="00DB74EE" w:rsidP="00F259DC">
            <w:pPr>
              <w:jc w:val="center"/>
              <w:rPr>
                <w:rFonts w:hint="eastAsia"/>
                <w:kern w:val="0"/>
                <w:sz w:val="24"/>
              </w:rPr>
            </w:pPr>
            <w:r w:rsidRPr="00DB74EE">
              <w:rPr>
                <w:rFonts w:hint="eastAsia"/>
                <w:kern w:val="0"/>
                <w:sz w:val="24"/>
              </w:rPr>
              <w:t>中国南方电网有限责任公司</w:t>
            </w:r>
          </w:p>
        </w:tc>
        <w:tc>
          <w:tcPr>
            <w:tcW w:w="1872" w:type="dxa"/>
            <w:tcBorders>
              <w:top w:val="single" w:sz="4" w:space="0" w:color="auto"/>
              <w:left w:val="single" w:sz="4" w:space="0" w:color="auto"/>
              <w:bottom w:val="single" w:sz="4" w:space="0" w:color="auto"/>
              <w:right w:val="single" w:sz="4" w:space="0" w:color="auto"/>
            </w:tcBorders>
            <w:vAlign w:val="center"/>
          </w:tcPr>
          <w:p w14:paraId="30FAD574" w14:textId="5C157381" w:rsidR="00DC7ED7" w:rsidRDefault="001D3A29" w:rsidP="00F259DC">
            <w:pPr>
              <w:jc w:val="center"/>
              <w:rPr>
                <w:rFonts w:hint="eastAsia"/>
                <w:kern w:val="0"/>
                <w:sz w:val="24"/>
              </w:rPr>
            </w:pPr>
            <w:r w:rsidRPr="001D3A29">
              <w:rPr>
                <w:rFonts w:hint="eastAsia"/>
                <w:kern w:val="0"/>
                <w:sz w:val="24"/>
              </w:rPr>
              <w:t>吕鹏翔</w:t>
            </w:r>
            <w:r>
              <w:rPr>
                <w:rFonts w:hint="eastAsia"/>
                <w:kern w:val="0"/>
                <w:sz w:val="24"/>
              </w:rPr>
              <w:t>、</w:t>
            </w:r>
            <w:r w:rsidRPr="001D3A29">
              <w:rPr>
                <w:rFonts w:hint="eastAsia"/>
                <w:kern w:val="0"/>
                <w:sz w:val="24"/>
              </w:rPr>
              <w:t>喇元</w:t>
            </w:r>
            <w:r>
              <w:rPr>
                <w:rFonts w:hint="eastAsia"/>
                <w:kern w:val="0"/>
                <w:sz w:val="24"/>
              </w:rPr>
              <w:t>、</w:t>
            </w:r>
            <w:r w:rsidRPr="001D3A29">
              <w:rPr>
                <w:rFonts w:hint="eastAsia"/>
                <w:kern w:val="0"/>
                <w:sz w:val="24"/>
              </w:rPr>
              <w:t>王增超</w:t>
            </w:r>
            <w:r>
              <w:rPr>
                <w:rFonts w:hint="eastAsia"/>
                <w:kern w:val="0"/>
                <w:sz w:val="24"/>
              </w:rPr>
              <w:t>、</w:t>
            </w:r>
            <w:r w:rsidRPr="001D3A29">
              <w:rPr>
                <w:rFonts w:hint="eastAsia"/>
                <w:kern w:val="0"/>
                <w:sz w:val="24"/>
              </w:rPr>
              <w:t>杨顺建</w:t>
            </w:r>
            <w:r>
              <w:rPr>
                <w:rFonts w:hint="eastAsia"/>
                <w:kern w:val="0"/>
                <w:sz w:val="24"/>
              </w:rPr>
              <w:t>、</w:t>
            </w:r>
            <w:r w:rsidRPr="001D3A29">
              <w:rPr>
                <w:rFonts w:hint="eastAsia"/>
                <w:kern w:val="0"/>
                <w:sz w:val="24"/>
              </w:rPr>
              <w:t>吴争荣</w:t>
            </w:r>
            <w:r>
              <w:rPr>
                <w:rFonts w:hint="eastAsia"/>
                <w:kern w:val="0"/>
                <w:sz w:val="24"/>
              </w:rPr>
              <w:t>、</w:t>
            </w:r>
            <w:r w:rsidRPr="001D3A29">
              <w:rPr>
                <w:rFonts w:hint="eastAsia"/>
                <w:kern w:val="0"/>
                <w:sz w:val="24"/>
              </w:rPr>
              <w:t>阳浩</w:t>
            </w:r>
          </w:p>
        </w:tc>
        <w:tc>
          <w:tcPr>
            <w:tcW w:w="3118" w:type="dxa"/>
            <w:tcBorders>
              <w:top w:val="single" w:sz="4" w:space="0" w:color="auto"/>
              <w:left w:val="single" w:sz="4" w:space="0" w:color="auto"/>
              <w:bottom w:val="single" w:sz="4" w:space="0" w:color="auto"/>
              <w:right w:val="single" w:sz="4" w:space="0" w:color="auto"/>
            </w:tcBorders>
            <w:vAlign w:val="center"/>
          </w:tcPr>
          <w:p w14:paraId="21DB9CD5" w14:textId="77777777" w:rsidR="00DC7ED7" w:rsidRDefault="00000000" w:rsidP="00F259DC">
            <w:pPr>
              <w:jc w:val="center"/>
              <w:rPr>
                <w:rFonts w:hint="eastAsia"/>
                <w:kern w:val="0"/>
                <w:sz w:val="24"/>
              </w:rPr>
            </w:pPr>
            <w:r>
              <w:rPr>
                <w:rFonts w:hint="eastAsia"/>
                <w:kern w:val="0"/>
                <w:sz w:val="24"/>
              </w:rPr>
              <w:t>标准草案编制、统筹协调等</w:t>
            </w:r>
          </w:p>
        </w:tc>
      </w:tr>
      <w:tr w:rsidR="00DC7ED7" w14:paraId="6E2415B8" w14:textId="77777777" w:rsidTr="00F259D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7E0492B" w14:textId="77777777" w:rsidR="00DC7ED7" w:rsidRDefault="00000000" w:rsidP="00F259DC">
            <w:pPr>
              <w:jc w:val="center"/>
              <w:rPr>
                <w:rFonts w:hint="eastAsia"/>
                <w:kern w:val="0"/>
                <w:sz w:val="24"/>
              </w:rPr>
            </w:pPr>
            <w:r>
              <w:rPr>
                <w:rFonts w:hint="eastAsia"/>
                <w:kern w:val="0"/>
                <w:sz w:val="24"/>
              </w:rPr>
              <w:t>2</w:t>
            </w:r>
          </w:p>
        </w:tc>
        <w:tc>
          <w:tcPr>
            <w:tcW w:w="3940" w:type="dxa"/>
            <w:tcBorders>
              <w:top w:val="single" w:sz="4" w:space="0" w:color="auto"/>
              <w:left w:val="single" w:sz="4" w:space="0" w:color="auto"/>
              <w:bottom w:val="single" w:sz="4" w:space="0" w:color="auto"/>
              <w:right w:val="single" w:sz="4" w:space="0" w:color="auto"/>
            </w:tcBorders>
            <w:vAlign w:val="center"/>
          </w:tcPr>
          <w:p w14:paraId="3263C419" w14:textId="22849C86" w:rsidR="00DC7ED7" w:rsidRDefault="00E61CF4" w:rsidP="00F259DC">
            <w:pPr>
              <w:jc w:val="center"/>
              <w:rPr>
                <w:rFonts w:hint="eastAsia"/>
                <w:kern w:val="0"/>
                <w:sz w:val="24"/>
              </w:rPr>
            </w:pPr>
            <w:r w:rsidRPr="00E61CF4">
              <w:rPr>
                <w:rFonts w:hint="eastAsia"/>
                <w:kern w:val="0"/>
                <w:sz w:val="24"/>
              </w:rPr>
              <w:t>南方电网科学研究院有限责任公司</w:t>
            </w:r>
          </w:p>
        </w:tc>
        <w:tc>
          <w:tcPr>
            <w:tcW w:w="1872" w:type="dxa"/>
            <w:tcBorders>
              <w:top w:val="single" w:sz="4" w:space="0" w:color="auto"/>
              <w:left w:val="single" w:sz="4" w:space="0" w:color="auto"/>
              <w:bottom w:val="single" w:sz="4" w:space="0" w:color="auto"/>
              <w:right w:val="single" w:sz="4" w:space="0" w:color="auto"/>
            </w:tcBorders>
            <w:vAlign w:val="center"/>
          </w:tcPr>
          <w:p w14:paraId="3866D158" w14:textId="1F02A47D" w:rsidR="00DC7ED7" w:rsidRDefault="00E61CF4" w:rsidP="00F259DC">
            <w:pPr>
              <w:jc w:val="center"/>
              <w:rPr>
                <w:rFonts w:hint="eastAsia"/>
                <w:kern w:val="0"/>
                <w:sz w:val="24"/>
              </w:rPr>
            </w:pPr>
            <w:r w:rsidRPr="00E61CF4">
              <w:rPr>
                <w:rFonts w:hint="eastAsia"/>
                <w:kern w:val="0"/>
                <w:sz w:val="24"/>
              </w:rPr>
              <w:t>王昕</w:t>
            </w:r>
          </w:p>
        </w:tc>
        <w:tc>
          <w:tcPr>
            <w:tcW w:w="3118" w:type="dxa"/>
            <w:tcBorders>
              <w:top w:val="single" w:sz="4" w:space="0" w:color="auto"/>
              <w:left w:val="single" w:sz="4" w:space="0" w:color="auto"/>
              <w:bottom w:val="single" w:sz="4" w:space="0" w:color="auto"/>
              <w:right w:val="single" w:sz="4" w:space="0" w:color="auto"/>
            </w:tcBorders>
            <w:vAlign w:val="center"/>
          </w:tcPr>
          <w:p w14:paraId="5B79E3C6" w14:textId="44709063" w:rsidR="00DC7ED7" w:rsidRDefault="00E61CF4" w:rsidP="00F259DC">
            <w:pPr>
              <w:jc w:val="center"/>
              <w:rPr>
                <w:rFonts w:hint="eastAsia"/>
                <w:kern w:val="0"/>
                <w:sz w:val="24"/>
              </w:rPr>
            </w:pPr>
            <w:r w:rsidRPr="00E61CF4">
              <w:rPr>
                <w:rFonts w:hint="eastAsia"/>
                <w:kern w:val="0"/>
                <w:sz w:val="24"/>
              </w:rPr>
              <w:t>标准草案编制、检测验证等</w:t>
            </w:r>
          </w:p>
        </w:tc>
      </w:tr>
      <w:tr w:rsidR="00E61CF4" w14:paraId="33CB6579" w14:textId="77777777" w:rsidTr="00F259D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962182B" w14:textId="77777777" w:rsidR="00E61CF4" w:rsidRDefault="00E61CF4" w:rsidP="00F259DC">
            <w:pPr>
              <w:jc w:val="center"/>
              <w:rPr>
                <w:rFonts w:hint="eastAsia"/>
                <w:kern w:val="0"/>
                <w:sz w:val="24"/>
              </w:rPr>
            </w:pPr>
            <w:r>
              <w:rPr>
                <w:rFonts w:hint="eastAsia"/>
                <w:kern w:val="0"/>
                <w:sz w:val="24"/>
              </w:rPr>
              <w:t>3</w:t>
            </w:r>
          </w:p>
        </w:tc>
        <w:tc>
          <w:tcPr>
            <w:tcW w:w="3940" w:type="dxa"/>
            <w:tcBorders>
              <w:top w:val="single" w:sz="4" w:space="0" w:color="auto"/>
              <w:left w:val="single" w:sz="4" w:space="0" w:color="auto"/>
              <w:bottom w:val="single" w:sz="4" w:space="0" w:color="auto"/>
              <w:right w:val="single" w:sz="4" w:space="0" w:color="auto"/>
            </w:tcBorders>
            <w:vAlign w:val="center"/>
          </w:tcPr>
          <w:p w14:paraId="43463237" w14:textId="194E091F" w:rsidR="00E61CF4" w:rsidRDefault="00E61CF4" w:rsidP="00F259DC">
            <w:pPr>
              <w:jc w:val="center"/>
              <w:rPr>
                <w:rFonts w:hint="eastAsia"/>
                <w:kern w:val="0"/>
                <w:sz w:val="24"/>
              </w:rPr>
            </w:pPr>
            <w:r w:rsidRPr="00DB74EE">
              <w:rPr>
                <w:rFonts w:hint="eastAsia"/>
                <w:kern w:val="0"/>
                <w:sz w:val="24"/>
              </w:rPr>
              <w:t>南方电网数字电网科技（广东）有限公司</w:t>
            </w:r>
          </w:p>
        </w:tc>
        <w:tc>
          <w:tcPr>
            <w:tcW w:w="1872" w:type="dxa"/>
            <w:tcBorders>
              <w:top w:val="single" w:sz="4" w:space="0" w:color="auto"/>
              <w:left w:val="single" w:sz="4" w:space="0" w:color="auto"/>
              <w:bottom w:val="single" w:sz="4" w:space="0" w:color="auto"/>
              <w:right w:val="single" w:sz="4" w:space="0" w:color="auto"/>
            </w:tcBorders>
            <w:vAlign w:val="center"/>
          </w:tcPr>
          <w:p w14:paraId="770146E9" w14:textId="61C09D36" w:rsidR="00E61CF4" w:rsidRDefault="00E61CF4" w:rsidP="00F259DC">
            <w:pPr>
              <w:jc w:val="center"/>
              <w:rPr>
                <w:rFonts w:hint="eastAsia"/>
                <w:kern w:val="0"/>
                <w:sz w:val="24"/>
              </w:rPr>
            </w:pPr>
            <w:r w:rsidRPr="00E61CF4">
              <w:rPr>
                <w:rFonts w:hint="eastAsia"/>
                <w:kern w:val="0"/>
                <w:sz w:val="24"/>
              </w:rPr>
              <w:t>王晓蕾</w:t>
            </w:r>
            <w:r>
              <w:rPr>
                <w:rFonts w:hint="eastAsia"/>
                <w:kern w:val="0"/>
                <w:sz w:val="24"/>
              </w:rPr>
              <w:t>、</w:t>
            </w:r>
            <w:r w:rsidRPr="00E61CF4">
              <w:rPr>
                <w:rFonts w:hint="eastAsia"/>
                <w:kern w:val="0"/>
                <w:sz w:val="24"/>
              </w:rPr>
              <w:t>王庭松</w:t>
            </w:r>
            <w:r>
              <w:rPr>
                <w:rFonts w:hint="eastAsia"/>
                <w:kern w:val="0"/>
                <w:sz w:val="24"/>
              </w:rPr>
              <w:t>、</w:t>
            </w:r>
            <w:r w:rsidRPr="00E61CF4">
              <w:rPr>
                <w:rFonts w:hint="eastAsia"/>
                <w:kern w:val="0"/>
                <w:sz w:val="24"/>
              </w:rPr>
              <w:t>师智良</w:t>
            </w:r>
          </w:p>
        </w:tc>
        <w:tc>
          <w:tcPr>
            <w:tcW w:w="3118" w:type="dxa"/>
            <w:tcBorders>
              <w:top w:val="single" w:sz="4" w:space="0" w:color="auto"/>
              <w:left w:val="single" w:sz="4" w:space="0" w:color="auto"/>
              <w:bottom w:val="single" w:sz="4" w:space="0" w:color="auto"/>
              <w:right w:val="single" w:sz="4" w:space="0" w:color="auto"/>
            </w:tcBorders>
            <w:vAlign w:val="center"/>
          </w:tcPr>
          <w:p w14:paraId="070A5E2C" w14:textId="355C0E3D" w:rsidR="00E61CF4" w:rsidRDefault="00E61CF4" w:rsidP="00F259DC">
            <w:pPr>
              <w:jc w:val="center"/>
              <w:rPr>
                <w:rFonts w:hint="eastAsia"/>
                <w:kern w:val="0"/>
                <w:sz w:val="24"/>
              </w:rPr>
            </w:pPr>
            <w:r>
              <w:rPr>
                <w:rFonts w:hint="eastAsia"/>
                <w:kern w:val="0"/>
                <w:sz w:val="24"/>
              </w:rPr>
              <w:t>标准草案编制、检测验证等</w:t>
            </w:r>
          </w:p>
        </w:tc>
      </w:tr>
      <w:tr w:rsidR="00E61CF4" w14:paraId="0C50D638" w14:textId="77777777" w:rsidTr="00F259D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D00A23C" w14:textId="77777777" w:rsidR="00E61CF4" w:rsidRDefault="00E61CF4" w:rsidP="00F259DC">
            <w:pPr>
              <w:jc w:val="center"/>
              <w:rPr>
                <w:rFonts w:hint="eastAsia"/>
                <w:kern w:val="0"/>
                <w:sz w:val="24"/>
              </w:rPr>
            </w:pPr>
            <w:r>
              <w:rPr>
                <w:rFonts w:hint="eastAsia"/>
                <w:kern w:val="0"/>
                <w:sz w:val="24"/>
              </w:rPr>
              <w:t>4</w:t>
            </w:r>
          </w:p>
        </w:tc>
        <w:tc>
          <w:tcPr>
            <w:tcW w:w="3940" w:type="dxa"/>
            <w:tcBorders>
              <w:top w:val="single" w:sz="4" w:space="0" w:color="auto"/>
              <w:left w:val="single" w:sz="4" w:space="0" w:color="auto"/>
              <w:bottom w:val="single" w:sz="4" w:space="0" w:color="auto"/>
              <w:right w:val="single" w:sz="4" w:space="0" w:color="auto"/>
            </w:tcBorders>
            <w:vAlign w:val="center"/>
          </w:tcPr>
          <w:p w14:paraId="3C5C9204" w14:textId="7BD32455" w:rsidR="00E61CF4" w:rsidRDefault="00E61CF4" w:rsidP="00F259DC">
            <w:pPr>
              <w:jc w:val="center"/>
              <w:rPr>
                <w:rFonts w:hint="eastAsia"/>
                <w:kern w:val="0"/>
                <w:sz w:val="24"/>
              </w:rPr>
            </w:pPr>
            <w:r w:rsidRPr="00DB74EE">
              <w:rPr>
                <w:rFonts w:hint="eastAsia"/>
                <w:kern w:val="0"/>
                <w:sz w:val="24"/>
              </w:rPr>
              <w:t>上海交通大学</w:t>
            </w:r>
          </w:p>
        </w:tc>
        <w:tc>
          <w:tcPr>
            <w:tcW w:w="1872" w:type="dxa"/>
            <w:tcBorders>
              <w:top w:val="single" w:sz="4" w:space="0" w:color="auto"/>
              <w:left w:val="single" w:sz="4" w:space="0" w:color="auto"/>
              <w:bottom w:val="single" w:sz="4" w:space="0" w:color="auto"/>
              <w:right w:val="single" w:sz="4" w:space="0" w:color="auto"/>
            </w:tcBorders>
            <w:vAlign w:val="center"/>
          </w:tcPr>
          <w:p w14:paraId="465A8276" w14:textId="6E25C098" w:rsidR="00E61CF4" w:rsidRDefault="00E61CF4" w:rsidP="00F259DC">
            <w:pPr>
              <w:jc w:val="center"/>
              <w:rPr>
                <w:rFonts w:hint="eastAsia"/>
                <w:kern w:val="0"/>
                <w:sz w:val="24"/>
              </w:rPr>
            </w:pPr>
            <w:r w:rsidRPr="00E61CF4">
              <w:rPr>
                <w:rFonts w:hint="eastAsia"/>
                <w:kern w:val="0"/>
                <w:sz w:val="24"/>
              </w:rPr>
              <w:t>刘天元</w:t>
            </w:r>
          </w:p>
        </w:tc>
        <w:tc>
          <w:tcPr>
            <w:tcW w:w="3118" w:type="dxa"/>
            <w:tcBorders>
              <w:top w:val="single" w:sz="4" w:space="0" w:color="auto"/>
              <w:left w:val="single" w:sz="4" w:space="0" w:color="auto"/>
              <w:bottom w:val="single" w:sz="4" w:space="0" w:color="auto"/>
              <w:right w:val="single" w:sz="4" w:space="0" w:color="auto"/>
            </w:tcBorders>
            <w:vAlign w:val="center"/>
          </w:tcPr>
          <w:p w14:paraId="194BCEFF" w14:textId="395A80D4" w:rsidR="00E61CF4" w:rsidRDefault="00E61CF4" w:rsidP="00F259DC">
            <w:pPr>
              <w:jc w:val="center"/>
              <w:rPr>
                <w:rFonts w:hint="eastAsia"/>
                <w:kern w:val="0"/>
                <w:sz w:val="24"/>
              </w:rPr>
            </w:pPr>
            <w:r>
              <w:rPr>
                <w:rFonts w:hint="eastAsia"/>
                <w:kern w:val="0"/>
                <w:sz w:val="24"/>
              </w:rPr>
              <w:t>检测验证、工作协调等</w:t>
            </w:r>
          </w:p>
        </w:tc>
      </w:tr>
      <w:tr w:rsidR="00E61CF4" w14:paraId="6FC03540" w14:textId="77777777" w:rsidTr="00F259D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436E40F" w14:textId="77777777" w:rsidR="00E61CF4" w:rsidRDefault="00E61CF4" w:rsidP="00F259DC">
            <w:pPr>
              <w:jc w:val="center"/>
              <w:rPr>
                <w:rFonts w:hint="eastAsia"/>
                <w:kern w:val="0"/>
                <w:sz w:val="24"/>
              </w:rPr>
            </w:pPr>
            <w:r>
              <w:rPr>
                <w:rFonts w:hint="eastAsia"/>
                <w:kern w:val="0"/>
                <w:sz w:val="24"/>
              </w:rPr>
              <w:t>5</w:t>
            </w:r>
          </w:p>
        </w:tc>
        <w:tc>
          <w:tcPr>
            <w:tcW w:w="3940" w:type="dxa"/>
            <w:tcBorders>
              <w:top w:val="single" w:sz="4" w:space="0" w:color="auto"/>
              <w:left w:val="single" w:sz="4" w:space="0" w:color="auto"/>
              <w:bottom w:val="single" w:sz="4" w:space="0" w:color="auto"/>
              <w:right w:val="single" w:sz="4" w:space="0" w:color="auto"/>
            </w:tcBorders>
            <w:vAlign w:val="center"/>
          </w:tcPr>
          <w:p w14:paraId="18D7D264" w14:textId="600D175C" w:rsidR="00E61CF4" w:rsidRDefault="00E61CF4" w:rsidP="00F259DC">
            <w:pPr>
              <w:jc w:val="center"/>
              <w:rPr>
                <w:rFonts w:hint="eastAsia"/>
                <w:kern w:val="0"/>
                <w:sz w:val="24"/>
              </w:rPr>
            </w:pPr>
            <w:r w:rsidRPr="00DB74EE">
              <w:rPr>
                <w:rFonts w:hint="eastAsia"/>
                <w:kern w:val="0"/>
                <w:sz w:val="24"/>
              </w:rPr>
              <w:t>中通服建设有限公司</w:t>
            </w:r>
          </w:p>
        </w:tc>
        <w:tc>
          <w:tcPr>
            <w:tcW w:w="1872" w:type="dxa"/>
            <w:tcBorders>
              <w:top w:val="single" w:sz="4" w:space="0" w:color="auto"/>
              <w:left w:val="single" w:sz="4" w:space="0" w:color="auto"/>
              <w:bottom w:val="single" w:sz="4" w:space="0" w:color="auto"/>
              <w:right w:val="single" w:sz="4" w:space="0" w:color="auto"/>
            </w:tcBorders>
            <w:vAlign w:val="center"/>
          </w:tcPr>
          <w:p w14:paraId="2AAF0FFC" w14:textId="71461629" w:rsidR="00E61CF4" w:rsidRDefault="00E61CF4" w:rsidP="00F259DC">
            <w:pPr>
              <w:jc w:val="center"/>
              <w:rPr>
                <w:rFonts w:hint="eastAsia"/>
                <w:kern w:val="0"/>
                <w:sz w:val="24"/>
              </w:rPr>
            </w:pPr>
            <w:r w:rsidRPr="00E61CF4">
              <w:rPr>
                <w:rFonts w:hint="eastAsia"/>
                <w:kern w:val="0"/>
                <w:sz w:val="24"/>
              </w:rPr>
              <w:t>田俊锋</w:t>
            </w:r>
            <w:r>
              <w:rPr>
                <w:rFonts w:hint="eastAsia"/>
                <w:kern w:val="0"/>
                <w:sz w:val="24"/>
              </w:rPr>
              <w:t>、</w:t>
            </w:r>
            <w:r w:rsidRPr="00E61CF4">
              <w:rPr>
                <w:rFonts w:hint="eastAsia"/>
                <w:kern w:val="0"/>
                <w:sz w:val="24"/>
              </w:rPr>
              <w:t>区旸</w:t>
            </w:r>
            <w:r>
              <w:rPr>
                <w:rFonts w:hint="eastAsia"/>
                <w:kern w:val="0"/>
                <w:sz w:val="24"/>
              </w:rPr>
              <w:t>、</w:t>
            </w:r>
            <w:r w:rsidRPr="00E61CF4">
              <w:rPr>
                <w:rFonts w:hint="eastAsia"/>
                <w:kern w:val="0"/>
                <w:sz w:val="24"/>
              </w:rPr>
              <w:t>王川盛</w:t>
            </w:r>
          </w:p>
        </w:tc>
        <w:tc>
          <w:tcPr>
            <w:tcW w:w="3118" w:type="dxa"/>
            <w:tcBorders>
              <w:top w:val="single" w:sz="4" w:space="0" w:color="auto"/>
              <w:left w:val="single" w:sz="4" w:space="0" w:color="auto"/>
              <w:bottom w:val="single" w:sz="4" w:space="0" w:color="auto"/>
              <w:right w:val="single" w:sz="4" w:space="0" w:color="auto"/>
            </w:tcBorders>
            <w:vAlign w:val="center"/>
          </w:tcPr>
          <w:p w14:paraId="1904FF3B" w14:textId="232C0991" w:rsidR="00E61CF4" w:rsidRDefault="007A3E24" w:rsidP="00F259DC">
            <w:pPr>
              <w:jc w:val="center"/>
              <w:rPr>
                <w:rFonts w:hint="eastAsia"/>
                <w:kern w:val="0"/>
                <w:sz w:val="24"/>
              </w:rPr>
            </w:pPr>
            <w:r w:rsidRPr="007A3E24">
              <w:rPr>
                <w:rFonts w:hint="eastAsia"/>
                <w:kern w:val="0"/>
                <w:sz w:val="24"/>
              </w:rPr>
              <w:t>资料查询、标准修改等</w:t>
            </w:r>
          </w:p>
        </w:tc>
      </w:tr>
      <w:tr w:rsidR="00E61CF4" w14:paraId="032795D9" w14:textId="77777777" w:rsidTr="00F259D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EC39188" w14:textId="6F8D54DB" w:rsidR="00E61CF4" w:rsidRDefault="00E61CF4" w:rsidP="00F259DC">
            <w:pPr>
              <w:jc w:val="center"/>
              <w:rPr>
                <w:rFonts w:hint="eastAsia"/>
                <w:kern w:val="0"/>
                <w:sz w:val="24"/>
              </w:rPr>
            </w:pPr>
            <w:r>
              <w:rPr>
                <w:rFonts w:hint="eastAsia"/>
                <w:kern w:val="0"/>
                <w:sz w:val="24"/>
              </w:rPr>
              <w:t>6</w:t>
            </w:r>
          </w:p>
        </w:tc>
        <w:tc>
          <w:tcPr>
            <w:tcW w:w="3940" w:type="dxa"/>
            <w:tcBorders>
              <w:top w:val="single" w:sz="4" w:space="0" w:color="auto"/>
              <w:left w:val="single" w:sz="4" w:space="0" w:color="auto"/>
              <w:bottom w:val="single" w:sz="4" w:space="0" w:color="auto"/>
              <w:right w:val="single" w:sz="4" w:space="0" w:color="auto"/>
            </w:tcBorders>
            <w:vAlign w:val="center"/>
          </w:tcPr>
          <w:p w14:paraId="4FB2C81A" w14:textId="5F3B99AD" w:rsidR="00E61CF4" w:rsidRPr="00DB74EE" w:rsidRDefault="00E61CF4" w:rsidP="00F259DC">
            <w:pPr>
              <w:jc w:val="center"/>
              <w:rPr>
                <w:rFonts w:hint="eastAsia"/>
                <w:kern w:val="0"/>
                <w:sz w:val="24"/>
              </w:rPr>
            </w:pPr>
            <w:r w:rsidRPr="00DB74EE">
              <w:rPr>
                <w:rFonts w:hint="eastAsia"/>
                <w:kern w:val="0"/>
                <w:sz w:val="24"/>
              </w:rPr>
              <w:t>中国地质大学（武汉）</w:t>
            </w:r>
          </w:p>
        </w:tc>
        <w:tc>
          <w:tcPr>
            <w:tcW w:w="1872" w:type="dxa"/>
            <w:tcBorders>
              <w:top w:val="single" w:sz="4" w:space="0" w:color="auto"/>
              <w:left w:val="single" w:sz="4" w:space="0" w:color="auto"/>
              <w:bottom w:val="single" w:sz="4" w:space="0" w:color="auto"/>
              <w:right w:val="single" w:sz="4" w:space="0" w:color="auto"/>
            </w:tcBorders>
            <w:vAlign w:val="center"/>
          </w:tcPr>
          <w:p w14:paraId="18B3620B" w14:textId="0C835B77" w:rsidR="00E61CF4" w:rsidRPr="00E61CF4" w:rsidRDefault="00E61CF4" w:rsidP="00F259DC">
            <w:pPr>
              <w:jc w:val="center"/>
              <w:rPr>
                <w:rFonts w:hint="eastAsia"/>
                <w:kern w:val="0"/>
                <w:sz w:val="24"/>
              </w:rPr>
            </w:pPr>
            <w:r w:rsidRPr="00E61CF4">
              <w:rPr>
                <w:rFonts w:hint="eastAsia"/>
                <w:kern w:val="0"/>
                <w:sz w:val="24"/>
              </w:rPr>
              <w:t>陈小岛</w:t>
            </w:r>
          </w:p>
        </w:tc>
        <w:tc>
          <w:tcPr>
            <w:tcW w:w="3118" w:type="dxa"/>
            <w:tcBorders>
              <w:top w:val="single" w:sz="4" w:space="0" w:color="auto"/>
              <w:left w:val="single" w:sz="4" w:space="0" w:color="auto"/>
              <w:bottom w:val="single" w:sz="4" w:space="0" w:color="auto"/>
              <w:right w:val="single" w:sz="4" w:space="0" w:color="auto"/>
            </w:tcBorders>
            <w:vAlign w:val="center"/>
          </w:tcPr>
          <w:p w14:paraId="34C4F63F" w14:textId="2658A100" w:rsidR="00E61CF4" w:rsidRPr="00DB74EE" w:rsidRDefault="00E61CF4" w:rsidP="00F259DC">
            <w:pPr>
              <w:jc w:val="center"/>
              <w:rPr>
                <w:rFonts w:hint="eastAsia"/>
                <w:kern w:val="0"/>
                <w:sz w:val="24"/>
              </w:rPr>
            </w:pPr>
            <w:r w:rsidRPr="00DB74EE">
              <w:rPr>
                <w:rFonts w:hint="eastAsia"/>
                <w:kern w:val="0"/>
                <w:sz w:val="24"/>
              </w:rPr>
              <w:t>提供数据、技术合作等</w:t>
            </w:r>
          </w:p>
        </w:tc>
      </w:tr>
      <w:tr w:rsidR="00E61CF4" w14:paraId="54EEFDD9" w14:textId="77777777" w:rsidTr="00F259D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B2EE15C" w14:textId="1BFD4C66" w:rsidR="00E61CF4" w:rsidRDefault="00E61CF4" w:rsidP="00F259DC">
            <w:pPr>
              <w:jc w:val="center"/>
              <w:rPr>
                <w:rFonts w:hint="eastAsia"/>
                <w:kern w:val="0"/>
                <w:sz w:val="24"/>
              </w:rPr>
            </w:pPr>
            <w:r>
              <w:rPr>
                <w:rFonts w:hint="eastAsia"/>
                <w:kern w:val="0"/>
                <w:sz w:val="24"/>
              </w:rPr>
              <w:t>7</w:t>
            </w:r>
          </w:p>
        </w:tc>
        <w:tc>
          <w:tcPr>
            <w:tcW w:w="3940" w:type="dxa"/>
            <w:tcBorders>
              <w:top w:val="single" w:sz="4" w:space="0" w:color="auto"/>
              <w:left w:val="single" w:sz="4" w:space="0" w:color="auto"/>
              <w:bottom w:val="single" w:sz="4" w:space="0" w:color="auto"/>
              <w:right w:val="single" w:sz="4" w:space="0" w:color="auto"/>
            </w:tcBorders>
            <w:vAlign w:val="center"/>
          </w:tcPr>
          <w:p w14:paraId="6088697A" w14:textId="19D3D091" w:rsidR="00E61CF4" w:rsidRPr="00DB74EE" w:rsidRDefault="00E61CF4" w:rsidP="00F259DC">
            <w:pPr>
              <w:jc w:val="center"/>
              <w:rPr>
                <w:rFonts w:hint="eastAsia"/>
                <w:kern w:val="0"/>
                <w:sz w:val="24"/>
              </w:rPr>
            </w:pPr>
            <w:r w:rsidRPr="00E61CF4">
              <w:rPr>
                <w:rFonts w:hint="eastAsia"/>
                <w:kern w:val="0"/>
                <w:sz w:val="24"/>
              </w:rPr>
              <w:t>贵州电网有限责任公司电力科学研究院</w:t>
            </w:r>
          </w:p>
        </w:tc>
        <w:tc>
          <w:tcPr>
            <w:tcW w:w="1872" w:type="dxa"/>
            <w:tcBorders>
              <w:top w:val="single" w:sz="4" w:space="0" w:color="auto"/>
              <w:left w:val="single" w:sz="4" w:space="0" w:color="auto"/>
              <w:bottom w:val="single" w:sz="4" w:space="0" w:color="auto"/>
              <w:right w:val="single" w:sz="4" w:space="0" w:color="auto"/>
            </w:tcBorders>
            <w:vAlign w:val="center"/>
          </w:tcPr>
          <w:p w14:paraId="6C434C1A" w14:textId="039238F1" w:rsidR="00E61CF4" w:rsidRPr="00E61CF4" w:rsidRDefault="00E61CF4" w:rsidP="00F259DC">
            <w:pPr>
              <w:jc w:val="center"/>
              <w:rPr>
                <w:rFonts w:hint="eastAsia"/>
                <w:kern w:val="0"/>
                <w:sz w:val="24"/>
              </w:rPr>
            </w:pPr>
            <w:r w:rsidRPr="00E61CF4">
              <w:rPr>
                <w:rFonts w:hint="eastAsia"/>
                <w:kern w:val="0"/>
                <w:sz w:val="24"/>
              </w:rPr>
              <w:t>代吉玉蕾</w:t>
            </w:r>
          </w:p>
        </w:tc>
        <w:tc>
          <w:tcPr>
            <w:tcW w:w="3118" w:type="dxa"/>
            <w:tcBorders>
              <w:top w:val="single" w:sz="4" w:space="0" w:color="auto"/>
              <w:left w:val="single" w:sz="4" w:space="0" w:color="auto"/>
              <w:bottom w:val="single" w:sz="4" w:space="0" w:color="auto"/>
              <w:right w:val="single" w:sz="4" w:space="0" w:color="auto"/>
            </w:tcBorders>
            <w:vAlign w:val="center"/>
          </w:tcPr>
          <w:p w14:paraId="6CCB7907" w14:textId="31154B50" w:rsidR="00E61CF4" w:rsidRPr="00DB74EE" w:rsidRDefault="00E61CF4" w:rsidP="00F259DC">
            <w:pPr>
              <w:jc w:val="center"/>
              <w:rPr>
                <w:rFonts w:hint="eastAsia"/>
                <w:kern w:val="0"/>
                <w:sz w:val="24"/>
              </w:rPr>
            </w:pPr>
            <w:r w:rsidRPr="00DB74EE">
              <w:rPr>
                <w:rFonts w:hint="eastAsia"/>
                <w:kern w:val="0"/>
                <w:sz w:val="24"/>
              </w:rPr>
              <w:t>提供数据、技术合作等</w:t>
            </w:r>
          </w:p>
        </w:tc>
      </w:tr>
      <w:tr w:rsidR="007A3E24" w14:paraId="57B340B3" w14:textId="77777777" w:rsidTr="00F259D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10B71BA" w14:textId="785FC520" w:rsidR="007A3E24" w:rsidRDefault="007A3E24" w:rsidP="00F259DC">
            <w:pPr>
              <w:jc w:val="center"/>
              <w:rPr>
                <w:rFonts w:hint="eastAsia"/>
                <w:kern w:val="0"/>
                <w:sz w:val="24"/>
              </w:rPr>
            </w:pPr>
            <w:r>
              <w:rPr>
                <w:rFonts w:hint="eastAsia"/>
                <w:kern w:val="0"/>
                <w:sz w:val="24"/>
              </w:rPr>
              <w:t>8</w:t>
            </w:r>
          </w:p>
        </w:tc>
        <w:tc>
          <w:tcPr>
            <w:tcW w:w="3940" w:type="dxa"/>
            <w:tcBorders>
              <w:top w:val="single" w:sz="4" w:space="0" w:color="auto"/>
              <w:left w:val="single" w:sz="4" w:space="0" w:color="auto"/>
              <w:bottom w:val="single" w:sz="4" w:space="0" w:color="auto"/>
              <w:right w:val="single" w:sz="4" w:space="0" w:color="auto"/>
            </w:tcBorders>
            <w:vAlign w:val="center"/>
          </w:tcPr>
          <w:p w14:paraId="4F16A1D8" w14:textId="5FA5B944" w:rsidR="007A3E24" w:rsidRPr="00E61CF4" w:rsidRDefault="007A3E24" w:rsidP="00F259DC">
            <w:pPr>
              <w:jc w:val="center"/>
              <w:rPr>
                <w:rFonts w:hint="eastAsia"/>
                <w:kern w:val="0"/>
                <w:sz w:val="24"/>
              </w:rPr>
            </w:pPr>
            <w:r w:rsidRPr="007A3E24">
              <w:rPr>
                <w:rFonts w:hint="eastAsia"/>
                <w:kern w:val="0"/>
                <w:sz w:val="24"/>
              </w:rPr>
              <w:t>云南电网有限责任公司大理供电局</w:t>
            </w:r>
          </w:p>
        </w:tc>
        <w:tc>
          <w:tcPr>
            <w:tcW w:w="1872" w:type="dxa"/>
            <w:tcBorders>
              <w:top w:val="single" w:sz="4" w:space="0" w:color="auto"/>
              <w:left w:val="single" w:sz="4" w:space="0" w:color="auto"/>
              <w:bottom w:val="single" w:sz="4" w:space="0" w:color="auto"/>
              <w:right w:val="single" w:sz="4" w:space="0" w:color="auto"/>
            </w:tcBorders>
            <w:vAlign w:val="center"/>
          </w:tcPr>
          <w:p w14:paraId="324BBAEE" w14:textId="4AD8BF22" w:rsidR="007A3E24" w:rsidRPr="007A3E24" w:rsidRDefault="007A3E24" w:rsidP="00F259DC">
            <w:pPr>
              <w:jc w:val="center"/>
              <w:rPr>
                <w:rFonts w:hint="eastAsia"/>
                <w:kern w:val="0"/>
                <w:sz w:val="24"/>
              </w:rPr>
            </w:pPr>
            <w:r w:rsidRPr="007A3E24">
              <w:rPr>
                <w:rFonts w:hint="eastAsia"/>
                <w:kern w:val="0"/>
                <w:sz w:val="24"/>
              </w:rPr>
              <w:t>王殿元</w:t>
            </w:r>
          </w:p>
        </w:tc>
        <w:tc>
          <w:tcPr>
            <w:tcW w:w="3118" w:type="dxa"/>
            <w:tcBorders>
              <w:top w:val="single" w:sz="4" w:space="0" w:color="auto"/>
              <w:left w:val="single" w:sz="4" w:space="0" w:color="auto"/>
              <w:bottom w:val="single" w:sz="4" w:space="0" w:color="auto"/>
              <w:right w:val="single" w:sz="4" w:space="0" w:color="auto"/>
            </w:tcBorders>
            <w:vAlign w:val="center"/>
          </w:tcPr>
          <w:p w14:paraId="1E4EFFAD" w14:textId="69302DF3" w:rsidR="007A3E24" w:rsidRPr="00DB74EE" w:rsidRDefault="007A3E24" w:rsidP="00F259DC">
            <w:pPr>
              <w:jc w:val="center"/>
              <w:rPr>
                <w:rFonts w:hint="eastAsia"/>
                <w:kern w:val="0"/>
                <w:sz w:val="24"/>
              </w:rPr>
            </w:pPr>
            <w:r w:rsidRPr="007A3E24">
              <w:rPr>
                <w:rFonts w:hint="eastAsia"/>
                <w:kern w:val="0"/>
                <w:sz w:val="24"/>
              </w:rPr>
              <w:t>资料查询、标准修改等</w:t>
            </w:r>
          </w:p>
        </w:tc>
      </w:tr>
      <w:bookmarkEnd w:id="1"/>
    </w:tbl>
    <w:p w14:paraId="5919077F" w14:textId="77777777" w:rsidR="00DC7ED7" w:rsidRDefault="00DC7ED7">
      <w:pPr>
        <w:rPr>
          <w:rFonts w:hint="eastAsia"/>
          <w:b/>
          <w:bCs/>
          <w:sz w:val="24"/>
          <w:szCs w:val="24"/>
          <w:lang w:val="en-CA"/>
        </w:rPr>
      </w:pPr>
    </w:p>
    <w:p w14:paraId="30416E7A" w14:textId="77777777" w:rsidR="00DC7ED7" w:rsidRDefault="00000000">
      <w:pPr>
        <w:rPr>
          <w:rFonts w:hint="eastAsia"/>
          <w:b/>
          <w:bCs/>
        </w:rPr>
      </w:pPr>
      <w:r>
        <w:rPr>
          <w:rFonts w:hint="eastAsia"/>
          <w:b/>
          <w:bCs/>
        </w:rPr>
        <w:t>三、编制原则</w:t>
      </w:r>
    </w:p>
    <w:p w14:paraId="593801E8" w14:textId="77777777" w:rsidR="00DC7ED7" w:rsidRDefault="00000000">
      <w:pPr>
        <w:rPr>
          <w:rFonts w:hint="eastAsia"/>
        </w:rPr>
      </w:pPr>
      <w:r>
        <w:rPr>
          <w:rFonts w:hint="eastAsia"/>
        </w:rPr>
        <w:t>1、柔性原则</w:t>
      </w:r>
    </w:p>
    <w:p w14:paraId="54ADF4FA" w14:textId="72EB2C2D" w:rsidR="00DC7ED7" w:rsidRDefault="00000000">
      <w:pPr>
        <w:ind w:firstLineChars="200" w:firstLine="560"/>
        <w:rPr>
          <w:rFonts w:hint="eastAsia"/>
        </w:rPr>
      </w:pPr>
      <w:r>
        <w:rPr>
          <w:rFonts w:hint="eastAsia"/>
        </w:rPr>
        <w:lastRenderedPageBreak/>
        <w:t>《</w:t>
      </w:r>
      <w:r w:rsidR="00867628" w:rsidRPr="00867628">
        <w:rPr>
          <w:rFonts w:hint="eastAsia"/>
        </w:rPr>
        <w:t>社会信息物理系统  数字电网数据规范</w:t>
      </w:r>
      <w:r>
        <w:rPr>
          <w:rFonts w:hint="eastAsia"/>
        </w:rPr>
        <w:t>》</w:t>
      </w:r>
      <w:r w:rsidR="006122BD" w:rsidRPr="006122BD">
        <w:rPr>
          <w:rFonts w:hint="eastAsia"/>
        </w:rPr>
        <w:t>标准在编制过程中注重兼顾多样化应用场景与不同层级电网运行需求，既坚持统一性和规范性，又为差异化实施留有灵活空间。标准条款在数据分类、接口定义和交互机制等方面提供统一框架，但允许根据实际应用环境进行适度调整和扩展，确保在不同行业、区域和系统条件下均具备可适配性和可延展性</w:t>
      </w:r>
      <w:r>
        <w:rPr>
          <w:rFonts w:hint="eastAsia"/>
        </w:rPr>
        <w:t>。</w:t>
      </w:r>
    </w:p>
    <w:p w14:paraId="309BF08A" w14:textId="77777777" w:rsidR="00DC7ED7" w:rsidRDefault="00000000">
      <w:pPr>
        <w:rPr>
          <w:rFonts w:hint="eastAsia"/>
        </w:rPr>
      </w:pPr>
      <w:r>
        <w:rPr>
          <w:rFonts w:hint="eastAsia"/>
        </w:rPr>
        <w:t>2、合理性原则</w:t>
      </w:r>
    </w:p>
    <w:p w14:paraId="6967B02D" w14:textId="37156EC4" w:rsidR="00DC7ED7" w:rsidRDefault="00000000">
      <w:pPr>
        <w:ind w:firstLineChars="200" w:firstLine="560"/>
        <w:rPr>
          <w:rFonts w:hint="eastAsia"/>
        </w:rPr>
      </w:pPr>
      <w:r>
        <w:rPr>
          <w:rFonts w:hint="eastAsia"/>
        </w:rPr>
        <w:t>《</w:t>
      </w:r>
      <w:r w:rsidR="00867628" w:rsidRPr="00867628">
        <w:rPr>
          <w:rFonts w:hint="eastAsia"/>
        </w:rPr>
        <w:t>社会信息物理系统  数字电网数据规范</w:t>
      </w:r>
      <w:r>
        <w:rPr>
          <w:rFonts w:hint="eastAsia"/>
        </w:rPr>
        <w:t>》</w:t>
      </w:r>
      <w:r w:rsidR="006B1B08" w:rsidRPr="006B1B08">
        <w:rPr>
          <w:rFonts w:hint="eastAsia"/>
        </w:rPr>
        <w:t>标准坚持以行业发展实际需求为导向，充分考虑数字电网与社会信息物理系统的技术条件、建设阶段和管理能力，避免过度设计与脱离实际。标准条款的设置力求科学合理，既能反映前沿技术趋势，又与现有电网运行和数据管理实践相衔接，从而保证标准具有可行性、可操作性和推广价值</w:t>
      </w:r>
      <w:r>
        <w:rPr>
          <w:rFonts w:hint="eastAsia"/>
        </w:rPr>
        <w:t>。</w:t>
      </w:r>
    </w:p>
    <w:p w14:paraId="49DEAA94" w14:textId="77777777" w:rsidR="00DC7ED7" w:rsidRDefault="00000000">
      <w:pPr>
        <w:rPr>
          <w:rFonts w:hint="eastAsia"/>
        </w:rPr>
      </w:pPr>
      <w:r>
        <w:rPr>
          <w:rFonts w:hint="eastAsia"/>
        </w:rPr>
        <w:t>3、实用性原则</w:t>
      </w:r>
    </w:p>
    <w:p w14:paraId="7E42CFBF" w14:textId="7FC6FD4B" w:rsidR="00DC7ED7" w:rsidRDefault="00CC2389">
      <w:pPr>
        <w:ind w:firstLineChars="200" w:firstLine="560"/>
        <w:rPr>
          <w:rFonts w:hint="eastAsia"/>
        </w:rPr>
      </w:pPr>
      <w:r w:rsidRPr="00CC2389">
        <w:rPr>
          <w:rFonts w:hint="eastAsia"/>
        </w:rPr>
        <w:t xml:space="preserve">本标准的编制坚持以行业应用为导向，强调可操作性和落地性。为此，编制过程中系统参考了国家和行业现行的相关标准体系，包括GB/T 5271.1-2000《信息技术 词汇 </w:t>
      </w:r>
      <w:r>
        <w:rPr>
          <w:rFonts w:hint="eastAsia"/>
        </w:rPr>
        <w:t>第1部分：</w:t>
      </w:r>
      <w:r w:rsidRPr="00CC2389">
        <w:rPr>
          <w:rFonts w:hint="eastAsia"/>
        </w:rPr>
        <w:t>基本术语》</w:t>
      </w:r>
      <w:r w:rsidR="004778CF">
        <w:rPr>
          <w:rFonts w:hint="eastAsia"/>
        </w:rPr>
        <w:t>、</w:t>
      </w:r>
      <w:r w:rsidR="004778CF" w:rsidRPr="004778CF">
        <w:rPr>
          <w:rFonts w:hint="eastAsia"/>
        </w:rPr>
        <w:t>GB/T 36073-2018</w:t>
      </w:r>
      <w:r w:rsidRPr="00CC2389">
        <w:rPr>
          <w:rFonts w:hint="eastAsia"/>
        </w:rPr>
        <w:t>《数据管理能力成熟度评估模型》</w:t>
      </w:r>
      <w:r w:rsidR="004778CF">
        <w:rPr>
          <w:rFonts w:hint="eastAsia"/>
        </w:rPr>
        <w:t>、</w:t>
      </w:r>
      <w:r w:rsidR="004778CF" w:rsidRPr="004778CF">
        <w:rPr>
          <w:rFonts w:hint="eastAsia"/>
        </w:rPr>
        <w:t>GB/T 35274-2017</w:t>
      </w:r>
      <w:r w:rsidRPr="00CC2389">
        <w:rPr>
          <w:rFonts w:hint="eastAsia"/>
        </w:rPr>
        <w:t>《信</w:t>
      </w:r>
      <w:r w:rsidRPr="00CC2389">
        <w:rPr>
          <w:rFonts w:hint="eastAsia"/>
        </w:rPr>
        <w:lastRenderedPageBreak/>
        <w:t>息安全技术 大数据服务安全能力要求》</w:t>
      </w:r>
      <w:r w:rsidR="000D67FC">
        <w:rPr>
          <w:rFonts w:hint="eastAsia"/>
        </w:rPr>
        <w:t>、</w:t>
      </w:r>
      <w:r w:rsidR="000D67FC" w:rsidRPr="000D67FC">
        <w:rPr>
          <w:rFonts w:hint="eastAsia"/>
        </w:rPr>
        <w:t>GB/T 35682-2017</w:t>
      </w:r>
      <w:r w:rsidRPr="00CC2389">
        <w:rPr>
          <w:rFonts w:hint="eastAsia"/>
        </w:rPr>
        <w:t>《电网运行控制数据规范》</w:t>
      </w:r>
      <w:r w:rsidR="00FE19F3">
        <w:rPr>
          <w:rFonts w:hint="eastAsia"/>
        </w:rPr>
        <w:t>、</w:t>
      </w:r>
      <w:r w:rsidR="00FE19F3" w:rsidRPr="00FE19F3">
        <w:rPr>
          <w:rFonts w:hint="eastAsia"/>
        </w:rPr>
        <w:t>GB/T 31916.1-2015</w:t>
      </w:r>
      <w:r w:rsidRPr="00CC2389">
        <w:rPr>
          <w:rFonts w:hint="eastAsia"/>
        </w:rPr>
        <w:t xml:space="preserve">《信息技术 云数据存储和管理 </w:t>
      </w:r>
      <w:r w:rsidR="008468CB">
        <w:rPr>
          <w:rFonts w:hint="eastAsia"/>
        </w:rPr>
        <w:t>第1部分：</w:t>
      </w:r>
      <w:r w:rsidRPr="00CC2389">
        <w:rPr>
          <w:rFonts w:hint="eastAsia"/>
        </w:rPr>
        <w:t>总则》</w:t>
      </w:r>
      <w:r w:rsidR="008D20A8">
        <w:rPr>
          <w:rFonts w:hint="eastAsia"/>
        </w:rPr>
        <w:t>、</w:t>
      </w:r>
      <w:r w:rsidR="00C231D9" w:rsidRPr="00C231D9">
        <w:rPr>
          <w:rFonts w:hint="eastAsia"/>
        </w:rPr>
        <w:t>GB/T 38675-2020</w:t>
      </w:r>
      <w:r w:rsidRPr="00CC2389">
        <w:rPr>
          <w:rFonts w:hint="eastAsia"/>
        </w:rPr>
        <w:t>《信息技术 大数据计算系统通用要求》</w:t>
      </w:r>
      <w:r w:rsidR="005E6C69">
        <w:rPr>
          <w:rFonts w:hint="eastAsia"/>
        </w:rPr>
        <w:t>、</w:t>
      </w:r>
      <w:r w:rsidR="000A2030" w:rsidRPr="000A2030">
        <w:rPr>
          <w:rFonts w:hint="eastAsia"/>
        </w:rPr>
        <w:t>DL/T 2529-2022</w:t>
      </w:r>
      <w:r w:rsidRPr="00CC2389">
        <w:rPr>
          <w:rFonts w:hint="eastAsia"/>
        </w:rPr>
        <w:t>《电力物联网信息模型规制》等，确保与既有标准体系协调一致。在条款设置上突出简洁明晰，注重对实际问题的针对性回应，使数据采集、处理、交换、共享及安全管理等环节能够直接得到指导和应用。通过增强标准的实用性，本标准将有效解决电力系统数字化转型中普遍存在的数据碎片化、孤岛化和接口不兼容问题，为相关单位在工程实践中提供可依循的依据，促进标准在全行业的推广与实施。</w:t>
      </w:r>
    </w:p>
    <w:p w14:paraId="6428C660" w14:textId="77777777" w:rsidR="00DC7ED7" w:rsidRDefault="00000000">
      <w:pPr>
        <w:rPr>
          <w:rFonts w:hint="eastAsia"/>
        </w:rPr>
      </w:pPr>
      <w:r>
        <w:rPr>
          <w:rFonts w:hint="eastAsia"/>
        </w:rPr>
        <w:t>4、主要技术指标来源</w:t>
      </w:r>
    </w:p>
    <w:p w14:paraId="0B4F319C" w14:textId="5EC3A735" w:rsidR="00DC7ED7" w:rsidRDefault="007979E2">
      <w:pPr>
        <w:ind w:firstLineChars="200" w:firstLine="560"/>
        <w:rPr>
          <w:rFonts w:hint="eastAsia"/>
        </w:rPr>
      </w:pPr>
      <w:r w:rsidRPr="007979E2">
        <w:rPr>
          <w:rFonts w:hint="eastAsia"/>
        </w:rPr>
        <w:t>本标准的技术指标主要来源于国家战略和行业需求的双重驱动。一方面，紧密结合“双碳”目标、新型电力系统建设和能源互联网发展的总体要求，吸收电力系统数字化转型过程中的实践经验和典型应用成果，提炼出具有普遍适用性的关键指标。另一方面，广泛参考了国内外相关标准与规范体系，包括数据管理能力成熟度模型、信息安全与大数据服务要求、电网运行控制数据规范、云存储和大数据计算系统通用要求、电力物联网信息模型规制等，从而确保本标准在指标</w:t>
      </w:r>
      <w:r w:rsidRPr="007979E2">
        <w:rPr>
          <w:rFonts w:hint="eastAsia"/>
        </w:rPr>
        <w:lastRenderedPageBreak/>
        <w:t>设计上既契合现有标准体系，又具备系统性和完整性。</w:t>
      </w:r>
    </w:p>
    <w:p w14:paraId="782EF440" w14:textId="77777777" w:rsidR="00DC7ED7" w:rsidRDefault="00000000">
      <w:pPr>
        <w:rPr>
          <w:rFonts w:hint="eastAsia"/>
        </w:rPr>
      </w:pPr>
      <w:r>
        <w:rPr>
          <w:rFonts w:hint="eastAsia"/>
        </w:rPr>
        <w:t>5、先进性及前瞻性</w:t>
      </w:r>
    </w:p>
    <w:p w14:paraId="3C5D3F80" w14:textId="2D4F9825" w:rsidR="00DC7ED7" w:rsidRDefault="00000000">
      <w:pPr>
        <w:ind w:firstLineChars="200" w:firstLine="560"/>
        <w:rPr>
          <w:rFonts w:hint="eastAsia"/>
        </w:rPr>
      </w:pPr>
      <w:r>
        <w:rPr>
          <w:rFonts w:hint="eastAsia"/>
        </w:rPr>
        <w:t>《</w:t>
      </w:r>
      <w:r w:rsidR="00E12302" w:rsidRPr="00E12302">
        <w:rPr>
          <w:rFonts w:hint="eastAsia"/>
        </w:rPr>
        <w:t>社会信息物理系统</w:t>
      </w:r>
      <w:r w:rsidR="0095105C">
        <w:rPr>
          <w:rFonts w:hint="eastAsia"/>
        </w:rPr>
        <w:t xml:space="preserve">  </w:t>
      </w:r>
      <w:r w:rsidR="00E12302" w:rsidRPr="00E12302">
        <w:rPr>
          <w:rFonts w:hint="eastAsia"/>
        </w:rPr>
        <w:t>数字电网数据规范</w:t>
      </w:r>
      <w:r>
        <w:rPr>
          <w:rFonts w:hint="eastAsia"/>
        </w:rPr>
        <w:t>》</w:t>
      </w:r>
      <w:r w:rsidR="00B02283" w:rsidRPr="00B02283">
        <w:rPr>
          <w:rFonts w:hint="eastAsia"/>
        </w:rPr>
        <w:t>标准立足于数字电网与社会信息物理系统（CPSS）融合发展的新趋势，强调数据全生命周期治理，明确多源异构数据的统一分类、结构化表达与交互机制，强化跨部门、跨组织、跨平台的数据互通与安全合规，推动电网数据管理由分散化、经验化向智能化、体系化、协同化转型。在前瞻性方面，本标准充分考虑未来新型电力系统演进及新兴技术应用需求，预留对人工智能、大数据分析、分布式能源接入和多元能源交易的支撑空间，确保其在未来较长时期内仍具指导性和适应性，为我国能源数字化转型与高质量发展提供持续保障</w:t>
      </w:r>
      <w:r w:rsidR="00B02283">
        <w:rPr>
          <w:rFonts w:hint="eastAsia"/>
        </w:rPr>
        <w:t>。</w:t>
      </w:r>
    </w:p>
    <w:p w14:paraId="6059DBE7" w14:textId="77777777" w:rsidR="00DC7ED7" w:rsidRDefault="00000000">
      <w:pPr>
        <w:rPr>
          <w:rFonts w:hint="eastAsia"/>
          <w:b/>
          <w:bCs/>
        </w:rPr>
      </w:pPr>
      <w:r>
        <w:rPr>
          <w:rFonts w:hint="eastAsia"/>
          <w:b/>
          <w:bCs/>
        </w:rPr>
        <w:t>四、主要内容及试验数据的分析情况</w:t>
      </w:r>
    </w:p>
    <w:p w14:paraId="725614EA" w14:textId="77777777" w:rsidR="00DC7ED7" w:rsidRDefault="00000000">
      <w:r>
        <w:rPr>
          <w:rFonts w:hint="eastAsia"/>
        </w:rPr>
        <w:t>1、主要内容专业术语及技术指标</w:t>
      </w:r>
    </w:p>
    <w:p w14:paraId="4C9EDF1B" w14:textId="77777777" w:rsidR="0095105C" w:rsidRDefault="0095105C" w:rsidP="0095105C">
      <w:pPr>
        <w:ind w:firstLineChars="200" w:firstLine="560"/>
      </w:pPr>
      <w:r w:rsidRPr="0095105C">
        <w:rPr>
          <w:rFonts w:hint="eastAsia"/>
        </w:rPr>
        <w:t>《社会信息物理系</w:t>
      </w:r>
      <w:r>
        <w:rPr>
          <w:rFonts w:hint="eastAsia"/>
        </w:rPr>
        <w:t xml:space="preserve">  </w:t>
      </w:r>
      <w:r w:rsidRPr="0095105C">
        <w:rPr>
          <w:rFonts w:hint="eastAsia"/>
        </w:rPr>
        <w:t>统数字电网数据规范》标准规定了数字电网在多源异构数据环境下的系统性数据治理框架，涵盖物理系统、信息系统与社会系统的数据分类、交互规则及安全要求。本标准旨在为数字电网相关系统的数据管理工作提供技术依据，其核心内容包括数据</w:t>
      </w:r>
      <w:r w:rsidRPr="0095105C">
        <w:rPr>
          <w:rFonts w:hint="eastAsia"/>
        </w:rPr>
        <w:lastRenderedPageBreak/>
        <w:t>分类体系、交互接口规范、全生命周期管理要求及安全合规性指标。</w:t>
      </w:r>
    </w:p>
    <w:p w14:paraId="700E758D" w14:textId="26169D57" w:rsidR="00150E55" w:rsidRDefault="0095105C" w:rsidP="0095105C">
      <w:pPr>
        <w:ind w:firstLineChars="200" w:firstLine="560"/>
      </w:pPr>
      <w:r w:rsidRPr="0095105C">
        <w:rPr>
          <w:rFonts w:hint="eastAsia"/>
        </w:rPr>
        <w:t>标准采用的技术指标主要基于国家现行标准及行业实践，具体包括：</w:t>
      </w:r>
    </w:p>
    <w:p w14:paraId="4944BBD8" w14:textId="13853CF6" w:rsidR="0095105C" w:rsidRPr="0095105C" w:rsidRDefault="0095105C" w:rsidP="0095105C">
      <w:pPr>
        <w:pStyle w:val="a8"/>
        <w:numPr>
          <w:ilvl w:val="0"/>
          <w:numId w:val="4"/>
        </w:numPr>
      </w:pPr>
      <w:r w:rsidRPr="0095105C">
        <w:rPr>
          <w:rFonts w:hint="eastAsia"/>
        </w:rPr>
        <w:t>多源异构数据统一表达要求</w:t>
      </w:r>
      <w:r w:rsidRPr="0095105C">
        <w:rPr>
          <w:rFonts w:ascii="MS Mincho" w:eastAsia="MS Mincho" w:hAnsi="MS Mincho" w:cs="MS Mincho" w:hint="eastAsia"/>
        </w:rPr>
        <w:t>​</w:t>
      </w:r>
    </w:p>
    <w:p w14:paraId="4B651769" w14:textId="14C04BB6" w:rsidR="0095105C" w:rsidRPr="0095105C" w:rsidRDefault="0095105C" w:rsidP="0095105C">
      <w:pPr>
        <w:ind w:firstLineChars="200" w:firstLine="560"/>
        <w:rPr>
          <w:rFonts w:hint="eastAsia"/>
        </w:rPr>
      </w:pPr>
      <w:r w:rsidRPr="0095105C">
        <w:rPr>
          <w:rFonts w:hint="eastAsia"/>
        </w:rPr>
        <w:t>采用国际通用建模语言（如CIM、IEC 61970/61968）对物理设备、社会业务及信息平台数据进行统一建模，确保数据在语义、结构和时序上的一致性。数据对象需具备全局唯一标识符，符合GB/T 35682-2017《电网运行控制数据规范》中对设备参数、拓扑关系及运行状态的定义。</w:t>
      </w:r>
    </w:p>
    <w:p w14:paraId="4E5A475C" w14:textId="05D88559" w:rsidR="0095105C" w:rsidRPr="0095105C" w:rsidRDefault="0095105C" w:rsidP="0095105C">
      <w:pPr>
        <w:pStyle w:val="a8"/>
        <w:numPr>
          <w:ilvl w:val="0"/>
          <w:numId w:val="4"/>
        </w:numPr>
      </w:pPr>
      <w:r w:rsidRPr="0095105C">
        <w:rPr>
          <w:rFonts w:hint="eastAsia"/>
        </w:rPr>
        <w:t>数据交互与接口规范</w:t>
      </w:r>
      <w:r w:rsidRPr="0095105C">
        <w:rPr>
          <w:rFonts w:ascii="MS Mincho" w:eastAsia="MS Mincho" w:hAnsi="MS Mincho" w:cs="MS Mincho" w:hint="eastAsia"/>
        </w:rPr>
        <w:t>​</w:t>
      </w:r>
    </w:p>
    <w:p w14:paraId="08D3032F" w14:textId="67B4F32C" w:rsidR="0095105C" w:rsidRPr="0095105C" w:rsidRDefault="0095105C" w:rsidP="0095105C">
      <w:pPr>
        <w:ind w:firstLineChars="200" w:firstLine="560"/>
        <w:rPr>
          <w:rFonts w:hint="eastAsia"/>
        </w:rPr>
      </w:pPr>
      <w:r>
        <w:rPr>
          <w:rFonts w:hint="eastAsia"/>
        </w:rPr>
        <w:t xml:space="preserve">  </w:t>
      </w:r>
      <w:r w:rsidRPr="0095105C">
        <w:rPr>
          <w:rFonts w:hint="eastAsia"/>
        </w:rPr>
        <w:t>支持SCADA、MQTT、OPC-UA等多种通信协议，实现端—边—云协同的数据传输。核心交互接口需满足以下性能指标：数据传输延迟≤50 ms，丢包率≤0.5%，加密覆盖率100%，接口调用成功率≥99.9%。</w:t>
      </w:r>
    </w:p>
    <w:p w14:paraId="7A8EA69B" w14:textId="39F264E9" w:rsidR="0095105C" w:rsidRPr="0095105C" w:rsidRDefault="0095105C" w:rsidP="0095105C">
      <w:pPr>
        <w:pStyle w:val="a8"/>
        <w:numPr>
          <w:ilvl w:val="0"/>
          <w:numId w:val="4"/>
        </w:numPr>
      </w:pPr>
      <w:r w:rsidRPr="0095105C">
        <w:rPr>
          <w:rFonts w:hint="eastAsia"/>
        </w:rPr>
        <w:t>数据质量与可信度指标</w:t>
      </w:r>
      <w:r w:rsidRPr="0095105C">
        <w:rPr>
          <w:rFonts w:ascii="MS Mincho" w:eastAsia="MS Mincho" w:hAnsi="MS Mincho" w:cs="MS Mincho" w:hint="eastAsia"/>
        </w:rPr>
        <w:t>​</w:t>
      </w:r>
    </w:p>
    <w:p w14:paraId="31F65CA7" w14:textId="791CE112" w:rsidR="0095105C" w:rsidRDefault="0095105C" w:rsidP="0095105C">
      <w:pPr>
        <w:ind w:firstLineChars="200" w:firstLine="560"/>
        <w:rPr>
          <w:rFonts w:hint="eastAsia"/>
        </w:rPr>
      </w:pPr>
      <w:r>
        <w:rPr>
          <w:rFonts w:hint="eastAsia"/>
        </w:rPr>
        <w:t xml:space="preserve">  </w:t>
      </w:r>
      <w:r w:rsidRPr="0095105C">
        <w:rPr>
          <w:rFonts w:hint="eastAsia"/>
        </w:rPr>
        <w:t>数据完整性要求：关键字段填报率≥99%，缺失数据自动识别与补全机制覆盖率100%。数据准确性要求：与实测数据偏差≤±1%，异常值剔除率≥98%。数据时效性要求：实时数据采集周期≤1 s，业</w:t>
      </w:r>
      <w:r w:rsidRPr="0095105C">
        <w:rPr>
          <w:rFonts w:hint="eastAsia"/>
        </w:rPr>
        <w:lastRenderedPageBreak/>
        <w:t>务数据更新频率≥24次/天。</w:t>
      </w:r>
    </w:p>
    <w:p w14:paraId="6363347B" w14:textId="77777777" w:rsidR="00DC7ED7" w:rsidRDefault="00000000">
      <w:r>
        <w:t>2</w:t>
      </w:r>
      <w:r>
        <w:rPr>
          <w:rFonts w:hint="eastAsia"/>
        </w:rPr>
        <w:t>、</w:t>
      </w:r>
      <w:r>
        <w:t>技术经济论证</w:t>
      </w:r>
      <w:r>
        <w:rPr>
          <w:rFonts w:hint="eastAsia"/>
        </w:rPr>
        <w:t>及</w:t>
      </w:r>
      <w:r>
        <w:t>预期的经济效果</w:t>
      </w:r>
    </w:p>
    <w:p w14:paraId="0EB64AE4" w14:textId="0F8D54B5" w:rsidR="0095105C" w:rsidRDefault="0095105C" w:rsidP="0095105C">
      <w:pPr>
        <w:ind w:firstLineChars="200" w:firstLine="560"/>
      </w:pPr>
      <w:r w:rsidRPr="0095105C">
        <w:rPr>
          <w:rFonts w:hint="eastAsia"/>
        </w:rPr>
        <w:t>本标准的实施将显著提升数字电网的数据治理能力与运行效率，为社会信息物理系统的高效协同提供基础支撑。其经济效果主要体现在以下方面：</w:t>
      </w:r>
    </w:p>
    <w:p w14:paraId="1DC5A27C" w14:textId="2E586C68" w:rsidR="0095105C" w:rsidRPr="0095105C" w:rsidRDefault="0095105C" w:rsidP="0095105C">
      <w:pPr>
        <w:pStyle w:val="a8"/>
        <w:numPr>
          <w:ilvl w:val="0"/>
          <w:numId w:val="5"/>
        </w:numPr>
      </w:pPr>
      <w:r w:rsidRPr="0095105C">
        <w:rPr>
          <w:rFonts w:hint="eastAsia"/>
        </w:rPr>
        <w:t>降低系统集成与运维成本</w:t>
      </w:r>
      <w:r w:rsidRPr="0095105C">
        <w:rPr>
          <w:rFonts w:ascii="MS Mincho" w:eastAsia="MS Mincho" w:hAnsi="MS Mincho" w:cs="MS Mincho" w:hint="eastAsia"/>
        </w:rPr>
        <w:t>​</w:t>
      </w:r>
    </w:p>
    <w:p w14:paraId="6C743424" w14:textId="65EAB8C1" w:rsidR="0095105C" w:rsidRPr="0095105C" w:rsidRDefault="0095105C" w:rsidP="0095105C">
      <w:pPr>
        <w:ind w:firstLineChars="200" w:firstLine="560"/>
        <w:rPr>
          <w:rFonts w:hint="eastAsia"/>
        </w:rPr>
      </w:pPr>
      <w:r>
        <w:rPr>
          <w:rFonts w:hint="eastAsia"/>
        </w:rPr>
        <w:t xml:space="preserve">  </w:t>
      </w:r>
      <w:r w:rsidRPr="0095105C">
        <w:rPr>
          <w:rFonts w:hint="eastAsia"/>
        </w:rPr>
        <w:t>通过统一数据标准与接口规范，减少多系统对接的定制化开发成本，预计可降低跨系统集成费用20%~30%。数据质量提升可减少因数据错误导致的运维事故，年均故障恢复时间（MTTR）缩短至1小时以内。</w:t>
      </w:r>
    </w:p>
    <w:p w14:paraId="00EEA07E" w14:textId="301ABC1E" w:rsidR="0095105C" w:rsidRPr="0095105C" w:rsidRDefault="0095105C" w:rsidP="0095105C">
      <w:pPr>
        <w:pStyle w:val="a8"/>
        <w:numPr>
          <w:ilvl w:val="0"/>
          <w:numId w:val="5"/>
        </w:numPr>
      </w:pPr>
      <w:r w:rsidRPr="0095105C">
        <w:rPr>
          <w:rFonts w:hint="eastAsia"/>
        </w:rPr>
        <w:t>提升数据利用与决策效能</w:t>
      </w:r>
      <w:r w:rsidRPr="0095105C">
        <w:rPr>
          <w:rFonts w:ascii="MS Mincho" w:eastAsia="MS Mincho" w:hAnsi="MS Mincho" w:cs="MS Mincho" w:hint="eastAsia"/>
        </w:rPr>
        <w:t>​</w:t>
      </w:r>
    </w:p>
    <w:p w14:paraId="486A3583" w14:textId="4C491796" w:rsidR="0095105C" w:rsidRPr="0095105C" w:rsidRDefault="0095105C" w:rsidP="0095105C">
      <w:pPr>
        <w:ind w:firstLineChars="200" w:firstLine="560"/>
        <w:rPr>
          <w:rFonts w:hint="eastAsia"/>
        </w:rPr>
      </w:pPr>
      <w:r>
        <w:rPr>
          <w:rFonts w:hint="eastAsia"/>
        </w:rPr>
        <w:t xml:space="preserve">  </w:t>
      </w:r>
      <w:r w:rsidRPr="0095105C">
        <w:rPr>
          <w:rFonts w:hint="eastAsia"/>
        </w:rPr>
        <w:t>支持多源数据融合分析，增强电网调度、故障预测、市场交易的精准性。预计可使调度计划与实际出力的偏差降低至±1%以内，电力交易数据准确率≥99.5%，提升市场交易效率。</w:t>
      </w:r>
    </w:p>
    <w:p w14:paraId="347C9D80" w14:textId="619A7746" w:rsidR="0095105C" w:rsidRPr="0095105C" w:rsidRDefault="0095105C" w:rsidP="0095105C">
      <w:pPr>
        <w:pStyle w:val="a8"/>
        <w:numPr>
          <w:ilvl w:val="0"/>
          <w:numId w:val="5"/>
        </w:numPr>
      </w:pPr>
      <w:r w:rsidRPr="0095105C">
        <w:rPr>
          <w:rFonts w:ascii="MS Mincho" w:eastAsia="MS Mincho" w:hAnsi="MS Mincho" w:cs="MS Mincho" w:hint="eastAsia"/>
        </w:rPr>
        <w:t>​​</w:t>
      </w:r>
      <w:r w:rsidRPr="0095105C">
        <w:t>促进新兴业务模式发展</w:t>
      </w:r>
      <w:r w:rsidRPr="0095105C">
        <w:rPr>
          <w:rFonts w:ascii="MS Mincho" w:eastAsia="MS Mincho" w:hAnsi="MS Mincho" w:cs="MS Mincho" w:hint="eastAsia"/>
        </w:rPr>
        <w:t>​</w:t>
      </w:r>
    </w:p>
    <w:p w14:paraId="2DA7201C" w14:textId="0877ADF8" w:rsidR="0095105C" w:rsidRPr="0095105C" w:rsidRDefault="0095105C" w:rsidP="0095105C">
      <w:pPr>
        <w:ind w:firstLineChars="200" w:firstLine="560"/>
        <w:rPr>
          <w:rFonts w:hint="eastAsia"/>
        </w:rPr>
      </w:pPr>
      <w:r w:rsidRPr="0095105C">
        <w:rPr>
          <w:rFonts w:hint="eastAsia"/>
        </w:rPr>
        <w:t>为分布式能源接入、多元能源交易、用户侧响应等新业务提供数</w:t>
      </w:r>
      <w:r w:rsidRPr="0095105C">
        <w:rPr>
          <w:rFonts w:hint="eastAsia"/>
        </w:rPr>
        <w:lastRenderedPageBreak/>
        <w:t>据支撑，预计可带动数据服务市场规模年增长15%~20%。</w:t>
      </w:r>
    </w:p>
    <w:p w14:paraId="1ED7842C" w14:textId="7EEF2201" w:rsidR="0095105C" w:rsidRPr="0095105C" w:rsidRDefault="0095105C" w:rsidP="0095105C">
      <w:pPr>
        <w:pStyle w:val="a8"/>
        <w:numPr>
          <w:ilvl w:val="0"/>
          <w:numId w:val="5"/>
        </w:numPr>
      </w:pPr>
      <w:r w:rsidRPr="0095105C">
        <w:rPr>
          <w:rFonts w:ascii="MS Mincho" w:eastAsia="MS Mincho" w:hAnsi="MS Mincho" w:cs="MS Mincho" w:hint="eastAsia"/>
        </w:rPr>
        <w:t>​​</w:t>
      </w:r>
      <w:r w:rsidRPr="0095105C">
        <w:t>社会效益</w:t>
      </w:r>
      <w:r w:rsidRPr="0095105C">
        <w:rPr>
          <w:rFonts w:ascii="MS Mincho" w:eastAsia="MS Mincho" w:hAnsi="MS Mincho" w:cs="MS Mincho" w:hint="eastAsia"/>
        </w:rPr>
        <w:t>​</w:t>
      </w:r>
    </w:p>
    <w:p w14:paraId="78337FE5" w14:textId="07F1B726" w:rsidR="0095105C" w:rsidRDefault="0095105C" w:rsidP="0095105C">
      <w:pPr>
        <w:rPr>
          <w:rFonts w:hint="eastAsia"/>
        </w:rPr>
      </w:pPr>
      <w:r>
        <w:rPr>
          <w:rFonts w:hint="eastAsia"/>
        </w:rPr>
        <w:t xml:space="preserve">  </w:t>
      </w:r>
      <w:r w:rsidRPr="0095105C">
        <w:rPr>
          <w:rFonts w:hint="eastAsia"/>
        </w:rPr>
        <w:t>通过数据安全与合规性管理，降低数据泄露与滥用风险，提升公众对智能电网的信任度。同时，助力“双碳”目标实现，通过优化能源调度年均减少碳排放2%~5%。</w:t>
      </w:r>
    </w:p>
    <w:p w14:paraId="585BA775" w14:textId="15BB242C" w:rsidR="00DC7ED7" w:rsidRDefault="00000000" w:rsidP="00096340">
      <w:pPr>
        <w:jc w:val="left"/>
      </w:pPr>
      <w:r>
        <w:rPr>
          <w:rFonts w:hint="eastAsia"/>
        </w:rPr>
        <w:t>3、有关试验数据分析说明</w:t>
      </w:r>
    </w:p>
    <w:p w14:paraId="633837E4" w14:textId="034E5C06" w:rsidR="0095105C" w:rsidRDefault="0095105C" w:rsidP="0095105C">
      <w:pPr>
        <w:ind w:firstLineChars="200" w:firstLine="560"/>
        <w:jc w:val="left"/>
      </w:pPr>
      <w:r w:rsidRPr="0095105C">
        <w:rPr>
          <w:rFonts w:hint="eastAsia"/>
        </w:rPr>
        <w:t>为验证本标准条款的可行性与适用性，编制组在典型电网场景中开展了多轮测试验证，具体包括以下内容：</w:t>
      </w:r>
    </w:p>
    <w:p w14:paraId="0944BAF6" w14:textId="2F2C8EDD" w:rsidR="0095105C" w:rsidRPr="0095105C" w:rsidRDefault="0095105C" w:rsidP="0095105C">
      <w:pPr>
        <w:pStyle w:val="a8"/>
        <w:numPr>
          <w:ilvl w:val="0"/>
          <w:numId w:val="6"/>
        </w:numPr>
        <w:jc w:val="left"/>
      </w:pPr>
      <w:r w:rsidRPr="0095105C">
        <w:rPr>
          <w:rFonts w:hint="eastAsia"/>
        </w:rPr>
        <w:t>多源数据一致性验证测试</w:t>
      </w:r>
      <w:r w:rsidRPr="0095105C">
        <w:rPr>
          <w:rFonts w:ascii="MS Mincho" w:eastAsia="MS Mincho" w:hAnsi="MS Mincho" w:cs="MS Mincho" w:hint="eastAsia"/>
        </w:rPr>
        <w:t>​</w:t>
      </w:r>
    </w:p>
    <w:p w14:paraId="702C9AD1" w14:textId="2A036C4C" w:rsidR="0095105C" w:rsidRPr="0095105C" w:rsidRDefault="0095105C" w:rsidP="0095105C">
      <w:pPr>
        <w:pStyle w:val="a8"/>
        <w:numPr>
          <w:ilvl w:val="0"/>
          <w:numId w:val="7"/>
        </w:numPr>
        <w:jc w:val="left"/>
      </w:pPr>
      <w:r w:rsidRPr="0095105C">
        <w:rPr>
          <w:rFonts w:hint="eastAsia"/>
        </w:rPr>
        <w:t>测试目的</w:t>
      </w:r>
      <w:r w:rsidRPr="0095105C">
        <w:rPr>
          <w:rFonts w:ascii="MS Mincho" w:eastAsia="MS Mincho" w:hAnsi="MS Mincho" w:cs="MS Mincho" w:hint="eastAsia"/>
        </w:rPr>
        <w:t>​​</w:t>
      </w:r>
      <w:r w:rsidRPr="0095105C">
        <w:rPr>
          <w:rFonts w:cs="楷体" w:hint="eastAsia"/>
        </w:rPr>
        <w:t>：检验物理系统、信息系统与社会系统数据在统一模型下的语义对齐与时序一致性。</w:t>
      </w:r>
    </w:p>
    <w:p w14:paraId="13E39BC4" w14:textId="2C633470" w:rsidR="0095105C" w:rsidRDefault="0095105C" w:rsidP="0095105C">
      <w:pPr>
        <w:pStyle w:val="a8"/>
        <w:numPr>
          <w:ilvl w:val="0"/>
          <w:numId w:val="7"/>
        </w:numPr>
        <w:jc w:val="left"/>
      </w:pPr>
      <w:r w:rsidRPr="0095105C">
        <w:rPr>
          <w:rFonts w:ascii="MS Mincho" w:eastAsia="MS Mincho" w:hAnsi="MS Mincho" w:cs="MS Mincho" w:hint="eastAsia"/>
        </w:rPr>
        <w:t>​​</w:t>
      </w:r>
      <w:r w:rsidRPr="0095105C">
        <w:t>测试方法</w:t>
      </w:r>
      <w:r w:rsidRPr="0095105C">
        <w:rPr>
          <w:rFonts w:ascii="MS Mincho" w:eastAsia="MS Mincho" w:hAnsi="MS Mincho" w:cs="MS Mincho" w:hint="eastAsia"/>
        </w:rPr>
        <w:t>​​</w:t>
      </w:r>
      <w:r w:rsidRPr="0095105C">
        <w:t>：选取某区域电网的发电、输电及用电环节数据，通过数字孪生平台进行多源数据注入与比对分析。</w:t>
      </w:r>
    </w:p>
    <w:p w14:paraId="2731D934" w14:textId="48BEB368" w:rsidR="0095105C" w:rsidRPr="0095105C" w:rsidRDefault="0095105C" w:rsidP="0095105C">
      <w:pPr>
        <w:pStyle w:val="a8"/>
        <w:numPr>
          <w:ilvl w:val="0"/>
          <w:numId w:val="7"/>
        </w:numPr>
        <w:jc w:val="left"/>
        <w:rPr>
          <w:rFonts w:hint="eastAsia"/>
        </w:rPr>
      </w:pPr>
      <w:r w:rsidRPr="0095105C">
        <w:rPr>
          <w:rFonts w:hint="eastAsia"/>
        </w:rPr>
        <w:t>测试结果</w:t>
      </w:r>
      <w:r w:rsidRPr="0095105C">
        <w:rPr>
          <w:rFonts w:ascii="MS Mincho" w:eastAsia="MS Mincho" w:hAnsi="MS Mincho" w:cs="MS Mincho" w:hint="eastAsia"/>
        </w:rPr>
        <w:t>​​</w:t>
      </w:r>
      <w:r w:rsidRPr="0095105C">
        <w:rPr>
          <w:rFonts w:cs="楷体" w:hint="eastAsia"/>
        </w:rPr>
        <w:t>：数据模型兼容性达</w:t>
      </w:r>
      <w:r w:rsidRPr="0095105C">
        <w:t>100%，时序对齐误差≤10 ms，拓扑关系与实时状态匹配率≥99.5%。</w:t>
      </w:r>
    </w:p>
    <w:p w14:paraId="666C104A" w14:textId="4E33063C" w:rsidR="0095105C" w:rsidRPr="0095105C" w:rsidRDefault="0095105C" w:rsidP="0095105C">
      <w:pPr>
        <w:pStyle w:val="a8"/>
        <w:numPr>
          <w:ilvl w:val="0"/>
          <w:numId w:val="6"/>
        </w:numPr>
        <w:jc w:val="left"/>
      </w:pPr>
      <w:r w:rsidRPr="0095105C">
        <w:rPr>
          <w:rFonts w:hint="eastAsia"/>
        </w:rPr>
        <w:t>系统负载与性能压力测试</w:t>
      </w:r>
      <w:r w:rsidRPr="0095105C">
        <w:rPr>
          <w:rFonts w:ascii="MS Mincho" w:eastAsia="MS Mincho" w:hAnsi="MS Mincho" w:cs="MS Mincho" w:hint="eastAsia"/>
        </w:rPr>
        <w:t>​</w:t>
      </w:r>
    </w:p>
    <w:p w14:paraId="18327682" w14:textId="77777777" w:rsidR="0095105C" w:rsidRDefault="0095105C" w:rsidP="0095105C">
      <w:pPr>
        <w:pStyle w:val="a8"/>
        <w:numPr>
          <w:ilvl w:val="0"/>
          <w:numId w:val="8"/>
        </w:numPr>
        <w:jc w:val="left"/>
        <w:rPr>
          <w:rFonts w:hint="eastAsia"/>
        </w:rPr>
      </w:pPr>
      <w:r>
        <w:rPr>
          <w:rFonts w:hint="eastAsia"/>
        </w:rPr>
        <w:t>测试目的：评估高并发数据采集、传输及处理环节的性能稳定</w:t>
      </w:r>
      <w:r>
        <w:rPr>
          <w:rFonts w:hint="eastAsia"/>
        </w:rPr>
        <w:lastRenderedPageBreak/>
        <w:t>性。</w:t>
      </w:r>
    </w:p>
    <w:p w14:paraId="62F9201B" w14:textId="403095C0" w:rsidR="0095105C" w:rsidRDefault="0095105C" w:rsidP="0095105C">
      <w:pPr>
        <w:pStyle w:val="a8"/>
        <w:numPr>
          <w:ilvl w:val="0"/>
          <w:numId w:val="8"/>
        </w:numPr>
        <w:jc w:val="left"/>
        <w:rPr>
          <w:rFonts w:hint="eastAsia"/>
        </w:rPr>
      </w:pPr>
      <w:r>
        <w:rPr>
          <w:rFonts w:hint="eastAsia"/>
        </w:rPr>
        <w:t>测试方法：模拟百万级终端设备并发接入，采集稳态量（电压、电流）、动态量及暂态量数据。</w:t>
      </w:r>
    </w:p>
    <w:p w14:paraId="1E8DACCF" w14:textId="3D7731B0" w:rsidR="0095105C" w:rsidRPr="0095105C" w:rsidRDefault="0095105C" w:rsidP="0095105C">
      <w:pPr>
        <w:pStyle w:val="a8"/>
        <w:numPr>
          <w:ilvl w:val="0"/>
          <w:numId w:val="8"/>
        </w:numPr>
        <w:jc w:val="left"/>
        <w:rPr>
          <w:rFonts w:hint="eastAsia"/>
        </w:rPr>
      </w:pPr>
      <w:r>
        <w:rPr>
          <w:rFonts w:hint="eastAsia"/>
        </w:rPr>
        <w:t>测试结果：数据采集端到端时延≤500 ms，系统吞吐量≥500 GB/h，动态数据采样频率≥100 Hz，丢包率≤0.1%。</w:t>
      </w:r>
    </w:p>
    <w:p w14:paraId="2A4396A0" w14:textId="78813267" w:rsidR="0095105C" w:rsidRPr="0095105C" w:rsidRDefault="0095105C" w:rsidP="0095105C">
      <w:pPr>
        <w:pStyle w:val="a8"/>
        <w:numPr>
          <w:ilvl w:val="0"/>
          <w:numId w:val="6"/>
        </w:numPr>
        <w:jc w:val="left"/>
      </w:pPr>
      <w:r w:rsidRPr="0095105C">
        <w:rPr>
          <w:rFonts w:hint="eastAsia"/>
        </w:rPr>
        <w:t>安全与合规性测试</w:t>
      </w:r>
      <w:r w:rsidRPr="0095105C">
        <w:rPr>
          <w:rFonts w:ascii="MS Mincho" w:eastAsia="MS Mincho" w:hAnsi="MS Mincho" w:cs="MS Mincho" w:hint="eastAsia"/>
        </w:rPr>
        <w:t>​</w:t>
      </w:r>
    </w:p>
    <w:p w14:paraId="05DC5A51" w14:textId="77777777" w:rsidR="0095105C" w:rsidRDefault="0095105C" w:rsidP="0095105C">
      <w:pPr>
        <w:pStyle w:val="a8"/>
        <w:numPr>
          <w:ilvl w:val="0"/>
          <w:numId w:val="9"/>
        </w:numPr>
        <w:jc w:val="left"/>
        <w:rPr>
          <w:rFonts w:hint="eastAsia"/>
        </w:rPr>
      </w:pPr>
      <w:r>
        <w:rPr>
          <w:rFonts w:hint="eastAsia"/>
        </w:rPr>
        <w:t>测试目的：验证数据隐私保护、访问控制及加密机制的有效性。</w:t>
      </w:r>
    </w:p>
    <w:p w14:paraId="71818394" w14:textId="77777777" w:rsidR="0095105C" w:rsidRDefault="0095105C" w:rsidP="0095105C">
      <w:pPr>
        <w:pStyle w:val="a8"/>
        <w:numPr>
          <w:ilvl w:val="0"/>
          <w:numId w:val="9"/>
        </w:numPr>
        <w:jc w:val="left"/>
        <w:rPr>
          <w:rFonts w:hint="eastAsia"/>
        </w:rPr>
      </w:pPr>
      <w:r>
        <w:rPr>
          <w:rFonts w:hint="eastAsia"/>
        </w:rPr>
        <w:t>测试方法：采用渗透测试与合规性审计工具，对数据脱敏、权限管理及传输加密环节进行检测。</w:t>
      </w:r>
    </w:p>
    <w:p w14:paraId="18D7122B" w14:textId="12F1FA7C" w:rsidR="0095105C" w:rsidRPr="0095105C" w:rsidRDefault="0095105C" w:rsidP="0095105C">
      <w:pPr>
        <w:pStyle w:val="a8"/>
        <w:numPr>
          <w:ilvl w:val="0"/>
          <w:numId w:val="9"/>
        </w:numPr>
        <w:jc w:val="left"/>
        <w:rPr>
          <w:rFonts w:hint="eastAsia"/>
        </w:rPr>
      </w:pPr>
      <w:r>
        <w:rPr>
          <w:rFonts w:hint="eastAsia"/>
        </w:rPr>
        <w:t>测试结果：敏感数据脱敏覆盖率</w:t>
      </w:r>
      <w:r>
        <w:t>100%，非授权访问阻断成功率≥99.5%，加密链路误码率≤10</w:t>
      </w:r>
      <w:r>
        <w:rPr>
          <w:rFonts w:ascii="MS Mincho" w:eastAsia="MS Mincho" w:hAnsi="MS Mincho" w:cs="MS Mincho" w:hint="eastAsia"/>
        </w:rPr>
        <w:t>⁻⁹</w:t>
      </w:r>
      <w:r>
        <w:t>，符合GB/T 35274-2017《信息安全技术大数据服务安全能力要求》。</w:t>
      </w:r>
    </w:p>
    <w:p w14:paraId="10D552C6" w14:textId="2BFB97C6" w:rsidR="0095105C" w:rsidRDefault="0095105C" w:rsidP="0095105C">
      <w:pPr>
        <w:pStyle w:val="a8"/>
        <w:numPr>
          <w:ilvl w:val="0"/>
          <w:numId w:val="6"/>
        </w:numPr>
        <w:jc w:val="left"/>
      </w:pPr>
      <w:r w:rsidRPr="0095105C">
        <w:rPr>
          <w:rFonts w:hint="eastAsia"/>
        </w:rPr>
        <w:t>业务闭环验证测试</w:t>
      </w:r>
      <w:r w:rsidRPr="0095105C">
        <w:rPr>
          <w:rFonts w:ascii="MS Mincho" w:eastAsia="MS Mincho" w:hAnsi="MS Mincho" w:cs="MS Mincho" w:hint="eastAsia"/>
        </w:rPr>
        <w:t>​</w:t>
      </w:r>
    </w:p>
    <w:p w14:paraId="3761A8D3" w14:textId="77777777" w:rsidR="0095105C" w:rsidRDefault="0095105C" w:rsidP="0095105C">
      <w:pPr>
        <w:pStyle w:val="a8"/>
        <w:numPr>
          <w:ilvl w:val="0"/>
          <w:numId w:val="11"/>
        </w:numPr>
        <w:jc w:val="left"/>
        <w:rPr>
          <w:rFonts w:hint="eastAsia"/>
        </w:rPr>
      </w:pPr>
      <w:r>
        <w:rPr>
          <w:rFonts w:hint="eastAsia"/>
        </w:rPr>
        <w:t>测试目的：检验数据在调度控制、故障处理及市场交易等业务场景中的闭环应用效果。</w:t>
      </w:r>
    </w:p>
    <w:p w14:paraId="38966777" w14:textId="77777777" w:rsidR="0095105C" w:rsidRDefault="0095105C" w:rsidP="0095105C">
      <w:pPr>
        <w:pStyle w:val="a8"/>
        <w:numPr>
          <w:ilvl w:val="0"/>
          <w:numId w:val="11"/>
        </w:numPr>
        <w:jc w:val="left"/>
        <w:rPr>
          <w:rFonts w:hint="eastAsia"/>
        </w:rPr>
      </w:pPr>
      <w:r>
        <w:rPr>
          <w:rFonts w:hint="eastAsia"/>
        </w:rPr>
        <w:t>测试方法：基于历史数据回放与实时仿真，对比标准实施前后的业务处理效率。</w:t>
      </w:r>
    </w:p>
    <w:p w14:paraId="2174CE8A" w14:textId="0ED547C7" w:rsidR="0095105C" w:rsidRPr="00096340" w:rsidRDefault="0095105C" w:rsidP="0095105C">
      <w:pPr>
        <w:pStyle w:val="a8"/>
        <w:numPr>
          <w:ilvl w:val="0"/>
          <w:numId w:val="11"/>
        </w:numPr>
        <w:jc w:val="left"/>
        <w:rPr>
          <w:rFonts w:hint="eastAsia"/>
        </w:rPr>
      </w:pPr>
      <w:r>
        <w:rPr>
          <w:rFonts w:hint="eastAsia"/>
        </w:rPr>
        <w:t>测试结果：调度指令下发延迟≤500 ms，故障溯源完整率≥</w:t>
      </w:r>
      <w:r>
        <w:rPr>
          <w:rFonts w:hint="eastAsia"/>
        </w:rPr>
        <w:lastRenderedPageBreak/>
        <w:t>99%，交易合同数字化率100%。</w:t>
      </w:r>
    </w:p>
    <w:p w14:paraId="4F342252" w14:textId="77777777" w:rsidR="00DC7ED7" w:rsidRDefault="00000000">
      <w:pPr>
        <w:rPr>
          <w:rFonts w:hint="eastAsia"/>
          <w:b/>
          <w:bCs/>
        </w:rPr>
      </w:pPr>
      <w:r>
        <w:rPr>
          <w:rFonts w:hint="eastAsia"/>
          <w:b/>
          <w:bCs/>
        </w:rPr>
        <w:t>五、采用国际标准和国外先进标准的程度，以及与国际、国外同类标准水平的对比情况，或与测试的国外样品、样机的有关数据对比情况</w:t>
      </w:r>
    </w:p>
    <w:p w14:paraId="1E15966F" w14:textId="42A3DD57" w:rsidR="00DC7ED7" w:rsidRDefault="00000000">
      <w:pPr>
        <w:ind w:firstLineChars="200" w:firstLine="560"/>
        <w:rPr>
          <w:rFonts w:hint="eastAsia"/>
        </w:rPr>
      </w:pPr>
      <w:r>
        <w:rPr>
          <w:rFonts w:hint="eastAsia"/>
        </w:rPr>
        <w:t>目前</w:t>
      </w:r>
      <w:r w:rsidR="00096340" w:rsidRPr="00096340">
        <w:rPr>
          <w:rFonts w:hint="eastAsia"/>
        </w:rPr>
        <w:t>目前在国际和国外标准体系中，尚未形成针对数字电网社会信息物理系统数据规范的专门标准，多数仅涉及信息技术、大数据管理、网络安全及电力数据接口等单一领域。本标准的编制在系统性上实现了突破，首次将物理系统、信息系统与社会系统的多源异构数据治理进行统一规范。标准研制单位依托多年在电网运行控制、数据管理能力评估及电力物联网建设方面的研发积累，结合国内电网企业的工程实践经验，形成了具有自主知识产权和广泛适用性的指标体系和管理框架。与国际上同类规范相比，本标准在体系完整性、工程适配性和安全合规性等方面更贴近新型电力系统发展的实际需求，具备较强的先进性和引领性。</w:t>
      </w:r>
    </w:p>
    <w:p w14:paraId="3D38D05B" w14:textId="77777777" w:rsidR="00DC7ED7" w:rsidRDefault="00000000">
      <w:pPr>
        <w:rPr>
          <w:rFonts w:hint="eastAsia"/>
          <w:b/>
          <w:bCs/>
        </w:rPr>
      </w:pPr>
      <w:r>
        <w:rPr>
          <w:rFonts w:hint="eastAsia"/>
          <w:b/>
          <w:bCs/>
        </w:rPr>
        <w:t>六、与有关的现行法律、法规和强制性国家标准的建议</w:t>
      </w:r>
    </w:p>
    <w:p w14:paraId="479DF718" w14:textId="6BFF0947" w:rsidR="00DC7ED7" w:rsidRDefault="00000000">
      <w:pPr>
        <w:rPr>
          <w:rFonts w:hint="eastAsia"/>
        </w:rPr>
      </w:pPr>
      <w:r>
        <w:rPr>
          <w:rFonts w:hint="eastAsia"/>
        </w:rPr>
        <w:t xml:space="preserve"> </w:t>
      </w:r>
      <w:r>
        <w:t xml:space="preserve">   </w:t>
      </w:r>
      <w:r w:rsidR="003D6B93" w:rsidRPr="003D6B93">
        <w:rPr>
          <w:rFonts w:hint="eastAsia"/>
        </w:rPr>
        <w:t>本标准在制定过程中充分参考并遵循了现行相关法律、法规和强制性国家标准的要求，确保与国家在网络安全、数据安全、个人信息保护、电力法及能源管理等方面的规定相一致。</w:t>
      </w:r>
      <w:r>
        <w:rPr>
          <w:rFonts w:hint="eastAsia"/>
        </w:rPr>
        <w:t>通过该团体标准的制</w:t>
      </w:r>
      <w:r>
        <w:rPr>
          <w:rFonts w:hint="eastAsia"/>
        </w:rPr>
        <w:lastRenderedPageBreak/>
        <w:t>定有利于促进行业的发展和该产业的提升，建议该标准发布实施后进一步申请国家行业标准。</w:t>
      </w:r>
    </w:p>
    <w:p w14:paraId="121D2ADD" w14:textId="77777777" w:rsidR="00DC7ED7" w:rsidRDefault="00000000">
      <w:pPr>
        <w:rPr>
          <w:rFonts w:hint="eastAsia"/>
          <w:b/>
          <w:bCs/>
        </w:rPr>
      </w:pPr>
      <w:r>
        <w:rPr>
          <w:rFonts w:hint="eastAsia"/>
          <w:b/>
          <w:bCs/>
        </w:rPr>
        <w:t>七、重大分歧意见的处理经过和依据</w:t>
      </w:r>
    </w:p>
    <w:p w14:paraId="04021D48" w14:textId="3E2057A2" w:rsidR="00DC7ED7" w:rsidRDefault="00000000">
      <w:pPr>
        <w:rPr>
          <w:rFonts w:hint="eastAsia"/>
        </w:rPr>
      </w:pPr>
      <w:r>
        <w:rPr>
          <w:rFonts w:hint="eastAsia"/>
        </w:rPr>
        <w:t xml:space="preserve"> </w:t>
      </w:r>
      <w:r>
        <w:t xml:space="preserve">   </w:t>
      </w:r>
      <w:r>
        <w:rPr>
          <w:rFonts w:hint="eastAsia"/>
        </w:rPr>
        <w:t>无。</w:t>
      </w:r>
    </w:p>
    <w:p w14:paraId="602A0116" w14:textId="77777777" w:rsidR="00DC7ED7" w:rsidRDefault="00000000">
      <w:pPr>
        <w:rPr>
          <w:rFonts w:hint="eastAsia"/>
          <w:b/>
          <w:bCs/>
        </w:rPr>
      </w:pPr>
      <w:r>
        <w:rPr>
          <w:rFonts w:hint="eastAsia"/>
          <w:b/>
          <w:bCs/>
        </w:rPr>
        <w:t>八、标准作为强制性标准或推荐性标准的建议</w:t>
      </w:r>
    </w:p>
    <w:p w14:paraId="46789018" w14:textId="77777777" w:rsidR="00DC7ED7" w:rsidRDefault="00000000">
      <w:pPr>
        <w:ind w:firstLineChars="200" w:firstLine="560"/>
        <w:rPr>
          <w:rFonts w:hint="eastAsia"/>
        </w:rPr>
      </w:pPr>
      <w:r>
        <w:rPr>
          <w:rFonts w:hint="eastAsia"/>
        </w:rPr>
        <w:t>建议为推荐性标准。</w:t>
      </w:r>
    </w:p>
    <w:p w14:paraId="1A3CC02A" w14:textId="77777777" w:rsidR="00DC7ED7" w:rsidRDefault="00000000">
      <w:pPr>
        <w:rPr>
          <w:rFonts w:hint="eastAsia"/>
          <w:b/>
          <w:bCs/>
        </w:rPr>
      </w:pPr>
      <w:r>
        <w:rPr>
          <w:rFonts w:hint="eastAsia"/>
          <w:b/>
          <w:bCs/>
        </w:rPr>
        <w:t>九、关于贯彻标准的要求和措施建议</w:t>
      </w:r>
    </w:p>
    <w:p w14:paraId="27A4BDC3" w14:textId="77777777" w:rsidR="00DC7ED7" w:rsidRDefault="00000000">
      <w:pPr>
        <w:rPr>
          <w:rFonts w:hint="eastAsia"/>
        </w:rPr>
      </w:pPr>
      <w:r>
        <w:rPr>
          <w:rFonts w:hint="eastAsia"/>
        </w:rPr>
        <w:t>1、宣传推广</w:t>
      </w:r>
    </w:p>
    <w:p w14:paraId="2094D4E8" w14:textId="08B89DA1" w:rsidR="006D0EE9" w:rsidRDefault="000F1DA0" w:rsidP="006D0EE9">
      <w:pPr>
        <w:ind w:firstLine="560"/>
        <w:rPr>
          <w:rFonts w:hint="eastAsia"/>
        </w:rPr>
      </w:pPr>
      <w:r>
        <w:rPr>
          <w:rFonts w:hint="eastAsia"/>
        </w:rPr>
        <w:t>鉴于数字电网社会信息物理系统涉及范围广、产业链长、应用场景多的特点，建议充分发挥行业协会、学会及科研机构的优势，开展系统性宣传与推广活动。通过组织专题论坛、标准宣贯会、培训班等多种形式，加强对标准核心内容的解读与普及，提升行业内各类主体对标准的认知度与应用水平。</w:t>
      </w:r>
    </w:p>
    <w:p w14:paraId="35F8A8DE" w14:textId="77777777" w:rsidR="006D0EE9" w:rsidRDefault="000F1DA0" w:rsidP="006D0EE9">
      <w:pPr>
        <w:ind w:firstLine="560"/>
        <w:rPr>
          <w:rFonts w:hint="eastAsia"/>
        </w:rPr>
      </w:pPr>
      <w:r>
        <w:rPr>
          <w:rFonts w:hint="eastAsia"/>
        </w:rPr>
        <w:t>依托行业协会与产学研合作平台，整合电力企业、科研院所和信息通信企业的资源，搭建数字电网数据治理与应用的交流平台，推动标准成果向工程实践的转化与应用。同时，利用官方网站、行业媒体、</w:t>
      </w:r>
      <w:r>
        <w:rPr>
          <w:rFonts w:hint="eastAsia"/>
        </w:rPr>
        <w:lastRenderedPageBreak/>
        <w:t>学术期刊以及主流新闻平台等多元渠道，开展全方位宣传报道，扩大标准的社会影响力和行业覆盖面。</w:t>
      </w:r>
    </w:p>
    <w:p w14:paraId="2B7BC2A3" w14:textId="0E1AD20B" w:rsidR="00DC7ED7" w:rsidRDefault="000F1DA0" w:rsidP="006D0EE9">
      <w:pPr>
        <w:ind w:firstLine="560"/>
        <w:rPr>
          <w:rFonts w:hint="eastAsia"/>
        </w:rPr>
      </w:pPr>
      <w:r>
        <w:rPr>
          <w:rFonts w:hint="eastAsia"/>
        </w:rPr>
        <w:t>标准正式发布后，在相关主管部门的指导下，建议建立标准实施跟踪与反馈机制，动态收集推广应用中的意见和建议，及时完善宣传策略和技术措施，确保标准的顺利贯彻与持续改进。</w:t>
      </w:r>
      <w:r>
        <w:t xml:space="preserve"> </w:t>
      </w:r>
    </w:p>
    <w:p w14:paraId="45E6BA76" w14:textId="77777777" w:rsidR="00DC7ED7" w:rsidRDefault="00000000">
      <w:pPr>
        <w:rPr>
          <w:rFonts w:hint="eastAsia"/>
        </w:rPr>
      </w:pPr>
      <w:r>
        <w:rPr>
          <w:rFonts w:hint="eastAsia"/>
        </w:rPr>
        <w:t>2、搭建平台</w:t>
      </w:r>
    </w:p>
    <w:p w14:paraId="3F8C1324" w14:textId="278EE4D4" w:rsidR="00DC7ED7" w:rsidRDefault="00000000">
      <w:pPr>
        <w:rPr>
          <w:rFonts w:hint="eastAsia"/>
          <w:shd w:val="clear" w:color="auto" w:fill="FFFFFF"/>
        </w:rPr>
      </w:pPr>
      <w:r>
        <w:rPr>
          <w:rFonts w:hint="eastAsia"/>
        </w:rPr>
        <w:t xml:space="preserve"> </w:t>
      </w:r>
      <w:r>
        <w:t xml:space="preserve">   </w:t>
      </w:r>
      <w:r w:rsidR="00B531D4" w:rsidRPr="00B531D4">
        <w:rPr>
          <w:rFonts w:hint="eastAsia"/>
        </w:rPr>
        <w:t>建议依托《社会信息物理系统 数字电网数据规范》的发布，推动建立跨部门、跨行业的数字电网数据治理与应用协同创新平台。平台建设应立足数字电网与社会信息物理系统融合发展的需求，发挥行业协会、科研院所和龙头企业的联合优势，在技术研发、标准推广、人才培养和产业合作等方面搭建沟通桥梁。通过平台，建立数据资源共享与协同机制，推动标准成果在数据治理、评价体系、测试验证和质量检测等环节的落地应用。平台还可承担宣传普及的职能，提升全行业对数字电网数据治理的认知水平与应用能力。同时，可探索建立标准标签与认证机制，推动平台成员在合规、安全和高质量发展的框架下创新进步，形成良性互动的产业生态。</w:t>
      </w:r>
    </w:p>
    <w:p w14:paraId="7BC7107C" w14:textId="77777777" w:rsidR="00DC7ED7" w:rsidRDefault="00000000">
      <w:pPr>
        <w:rPr>
          <w:rFonts w:hint="eastAsia"/>
        </w:rPr>
      </w:pPr>
      <w:r>
        <w:rPr>
          <w:rFonts w:hint="eastAsia"/>
        </w:rPr>
        <w:t>3、国际交流与互动</w:t>
      </w:r>
    </w:p>
    <w:p w14:paraId="1ED05F08" w14:textId="1A96A8E1" w:rsidR="00DC7ED7" w:rsidRDefault="00145CF2">
      <w:pPr>
        <w:ind w:firstLineChars="200" w:firstLine="560"/>
        <w:rPr>
          <w:rFonts w:hint="eastAsia"/>
        </w:rPr>
      </w:pPr>
      <w:r w:rsidRPr="00145CF2">
        <w:rPr>
          <w:rFonts w:hint="eastAsia"/>
        </w:rPr>
        <w:lastRenderedPageBreak/>
        <w:t>建议依托《社会信息物理系统 数字电网数据规范》的发布，由相关行业协会联合国际电工委员会（IEC）、国际标准化组织（ISO）、国际能源署（IEA）及有关国际机构，共同组织发起“国际数字电网与社会信息物理系统高层论坛”，并探索设立“全球能源数字化发展合作机制”。通过开展多边交流与合作，推动我国在电力数据治理、智能电网建设和能源数字化领域的先进经验与技术成果走向国际舞台。该举措不仅有助于对接国家“全球能源互联网”与“人类命运共同体”发展战略，也将促进数字电网国际标准的协同制定与互认，提升我国在全球能源数字化和新型电力系统建设中的话语权与影响力。</w:t>
      </w:r>
    </w:p>
    <w:p w14:paraId="3ADA84A8" w14:textId="77777777" w:rsidR="00DC7ED7" w:rsidRDefault="00000000">
      <w:pPr>
        <w:rPr>
          <w:rFonts w:hint="eastAsia"/>
          <w:b/>
          <w:bCs/>
        </w:rPr>
      </w:pPr>
      <w:r>
        <w:rPr>
          <w:rFonts w:hint="eastAsia"/>
          <w:b/>
          <w:bCs/>
        </w:rPr>
        <w:t>十、废止现行有关标准的建议</w:t>
      </w:r>
    </w:p>
    <w:p w14:paraId="6C1FF732" w14:textId="77777777" w:rsidR="00DC7ED7" w:rsidRDefault="00000000">
      <w:pPr>
        <w:rPr>
          <w:rFonts w:hint="eastAsia"/>
        </w:rPr>
      </w:pPr>
      <w:r>
        <w:rPr>
          <w:rFonts w:hint="eastAsia"/>
        </w:rPr>
        <w:t xml:space="preserve"> </w:t>
      </w:r>
      <w:r>
        <w:t xml:space="preserve">   </w:t>
      </w:r>
      <w:r>
        <w:rPr>
          <w:rFonts w:hint="eastAsia"/>
        </w:rPr>
        <w:t>无</w:t>
      </w:r>
    </w:p>
    <w:p w14:paraId="215B3506" w14:textId="77777777" w:rsidR="00DC7ED7" w:rsidRDefault="00000000">
      <w:pPr>
        <w:rPr>
          <w:rFonts w:hint="eastAsia"/>
          <w:b/>
          <w:bCs/>
        </w:rPr>
      </w:pPr>
      <w:r>
        <w:rPr>
          <w:rFonts w:hint="eastAsia"/>
          <w:b/>
          <w:bCs/>
        </w:rPr>
        <w:t>十一、其他应予说明的事项</w:t>
      </w:r>
    </w:p>
    <w:p w14:paraId="430DE465" w14:textId="77777777" w:rsidR="00DC7ED7" w:rsidRDefault="00000000">
      <w:pPr>
        <w:rPr>
          <w:rFonts w:hint="eastAsia"/>
        </w:rPr>
      </w:pPr>
      <w:r>
        <w:rPr>
          <w:rFonts w:hint="eastAsia"/>
        </w:rPr>
        <w:t xml:space="preserve"> </w:t>
      </w:r>
      <w:r>
        <w:t xml:space="preserve">   </w:t>
      </w:r>
      <w:r>
        <w:rPr>
          <w:rFonts w:hint="eastAsia"/>
        </w:rPr>
        <w:t>无</w:t>
      </w:r>
    </w:p>
    <w:p w14:paraId="06FFDFE5" w14:textId="6C86CF71" w:rsidR="00DC7ED7" w:rsidRDefault="00000000" w:rsidP="00640DE6">
      <w:pPr>
        <w:jc w:val="right"/>
        <w:rPr>
          <w:rFonts w:hint="eastAsia"/>
        </w:rPr>
      </w:pPr>
      <w:r>
        <w:rPr>
          <w:rFonts w:hint="eastAsia"/>
        </w:rPr>
        <w:t>《</w:t>
      </w:r>
      <w:r w:rsidR="00A74FB7" w:rsidRPr="00A74FB7">
        <w:rPr>
          <w:rFonts w:hint="eastAsia"/>
        </w:rPr>
        <w:t>社会信息物理系统  数字电网数据规范</w:t>
      </w:r>
      <w:r>
        <w:rPr>
          <w:rFonts w:hint="eastAsia"/>
        </w:rPr>
        <w:t>》编制工作小组</w:t>
      </w:r>
    </w:p>
    <w:p w14:paraId="213D0892" w14:textId="0AD12075" w:rsidR="00DC7ED7" w:rsidRDefault="00000000" w:rsidP="00640DE6">
      <w:pPr>
        <w:jc w:val="right"/>
        <w:rPr>
          <w:rFonts w:hint="eastAsia"/>
        </w:rPr>
      </w:pPr>
      <w:r>
        <w:t xml:space="preserve"> 202</w:t>
      </w:r>
      <w:r w:rsidR="00A74FB7">
        <w:rPr>
          <w:rFonts w:hint="eastAsia"/>
        </w:rPr>
        <w:t>5</w:t>
      </w:r>
      <w:r>
        <w:rPr>
          <w:rFonts w:hint="eastAsia"/>
        </w:rPr>
        <w:t>-</w:t>
      </w:r>
      <w:r>
        <w:t>0</w:t>
      </w:r>
      <w:r w:rsidR="00A74FB7">
        <w:rPr>
          <w:rFonts w:hint="eastAsia"/>
        </w:rPr>
        <w:t>9</w:t>
      </w:r>
      <w:r>
        <w:rPr>
          <w:rFonts w:hint="eastAsia"/>
        </w:rPr>
        <w:t>-</w:t>
      </w:r>
      <w:r>
        <w:t>26</w:t>
      </w:r>
    </w:p>
    <w:sectPr w:rsidR="00DC7E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446D" w14:textId="77777777" w:rsidR="00731BE9" w:rsidRDefault="00731BE9">
      <w:pPr>
        <w:spacing w:after="0" w:line="240" w:lineRule="auto"/>
        <w:rPr>
          <w:rFonts w:hint="eastAsia"/>
        </w:rPr>
      </w:pPr>
      <w:r>
        <w:separator/>
      </w:r>
    </w:p>
  </w:endnote>
  <w:endnote w:type="continuationSeparator" w:id="0">
    <w:p w14:paraId="0ADF2C35" w14:textId="77777777" w:rsidR="00731BE9" w:rsidRDefault="00731BE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06166"/>
      <w:docPartObj>
        <w:docPartGallery w:val="AutoText"/>
      </w:docPartObj>
    </w:sdtPr>
    <w:sdtContent>
      <w:p w14:paraId="1E70EBFD" w14:textId="77777777" w:rsidR="00DC7ED7" w:rsidRDefault="00000000">
        <w:pPr>
          <w:pStyle w:val="a3"/>
          <w:jc w:val="center"/>
          <w:rPr>
            <w:rFonts w:hint="eastAsia"/>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p>
    </w:sdtContent>
  </w:sdt>
  <w:p w14:paraId="6D1A1D0D" w14:textId="77777777" w:rsidR="00DC7ED7" w:rsidRDefault="00DC7ED7">
    <w:pPr>
      <w:pStyle w:val="a3"/>
      <w:rPr>
        <w:rFonts w:hint="eastAsia"/>
      </w:rPr>
    </w:pPr>
  </w:p>
  <w:p w14:paraId="1DD97B41" w14:textId="77777777" w:rsidR="00DC7ED7" w:rsidRDefault="00DC7ED7">
    <w:pPr>
      <w:rPr>
        <w:rFonts w:hint="eastAsia"/>
      </w:rPr>
    </w:pPr>
  </w:p>
  <w:p w14:paraId="3B5A2615" w14:textId="77777777" w:rsidR="00DC7ED7" w:rsidRDefault="00DC7ED7">
    <w:pPr>
      <w:rPr>
        <w:rFonts w:hint="eastAsia"/>
      </w:rPr>
    </w:pPr>
  </w:p>
  <w:p w14:paraId="0C73D9AF" w14:textId="77777777" w:rsidR="00DC7ED7" w:rsidRDefault="00DC7ED7">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22C8" w14:textId="77777777" w:rsidR="00731BE9" w:rsidRDefault="00731BE9">
      <w:pPr>
        <w:spacing w:after="0" w:line="240" w:lineRule="auto"/>
        <w:rPr>
          <w:rFonts w:hint="eastAsia"/>
        </w:rPr>
      </w:pPr>
      <w:r>
        <w:separator/>
      </w:r>
    </w:p>
  </w:footnote>
  <w:footnote w:type="continuationSeparator" w:id="0">
    <w:p w14:paraId="1867F717" w14:textId="77777777" w:rsidR="00731BE9" w:rsidRDefault="00731BE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0411"/>
    <w:multiLevelType w:val="hybridMultilevel"/>
    <w:tmpl w:val="5F104B1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4BC219C"/>
    <w:multiLevelType w:val="multilevel"/>
    <w:tmpl w:val="14BC219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5350ADA"/>
    <w:multiLevelType w:val="hybridMultilevel"/>
    <w:tmpl w:val="0A20E23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C457D1A"/>
    <w:multiLevelType w:val="hybridMultilevel"/>
    <w:tmpl w:val="61AC71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DC64805"/>
    <w:multiLevelType w:val="multilevel"/>
    <w:tmpl w:val="2DC6480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C4A2884"/>
    <w:multiLevelType w:val="hybridMultilevel"/>
    <w:tmpl w:val="34DE90EA"/>
    <w:lvl w:ilvl="0" w:tplc="04090001">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6" w15:restartNumberingAfterBreak="0">
    <w:nsid w:val="435C511F"/>
    <w:multiLevelType w:val="hybridMultilevel"/>
    <w:tmpl w:val="C4B2697A"/>
    <w:lvl w:ilvl="0" w:tplc="04090011">
      <w:start w:val="1"/>
      <w:numFmt w:val="decimal"/>
      <w:lvlText w:val="%1)"/>
      <w:lvlJc w:val="left"/>
      <w:pPr>
        <w:ind w:left="44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7" w15:restartNumberingAfterBreak="0">
    <w:nsid w:val="5DA851E6"/>
    <w:multiLevelType w:val="hybridMultilevel"/>
    <w:tmpl w:val="D474E4C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73490D31"/>
    <w:multiLevelType w:val="multilevel"/>
    <w:tmpl w:val="73490D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75E46B3E"/>
    <w:multiLevelType w:val="hybridMultilevel"/>
    <w:tmpl w:val="EE143F3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93652FA"/>
    <w:multiLevelType w:val="hybridMultilevel"/>
    <w:tmpl w:val="D474E4C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689528626">
    <w:abstractNumId w:val="1"/>
  </w:num>
  <w:num w:numId="2" w16cid:durableId="549077192">
    <w:abstractNumId w:val="4"/>
  </w:num>
  <w:num w:numId="3" w16cid:durableId="691684853">
    <w:abstractNumId w:val="8"/>
  </w:num>
  <w:num w:numId="4" w16cid:durableId="842815672">
    <w:abstractNumId w:val="6"/>
  </w:num>
  <w:num w:numId="5" w16cid:durableId="454301396">
    <w:abstractNumId w:val="7"/>
  </w:num>
  <w:num w:numId="6" w16cid:durableId="2123106731">
    <w:abstractNumId w:val="10"/>
  </w:num>
  <w:num w:numId="7" w16cid:durableId="1746612991">
    <w:abstractNumId w:val="3"/>
  </w:num>
  <w:num w:numId="8" w16cid:durableId="1710495755">
    <w:abstractNumId w:val="2"/>
  </w:num>
  <w:num w:numId="9" w16cid:durableId="586572439">
    <w:abstractNumId w:val="0"/>
  </w:num>
  <w:num w:numId="10" w16cid:durableId="1741050216">
    <w:abstractNumId w:val="5"/>
  </w:num>
  <w:num w:numId="11" w16cid:durableId="1387804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8A"/>
    <w:rsid w:val="00006A18"/>
    <w:rsid w:val="00096340"/>
    <w:rsid w:val="000A2030"/>
    <w:rsid w:val="000C7C0E"/>
    <w:rsid w:val="000D67FC"/>
    <w:rsid w:val="000F1DA0"/>
    <w:rsid w:val="00106E2F"/>
    <w:rsid w:val="00115E89"/>
    <w:rsid w:val="001242C5"/>
    <w:rsid w:val="00145CF2"/>
    <w:rsid w:val="00150E55"/>
    <w:rsid w:val="00152E37"/>
    <w:rsid w:val="001745EF"/>
    <w:rsid w:val="001D3A29"/>
    <w:rsid w:val="00216299"/>
    <w:rsid w:val="002B40B5"/>
    <w:rsid w:val="00320F78"/>
    <w:rsid w:val="0037132F"/>
    <w:rsid w:val="003C6B35"/>
    <w:rsid w:val="003D6B93"/>
    <w:rsid w:val="003F60D5"/>
    <w:rsid w:val="004778CF"/>
    <w:rsid w:val="004B2D91"/>
    <w:rsid w:val="004C259A"/>
    <w:rsid w:val="004F1439"/>
    <w:rsid w:val="004F6160"/>
    <w:rsid w:val="005E01D2"/>
    <w:rsid w:val="005E6C69"/>
    <w:rsid w:val="006122BD"/>
    <w:rsid w:val="00622ACB"/>
    <w:rsid w:val="00640DE6"/>
    <w:rsid w:val="0064130E"/>
    <w:rsid w:val="006963F4"/>
    <w:rsid w:val="006B1B08"/>
    <w:rsid w:val="006B6A31"/>
    <w:rsid w:val="006D0EE9"/>
    <w:rsid w:val="0070574F"/>
    <w:rsid w:val="00731BE9"/>
    <w:rsid w:val="0079530D"/>
    <w:rsid w:val="007979E2"/>
    <w:rsid w:val="007A3E24"/>
    <w:rsid w:val="007D478D"/>
    <w:rsid w:val="007F2821"/>
    <w:rsid w:val="008468CB"/>
    <w:rsid w:val="008646AF"/>
    <w:rsid w:val="00867628"/>
    <w:rsid w:val="00873475"/>
    <w:rsid w:val="00875A49"/>
    <w:rsid w:val="00886F2E"/>
    <w:rsid w:val="008D20A8"/>
    <w:rsid w:val="008F5227"/>
    <w:rsid w:val="0095105C"/>
    <w:rsid w:val="009658B5"/>
    <w:rsid w:val="00984A84"/>
    <w:rsid w:val="009C010A"/>
    <w:rsid w:val="009E0388"/>
    <w:rsid w:val="00A348E5"/>
    <w:rsid w:val="00A61378"/>
    <w:rsid w:val="00A74FB7"/>
    <w:rsid w:val="00AA0FBF"/>
    <w:rsid w:val="00B02283"/>
    <w:rsid w:val="00B07BB6"/>
    <w:rsid w:val="00B2634F"/>
    <w:rsid w:val="00B531D4"/>
    <w:rsid w:val="00B57044"/>
    <w:rsid w:val="00BC6CD4"/>
    <w:rsid w:val="00BF0737"/>
    <w:rsid w:val="00C208EB"/>
    <w:rsid w:val="00C231D9"/>
    <w:rsid w:val="00CC2389"/>
    <w:rsid w:val="00CE4BD3"/>
    <w:rsid w:val="00D27775"/>
    <w:rsid w:val="00D36B4E"/>
    <w:rsid w:val="00DB16CA"/>
    <w:rsid w:val="00DB74EE"/>
    <w:rsid w:val="00DC7ED7"/>
    <w:rsid w:val="00DE4CBC"/>
    <w:rsid w:val="00E12302"/>
    <w:rsid w:val="00E1614A"/>
    <w:rsid w:val="00E21CEC"/>
    <w:rsid w:val="00E417BC"/>
    <w:rsid w:val="00E61CF4"/>
    <w:rsid w:val="00E67A8A"/>
    <w:rsid w:val="00EA6A6C"/>
    <w:rsid w:val="00F035C0"/>
    <w:rsid w:val="00F259DC"/>
    <w:rsid w:val="00F66475"/>
    <w:rsid w:val="00FB674F"/>
    <w:rsid w:val="00FD0FA9"/>
    <w:rsid w:val="00FE19F3"/>
    <w:rsid w:val="00FE6E8D"/>
    <w:rsid w:val="00FF6B3A"/>
    <w:rsid w:val="0731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376E3"/>
  <w15:docId w15:val="{2F705B6C-04DE-4F6E-AC98-2DFECF6F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楷体" w:eastAsia="楷体" w:hAnsi="楷体"/>
      <w:kern w:val="2"/>
      <w:sz w:val="28"/>
      <w:szCs w:val="28"/>
    </w:rPr>
  </w:style>
  <w:style w:type="paragraph" w:styleId="2">
    <w:name w:val="heading 2"/>
    <w:basedOn w:val="a"/>
    <w:next w:val="a"/>
    <w:link w:val="20"/>
    <w:qFormat/>
    <w:pPr>
      <w:keepNext/>
      <w:keepLines/>
      <w:autoSpaceDE/>
      <w:autoSpaceDN/>
      <w:adjustRightInd/>
      <w:spacing w:beforeLines="100" w:before="100" w:afterLines="100" w:after="100" w:line="400" w:lineRule="exact"/>
      <w:outlineLvl w:val="1"/>
    </w:pPr>
    <w:rPr>
      <w:rFonts w:ascii="Cambria" w:eastAsia="宋体" w:hAnsi="Cambria" w:cs="Times New Roman"/>
      <w:b/>
      <w:bCs/>
      <w:sz w:val="21"/>
      <w:szCs w:val="32"/>
    </w:rPr>
  </w:style>
  <w:style w:type="paragraph" w:styleId="3">
    <w:name w:val="heading 3"/>
    <w:basedOn w:val="a"/>
    <w:next w:val="a"/>
    <w:link w:val="30"/>
    <w:uiPriority w:val="9"/>
    <w:unhideWhenUsed/>
    <w:qFormat/>
    <w:pPr>
      <w:keepNext/>
      <w:keepLines/>
      <w:autoSpaceDE/>
      <w:autoSpaceDN/>
      <w:adjustRightInd/>
      <w:spacing w:before="240" w:after="60" w:line="312" w:lineRule="auto"/>
      <w:outlineLvl w:val="2"/>
    </w:pPr>
    <w:rPr>
      <w:rFonts w:ascii="Cambria" w:eastAsia="黑体" w:hAnsi="Cambria"/>
      <w:b/>
      <w:bCs/>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unhideWhenUsed/>
    <w:qFormat/>
    <w:pPr>
      <w:ind w:left="720"/>
      <w:contextualSpacing/>
    </w:pPr>
  </w:style>
  <w:style w:type="character" w:customStyle="1" w:styleId="20">
    <w:name w:val="标题 2 字符"/>
    <w:basedOn w:val="a0"/>
    <w:link w:val="2"/>
    <w:qFormat/>
    <w:rPr>
      <w:rFonts w:ascii="Cambria" w:eastAsia="宋体" w:hAnsi="Cambria" w:cs="Times New Roman"/>
      <w:b/>
      <w:bCs/>
      <w:szCs w:val="32"/>
    </w:rPr>
  </w:style>
  <w:style w:type="character" w:customStyle="1" w:styleId="30">
    <w:name w:val="标题 3 字符"/>
    <w:basedOn w:val="a0"/>
    <w:link w:val="3"/>
    <w:uiPriority w:val="9"/>
    <w:qFormat/>
    <w:rPr>
      <w:rFonts w:ascii="Cambria" w:eastAsia="黑体" w:hAnsi="Cambria"/>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3674">
      <w:bodyDiv w:val="1"/>
      <w:marLeft w:val="0"/>
      <w:marRight w:val="0"/>
      <w:marTop w:val="0"/>
      <w:marBottom w:val="0"/>
      <w:divBdr>
        <w:top w:val="none" w:sz="0" w:space="0" w:color="auto"/>
        <w:left w:val="none" w:sz="0" w:space="0" w:color="auto"/>
        <w:bottom w:val="none" w:sz="0" w:space="0" w:color="auto"/>
        <w:right w:val="none" w:sz="0" w:space="0" w:color="auto"/>
      </w:divBdr>
    </w:div>
    <w:div w:id="1270042133">
      <w:bodyDiv w:val="1"/>
      <w:marLeft w:val="0"/>
      <w:marRight w:val="0"/>
      <w:marTop w:val="0"/>
      <w:marBottom w:val="0"/>
      <w:divBdr>
        <w:top w:val="none" w:sz="0" w:space="0" w:color="auto"/>
        <w:left w:val="none" w:sz="0" w:space="0" w:color="auto"/>
        <w:bottom w:val="none" w:sz="0" w:space="0" w:color="auto"/>
        <w:right w:val="none" w:sz="0" w:space="0" w:color="auto"/>
      </w:divBdr>
    </w:div>
    <w:div w:id="148971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呼云</dc:creator>
  <cp:lastModifiedBy>腾 陈</cp:lastModifiedBy>
  <cp:revision>2</cp:revision>
  <dcterms:created xsi:type="dcterms:W3CDTF">2025-09-26T09:28:00Z</dcterms:created>
  <dcterms:modified xsi:type="dcterms:W3CDTF">2025-09-26T09:28:00Z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