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kinsoku w:val="0"/>
        <w:overflowPunct w:val="0"/>
        <w:autoSpaceDE w:val="0"/>
        <w:autoSpaceDN w:val="0"/>
        <w:spacing w:line="280" w:lineRule="exact"/>
        <w:ind w:left="249"/>
        <w:jc w:val="left"/>
        <w:rPr>
          <w:rFonts w:ascii="Times New Roman" w:hAnsi="Times New Roman" w:eastAsia="Times New Roman"/>
          <w:bCs w:val="0"/>
          <w:color w:val="231F20"/>
          <w:kern w:val="0"/>
          <w:sz w:val="21"/>
          <w:szCs w:val="20"/>
        </w:rPr>
      </w:pPr>
      <w:bookmarkStart w:id="0" w:name="BookMark1"/>
      <w:r>
        <w:rPr>
          <w:rFonts w:hint="eastAsia" w:ascii="Times New Roman" w:hAnsi="Times New Roman" w:eastAsia="Times New Roman"/>
          <w:bCs w:val="0"/>
          <w:color w:val="231F20"/>
          <w:kern w:val="0"/>
          <w:sz w:val="21"/>
          <w:szCs w:val="20"/>
        </w:rPr>
        <w:t>ICS 75.180.10</w:t>
      </w:r>
      <w:r>
        <w:rPr>
          <w:rFonts w:hint="eastAsia" w:asciiTheme="minorEastAsia" w:hAnsiTheme="minorEastAsia" w:eastAsiaTheme="minorEastAsia"/>
          <w:bCs w:val="0"/>
          <w:color w:val="231F20"/>
          <w:kern w:val="0"/>
          <w:sz w:val="21"/>
          <w:szCs w:val="20"/>
        </w:rPr>
        <w:t xml:space="preserve">（黑体，5号）                            </w:t>
      </w:r>
      <w:r>
        <w:rPr>
          <w:rFonts w:hint="eastAsia" w:ascii="隶书" w:eastAsia="隶书" w:hAnsiTheme="minorEastAsia"/>
          <w:bCs w:val="0"/>
          <w:color w:val="231F20"/>
          <w:kern w:val="0"/>
          <w:sz w:val="36"/>
          <w:szCs w:val="36"/>
        </w:rPr>
        <w:t>CPI</w:t>
      </w:r>
      <w:r>
        <w:rPr>
          <w:rFonts w:hint="eastAsia" w:ascii="隶书" w:eastAsia="隶书"/>
          <w:sz w:val="28"/>
          <w:szCs w:val="28"/>
        </w:rPr>
        <w:t>（专用字）</w:t>
      </w:r>
      <w:r>
        <w:rPr>
          <w:rFonts w:hint="eastAsia" w:asciiTheme="minorEastAsia" w:hAnsiTheme="minorEastAsia" w:eastAsiaTheme="minorEastAsia"/>
          <w:bCs w:val="0"/>
          <w:color w:val="231F20"/>
          <w:kern w:val="0"/>
          <w:sz w:val="21"/>
          <w:szCs w:val="20"/>
        </w:rPr>
        <w:t xml:space="preserve"> </w:t>
      </w:r>
    </w:p>
    <w:p>
      <w:pPr>
        <w:pStyle w:val="3"/>
        <w:keepNext w:val="0"/>
        <w:keepLines w:val="0"/>
        <w:kinsoku w:val="0"/>
        <w:overflowPunct w:val="0"/>
        <w:autoSpaceDE w:val="0"/>
        <w:autoSpaceDN w:val="0"/>
        <w:spacing w:line="280" w:lineRule="exact"/>
        <w:ind w:left="249"/>
        <w:jc w:val="left"/>
        <w:rPr>
          <w:rFonts w:ascii="Times New Roman" w:hAnsi="Times New Roman" w:eastAsia="Times New Roman"/>
          <w:bCs w:val="0"/>
          <w:color w:val="231F20"/>
          <w:kern w:val="0"/>
          <w:sz w:val="21"/>
          <w:szCs w:val="20"/>
        </w:rPr>
      </w:pPr>
      <w:r>
        <w:rPr>
          <w:rFonts w:hint="eastAsia" w:ascii="Times New Roman" w:hAnsi="Times New Roman" w:eastAsia="Times New Roman"/>
          <w:bCs w:val="0"/>
          <w:color w:val="231F20"/>
          <w:kern w:val="0"/>
          <w:sz w:val="21"/>
          <w:szCs w:val="20"/>
        </w:rPr>
        <w:t>E 92</w:t>
      </w:r>
      <w:r>
        <w:rPr>
          <w:rFonts w:hint="eastAsia" w:asciiTheme="minorEastAsia" w:hAnsiTheme="minorEastAsia" w:eastAsiaTheme="minorEastAsia"/>
          <w:bCs w:val="0"/>
          <w:color w:val="231F20"/>
          <w:kern w:val="0"/>
          <w:sz w:val="21"/>
          <w:szCs w:val="20"/>
        </w:rPr>
        <w:t xml:space="preserve">（黑体，5号）                                     </w:t>
      </w:r>
    </w:p>
    <w:p>
      <w:pPr>
        <w:pStyle w:val="132"/>
        <w:tabs>
          <w:tab w:val="left" w:pos="0"/>
        </w:tabs>
        <w:jc w:val="center"/>
        <w:rPr>
          <w:rFonts w:ascii="隶书" w:eastAsia="隶书"/>
          <w:sz w:val="124"/>
          <w:szCs w:val="124"/>
        </w:rPr>
      </w:pPr>
      <w:r>
        <w:rPr>
          <w:rFonts w:hint="eastAsia" w:ascii="隶书" w:eastAsia="隶书"/>
          <w:sz w:val="124"/>
          <w:szCs w:val="124"/>
        </w:rPr>
        <w:t>团</w:t>
      </w:r>
      <w:r>
        <w:rPr>
          <w:rFonts w:hint="eastAsia" w:ascii="隶书" w:eastAsia="隶书"/>
          <w:sz w:val="124"/>
          <w:szCs w:val="124"/>
        </w:rPr>
        <w:tab/>
      </w:r>
      <w:r>
        <w:rPr>
          <w:rFonts w:hint="eastAsia" w:ascii="隶书" w:eastAsia="隶书"/>
          <w:sz w:val="124"/>
          <w:szCs w:val="124"/>
        </w:rPr>
        <w:tab/>
      </w:r>
      <w:r>
        <w:rPr>
          <w:rFonts w:hint="eastAsia" w:ascii="隶书" w:eastAsia="隶书"/>
          <w:sz w:val="124"/>
          <w:szCs w:val="124"/>
        </w:rPr>
        <w:t>体</w:t>
      </w:r>
      <w:r>
        <w:rPr>
          <w:rFonts w:hint="eastAsia" w:ascii="隶书" w:eastAsia="隶书"/>
          <w:sz w:val="124"/>
          <w:szCs w:val="124"/>
        </w:rPr>
        <w:tab/>
      </w:r>
      <w:r>
        <w:rPr>
          <w:rFonts w:hint="eastAsia" w:ascii="隶书" w:eastAsia="隶书"/>
          <w:sz w:val="124"/>
          <w:szCs w:val="124"/>
        </w:rPr>
        <w:tab/>
      </w:r>
      <w:r>
        <w:rPr>
          <w:rFonts w:hint="eastAsia" w:ascii="隶书" w:eastAsia="隶书"/>
          <w:sz w:val="124"/>
          <w:szCs w:val="124"/>
        </w:rPr>
        <w:t>标</w:t>
      </w:r>
      <w:r>
        <w:rPr>
          <w:rFonts w:hint="eastAsia" w:ascii="隶书" w:eastAsia="隶书"/>
          <w:sz w:val="124"/>
          <w:szCs w:val="124"/>
        </w:rPr>
        <w:tab/>
      </w:r>
      <w:r>
        <w:rPr>
          <w:rFonts w:hint="eastAsia" w:ascii="隶书" w:eastAsia="隶书"/>
          <w:sz w:val="124"/>
          <w:szCs w:val="124"/>
        </w:rPr>
        <w:tab/>
      </w:r>
      <w:r>
        <w:rPr>
          <w:rFonts w:hint="eastAsia" w:ascii="隶书" w:eastAsia="隶书"/>
          <w:sz w:val="124"/>
          <w:szCs w:val="124"/>
        </w:rPr>
        <w:t>准</w:t>
      </w:r>
      <w:r>
        <w:rPr>
          <w:rFonts w:hint="eastAsia" w:ascii="隶书" w:eastAsia="隶书"/>
          <w:sz w:val="28"/>
          <w:szCs w:val="28"/>
        </w:rPr>
        <w:t>（专用字）</w:t>
      </w:r>
    </w:p>
    <w:p>
      <w:pPr>
        <w:pStyle w:val="132"/>
        <w:tabs>
          <w:tab w:val="left" w:pos="5775"/>
        </w:tabs>
        <w:wordWrap w:val="0"/>
        <w:ind w:right="400"/>
        <w:rPr>
          <w:rFonts w:asciiTheme="minorEastAsia" w:hAnsiTheme="minorEastAsia" w:eastAsiaTheme="minorEastAsia"/>
          <w:bCs/>
          <w:color w:val="231F20"/>
          <w:sz w:val="21"/>
        </w:rPr>
      </w:pPr>
      <w:r>
        <mc:AlternateContent>
          <mc:Choice Requires="wps">
            <w:drawing>
              <wp:anchor distT="0" distB="0" distL="114300" distR="114300" simplePos="0" relativeHeight="251669504" behindDoc="0" locked="0" layoutInCell="1" allowOverlap="1">
                <wp:simplePos x="0" y="0"/>
                <wp:positionH relativeFrom="column">
                  <wp:posOffset>33655</wp:posOffset>
                </wp:positionH>
                <wp:positionV relativeFrom="paragraph">
                  <wp:posOffset>377825</wp:posOffset>
                </wp:positionV>
                <wp:extent cx="5255895" cy="15875"/>
                <wp:effectExtent l="0" t="0" r="20955" b="22225"/>
                <wp:wrapNone/>
                <wp:docPr id="2135533090" name="直接连接符 2135533090"/>
                <wp:cNvGraphicFramePr/>
                <a:graphic xmlns:a="http://schemas.openxmlformats.org/drawingml/2006/main">
                  <a:graphicData uri="http://schemas.microsoft.com/office/word/2010/wordprocessingShape">
                    <wps:wsp>
                      <wps:cNvCnPr>
                        <a:cxnSpLocks noChangeShapeType="1"/>
                      </wps:cNvCnPr>
                      <wps:spPr bwMode="auto">
                        <a:xfrm>
                          <a:off x="0" y="0"/>
                          <a:ext cx="5255895" cy="15875"/>
                        </a:xfrm>
                        <a:prstGeom prst="line">
                          <a:avLst/>
                        </a:prstGeom>
                        <a:noFill/>
                        <a:ln w="12700">
                          <a:solidFill>
                            <a:srgbClr val="000000"/>
                          </a:solidFill>
                          <a:round/>
                        </a:ln>
                      </wps:spPr>
                      <wps:bodyPr/>
                    </wps:wsp>
                  </a:graphicData>
                </a:graphic>
              </wp:anchor>
            </w:drawing>
          </mc:Choice>
          <mc:Fallback>
            <w:pict>
              <v:line id="_x0000_s1026" o:spid="_x0000_s1026" o:spt="20" style="position:absolute;left:0pt;margin-left:2.65pt;margin-top:29.75pt;height:1.25pt;width:413.85pt;z-index:251669504;mso-width-relative:page;mso-height-relative:page;" filled="f" stroked="t" coordsize="21600,21600" o:gfxdata="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oVaVtgAAAAHAQAADwAAAAAAAAABACAAAAAiAAAAZHJzL2Rvd25yZXYueG1sUEsBAhQA&#10;FAAAAAgAh07iQA50dhvyAQAAwQMAAA4AAAAAAAAAAQAgAAAAJwEAAGRycy9lMm9Eb2MueG1sUEsF&#10;BgAAAAAGAAYAWQEAAIsFAAAAAA==&#10;">
                <v:fill on="f" focussize="0,0"/>
                <v:stroke weight="1pt" color="#000000" joinstyle="round"/>
                <v:imagedata o:title=""/>
                <o:lock v:ext="edit" aspectratio="f"/>
              </v:line>
            </w:pict>
          </mc:Fallback>
        </mc:AlternateContent>
      </w:r>
      <w:r>
        <w:rPr>
          <w:rFonts w:hint="eastAsia" w:asciiTheme="minorEastAsia" w:hAnsiTheme="minorEastAsia" w:eastAsiaTheme="minorEastAsia"/>
          <w:b/>
          <w:color w:val="231F20"/>
          <w:sz w:val="28"/>
        </w:rPr>
        <w:t xml:space="preserve">                             </w:t>
      </w:r>
      <w:r>
        <w:rPr>
          <w:rFonts w:hint="eastAsia" w:eastAsia="Times New Roman"/>
          <w:b/>
          <w:color w:val="231F20"/>
          <w:sz w:val="28"/>
        </w:rPr>
        <w:t>T/CPI XXXX</w:t>
      </w:r>
      <w:r>
        <w:rPr>
          <w:rFonts w:hint="eastAsia" w:ascii="汉仪中黑简" w:hAnsi="汉仪中黑简" w:eastAsia="汉仪中黑简"/>
          <w:color w:val="231F20"/>
          <w:sz w:val="28"/>
        </w:rPr>
        <w:t>—</w:t>
      </w:r>
      <w:r>
        <w:rPr>
          <w:rFonts w:hint="eastAsia" w:eastAsia="Times New Roman"/>
          <w:b/>
          <w:color w:val="231F20"/>
          <w:sz w:val="28"/>
        </w:rPr>
        <w:t>202X</w:t>
      </w:r>
      <w:r>
        <w:rPr>
          <w:rFonts w:hint="eastAsia" w:asciiTheme="minorEastAsia" w:hAnsiTheme="minorEastAsia" w:eastAsiaTheme="minorEastAsia"/>
          <w:bCs/>
          <w:color w:val="231F20"/>
          <w:sz w:val="21"/>
        </w:rPr>
        <w:t>（黑体，4号）</w:t>
      </w:r>
    </w:p>
    <w:p>
      <w:pPr>
        <w:pStyle w:val="132"/>
        <w:wordWrap w:val="0"/>
        <w:jc w:val="right"/>
        <w:rPr>
          <w:rFonts w:ascii="宋体" w:hAnsi="宋体"/>
          <w:sz w:val="21"/>
          <w:szCs w:val="21"/>
        </w:rPr>
      </w:pPr>
    </w:p>
    <w:p>
      <w:pPr>
        <w:pStyle w:val="132"/>
        <w:rPr>
          <w:sz w:val="24"/>
          <w:szCs w:val="24"/>
        </w:rPr>
      </w:pPr>
      <w:r>
        <w:t xml:space="preserve"> </w:t>
      </w:r>
    </w:p>
    <w:p>
      <w:pPr>
        <w:pStyle w:val="132"/>
      </w:pPr>
      <w:r>
        <w:t xml:space="preserve"> </w:t>
      </w:r>
    </w:p>
    <w:p>
      <w:pPr>
        <w:pStyle w:val="132"/>
      </w:pPr>
      <w:r>
        <w:t xml:space="preserve"> </w:t>
      </w:r>
    </w:p>
    <w:p>
      <w:pPr>
        <w:pStyle w:val="132"/>
      </w:pPr>
    </w:p>
    <w:p>
      <w:pPr>
        <w:pStyle w:val="127"/>
        <w:framePr w:h="5281" w:hRule="exact" w:wrap="around"/>
        <w:ind w:left="168" w:hanging="168"/>
        <w:rPr>
          <w:rFonts w:hAnsi="黑体"/>
        </w:rPr>
      </w:pPr>
      <w:r>
        <w:rPr>
          <w:rFonts w:hint="eastAsia" w:hAnsi="黑体"/>
        </w:rPr>
        <w:t>撬装式天然气</w:t>
      </w:r>
      <w:r>
        <w:rPr>
          <w:rFonts w:hint="eastAsia" w:hAnsi="黑体"/>
          <w:lang w:val="en-US" w:eastAsia="zh-CN"/>
        </w:rPr>
        <w:t>管道</w:t>
      </w:r>
      <w:r>
        <w:rPr>
          <w:rFonts w:hint="eastAsia" w:hAnsi="黑体"/>
        </w:rPr>
        <w:t>掺氢混气系统</w:t>
      </w:r>
    </w:p>
    <w:p>
      <w:pPr>
        <w:pStyle w:val="127"/>
        <w:framePr w:h="5281" w:hRule="exact" w:wrap="around"/>
        <w:snapToGrid w:val="0"/>
        <w:ind w:left="225" w:hanging="225"/>
        <w:rPr>
          <w:rFonts w:ascii="Times New Roman" w:eastAsia="Times New Roman"/>
          <w:b/>
          <w:color w:val="231F20"/>
          <w:sz w:val="28"/>
          <w:szCs w:val="28"/>
        </w:rPr>
      </w:pPr>
      <w:r>
        <w:rPr>
          <w:rFonts w:ascii="Times New Roman" w:eastAsia="Times New Roman"/>
          <w:b/>
          <w:color w:val="231F20"/>
          <w:sz w:val="28"/>
          <w:szCs w:val="28"/>
        </w:rPr>
        <w:t>Technical specification for pressure equipment for hydrogen pipelines Part 3: Containers and combination devices</w:t>
      </w:r>
    </w:p>
    <w:p>
      <w:pPr>
        <w:pStyle w:val="132"/>
        <w:rPr>
          <w:sz w:val="24"/>
          <w:szCs w:val="24"/>
        </w:rPr>
      </w:pPr>
    </w:p>
    <w:p>
      <w:pPr>
        <w:jc w:val="center"/>
      </w:pPr>
      <w:r>
        <w:t xml:space="preserve"> </w:t>
      </w:r>
    </w:p>
    <w:p>
      <w:pPr>
        <w:snapToGrid w:val="0"/>
        <w:rPr>
          <w:rFonts w:ascii="黑体" w:hAnsi="黑体" w:eastAsia="黑体"/>
          <w:sz w:val="28"/>
          <w:szCs w:val="28"/>
        </w:rPr>
      </w:pPr>
      <w:r>
        <w:rPr>
          <w:rFonts w:hint="eastAsia" w:ascii="黑体" w:hAnsi="黑体" w:eastAsia="黑体"/>
          <w:sz w:val="28"/>
          <w:szCs w:val="28"/>
        </w:rPr>
        <w:t>202X</w:t>
      </w:r>
      <w:r>
        <w:rPr>
          <w:rFonts w:ascii="黑体" w:hAnsi="黑体" w:eastAsia="黑体"/>
          <w:sz w:val="28"/>
          <w:szCs w:val="28"/>
        </w:rPr>
        <w:t>-</w:t>
      </w:r>
      <w:r>
        <w:rPr>
          <w:rFonts w:hint="eastAsia" w:ascii="黑体" w:hAnsi="黑体" w:eastAsia="黑体"/>
          <w:sz w:val="28"/>
          <w:szCs w:val="28"/>
        </w:rPr>
        <w:t>XX</w:t>
      </w:r>
      <w:r>
        <w:rPr>
          <w:rFonts w:ascii="黑体" w:hAnsi="黑体" w:eastAsia="黑体"/>
          <w:sz w:val="28"/>
          <w:szCs w:val="28"/>
        </w:rPr>
        <w:t>-</w:t>
      </w:r>
      <w:r>
        <w:rPr>
          <w:rFonts w:hint="eastAsia" w:ascii="黑体" w:hAnsi="黑体" w:eastAsia="黑体"/>
          <w:sz w:val="28"/>
          <w:szCs w:val="28"/>
        </w:rPr>
        <w:t>XX</w:t>
      </w:r>
      <w:r>
        <w:rPr>
          <w:rFonts w:hint="eastAsia" w:ascii="汉仪中黑简" w:hAnsi="汉仪中黑简" w:eastAsia="汉仪中黑简"/>
          <w:color w:val="231F20"/>
          <w:kern w:val="0"/>
          <w:sz w:val="28"/>
          <w:szCs w:val="20"/>
        </w:rPr>
        <w:t xml:space="preserve">发布 </w:t>
      </w:r>
      <w:r>
        <w:rPr>
          <w:rFonts w:hint="eastAsia" w:asciiTheme="minorEastAsia" w:hAnsiTheme="minorEastAsia" w:eastAsiaTheme="minorEastAsia"/>
          <w:bCs/>
          <w:color w:val="231F20"/>
          <w:kern w:val="0"/>
          <w:szCs w:val="20"/>
        </w:rPr>
        <w:t>（黑体，</w:t>
      </w:r>
      <w:r>
        <w:rPr>
          <w:rFonts w:hint="eastAsia" w:asciiTheme="minorEastAsia" w:hAnsiTheme="minorEastAsia" w:eastAsiaTheme="minorEastAsia"/>
          <w:bCs/>
          <w:color w:val="231F20"/>
        </w:rPr>
        <w:t>4</w:t>
      </w:r>
      <w:r>
        <w:rPr>
          <w:rFonts w:hint="eastAsia" w:asciiTheme="minorEastAsia" w:hAnsiTheme="minorEastAsia" w:eastAsiaTheme="minorEastAsia"/>
          <w:bCs/>
          <w:color w:val="231F20"/>
          <w:kern w:val="0"/>
          <w:szCs w:val="20"/>
        </w:rPr>
        <w:t>号</w:t>
      </w:r>
      <w:r>
        <w:rPr>
          <w:rFonts w:hint="eastAsia" w:ascii="汉仪中黑简" w:hAnsi="汉仪中黑简" w:eastAsia="汉仪中黑简"/>
          <w:color w:val="231F20"/>
          <w:kern w:val="0"/>
          <w:sz w:val="28"/>
          <w:szCs w:val="20"/>
        </w:rPr>
        <w:t xml:space="preserve"> ）       </w:t>
      </w:r>
      <w:r>
        <w:rPr>
          <w:rFonts w:hint="eastAsia" w:ascii="黑体" w:hAnsi="黑体" w:eastAsia="黑体"/>
          <w:sz w:val="28"/>
          <w:szCs w:val="28"/>
        </w:rPr>
        <w:t>202X</w:t>
      </w:r>
      <w:r>
        <w:rPr>
          <w:rFonts w:ascii="黑体" w:hAnsi="黑体" w:eastAsia="黑体"/>
          <w:sz w:val="28"/>
          <w:szCs w:val="28"/>
        </w:rPr>
        <w:t>-</w:t>
      </w:r>
      <w:r>
        <w:rPr>
          <w:rFonts w:hint="eastAsia" w:ascii="黑体" w:hAnsi="黑体" w:eastAsia="黑体"/>
          <w:sz w:val="28"/>
          <w:szCs w:val="28"/>
        </w:rPr>
        <w:t>XX</w:t>
      </w:r>
      <w:r>
        <w:rPr>
          <w:rFonts w:ascii="黑体" w:hAnsi="黑体" w:eastAsia="黑体"/>
          <w:sz w:val="28"/>
          <w:szCs w:val="28"/>
        </w:rPr>
        <w:t>-</w:t>
      </w:r>
      <w:r>
        <w:rPr>
          <w:rFonts w:hint="eastAsia" w:ascii="黑体" w:hAnsi="黑体" w:eastAsia="黑体"/>
          <w:sz w:val="28"/>
          <w:szCs w:val="28"/>
        </w:rPr>
        <w:t>XX</w:t>
      </w:r>
      <w:r>
        <w:rPr>
          <w:rFonts w:ascii="黑体" w:hAnsi="黑体" w:eastAsia="黑体"/>
          <w:sz w:val="28"/>
          <w:szCs w:val="28"/>
        </w:rPr>
        <w:t xml:space="preserve"> 实施</w:t>
      </w:r>
      <w:r>
        <w:rPr>
          <w:rFonts w:hint="eastAsia" w:asciiTheme="minorEastAsia" w:hAnsiTheme="minorEastAsia" w:eastAsiaTheme="minorEastAsia"/>
          <w:bCs/>
          <w:color w:val="231F20"/>
          <w:kern w:val="0"/>
          <w:szCs w:val="20"/>
        </w:rPr>
        <w:t>（黑体，</w:t>
      </w:r>
      <w:r>
        <w:rPr>
          <w:rFonts w:hint="eastAsia" w:asciiTheme="minorEastAsia" w:hAnsiTheme="minorEastAsia" w:eastAsiaTheme="minorEastAsia"/>
          <w:bCs/>
          <w:color w:val="231F20"/>
        </w:rPr>
        <w:t>4</w:t>
      </w:r>
      <w:r>
        <w:rPr>
          <w:rFonts w:hint="eastAsia" w:asciiTheme="minorEastAsia" w:hAnsiTheme="minorEastAsia" w:eastAsiaTheme="minorEastAsia"/>
          <w:bCs/>
          <w:color w:val="231F20"/>
          <w:kern w:val="0"/>
          <w:szCs w:val="20"/>
        </w:rPr>
        <w:t>号）</w:t>
      </w:r>
    </w:p>
    <w:p>
      <w:pPr>
        <w:pStyle w:val="132"/>
        <w:tabs>
          <w:tab w:val="left" w:pos="5775"/>
        </w:tabs>
        <w:jc w:val="center"/>
        <w:rPr>
          <w:rFonts w:ascii="隶书" w:eastAsia="隶书"/>
          <w:sz w:val="10"/>
          <w:szCs w:val="10"/>
        </w:rPr>
      </w:pPr>
      <w: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47625</wp:posOffset>
                </wp:positionV>
                <wp:extent cx="5334000" cy="0"/>
                <wp:effectExtent l="0" t="0" r="19050" b="19050"/>
                <wp:wrapNone/>
                <wp:docPr id="2135533091" name="直接箭头连接符 2135533091"/>
                <wp:cNvGraphicFramePr/>
                <a:graphic xmlns:a="http://schemas.openxmlformats.org/drawingml/2006/main">
                  <a:graphicData uri="http://schemas.microsoft.com/office/word/2010/wordprocessingShape">
                    <wps:wsp>
                      <wps:cNvCnPr>
                        <a:cxnSpLocks noChangeShapeType="1"/>
                      </wps:cNvCnPr>
                      <wps:spPr bwMode="auto">
                        <a:xfrm>
                          <a:off x="0" y="0"/>
                          <a:ext cx="5334000"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0pt;margin-top:3.75pt;height:0pt;width:420pt;z-index:251670528;mso-width-relative:page;mso-height-relative:page;" filled="f" stroked="t" coordsize="21600,21600" o:gfxdata="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1yF7C0gAAAAQBAAAPAAAAAAAAAAEAIAAAACIAAABkcnMvZG93bnJldi54bWxQ&#10;SwECFAAUAAAACACHTuJAk/IDhv0BAADQAwAADgAAAAAAAAABACAAAAAhAQAAZHJzL2Uyb0RvYy54&#10;bWxQSwUGAAAAAAYABgBZAQAAkAUAAAAA&#10;">
                <v:fill on="f" focussize="0,0"/>
                <v:stroke color="#000000" joinstyle="round"/>
                <v:imagedata o:title=""/>
                <o:lock v:ext="edit" aspectratio="f"/>
              </v:shape>
            </w:pict>
          </mc:Fallback>
        </mc:AlternateContent>
      </w:r>
    </w:p>
    <w:p>
      <w:pPr>
        <w:pStyle w:val="132"/>
        <w:tabs>
          <w:tab w:val="left" w:pos="5775"/>
        </w:tabs>
        <w:jc w:val="center"/>
        <w:rPr>
          <w:rFonts w:ascii="隶书" w:eastAsia="隶书"/>
          <w:sz w:val="42"/>
          <w:szCs w:val="42"/>
        </w:rPr>
        <w:sectPr>
          <w:headerReference r:id="rId5" w:type="first"/>
          <w:footerReference r:id="rId7" w:type="first"/>
          <w:footerReference r:id="rId6" w:type="even"/>
          <w:pgSz w:w="11906" w:h="16838"/>
          <w:pgMar w:top="1440" w:right="1800" w:bottom="1440" w:left="1800" w:header="851" w:footer="992" w:gutter="0"/>
          <w:cols w:space="425" w:num="1"/>
          <w:docGrid w:type="lines" w:linePitch="312" w:charSpace="0"/>
        </w:sectPr>
      </w:pPr>
      <w:r>
        <w:rPr>
          <w:rFonts w:hint="eastAsia" w:ascii="隶书" w:eastAsia="隶书"/>
          <w:sz w:val="42"/>
          <w:szCs w:val="42"/>
        </w:rPr>
        <w:t>中国石油和石油化工设备工业协会</w:t>
      </w:r>
      <w:r>
        <w:rPr>
          <w:rFonts w:hint="eastAsia" w:ascii="隶书" w:eastAsia="隶书"/>
          <w:sz w:val="28"/>
          <w:szCs w:val="28"/>
        </w:rPr>
        <w:t>（</w:t>
      </w:r>
    </w:p>
    <w:p>
      <w:pPr>
        <w:pStyle w:val="96"/>
        <w:tabs>
          <w:tab w:val="left" w:pos="2895"/>
          <w:tab w:val="center" w:pos="4677"/>
        </w:tabs>
        <w:spacing w:after="360"/>
        <w:jc w:val="left"/>
      </w:pPr>
      <w:r>
        <w:rPr>
          <w:spacing w:val="320"/>
        </w:rPr>
        <w:tab/>
      </w:r>
      <w:r>
        <w:rPr>
          <w:spacing w:val="320"/>
        </w:rPr>
        <w:tab/>
      </w:r>
      <w:r>
        <w:rPr>
          <w:rFonts w:hint="eastAsia"/>
          <w:spacing w:val="320"/>
        </w:rPr>
        <w:t>目</w:t>
      </w:r>
      <w:r>
        <w:rPr>
          <w:rFonts w:hint="eastAsia"/>
        </w:rPr>
        <w:t>次</w:t>
      </w:r>
    </w:p>
    <w:p>
      <w:pPr>
        <w:pStyle w:val="23"/>
        <w:tabs>
          <w:tab w:val="right" w:leader="dot" w:pos="9344"/>
        </w:tabs>
        <w:rPr>
          <w:rFonts w:asciiTheme="minorHAnsi" w:hAnsiTheme="minorHAnsi" w:eastAsiaTheme="minorEastAsia" w:cstheme="minorBidi"/>
          <w:szCs w:val="22"/>
        </w:rPr>
      </w:pPr>
      <w:r>
        <w:fldChar w:fldCharType="begin"/>
      </w:r>
      <w:r>
        <w:instrText xml:space="preserve"> TOC \o "1-1" \h \t "标准文件_一级条标题,2,标准文件_附录一级条标题,2," </w:instrText>
      </w:r>
      <w:r>
        <w:fldChar w:fldCharType="separate"/>
      </w:r>
      <w:r>
        <w:fldChar w:fldCharType="begin"/>
      </w:r>
      <w:r>
        <w:instrText xml:space="preserve"> HYPERLINK \l "_Toc209114031" </w:instrText>
      </w:r>
      <w:r>
        <w:fldChar w:fldCharType="separate"/>
      </w:r>
      <w:r>
        <w:rPr>
          <w:rStyle w:val="37"/>
          <w:spacing w:val="320"/>
        </w:rPr>
        <w:t>前</w:t>
      </w:r>
      <w:r>
        <w:rPr>
          <w:rStyle w:val="37"/>
        </w:rPr>
        <w:t>言</w:t>
      </w:r>
      <w:r>
        <w:tab/>
      </w:r>
      <w:r>
        <w:fldChar w:fldCharType="begin"/>
      </w:r>
      <w:r>
        <w:instrText xml:space="preserve"> PAGEREF _Toc209114031 \h </w:instrText>
      </w:r>
      <w:r>
        <w:fldChar w:fldCharType="separate"/>
      </w:r>
      <w:r>
        <w:t>IV</w:t>
      </w:r>
      <w:r>
        <w:fldChar w:fldCharType="end"/>
      </w:r>
      <w:r>
        <w:fldChar w:fldCharType="end"/>
      </w:r>
    </w:p>
    <w:p>
      <w:pPr>
        <w:pStyle w:val="23"/>
        <w:tabs>
          <w:tab w:val="right" w:leader="dot" w:pos="9344"/>
        </w:tabs>
        <w:rPr>
          <w:rFonts w:asciiTheme="minorHAnsi" w:hAnsiTheme="minorHAnsi" w:eastAsiaTheme="minorEastAsia" w:cstheme="minorBidi"/>
          <w:szCs w:val="22"/>
        </w:rPr>
      </w:pPr>
      <w:r>
        <w:fldChar w:fldCharType="begin"/>
      </w:r>
      <w:r>
        <w:instrText xml:space="preserve"> HYPERLINK \l "_Toc209114032" </w:instrText>
      </w:r>
      <w:r>
        <w:fldChar w:fldCharType="separate"/>
      </w:r>
      <w:r>
        <w:rPr>
          <w:rStyle w:val="37"/>
        </w:rPr>
        <w:t>1 范围</w:t>
      </w:r>
      <w:r>
        <w:tab/>
      </w:r>
      <w:r>
        <w:fldChar w:fldCharType="begin"/>
      </w:r>
      <w:r>
        <w:instrText xml:space="preserve"> PAGEREF _Toc209114032 \h </w:instrText>
      </w:r>
      <w:r>
        <w:fldChar w:fldCharType="separate"/>
      </w:r>
      <w:r>
        <w:t>1</w:t>
      </w:r>
      <w:r>
        <w:fldChar w:fldCharType="end"/>
      </w:r>
      <w:r>
        <w:fldChar w:fldCharType="end"/>
      </w:r>
    </w:p>
    <w:p>
      <w:pPr>
        <w:pStyle w:val="23"/>
        <w:tabs>
          <w:tab w:val="right" w:leader="dot" w:pos="9344"/>
        </w:tabs>
        <w:rPr>
          <w:rFonts w:asciiTheme="minorHAnsi" w:hAnsiTheme="minorHAnsi" w:eastAsiaTheme="minorEastAsia" w:cstheme="minorBidi"/>
          <w:szCs w:val="22"/>
        </w:rPr>
      </w:pPr>
      <w:r>
        <w:fldChar w:fldCharType="begin"/>
      </w:r>
      <w:r>
        <w:instrText xml:space="preserve"> HYPERLINK \l "_Toc209114033" </w:instrText>
      </w:r>
      <w:r>
        <w:fldChar w:fldCharType="separate"/>
      </w:r>
      <w:r>
        <w:rPr>
          <w:rStyle w:val="37"/>
        </w:rPr>
        <w:t>2 规范性引用文件</w:t>
      </w:r>
      <w:r>
        <w:tab/>
      </w:r>
      <w:r>
        <w:fldChar w:fldCharType="begin"/>
      </w:r>
      <w:r>
        <w:instrText xml:space="preserve"> PAGEREF _Toc209114033 \h </w:instrText>
      </w:r>
      <w:r>
        <w:fldChar w:fldCharType="separate"/>
      </w:r>
      <w:r>
        <w:t>1</w:t>
      </w:r>
      <w:r>
        <w:fldChar w:fldCharType="end"/>
      </w:r>
      <w:r>
        <w:fldChar w:fldCharType="end"/>
      </w:r>
    </w:p>
    <w:p>
      <w:pPr>
        <w:pStyle w:val="23"/>
        <w:tabs>
          <w:tab w:val="right" w:leader="dot" w:pos="9344"/>
        </w:tabs>
        <w:rPr>
          <w:rFonts w:asciiTheme="minorHAnsi" w:hAnsiTheme="minorHAnsi" w:eastAsiaTheme="minorEastAsia" w:cstheme="minorBidi"/>
          <w:szCs w:val="22"/>
        </w:rPr>
      </w:pPr>
      <w:r>
        <w:fldChar w:fldCharType="begin"/>
      </w:r>
      <w:r>
        <w:instrText xml:space="preserve"> HYPERLINK \l "_Toc209114034" </w:instrText>
      </w:r>
      <w:r>
        <w:fldChar w:fldCharType="separate"/>
      </w:r>
      <w:r>
        <w:rPr>
          <w:rStyle w:val="37"/>
        </w:rPr>
        <w:t>3 术语和定义</w:t>
      </w:r>
      <w:r>
        <w:tab/>
      </w:r>
      <w:r>
        <w:fldChar w:fldCharType="begin"/>
      </w:r>
      <w:r>
        <w:instrText xml:space="preserve"> PAGEREF _Toc209114034 \h </w:instrText>
      </w:r>
      <w:r>
        <w:fldChar w:fldCharType="separate"/>
      </w:r>
      <w:r>
        <w:t>3</w:t>
      </w:r>
      <w:r>
        <w:fldChar w:fldCharType="end"/>
      </w:r>
      <w:r>
        <w:fldChar w:fldCharType="end"/>
      </w:r>
    </w:p>
    <w:p>
      <w:pPr>
        <w:pStyle w:val="23"/>
        <w:tabs>
          <w:tab w:val="right" w:leader="dot" w:pos="9344"/>
        </w:tabs>
        <w:rPr>
          <w:rFonts w:asciiTheme="minorHAnsi" w:hAnsiTheme="minorHAnsi" w:eastAsiaTheme="minorEastAsia" w:cstheme="minorBidi"/>
          <w:szCs w:val="22"/>
        </w:rPr>
      </w:pPr>
      <w:r>
        <w:fldChar w:fldCharType="begin"/>
      </w:r>
      <w:r>
        <w:instrText xml:space="preserve"> HYPERLINK \l "_Toc209114035" </w:instrText>
      </w:r>
      <w:r>
        <w:fldChar w:fldCharType="separate"/>
      </w:r>
      <w:r>
        <w:rPr>
          <w:rStyle w:val="37"/>
        </w:rPr>
        <w:t>4 型号</w:t>
      </w:r>
      <w:r>
        <w:tab/>
      </w:r>
      <w:r>
        <w:fldChar w:fldCharType="begin"/>
      </w:r>
      <w:r>
        <w:instrText xml:space="preserve"> PAGEREF _Toc209114035 \h </w:instrText>
      </w:r>
      <w:r>
        <w:fldChar w:fldCharType="separate"/>
      </w:r>
      <w:r>
        <w:t>4</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"_Toc209114036" </w:instrText>
      </w:r>
      <w:r>
        <w:fldChar w:fldCharType="separate"/>
      </w:r>
      <w:r>
        <w:rPr>
          <w:rStyle w:val="37"/>
          <w14:scene3d w14:prst="orthographicFront">
            <w14:lightRig w14:rig="threePt" w14:dir="t">
              <w14:rot w14:lat="0" w14:lon="0" w14:rev="0"/>
            </w14:lightRig>
          </w14:scene3d>
        </w:rPr>
        <w:t>4.1</w:t>
      </w:r>
      <w:r>
        <w:rPr>
          <w:rStyle w:val="37"/>
        </w:rPr>
        <w:t xml:space="preserve"> 编制型号</w:t>
      </w:r>
      <w:r>
        <w:tab/>
      </w:r>
      <w:r>
        <w:fldChar w:fldCharType="begin"/>
      </w:r>
      <w:r>
        <w:instrText xml:space="preserve"> PAGEREF _Toc209114036 \h </w:instrText>
      </w:r>
      <w:r>
        <w:fldChar w:fldCharType="separate"/>
      </w:r>
      <w:r>
        <w:t>4</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"_Toc209114037" </w:instrText>
      </w:r>
      <w:r>
        <w:fldChar w:fldCharType="separate"/>
      </w:r>
      <w:r>
        <w:rPr>
          <w:rStyle w:val="37"/>
          <w14:scene3d w14:prst="orthographicFront">
            <w14:lightRig w14:rig="threePt" w14:dir="t">
              <w14:rot w14:lat="0" w14:lon="0" w14:rev="0"/>
            </w14:lightRig>
          </w14:scene3d>
        </w:rPr>
        <w:t>4.2</w:t>
      </w:r>
      <w:r>
        <w:rPr>
          <w:rStyle w:val="37"/>
        </w:rPr>
        <w:t xml:space="preserve"> 示例</w:t>
      </w:r>
      <w:r>
        <w:tab/>
      </w:r>
      <w:r>
        <w:fldChar w:fldCharType="begin"/>
      </w:r>
      <w:r>
        <w:instrText xml:space="preserve"> PAGEREF _Toc209114037 \h </w:instrText>
      </w:r>
      <w:r>
        <w:fldChar w:fldCharType="separate"/>
      </w:r>
      <w:r>
        <w:t>4</w:t>
      </w:r>
      <w:r>
        <w:fldChar w:fldCharType="end"/>
      </w:r>
      <w:r>
        <w:fldChar w:fldCharType="end"/>
      </w:r>
    </w:p>
    <w:p>
      <w:pPr>
        <w:pStyle w:val="23"/>
        <w:tabs>
          <w:tab w:val="right" w:leader="dot" w:pos="9344"/>
        </w:tabs>
        <w:rPr>
          <w:rFonts w:asciiTheme="minorHAnsi" w:hAnsiTheme="minorHAnsi" w:eastAsiaTheme="minorEastAsia" w:cstheme="minorBidi"/>
          <w:szCs w:val="22"/>
        </w:rPr>
      </w:pPr>
      <w:r>
        <w:fldChar w:fldCharType="begin"/>
      </w:r>
      <w:r>
        <w:instrText xml:space="preserve"> HYPERLINK \l "_Toc209114038" </w:instrText>
      </w:r>
      <w:r>
        <w:fldChar w:fldCharType="separate"/>
      </w:r>
      <w:r>
        <w:rPr>
          <w:rStyle w:val="37"/>
        </w:rPr>
        <w:t>5 基本规定</w:t>
      </w:r>
      <w:r>
        <w:tab/>
      </w:r>
      <w:r>
        <w:fldChar w:fldCharType="begin"/>
      </w:r>
      <w:r>
        <w:instrText xml:space="preserve"> PAGEREF _Toc209114038 \h </w:instrText>
      </w:r>
      <w:r>
        <w:fldChar w:fldCharType="separate"/>
      </w:r>
      <w:r>
        <w:t>4</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"_Toc209114039" </w:instrText>
      </w:r>
      <w:r>
        <w:fldChar w:fldCharType="separate"/>
      </w:r>
      <w:r>
        <w:rPr>
          <w:rStyle w:val="37"/>
          <w14:scene3d w14:prst="orthographicFront">
            <w14:lightRig w14:rig="threePt" w14:dir="t">
              <w14:rot w14:lat="0" w14:lon="0" w14:rev="0"/>
            </w14:lightRig>
          </w14:scene3d>
        </w:rPr>
        <w:t>5.1</w:t>
      </w:r>
      <w:r>
        <w:rPr>
          <w:rStyle w:val="37"/>
        </w:rPr>
        <w:t xml:space="preserve"> 资质要求</w:t>
      </w:r>
      <w:r>
        <w:tab/>
      </w:r>
      <w:r>
        <w:fldChar w:fldCharType="begin"/>
      </w:r>
      <w:r>
        <w:instrText xml:space="preserve"> PAGEREF _Toc209114039 \h </w:instrText>
      </w:r>
      <w:r>
        <w:fldChar w:fldCharType="separate"/>
      </w:r>
      <w:r>
        <w:t>4</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"_Toc209114040" </w:instrText>
      </w:r>
      <w:r>
        <w:fldChar w:fldCharType="separate"/>
      </w:r>
      <w:r>
        <w:rPr>
          <w:rStyle w:val="37"/>
          <w14:scene3d w14:prst="orthographicFront">
            <w14:lightRig w14:rig="threePt" w14:dir="t">
              <w14:rot w14:lat="0" w14:lon="0" w14:rev="0"/>
            </w14:lightRig>
          </w14:scene3d>
        </w:rPr>
        <w:t>5.2</w:t>
      </w:r>
      <w:r>
        <w:rPr>
          <w:rStyle w:val="37"/>
        </w:rPr>
        <w:t xml:space="preserve"> 一般要求</w:t>
      </w:r>
      <w:r>
        <w:tab/>
      </w:r>
      <w:r>
        <w:fldChar w:fldCharType="begin"/>
      </w:r>
      <w:r>
        <w:instrText xml:space="preserve"> PAGEREF _Toc209114040 \h </w:instrText>
      </w:r>
      <w:r>
        <w:fldChar w:fldCharType="separate"/>
      </w:r>
      <w:r>
        <w:t>4</w:t>
      </w:r>
      <w:r>
        <w:fldChar w:fldCharType="end"/>
      </w:r>
      <w:r>
        <w:fldChar w:fldCharType="end"/>
      </w:r>
    </w:p>
    <w:p>
      <w:pPr>
        <w:pStyle w:val="23"/>
        <w:tabs>
          <w:tab w:val="right" w:leader="dot" w:pos="9344"/>
        </w:tabs>
        <w:rPr>
          <w:rFonts w:asciiTheme="minorHAnsi" w:hAnsiTheme="minorHAnsi" w:eastAsiaTheme="minorEastAsia" w:cstheme="minorBidi"/>
          <w:szCs w:val="22"/>
        </w:rPr>
      </w:pPr>
      <w:r>
        <w:fldChar w:fldCharType="begin"/>
      </w:r>
      <w:r>
        <w:instrText xml:space="preserve"> HYPERLINK \l "_Toc209114041" </w:instrText>
      </w:r>
      <w:r>
        <w:fldChar w:fldCharType="separate"/>
      </w:r>
      <w:r>
        <w:rPr>
          <w:rStyle w:val="37"/>
        </w:rPr>
        <w:t>6 结构组成</w:t>
      </w:r>
      <w:r>
        <w:tab/>
      </w:r>
      <w:r>
        <w:fldChar w:fldCharType="begin"/>
      </w:r>
      <w:r>
        <w:instrText xml:space="preserve"> PAGEREF _Toc209114041 \h </w:instrText>
      </w:r>
      <w:r>
        <w:fldChar w:fldCharType="separate"/>
      </w:r>
      <w:r>
        <w:t>4</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"_Toc209114042" </w:instrText>
      </w:r>
      <w:r>
        <w:fldChar w:fldCharType="separate"/>
      </w:r>
      <w:r>
        <w:rPr>
          <w:rStyle w:val="37"/>
          <w14:scene3d w14:prst="orthographicFront">
            <w14:lightRig w14:rig="threePt" w14:dir="t">
              <w14:rot w14:lat="0" w14:lon="0" w14:rev="0"/>
            </w14:lightRig>
          </w14:scene3d>
        </w:rPr>
        <w:t>6.1</w:t>
      </w:r>
      <w:r>
        <w:rPr>
          <w:rStyle w:val="37"/>
        </w:rPr>
        <w:t xml:space="preserve"> 工艺流程</w:t>
      </w:r>
      <w:r>
        <w:tab/>
      </w:r>
      <w:r>
        <w:fldChar w:fldCharType="begin"/>
      </w:r>
      <w:r>
        <w:instrText xml:space="preserve"> PAGEREF _Toc209114042 \h </w:instrText>
      </w:r>
      <w:r>
        <w:fldChar w:fldCharType="separate"/>
      </w:r>
      <w:r>
        <w:t>5</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"_Toc209114043" </w:instrText>
      </w:r>
      <w:r>
        <w:fldChar w:fldCharType="separate"/>
      </w:r>
      <w:r>
        <w:rPr>
          <w:rStyle w:val="37"/>
          <w14:scene3d w14:prst="orthographicFront">
            <w14:lightRig w14:rig="threePt" w14:dir="t">
              <w14:rot w14:lat="0" w14:lon="0" w14:rev="0"/>
            </w14:lightRig>
          </w14:scene3d>
        </w:rPr>
        <w:t>6.2</w:t>
      </w:r>
      <w:r>
        <w:rPr>
          <w:rStyle w:val="37"/>
        </w:rPr>
        <w:t xml:space="preserve"> 天然气管路</w:t>
      </w:r>
      <w:r>
        <w:tab/>
      </w:r>
      <w:r>
        <w:fldChar w:fldCharType="begin"/>
      </w:r>
      <w:r>
        <w:instrText xml:space="preserve"> PAGEREF _Toc209114043 \h </w:instrText>
      </w:r>
      <w:r>
        <w:fldChar w:fldCharType="separate"/>
      </w:r>
      <w:r>
        <w:t>5</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"_Toc209114044" </w:instrText>
      </w:r>
      <w:r>
        <w:fldChar w:fldCharType="separate"/>
      </w:r>
      <w:r>
        <w:rPr>
          <w:rStyle w:val="37"/>
          <w14:scene3d w14:prst="orthographicFront">
            <w14:lightRig w14:rig="threePt" w14:dir="t">
              <w14:rot w14:lat="0" w14:lon="0" w14:rev="0"/>
            </w14:lightRig>
          </w14:scene3d>
        </w:rPr>
        <w:t>6.3</w:t>
      </w:r>
      <w:r>
        <w:rPr>
          <w:rStyle w:val="37"/>
        </w:rPr>
        <w:t xml:space="preserve"> 氢气管路</w:t>
      </w:r>
      <w:r>
        <w:tab/>
      </w:r>
      <w:r>
        <w:fldChar w:fldCharType="begin"/>
      </w:r>
      <w:r>
        <w:instrText xml:space="preserve"> PAGEREF _Toc209114044 \h </w:instrText>
      </w:r>
      <w:r>
        <w:fldChar w:fldCharType="separate"/>
      </w:r>
      <w:r>
        <w:t>5</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"_Toc209114045" </w:instrText>
      </w:r>
      <w:r>
        <w:fldChar w:fldCharType="separate"/>
      </w:r>
      <w:r>
        <w:rPr>
          <w:rStyle w:val="37"/>
          <w14:scene3d w14:prst="orthographicFront">
            <w14:lightRig w14:rig="threePt" w14:dir="t">
              <w14:rot w14:lat="0" w14:lon="0" w14:rev="0"/>
            </w14:lightRig>
          </w14:scene3d>
        </w:rPr>
        <w:t>6.4</w:t>
      </w:r>
      <w:r>
        <w:rPr>
          <w:rStyle w:val="37"/>
        </w:rPr>
        <w:t xml:space="preserve"> 掺氢天然气管路</w:t>
      </w:r>
      <w:r>
        <w:tab/>
      </w:r>
      <w:r>
        <w:fldChar w:fldCharType="begin"/>
      </w:r>
      <w:r>
        <w:instrText xml:space="preserve"> PAGEREF _Toc209114045 \h </w:instrText>
      </w:r>
      <w:r>
        <w:fldChar w:fldCharType="separate"/>
      </w:r>
      <w:r>
        <w:t>5</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"_Toc209114046" </w:instrText>
      </w:r>
      <w:r>
        <w:fldChar w:fldCharType="separate"/>
      </w:r>
      <w:r>
        <w:rPr>
          <w:rStyle w:val="37"/>
          <w14:scene3d w14:prst="orthographicFront">
            <w14:lightRig w14:rig="threePt" w14:dir="t">
              <w14:rot w14:lat="0" w14:lon="0" w14:rev="0"/>
            </w14:lightRig>
          </w14:scene3d>
        </w:rPr>
        <w:t>6.5</w:t>
      </w:r>
      <w:r>
        <w:rPr>
          <w:rStyle w:val="37"/>
        </w:rPr>
        <w:t xml:space="preserve"> 安全设施</w:t>
      </w:r>
      <w:r>
        <w:tab/>
      </w:r>
      <w:r>
        <w:fldChar w:fldCharType="begin"/>
      </w:r>
      <w:r>
        <w:instrText xml:space="preserve"> PAGEREF _Toc209114046 \h </w:instrText>
      </w:r>
      <w:r>
        <w:fldChar w:fldCharType="separate"/>
      </w:r>
      <w:r>
        <w:t>5</w:t>
      </w:r>
      <w:r>
        <w:fldChar w:fldCharType="end"/>
      </w:r>
      <w:r>
        <w:fldChar w:fldCharType="end"/>
      </w:r>
    </w:p>
    <w:p>
      <w:pPr>
        <w:pStyle w:val="23"/>
        <w:tabs>
          <w:tab w:val="right" w:leader="dot" w:pos="9344"/>
        </w:tabs>
        <w:rPr>
          <w:rFonts w:asciiTheme="minorHAnsi" w:hAnsiTheme="minorHAnsi" w:eastAsiaTheme="minorEastAsia" w:cstheme="minorBidi"/>
          <w:szCs w:val="22"/>
        </w:rPr>
      </w:pPr>
      <w:r>
        <w:fldChar w:fldCharType="begin"/>
      </w:r>
      <w:r>
        <w:instrText xml:space="preserve"> HYPERLINK \l "_Toc209114047" </w:instrText>
      </w:r>
      <w:r>
        <w:fldChar w:fldCharType="separate"/>
      </w:r>
      <w:r>
        <w:rPr>
          <w:rStyle w:val="37"/>
        </w:rPr>
        <w:t>7 材料</w:t>
      </w:r>
      <w:r>
        <w:tab/>
      </w:r>
      <w:r>
        <w:fldChar w:fldCharType="begin"/>
      </w:r>
      <w:r>
        <w:instrText xml:space="preserve"> PAGEREF _Toc209114047 \h </w:instrText>
      </w:r>
      <w:r>
        <w:fldChar w:fldCharType="separate"/>
      </w:r>
      <w:r>
        <w:t>5</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"_Toc209114048" </w:instrText>
      </w:r>
      <w:r>
        <w:fldChar w:fldCharType="separate"/>
      </w:r>
      <w:r>
        <w:rPr>
          <w:rStyle w:val="37"/>
          <w14:scene3d w14:prst="orthographicFront">
            <w14:lightRig w14:rig="threePt" w14:dir="t">
              <w14:rot w14:lat="0" w14:lon="0" w14:rev="0"/>
            </w14:lightRig>
          </w14:scene3d>
        </w:rPr>
        <w:t>7.1</w:t>
      </w:r>
      <w:r>
        <w:rPr>
          <w:rStyle w:val="37"/>
        </w:rPr>
        <w:t xml:space="preserve"> 一般规定</w:t>
      </w:r>
      <w:r>
        <w:tab/>
      </w:r>
      <w:r>
        <w:fldChar w:fldCharType="begin"/>
      </w:r>
      <w:r>
        <w:instrText xml:space="preserve"> PAGEREF _Toc209114048 \h </w:instrText>
      </w:r>
      <w:r>
        <w:fldChar w:fldCharType="separate"/>
      </w:r>
      <w:r>
        <w:t>5</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"_Toc209114049" </w:instrText>
      </w:r>
      <w:r>
        <w:fldChar w:fldCharType="separate"/>
      </w:r>
      <w:r>
        <w:rPr>
          <w:rStyle w:val="37"/>
          <w14:scene3d w14:prst="orthographicFront">
            <w14:lightRig w14:rig="threePt" w14:dir="t">
              <w14:rot w14:lat="0" w14:lon="0" w14:rev="0"/>
            </w14:lightRig>
          </w14:scene3d>
        </w:rPr>
        <w:t>7.2</w:t>
      </w:r>
      <w:r>
        <w:rPr>
          <w:rStyle w:val="37"/>
        </w:rPr>
        <w:t xml:space="preserve"> 管子</w:t>
      </w:r>
      <w:r>
        <w:tab/>
      </w:r>
      <w:r>
        <w:fldChar w:fldCharType="begin"/>
      </w:r>
      <w:r>
        <w:instrText xml:space="preserve"> PAGEREF _Toc209114049 \h </w:instrText>
      </w:r>
      <w:r>
        <w:fldChar w:fldCharType="separate"/>
      </w:r>
      <w:r>
        <w:t>6</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"_Toc209114050" </w:instrText>
      </w:r>
      <w:r>
        <w:fldChar w:fldCharType="separate"/>
      </w:r>
      <w:r>
        <w:rPr>
          <w:rStyle w:val="37"/>
          <w14:scene3d w14:prst="orthographicFront">
            <w14:lightRig w14:rig="threePt" w14:dir="t">
              <w14:rot w14:lat="0" w14:lon="0" w14:rev="0"/>
            </w14:lightRig>
          </w14:scene3d>
        </w:rPr>
        <w:t>7.3</w:t>
      </w:r>
      <w:r>
        <w:rPr>
          <w:rStyle w:val="37"/>
        </w:rPr>
        <w:t xml:space="preserve"> 管件</w:t>
      </w:r>
      <w:r>
        <w:tab/>
      </w:r>
      <w:r>
        <w:fldChar w:fldCharType="begin"/>
      </w:r>
      <w:r>
        <w:instrText xml:space="preserve"> PAGEREF _Toc209114050 \h </w:instrText>
      </w:r>
      <w:r>
        <w:fldChar w:fldCharType="separate"/>
      </w:r>
      <w:r>
        <w:t>9</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"_Toc209114051" </w:instrText>
      </w:r>
      <w:r>
        <w:fldChar w:fldCharType="separate"/>
      </w:r>
      <w:r>
        <w:rPr>
          <w:rStyle w:val="37"/>
          <w14:scene3d w14:prst="orthographicFront">
            <w14:lightRig w14:rig="threePt" w14:dir="t">
              <w14:rot w14:lat="0" w14:lon="0" w14:rev="0"/>
            </w14:lightRig>
          </w14:scene3d>
        </w:rPr>
        <w:t>7.4</w:t>
      </w:r>
      <w:r>
        <w:rPr>
          <w:rStyle w:val="37"/>
        </w:rPr>
        <w:t xml:space="preserve"> 法兰、垫片和紧固件</w:t>
      </w:r>
      <w:r>
        <w:tab/>
      </w:r>
      <w:r>
        <w:fldChar w:fldCharType="begin"/>
      </w:r>
      <w:r>
        <w:instrText xml:space="preserve"> PAGEREF _Toc209114051 \h </w:instrText>
      </w:r>
      <w:r>
        <w:fldChar w:fldCharType="separate"/>
      </w:r>
      <w:r>
        <w:t>9</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"_Toc209114052" </w:instrText>
      </w:r>
      <w:r>
        <w:fldChar w:fldCharType="separate"/>
      </w:r>
      <w:r>
        <w:rPr>
          <w:rStyle w:val="37"/>
          <w14:scene3d w14:prst="orthographicFront">
            <w14:lightRig w14:rig="threePt" w14:dir="t">
              <w14:rot w14:lat="0" w14:lon="0" w14:rev="0"/>
            </w14:lightRig>
          </w14:scene3d>
        </w:rPr>
        <w:t>7.5</w:t>
      </w:r>
      <w:r>
        <w:rPr>
          <w:rStyle w:val="37"/>
        </w:rPr>
        <w:t xml:space="preserve"> 过滤器</w:t>
      </w:r>
      <w:r>
        <w:tab/>
      </w:r>
      <w:r>
        <w:fldChar w:fldCharType="begin"/>
      </w:r>
      <w:r>
        <w:instrText xml:space="preserve"> PAGEREF _Toc209114052 \h </w:instrText>
      </w:r>
      <w:r>
        <w:fldChar w:fldCharType="separate"/>
      </w:r>
      <w:r>
        <w:t>11</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"_Toc209114053" </w:instrText>
      </w:r>
      <w:r>
        <w:fldChar w:fldCharType="separate"/>
      </w:r>
      <w:r>
        <w:rPr>
          <w:rStyle w:val="37"/>
          <w14:scene3d w14:prst="orthographicFront">
            <w14:lightRig w14:rig="threePt" w14:dir="t">
              <w14:rot w14:lat="0" w14:lon="0" w14:rev="0"/>
            </w14:lightRig>
          </w14:scene3d>
        </w:rPr>
        <w:t>7.6</w:t>
      </w:r>
      <w:r>
        <w:rPr>
          <w:rStyle w:val="37"/>
        </w:rPr>
        <w:t xml:space="preserve"> 静态混合器</w:t>
      </w:r>
      <w:r>
        <w:tab/>
      </w:r>
      <w:r>
        <w:fldChar w:fldCharType="begin"/>
      </w:r>
      <w:r>
        <w:instrText xml:space="preserve"> PAGEREF _Toc209114053 \h </w:instrText>
      </w:r>
      <w:r>
        <w:fldChar w:fldCharType="separate"/>
      </w:r>
      <w:r>
        <w:t>11</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"_Toc209114054" </w:instrText>
      </w:r>
      <w:r>
        <w:fldChar w:fldCharType="separate"/>
      </w:r>
      <w:r>
        <w:rPr>
          <w:rStyle w:val="37"/>
          <w14:scene3d w14:prst="orthographicFront">
            <w14:lightRig w14:rig="threePt" w14:dir="t">
              <w14:rot w14:lat="0" w14:lon="0" w14:rev="0"/>
            </w14:lightRig>
          </w14:scene3d>
        </w:rPr>
        <w:t>7.7</w:t>
      </w:r>
      <w:r>
        <w:rPr>
          <w:rStyle w:val="37"/>
        </w:rPr>
        <w:t xml:space="preserve"> 阀门</w:t>
      </w:r>
      <w:r>
        <w:tab/>
      </w:r>
      <w:r>
        <w:fldChar w:fldCharType="begin"/>
      </w:r>
      <w:r>
        <w:instrText xml:space="preserve"> PAGEREF _Toc209114054 \h </w:instrText>
      </w:r>
      <w:r>
        <w:fldChar w:fldCharType="separate"/>
      </w:r>
      <w:r>
        <w:t>11</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"_Toc209114055" </w:instrText>
      </w:r>
      <w:r>
        <w:fldChar w:fldCharType="separate"/>
      </w:r>
      <w:r>
        <w:rPr>
          <w:rStyle w:val="37"/>
          <w14:scene3d w14:prst="orthographicFront">
            <w14:lightRig w14:rig="threePt" w14:dir="t">
              <w14:rot w14:lat="0" w14:lon="0" w14:rev="0"/>
            </w14:lightRig>
          </w14:scene3d>
        </w:rPr>
        <w:t>7.8</w:t>
      </w:r>
      <w:r>
        <w:rPr>
          <w:rStyle w:val="37"/>
        </w:rPr>
        <w:t xml:space="preserve"> 调节阀</w:t>
      </w:r>
      <w:r>
        <w:tab/>
      </w:r>
      <w:r>
        <w:fldChar w:fldCharType="begin"/>
      </w:r>
      <w:r>
        <w:instrText xml:space="preserve"> PAGEREF _Toc209114055 \h </w:instrText>
      </w:r>
      <w:r>
        <w:fldChar w:fldCharType="separate"/>
      </w:r>
      <w:r>
        <w:t>12</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"_Toc209114056" </w:instrText>
      </w:r>
      <w:r>
        <w:fldChar w:fldCharType="separate"/>
      </w:r>
      <w:r>
        <w:rPr>
          <w:rStyle w:val="37"/>
          <w14:scene3d w14:prst="orthographicFront">
            <w14:lightRig w14:rig="threePt" w14:dir="t">
              <w14:rot w14:lat="0" w14:lon="0" w14:rev="0"/>
            </w14:lightRig>
          </w14:scene3d>
        </w:rPr>
        <w:t>7.9</w:t>
      </w:r>
      <w:r>
        <w:rPr>
          <w:rStyle w:val="37"/>
        </w:rPr>
        <w:t xml:space="preserve"> 流量计</w:t>
      </w:r>
      <w:r>
        <w:tab/>
      </w:r>
      <w:r>
        <w:fldChar w:fldCharType="begin"/>
      </w:r>
      <w:r>
        <w:instrText xml:space="preserve"> PAGEREF _Toc209114056 \h </w:instrText>
      </w:r>
      <w:r>
        <w:fldChar w:fldCharType="separate"/>
      </w:r>
      <w:r>
        <w:t>14</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"_Toc209114057" </w:instrText>
      </w:r>
      <w:r>
        <w:fldChar w:fldCharType="separate"/>
      </w:r>
      <w:r>
        <w:rPr>
          <w:rStyle w:val="37"/>
          <w14:scene3d w14:prst="orthographicFront">
            <w14:lightRig w14:rig="threePt" w14:dir="t">
              <w14:rot w14:lat="0" w14:lon="0" w14:rev="0"/>
            </w14:lightRig>
          </w14:scene3d>
        </w:rPr>
        <w:t>7.10</w:t>
      </w:r>
      <w:r>
        <w:rPr>
          <w:rStyle w:val="37"/>
        </w:rPr>
        <w:t xml:space="preserve"> 气体组分分析仪/浓度分析仪</w:t>
      </w:r>
      <w:r>
        <w:tab/>
      </w:r>
      <w:r>
        <w:fldChar w:fldCharType="begin"/>
      </w:r>
      <w:r>
        <w:instrText xml:space="preserve"> PAGEREF _Toc209114057 \h </w:instrText>
      </w:r>
      <w:r>
        <w:fldChar w:fldCharType="separate"/>
      </w:r>
      <w:r>
        <w:t>15</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"_Toc209114058" </w:instrText>
      </w:r>
      <w:r>
        <w:fldChar w:fldCharType="separate"/>
      </w:r>
      <w:r>
        <w:rPr>
          <w:rStyle w:val="37"/>
          <w14:scene3d w14:prst="orthographicFront">
            <w14:lightRig w14:rig="threePt" w14:dir="t">
              <w14:rot w14:lat="0" w14:lon="0" w14:rev="0"/>
            </w14:lightRig>
          </w14:scene3d>
        </w:rPr>
        <w:t>7.11</w:t>
      </w:r>
      <w:r>
        <w:rPr>
          <w:rStyle w:val="37"/>
        </w:rPr>
        <w:t xml:space="preserve"> 电气仪表</w:t>
      </w:r>
      <w:r>
        <w:tab/>
      </w:r>
      <w:r>
        <w:fldChar w:fldCharType="begin"/>
      </w:r>
      <w:r>
        <w:instrText xml:space="preserve"> PAGEREF _Toc209114058 \h </w:instrText>
      </w:r>
      <w:r>
        <w:fldChar w:fldCharType="separate"/>
      </w:r>
      <w:r>
        <w:t>15</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"_Toc209114059" </w:instrText>
      </w:r>
      <w:r>
        <w:fldChar w:fldCharType="separate"/>
      </w:r>
      <w:r>
        <w:rPr>
          <w:rStyle w:val="37"/>
          <w14:scene3d w14:prst="orthographicFront">
            <w14:lightRig w14:rig="threePt" w14:dir="t">
              <w14:rot w14:lat="0" w14:lon="0" w14:rev="0"/>
            </w14:lightRig>
          </w14:scene3d>
        </w:rPr>
        <w:t>7.12</w:t>
      </w:r>
      <w:r>
        <w:rPr>
          <w:rStyle w:val="37"/>
        </w:rPr>
        <w:t xml:space="preserve"> 氢气火焰报警探测器</w:t>
      </w:r>
      <w:r>
        <w:tab/>
      </w:r>
      <w:r>
        <w:fldChar w:fldCharType="begin"/>
      </w:r>
      <w:r>
        <w:instrText xml:space="preserve"> PAGEREF _Toc209114059 \h </w:instrText>
      </w:r>
      <w:r>
        <w:fldChar w:fldCharType="separate"/>
      </w:r>
      <w:r>
        <w:t>15</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"_Toc209114060" </w:instrText>
      </w:r>
      <w:r>
        <w:fldChar w:fldCharType="separate"/>
      </w:r>
      <w:r>
        <w:rPr>
          <w:rStyle w:val="37"/>
          <w14:scene3d w14:prst="orthographicFront">
            <w14:lightRig w14:rig="threePt" w14:dir="t">
              <w14:rot w14:lat="0" w14:lon="0" w14:rev="0"/>
            </w14:lightRig>
          </w14:scene3d>
        </w:rPr>
        <w:t>7.13</w:t>
      </w:r>
      <w:r>
        <w:rPr>
          <w:rStyle w:val="37"/>
        </w:rPr>
        <w:t xml:space="preserve"> 可燃气体检测器</w:t>
      </w:r>
      <w:r>
        <w:tab/>
      </w:r>
      <w:r>
        <w:fldChar w:fldCharType="begin"/>
      </w:r>
      <w:r>
        <w:instrText xml:space="preserve"> PAGEREF _Toc209114060 \h </w:instrText>
      </w:r>
      <w:r>
        <w:fldChar w:fldCharType="separate"/>
      </w:r>
      <w:r>
        <w:t>16</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"_Toc209114061" </w:instrText>
      </w:r>
      <w:r>
        <w:fldChar w:fldCharType="separate"/>
      </w:r>
      <w:r>
        <w:rPr>
          <w:rStyle w:val="37"/>
          <w14:scene3d w14:prst="orthographicFront">
            <w14:lightRig w14:rig="threePt" w14:dir="t">
              <w14:rot w14:lat="0" w14:lon="0" w14:rev="0"/>
            </w14:lightRig>
          </w14:scene3d>
        </w:rPr>
        <w:t>7.14</w:t>
      </w:r>
      <w:r>
        <w:rPr>
          <w:rStyle w:val="37"/>
        </w:rPr>
        <w:t xml:space="preserve"> 绝缘接头</w:t>
      </w:r>
      <w:r>
        <w:tab/>
      </w:r>
      <w:r>
        <w:fldChar w:fldCharType="begin"/>
      </w:r>
      <w:r>
        <w:instrText xml:space="preserve"> PAGEREF _Toc209114061 \h </w:instrText>
      </w:r>
      <w:r>
        <w:fldChar w:fldCharType="separate"/>
      </w:r>
      <w:r>
        <w:t>16</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"_Toc209114062" </w:instrText>
      </w:r>
      <w:r>
        <w:fldChar w:fldCharType="separate"/>
      </w:r>
      <w:r>
        <w:rPr>
          <w:rStyle w:val="37"/>
          <w14:scene3d w14:prst="orthographicFront">
            <w14:lightRig w14:rig="threePt" w14:dir="t">
              <w14:rot w14:lat="0" w14:lon="0" w14:rev="0"/>
            </w14:lightRig>
          </w14:scene3d>
        </w:rPr>
        <w:t>7.15</w:t>
      </w:r>
      <w:r>
        <w:rPr>
          <w:rStyle w:val="37"/>
        </w:rPr>
        <w:t xml:space="preserve"> 焊材</w:t>
      </w:r>
      <w:r>
        <w:tab/>
      </w:r>
      <w:r>
        <w:fldChar w:fldCharType="begin"/>
      </w:r>
      <w:r>
        <w:instrText xml:space="preserve"> PAGEREF _Toc209114062 \h </w:instrText>
      </w:r>
      <w:r>
        <w:fldChar w:fldCharType="separate"/>
      </w:r>
      <w:r>
        <w:t>16</w:t>
      </w:r>
      <w:r>
        <w:fldChar w:fldCharType="end"/>
      </w:r>
      <w:r>
        <w:fldChar w:fldCharType="end"/>
      </w:r>
    </w:p>
    <w:p>
      <w:pPr>
        <w:pStyle w:val="23"/>
        <w:tabs>
          <w:tab w:val="right" w:leader="dot" w:pos="9344"/>
        </w:tabs>
        <w:rPr>
          <w:rFonts w:asciiTheme="minorHAnsi" w:hAnsiTheme="minorHAnsi" w:eastAsiaTheme="minorEastAsia" w:cstheme="minorBidi"/>
          <w:szCs w:val="22"/>
        </w:rPr>
      </w:pPr>
      <w:r>
        <w:fldChar w:fldCharType="begin"/>
      </w:r>
      <w:r>
        <w:instrText xml:space="preserve"> HYPERLINK \l "_Toc209114063" </w:instrText>
      </w:r>
      <w:r>
        <w:fldChar w:fldCharType="separate"/>
      </w:r>
      <w:r>
        <w:rPr>
          <w:rStyle w:val="37"/>
        </w:rPr>
        <w:t>8 设计</w:t>
      </w:r>
      <w:r>
        <w:tab/>
      </w:r>
      <w:r>
        <w:fldChar w:fldCharType="begin"/>
      </w:r>
      <w:r>
        <w:instrText xml:space="preserve"> PAGEREF _Toc209114063 \h </w:instrText>
      </w:r>
      <w:r>
        <w:fldChar w:fldCharType="separate"/>
      </w:r>
      <w:r>
        <w:t>16</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"_Toc209114064" </w:instrText>
      </w:r>
      <w:r>
        <w:fldChar w:fldCharType="separate"/>
      </w:r>
      <w:r>
        <w:rPr>
          <w:rStyle w:val="37"/>
          <w14:scene3d w14:prst="orthographicFront">
            <w14:lightRig w14:rig="threePt" w14:dir="t">
              <w14:rot w14:lat="0" w14:lon="0" w14:rev="0"/>
            </w14:lightRig>
          </w14:scene3d>
        </w:rPr>
        <w:t>8.1</w:t>
      </w:r>
      <w:r>
        <w:rPr>
          <w:rStyle w:val="37"/>
        </w:rPr>
        <w:t xml:space="preserve"> 一般规定</w:t>
      </w:r>
      <w:r>
        <w:tab/>
      </w:r>
      <w:r>
        <w:fldChar w:fldCharType="begin"/>
      </w:r>
      <w:r>
        <w:instrText xml:space="preserve"> PAGEREF _Toc209114064 \h </w:instrText>
      </w:r>
      <w:r>
        <w:fldChar w:fldCharType="separate"/>
      </w:r>
      <w:r>
        <w:t>16</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"_Toc209114065" </w:instrText>
      </w:r>
      <w:r>
        <w:fldChar w:fldCharType="separate"/>
      </w:r>
      <w:r>
        <w:rPr>
          <w:rStyle w:val="37"/>
          <w14:scene3d w14:prst="orthographicFront">
            <w14:lightRig w14:rig="threePt" w14:dir="t">
              <w14:rot w14:lat="0" w14:lon="0" w14:rev="0"/>
            </w14:lightRig>
          </w14:scene3d>
        </w:rPr>
        <w:t>8.2</w:t>
      </w:r>
      <w:r>
        <w:rPr>
          <w:rStyle w:val="37"/>
        </w:rPr>
        <w:t xml:space="preserve"> 荷载条件</w:t>
      </w:r>
      <w:r>
        <w:tab/>
      </w:r>
      <w:r>
        <w:fldChar w:fldCharType="begin"/>
      </w:r>
      <w:r>
        <w:instrText xml:space="preserve"> PAGEREF _Toc209114065 \h </w:instrText>
      </w:r>
      <w:r>
        <w:fldChar w:fldCharType="separate"/>
      </w:r>
      <w:r>
        <w:t>16</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"_Toc209114066" </w:instrText>
      </w:r>
      <w:r>
        <w:fldChar w:fldCharType="separate"/>
      </w:r>
      <w:r>
        <w:rPr>
          <w:rStyle w:val="37"/>
          <w14:scene3d w14:prst="orthographicFront">
            <w14:lightRig w14:rig="threePt" w14:dir="t">
              <w14:rot w14:lat="0" w14:lon="0" w14:rev="0"/>
            </w14:lightRig>
          </w14:scene3d>
        </w:rPr>
        <w:t>8.3</w:t>
      </w:r>
      <w:r>
        <w:rPr>
          <w:rStyle w:val="37"/>
        </w:rPr>
        <w:t xml:space="preserve"> 腐蚀裕量</w:t>
      </w:r>
      <w:r>
        <w:tab/>
      </w:r>
      <w:r>
        <w:fldChar w:fldCharType="begin"/>
      </w:r>
      <w:r>
        <w:instrText xml:space="preserve"> PAGEREF _Toc209114066 \h </w:instrText>
      </w:r>
      <w:r>
        <w:fldChar w:fldCharType="separate"/>
      </w:r>
      <w:r>
        <w:t>17</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"_Toc209114067" </w:instrText>
      </w:r>
      <w:r>
        <w:fldChar w:fldCharType="separate"/>
      </w:r>
      <w:r>
        <w:rPr>
          <w:rStyle w:val="37"/>
          <w14:scene3d w14:prst="orthographicFront">
            <w14:lightRig w14:rig="threePt" w14:dir="t">
              <w14:rot w14:lat="0" w14:lon="0" w14:rev="0"/>
            </w14:lightRig>
          </w14:scene3d>
        </w:rPr>
        <w:t>8.4</w:t>
      </w:r>
      <w:r>
        <w:rPr>
          <w:rStyle w:val="37"/>
        </w:rPr>
        <w:t xml:space="preserve"> 过滤器</w:t>
      </w:r>
      <w:r>
        <w:tab/>
      </w:r>
      <w:r>
        <w:fldChar w:fldCharType="begin"/>
      </w:r>
      <w:r>
        <w:instrText xml:space="preserve"> PAGEREF _Toc209114067 \h </w:instrText>
      </w:r>
      <w:r>
        <w:fldChar w:fldCharType="separate"/>
      </w:r>
      <w:r>
        <w:t>17</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"_Toc209114068" </w:instrText>
      </w:r>
      <w:r>
        <w:fldChar w:fldCharType="separate"/>
      </w:r>
      <w:r>
        <w:rPr>
          <w:rStyle w:val="37"/>
          <w14:scene3d w14:prst="orthographicFront">
            <w14:lightRig w14:rig="threePt" w14:dir="t">
              <w14:rot w14:lat="0" w14:lon="0" w14:rev="0"/>
            </w14:lightRig>
          </w14:scene3d>
        </w:rPr>
        <w:t>8.5</w:t>
      </w:r>
      <w:r>
        <w:rPr>
          <w:rStyle w:val="37"/>
        </w:rPr>
        <w:t xml:space="preserve"> 撬内管道</w:t>
      </w:r>
      <w:r>
        <w:tab/>
      </w:r>
      <w:r>
        <w:fldChar w:fldCharType="begin"/>
      </w:r>
      <w:r>
        <w:instrText xml:space="preserve"> PAGEREF _Toc209114068 \h </w:instrText>
      </w:r>
      <w:r>
        <w:fldChar w:fldCharType="separate"/>
      </w:r>
      <w:r>
        <w:t>17</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"_Toc209114069" </w:instrText>
      </w:r>
      <w:r>
        <w:fldChar w:fldCharType="separate"/>
      </w:r>
      <w:r>
        <w:rPr>
          <w:rStyle w:val="37"/>
          <w14:scene3d w14:prst="orthographicFront">
            <w14:lightRig w14:rig="threePt" w14:dir="t">
              <w14:rot w14:lat="0" w14:lon="0" w14:rev="0"/>
            </w14:lightRig>
          </w14:scene3d>
        </w:rPr>
        <w:t>8.6</w:t>
      </w:r>
      <w:r>
        <w:rPr>
          <w:rStyle w:val="37"/>
        </w:rPr>
        <w:t xml:space="preserve"> 阀门</w:t>
      </w:r>
      <w:r>
        <w:tab/>
      </w:r>
      <w:r>
        <w:fldChar w:fldCharType="begin"/>
      </w:r>
      <w:r>
        <w:instrText xml:space="preserve"> PAGEREF _Toc209114069 \h </w:instrText>
      </w:r>
      <w:r>
        <w:fldChar w:fldCharType="separate"/>
      </w:r>
      <w:r>
        <w:t>19</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"_Toc209114070" </w:instrText>
      </w:r>
      <w:r>
        <w:fldChar w:fldCharType="separate"/>
      </w:r>
      <w:r>
        <w:rPr>
          <w:rStyle w:val="37"/>
          <w14:scene3d w14:prst="orthographicFront">
            <w14:lightRig w14:rig="threePt" w14:dir="t">
              <w14:rot w14:lat="0" w14:lon="0" w14:rev="0"/>
            </w14:lightRig>
          </w14:scene3d>
        </w:rPr>
        <w:t>8.7</w:t>
      </w:r>
      <w:r>
        <w:rPr>
          <w:rStyle w:val="37"/>
        </w:rPr>
        <w:t xml:space="preserve"> 流量计</w:t>
      </w:r>
      <w:r>
        <w:tab/>
      </w:r>
      <w:r>
        <w:fldChar w:fldCharType="begin"/>
      </w:r>
      <w:r>
        <w:instrText xml:space="preserve"> PAGEREF _Toc209114070 \h </w:instrText>
      </w:r>
      <w:r>
        <w:fldChar w:fldCharType="separate"/>
      </w:r>
      <w:r>
        <w:t>19</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"_Toc209114071" </w:instrText>
      </w:r>
      <w:r>
        <w:fldChar w:fldCharType="separate"/>
      </w:r>
      <w:r>
        <w:rPr>
          <w:rStyle w:val="37"/>
          <w14:scene3d w14:prst="orthographicFront">
            <w14:lightRig w14:rig="threePt" w14:dir="t">
              <w14:rot w14:lat="0" w14:lon="0" w14:rev="0"/>
            </w14:lightRig>
          </w14:scene3d>
        </w:rPr>
        <w:t>8.8</w:t>
      </w:r>
      <w:r>
        <w:rPr>
          <w:rStyle w:val="37"/>
        </w:rPr>
        <w:t xml:space="preserve"> 气体组分分析仪/浓度分析仪</w:t>
      </w:r>
      <w:r>
        <w:tab/>
      </w:r>
      <w:r>
        <w:fldChar w:fldCharType="begin"/>
      </w:r>
      <w:r>
        <w:instrText xml:space="preserve"> PAGEREF _Toc209114071 \h </w:instrText>
      </w:r>
      <w:r>
        <w:fldChar w:fldCharType="separate"/>
      </w:r>
      <w:r>
        <w:t>19</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"_Toc209114072" </w:instrText>
      </w:r>
      <w:r>
        <w:fldChar w:fldCharType="separate"/>
      </w:r>
      <w:r>
        <w:rPr>
          <w:rStyle w:val="37"/>
          <w14:scene3d w14:prst="orthographicFront">
            <w14:lightRig w14:rig="threePt" w14:dir="t">
              <w14:rot w14:lat="0" w14:lon="0" w14:rev="0"/>
            </w14:lightRig>
          </w14:scene3d>
        </w:rPr>
        <w:t>8.9</w:t>
      </w:r>
      <w:r>
        <w:rPr>
          <w:rStyle w:val="37"/>
        </w:rPr>
        <w:t xml:space="preserve"> 电气、仪表</w:t>
      </w:r>
      <w:r>
        <w:tab/>
      </w:r>
      <w:r>
        <w:fldChar w:fldCharType="begin"/>
      </w:r>
      <w:r>
        <w:instrText xml:space="preserve"> PAGEREF _Toc209114072 \h </w:instrText>
      </w:r>
      <w:r>
        <w:fldChar w:fldCharType="separate"/>
      </w:r>
      <w:r>
        <w:t>19</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"_Toc209114073" </w:instrText>
      </w:r>
      <w:r>
        <w:fldChar w:fldCharType="separate"/>
      </w:r>
      <w:r>
        <w:rPr>
          <w:rStyle w:val="37"/>
          <w14:scene3d w14:prst="orthographicFront">
            <w14:lightRig w14:rig="threePt" w14:dir="t">
              <w14:rot w14:lat="0" w14:lon="0" w14:rev="0"/>
            </w14:lightRig>
          </w14:scene3d>
        </w:rPr>
        <w:t>8.10</w:t>
      </w:r>
      <w:r>
        <w:rPr>
          <w:rStyle w:val="37"/>
        </w:rPr>
        <w:t xml:space="preserve"> 电气装置</w:t>
      </w:r>
      <w:r>
        <w:tab/>
      </w:r>
      <w:r>
        <w:fldChar w:fldCharType="begin"/>
      </w:r>
      <w:r>
        <w:instrText xml:space="preserve"> PAGEREF _Toc209114073 \h </w:instrText>
      </w:r>
      <w:r>
        <w:fldChar w:fldCharType="separate"/>
      </w:r>
      <w:r>
        <w:t>20</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"_Toc209114074" </w:instrText>
      </w:r>
      <w:r>
        <w:fldChar w:fldCharType="separate"/>
      </w:r>
      <w:r>
        <w:rPr>
          <w:rStyle w:val="37"/>
          <w14:scene3d w14:prst="orthographicFront">
            <w14:lightRig w14:rig="threePt" w14:dir="t">
              <w14:rot w14:lat="0" w14:lon="0" w14:rev="0"/>
            </w14:lightRig>
          </w14:scene3d>
        </w:rPr>
        <w:t>8.11</w:t>
      </w:r>
      <w:r>
        <w:rPr>
          <w:rStyle w:val="37"/>
        </w:rPr>
        <w:t xml:space="preserve"> 监测和控制系统</w:t>
      </w:r>
      <w:r>
        <w:tab/>
      </w:r>
      <w:r>
        <w:fldChar w:fldCharType="begin"/>
      </w:r>
      <w:r>
        <w:instrText xml:space="preserve"> PAGEREF _Toc209114074 \h </w:instrText>
      </w:r>
      <w:r>
        <w:fldChar w:fldCharType="separate"/>
      </w:r>
      <w:r>
        <w:t>20</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"_Toc209114075" </w:instrText>
      </w:r>
      <w:r>
        <w:fldChar w:fldCharType="separate"/>
      </w:r>
      <w:r>
        <w:rPr>
          <w:rStyle w:val="37"/>
          <w14:scene3d w14:prst="orthographicFront">
            <w14:lightRig w14:rig="threePt" w14:dir="t">
              <w14:rot w14:lat="0" w14:lon="0" w14:rev="0"/>
            </w14:lightRig>
          </w14:scene3d>
        </w:rPr>
        <w:t>8.12</w:t>
      </w:r>
      <w:r>
        <w:rPr>
          <w:rStyle w:val="37"/>
        </w:rPr>
        <w:t xml:space="preserve"> 可燃气体报警系统</w:t>
      </w:r>
      <w:r>
        <w:tab/>
      </w:r>
      <w:r>
        <w:fldChar w:fldCharType="begin"/>
      </w:r>
      <w:r>
        <w:instrText xml:space="preserve"> PAGEREF _Toc209114075 \h </w:instrText>
      </w:r>
      <w:r>
        <w:fldChar w:fldCharType="separate"/>
      </w:r>
      <w:r>
        <w:t>21</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"_Toc209114076" </w:instrText>
      </w:r>
      <w:r>
        <w:fldChar w:fldCharType="separate"/>
      </w:r>
      <w:r>
        <w:rPr>
          <w:rStyle w:val="37"/>
          <w14:scene3d w14:prst="orthographicFront">
            <w14:lightRig w14:rig="threePt" w14:dir="t">
              <w14:rot w14:lat="0" w14:lon="0" w14:rev="0"/>
            </w14:lightRig>
          </w14:scene3d>
        </w:rPr>
        <w:t>8.13</w:t>
      </w:r>
      <w:r>
        <w:rPr>
          <w:rStyle w:val="37"/>
        </w:rPr>
        <w:t xml:space="preserve"> 紧急关断单元（ESD）</w:t>
      </w:r>
      <w:r>
        <w:tab/>
      </w:r>
      <w:r>
        <w:fldChar w:fldCharType="begin"/>
      </w:r>
      <w:r>
        <w:instrText xml:space="preserve"> PAGEREF _Toc209114076 \h </w:instrText>
      </w:r>
      <w:r>
        <w:fldChar w:fldCharType="separate"/>
      </w:r>
      <w:r>
        <w:t>21</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"_Toc209114077" </w:instrText>
      </w:r>
      <w:r>
        <w:fldChar w:fldCharType="separate"/>
      </w:r>
      <w:r>
        <w:rPr>
          <w:rStyle w:val="37"/>
          <w14:scene3d w14:prst="orthographicFront">
            <w14:lightRig w14:rig="threePt" w14:dir="t">
              <w14:rot w14:lat="0" w14:lon="0" w14:rev="0"/>
            </w14:lightRig>
          </w14:scene3d>
        </w:rPr>
        <w:t>8.14</w:t>
      </w:r>
      <w:r>
        <w:rPr>
          <w:rStyle w:val="37"/>
        </w:rPr>
        <w:t xml:space="preserve"> 撬座</w:t>
      </w:r>
      <w:r>
        <w:tab/>
      </w:r>
      <w:r>
        <w:fldChar w:fldCharType="begin"/>
      </w:r>
      <w:r>
        <w:instrText xml:space="preserve"> PAGEREF _Toc209114077 \h </w:instrText>
      </w:r>
      <w:r>
        <w:fldChar w:fldCharType="separate"/>
      </w:r>
      <w:r>
        <w:t>21</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"_Toc209114078" </w:instrText>
      </w:r>
      <w:r>
        <w:fldChar w:fldCharType="separate"/>
      </w:r>
      <w:r>
        <w:rPr>
          <w:rStyle w:val="37"/>
          <w14:scene3d w14:prst="orthographicFront">
            <w14:lightRig w14:rig="threePt" w14:dir="t">
              <w14:rot w14:lat="0" w14:lon="0" w14:rev="0"/>
            </w14:lightRig>
          </w14:scene3d>
        </w:rPr>
        <w:t>8.15</w:t>
      </w:r>
      <w:r>
        <w:rPr>
          <w:rStyle w:val="37"/>
        </w:rPr>
        <w:t xml:space="preserve"> 结构布置</w:t>
      </w:r>
      <w:r>
        <w:tab/>
      </w:r>
      <w:r>
        <w:fldChar w:fldCharType="begin"/>
      </w:r>
      <w:r>
        <w:instrText xml:space="preserve"> PAGEREF _Toc209114078 \h </w:instrText>
      </w:r>
      <w:r>
        <w:fldChar w:fldCharType="separate"/>
      </w:r>
      <w:r>
        <w:t>21</w:t>
      </w:r>
      <w:r>
        <w:fldChar w:fldCharType="end"/>
      </w:r>
      <w:r>
        <w:fldChar w:fldCharType="end"/>
      </w:r>
    </w:p>
    <w:p>
      <w:pPr>
        <w:pStyle w:val="23"/>
        <w:tabs>
          <w:tab w:val="right" w:leader="dot" w:pos="9344"/>
        </w:tabs>
        <w:rPr>
          <w:rFonts w:asciiTheme="minorHAnsi" w:hAnsiTheme="minorHAnsi" w:eastAsiaTheme="minorEastAsia" w:cstheme="minorBidi"/>
          <w:szCs w:val="22"/>
        </w:rPr>
      </w:pPr>
      <w:r>
        <w:fldChar w:fldCharType="begin"/>
      </w:r>
      <w:r>
        <w:instrText xml:space="preserve"> HYPERLINK \l "_Toc209114079" </w:instrText>
      </w:r>
      <w:r>
        <w:fldChar w:fldCharType="separate"/>
      </w:r>
      <w:r>
        <w:rPr>
          <w:rStyle w:val="37"/>
        </w:rPr>
        <w:t>9 制造</w:t>
      </w:r>
      <w:r>
        <w:tab/>
      </w:r>
      <w:r>
        <w:fldChar w:fldCharType="begin"/>
      </w:r>
      <w:r>
        <w:instrText xml:space="preserve"> PAGEREF _Toc209114079 \h </w:instrText>
      </w:r>
      <w:r>
        <w:fldChar w:fldCharType="separate"/>
      </w:r>
      <w:r>
        <w:t>23</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"_Toc209114080" </w:instrText>
      </w:r>
      <w:r>
        <w:fldChar w:fldCharType="separate"/>
      </w:r>
      <w:r>
        <w:rPr>
          <w:rStyle w:val="37"/>
          <w14:scene3d w14:prst="orthographicFront">
            <w14:lightRig w14:rig="threePt" w14:dir="t">
              <w14:rot w14:lat="0" w14:lon="0" w14:rev="0"/>
            </w14:lightRig>
          </w14:scene3d>
        </w:rPr>
        <w:t>9.1</w:t>
      </w:r>
      <w:r>
        <w:rPr>
          <w:rStyle w:val="37"/>
        </w:rPr>
        <w:t xml:space="preserve"> 入厂检验</w:t>
      </w:r>
      <w:r>
        <w:tab/>
      </w:r>
      <w:r>
        <w:fldChar w:fldCharType="begin"/>
      </w:r>
      <w:r>
        <w:instrText xml:space="preserve"> PAGEREF _Toc209114080 \h </w:instrText>
      </w:r>
      <w:r>
        <w:fldChar w:fldCharType="separate"/>
      </w:r>
      <w:r>
        <w:t>23</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"_Toc209114081" </w:instrText>
      </w:r>
      <w:r>
        <w:fldChar w:fldCharType="separate"/>
      </w:r>
      <w:r>
        <w:rPr>
          <w:rStyle w:val="37"/>
          <w14:scene3d w14:prst="orthographicFront">
            <w14:lightRig w14:rig="threePt" w14:dir="t">
              <w14:rot w14:lat="0" w14:lon="0" w14:rev="0"/>
            </w14:lightRig>
          </w14:scene3d>
        </w:rPr>
        <w:t>9.2</w:t>
      </w:r>
      <w:r>
        <w:rPr>
          <w:rStyle w:val="37"/>
        </w:rPr>
        <w:t xml:space="preserve"> 材料贮存</w:t>
      </w:r>
      <w:r>
        <w:tab/>
      </w:r>
      <w:r>
        <w:fldChar w:fldCharType="begin"/>
      </w:r>
      <w:r>
        <w:instrText xml:space="preserve"> PAGEREF _Toc209114081 \h </w:instrText>
      </w:r>
      <w:r>
        <w:fldChar w:fldCharType="separate"/>
      </w:r>
      <w:r>
        <w:t>25</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"_Toc209114082" </w:instrText>
      </w:r>
      <w:r>
        <w:fldChar w:fldCharType="separate"/>
      </w:r>
      <w:r>
        <w:rPr>
          <w:rStyle w:val="37"/>
          <w14:scene3d w14:prst="orthographicFront">
            <w14:lightRig w14:rig="threePt" w14:dir="t">
              <w14:rot w14:lat="0" w14:lon="0" w14:rev="0"/>
            </w14:lightRig>
          </w14:scene3d>
        </w:rPr>
        <w:t>9.3</w:t>
      </w:r>
      <w:r>
        <w:rPr>
          <w:rStyle w:val="37"/>
        </w:rPr>
        <w:t xml:space="preserve"> 下料与加工</w:t>
      </w:r>
      <w:r>
        <w:tab/>
      </w:r>
      <w:r>
        <w:fldChar w:fldCharType="begin"/>
      </w:r>
      <w:r>
        <w:instrText xml:space="preserve"> PAGEREF _Toc209114082 \h </w:instrText>
      </w:r>
      <w:r>
        <w:fldChar w:fldCharType="separate"/>
      </w:r>
      <w:r>
        <w:t>26</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"_Toc209114083" </w:instrText>
      </w:r>
      <w:r>
        <w:fldChar w:fldCharType="separate"/>
      </w:r>
      <w:r>
        <w:rPr>
          <w:rStyle w:val="37"/>
          <w14:scene3d w14:prst="orthographicFront">
            <w14:lightRig w14:rig="threePt" w14:dir="t">
              <w14:rot w14:lat="0" w14:lon="0" w14:rev="0"/>
            </w14:lightRig>
          </w14:scene3d>
        </w:rPr>
        <w:t>9.4</w:t>
      </w:r>
      <w:r>
        <w:rPr>
          <w:rStyle w:val="37"/>
        </w:rPr>
        <w:t xml:space="preserve"> 组装</w:t>
      </w:r>
      <w:r>
        <w:tab/>
      </w:r>
      <w:r>
        <w:fldChar w:fldCharType="begin"/>
      </w:r>
      <w:r>
        <w:instrText xml:space="preserve"> PAGEREF _Toc209114083 \h </w:instrText>
      </w:r>
      <w:r>
        <w:fldChar w:fldCharType="separate"/>
      </w:r>
      <w:r>
        <w:t>27</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"_Toc209114084" </w:instrText>
      </w:r>
      <w:r>
        <w:fldChar w:fldCharType="separate"/>
      </w:r>
      <w:r>
        <w:rPr>
          <w:rStyle w:val="37"/>
          <w14:scene3d w14:prst="orthographicFront">
            <w14:lightRig w14:rig="threePt" w14:dir="t">
              <w14:rot w14:lat="0" w14:lon="0" w14:rev="0"/>
            </w14:lightRig>
          </w14:scene3d>
        </w:rPr>
        <w:t>9.5</w:t>
      </w:r>
      <w:r>
        <w:rPr>
          <w:rStyle w:val="37"/>
        </w:rPr>
        <w:t xml:space="preserve"> 管道组成件焊接</w:t>
      </w:r>
      <w:r>
        <w:tab/>
      </w:r>
      <w:r>
        <w:fldChar w:fldCharType="begin"/>
      </w:r>
      <w:r>
        <w:instrText xml:space="preserve"> PAGEREF _Toc209114084 \h </w:instrText>
      </w:r>
      <w:r>
        <w:fldChar w:fldCharType="separate"/>
      </w:r>
      <w:r>
        <w:t>28</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"_Toc209114085" </w:instrText>
      </w:r>
      <w:r>
        <w:fldChar w:fldCharType="separate"/>
      </w:r>
      <w:r>
        <w:rPr>
          <w:rStyle w:val="37"/>
          <w14:scene3d w14:prst="orthographicFront">
            <w14:lightRig w14:rig="threePt" w14:dir="t">
              <w14:rot w14:lat="0" w14:lon="0" w14:rev="0"/>
            </w14:lightRig>
          </w14:scene3d>
        </w:rPr>
        <w:t>9.6</w:t>
      </w:r>
      <w:r>
        <w:rPr>
          <w:rStyle w:val="37"/>
        </w:rPr>
        <w:t xml:space="preserve"> 无损检测</w:t>
      </w:r>
      <w:r>
        <w:tab/>
      </w:r>
      <w:r>
        <w:fldChar w:fldCharType="begin"/>
      </w:r>
      <w:r>
        <w:instrText xml:space="preserve"> PAGEREF _Toc209114085 \h </w:instrText>
      </w:r>
      <w:r>
        <w:fldChar w:fldCharType="separate"/>
      </w:r>
      <w:r>
        <w:t>31</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"_Toc209114086" </w:instrText>
      </w:r>
      <w:r>
        <w:fldChar w:fldCharType="separate"/>
      </w:r>
      <w:r>
        <w:rPr>
          <w:rStyle w:val="37"/>
          <w14:scene3d w14:prst="orthographicFront">
            <w14:lightRig w14:rig="threePt" w14:dir="t">
              <w14:rot w14:lat="0" w14:lon="0" w14:rev="0"/>
            </w14:lightRig>
          </w14:scene3d>
        </w:rPr>
        <w:t>9.7</w:t>
      </w:r>
      <w:r>
        <w:rPr>
          <w:rStyle w:val="37"/>
        </w:rPr>
        <w:t xml:space="preserve"> 电气仪表安装</w:t>
      </w:r>
      <w:r>
        <w:tab/>
      </w:r>
      <w:r>
        <w:fldChar w:fldCharType="begin"/>
      </w:r>
      <w:r>
        <w:instrText xml:space="preserve"> PAGEREF _Toc209114086 \h </w:instrText>
      </w:r>
      <w:r>
        <w:fldChar w:fldCharType="separate"/>
      </w:r>
      <w:r>
        <w:t>32</w:t>
      </w:r>
      <w:r>
        <w:fldChar w:fldCharType="end"/>
      </w:r>
      <w:r>
        <w:fldChar w:fldCharType="end"/>
      </w:r>
    </w:p>
    <w:p>
      <w:pPr>
        <w:pStyle w:val="23"/>
        <w:tabs>
          <w:tab w:val="right" w:leader="dot" w:pos="9344"/>
        </w:tabs>
        <w:rPr>
          <w:rFonts w:asciiTheme="minorHAnsi" w:hAnsiTheme="minorHAnsi" w:eastAsiaTheme="minorEastAsia" w:cstheme="minorBidi"/>
          <w:szCs w:val="22"/>
        </w:rPr>
      </w:pPr>
      <w:r>
        <w:fldChar w:fldCharType="begin"/>
      </w:r>
      <w:r>
        <w:instrText xml:space="preserve"> HYPERLINK \l "_Toc209114087" </w:instrText>
      </w:r>
      <w:r>
        <w:fldChar w:fldCharType="separate"/>
      </w:r>
      <w:r>
        <w:rPr>
          <w:rStyle w:val="37"/>
        </w:rPr>
        <w:t>10 检验与试验</w:t>
      </w:r>
      <w:r>
        <w:tab/>
      </w:r>
      <w:r>
        <w:fldChar w:fldCharType="begin"/>
      </w:r>
      <w:r>
        <w:instrText xml:space="preserve"> PAGEREF _Toc209114087 \h </w:instrText>
      </w:r>
      <w:r>
        <w:fldChar w:fldCharType="separate"/>
      </w:r>
      <w:r>
        <w:t>32</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"_Toc209114088" </w:instrText>
      </w:r>
      <w:r>
        <w:fldChar w:fldCharType="separate"/>
      </w:r>
      <w:r>
        <w:rPr>
          <w:rStyle w:val="37"/>
          <w14:scene3d w14:prst="orthographicFront">
            <w14:lightRig w14:rig="threePt" w14:dir="t">
              <w14:rot w14:lat="0" w14:lon="0" w14:rev="0"/>
            </w14:lightRig>
          </w14:scene3d>
        </w:rPr>
        <w:t>10.1</w:t>
      </w:r>
      <w:r>
        <w:rPr>
          <w:rStyle w:val="37"/>
        </w:rPr>
        <w:t xml:space="preserve"> 一般规定</w:t>
      </w:r>
      <w:r>
        <w:tab/>
      </w:r>
      <w:r>
        <w:fldChar w:fldCharType="begin"/>
      </w:r>
      <w:r>
        <w:instrText xml:space="preserve"> PAGEREF _Toc209114088 \h </w:instrText>
      </w:r>
      <w:r>
        <w:fldChar w:fldCharType="separate"/>
      </w:r>
      <w:r>
        <w:t>32</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"_Toc209114089" </w:instrText>
      </w:r>
      <w:r>
        <w:fldChar w:fldCharType="separate"/>
      </w:r>
      <w:r>
        <w:rPr>
          <w:rStyle w:val="37"/>
          <w14:scene3d w14:prst="orthographicFront">
            <w14:lightRig w14:rig="threePt" w14:dir="t">
              <w14:rot w14:lat="0" w14:lon="0" w14:rev="0"/>
            </w14:lightRig>
          </w14:scene3d>
        </w:rPr>
        <w:t>10.2</w:t>
      </w:r>
      <w:r>
        <w:rPr>
          <w:rStyle w:val="37"/>
        </w:rPr>
        <w:t xml:space="preserve"> 外观检查和外形尺寸</w:t>
      </w:r>
      <w:r>
        <w:tab/>
      </w:r>
      <w:r>
        <w:fldChar w:fldCharType="begin"/>
      </w:r>
      <w:r>
        <w:instrText xml:space="preserve"> PAGEREF _Toc209114089 \h </w:instrText>
      </w:r>
      <w:r>
        <w:fldChar w:fldCharType="separate"/>
      </w:r>
      <w:r>
        <w:t>32</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"_Toc209114090" </w:instrText>
      </w:r>
      <w:r>
        <w:fldChar w:fldCharType="separate"/>
      </w:r>
      <w:r>
        <w:rPr>
          <w:rStyle w:val="37"/>
          <w14:scene3d w14:prst="orthographicFront">
            <w14:lightRig w14:rig="threePt" w14:dir="t">
              <w14:rot w14:lat="0" w14:lon="0" w14:rev="0"/>
            </w14:lightRig>
          </w14:scene3d>
        </w:rPr>
        <w:t>10.3</w:t>
      </w:r>
      <w:r>
        <w:rPr>
          <w:rStyle w:val="37"/>
        </w:rPr>
        <w:t xml:space="preserve"> 试验用仪表</w:t>
      </w:r>
      <w:r>
        <w:tab/>
      </w:r>
      <w:r>
        <w:fldChar w:fldCharType="begin"/>
      </w:r>
      <w:r>
        <w:instrText xml:space="preserve"> PAGEREF _Toc209114090 \h </w:instrText>
      </w:r>
      <w:r>
        <w:fldChar w:fldCharType="separate"/>
      </w:r>
      <w:r>
        <w:t>33</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"_Toc209114091" </w:instrText>
      </w:r>
      <w:r>
        <w:fldChar w:fldCharType="separate"/>
      </w:r>
      <w:r>
        <w:rPr>
          <w:rStyle w:val="37"/>
          <w14:scene3d w14:prst="orthographicFront">
            <w14:lightRig w14:rig="threePt" w14:dir="t">
              <w14:rot w14:lat="0" w14:lon="0" w14:rev="0"/>
            </w14:lightRig>
          </w14:scene3d>
        </w:rPr>
        <w:t>10.4</w:t>
      </w:r>
      <w:r>
        <w:rPr>
          <w:rStyle w:val="37"/>
        </w:rPr>
        <w:t xml:space="preserve"> 强度试验</w:t>
      </w:r>
      <w:r>
        <w:tab/>
      </w:r>
      <w:r>
        <w:fldChar w:fldCharType="begin"/>
      </w:r>
      <w:r>
        <w:instrText xml:space="preserve"> PAGEREF _Toc209114091 \h </w:instrText>
      </w:r>
      <w:r>
        <w:fldChar w:fldCharType="separate"/>
      </w:r>
      <w:r>
        <w:t>33</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"_Toc209114092" </w:instrText>
      </w:r>
      <w:r>
        <w:fldChar w:fldCharType="separate"/>
      </w:r>
      <w:r>
        <w:rPr>
          <w:rStyle w:val="37"/>
          <w14:scene3d w14:prst="orthographicFront">
            <w14:lightRig w14:rig="threePt" w14:dir="t">
              <w14:rot w14:lat="0" w14:lon="0" w14:rev="0"/>
            </w14:lightRig>
          </w14:scene3d>
        </w:rPr>
        <w:t>10.5</w:t>
      </w:r>
      <w:r>
        <w:rPr>
          <w:rStyle w:val="37"/>
        </w:rPr>
        <w:t xml:space="preserve"> 气密性试验</w:t>
      </w:r>
      <w:r>
        <w:tab/>
      </w:r>
      <w:r>
        <w:fldChar w:fldCharType="begin"/>
      </w:r>
      <w:r>
        <w:instrText xml:space="preserve"> PAGEREF _Toc209114092 \h </w:instrText>
      </w:r>
      <w:r>
        <w:fldChar w:fldCharType="separate"/>
      </w:r>
      <w:r>
        <w:t>34</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"_Toc209114093" </w:instrText>
      </w:r>
      <w:r>
        <w:fldChar w:fldCharType="separate"/>
      </w:r>
      <w:r>
        <w:rPr>
          <w:rStyle w:val="37"/>
          <w14:scene3d w14:prst="orthographicFront">
            <w14:lightRig w14:rig="threePt" w14:dir="t">
              <w14:rot w14:lat="0" w14:lon="0" w14:rev="0"/>
            </w14:lightRig>
          </w14:scene3d>
        </w:rPr>
        <w:t>10.6</w:t>
      </w:r>
      <w:r>
        <w:rPr>
          <w:rStyle w:val="37"/>
        </w:rPr>
        <w:t xml:space="preserve"> 泄漏量试验</w:t>
      </w:r>
      <w:r>
        <w:tab/>
      </w:r>
      <w:r>
        <w:fldChar w:fldCharType="begin"/>
      </w:r>
      <w:r>
        <w:instrText xml:space="preserve"> PAGEREF _Toc209114093 \h </w:instrText>
      </w:r>
      <w:r>
        <w:fldChar w:fldCharType="separate"/>
      </w:r>
      <w:r>
        <w:t>34</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"_Toc209114094" </w:instrText>
      </w:r>
      <w:r>
        <w:fldChar w:fldCharType="separate"/>
      </w:r>
      <w:r>
        <w:rPr>
          <w:rStyle w:val="37"/>
          <w14:scene3d w14:prst="orthographicFront">
            <w14:lightRig w14:rig="threePt" w14:dir="t">
              <w14:rot w14:lat="0" w14:lon="0" w14:rev="0"/>
            </w14:lightRig>
          </w14:scene3d>
        </w:rPr>
        <w:t>10.7</w:t>
      </w:r>
      <w:r>
        <w:rPr>
          <w:rStyle w:val="37"/>
        </w:rPr>
        <w:t xml:space="preserve"> 吹扫与清洗</w:t>
      </w:r>
      <w:r>
        <w:tab/>
      </w:r>
      <w:r>
        <w:fldChar w:fldCharType="begin"/>
      </w:r>
      <w:r>
        <w:instrText xml:space="preserve"> PAGEREF _Toc209114094 \h </w:instrText>
      </w:r>
      <w:r>
        <w:fldChar w:fldCharType="separate"/>
      </w:r>
      <w:r>
        <w:t>35</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"_Toc209114095" </w:instrText>
      </w:r>
      <w:r>
        <w:fldChar w:fldCharType="separate"/>
      </w:r>
      <w:r>
        <w:rPr>
          <w:rStyle w:val="37"/>
          <w14:scene3d w14:prst="orthographicFront">
            <w14:lightRig w14:rig="threePt" w14:dir="t">
              <w14:rot w14:lat="0" w14:lon="0" w14:rev="0"/>
            </w14:lightRig>
          </w14:scene3d>
        </w:rPr>
        <w:t>10.8</w:t>
      </w:r>
      <w:r>
        <w:rPr>
          <w:rStyle w:val="37"/>
        </w:rPr>
        <w:t xml:space="preserve"> 干燥</w:t>
      </w:r>
      <w:r>
        <w:tab/>
      </w:r>
      <w:r>
        <w:fldChar w:fldCharType="begin"/>
      </w:r>
      <w:r>
        <w:instrText xml:space="preserve"> PAGEREF _Toc209114095 \h </w:instrText>
      </w:r>
      <w:r>
        <w:fldChar w:fldCharType="separate"/>
      </w:r>
      <w:r>
        <w:t>35</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"_Toc209114096" </w:instrText>
      </w:r>
      <w:r>
        <w:fldChar w:fldCharType="separate"/>
      </w:r>
      <w:r>
        <w:rPr>
          <w:rStyle w:val="37"/>
          <w14:scene3d w14:prst="orthographicFront">
            <w14:lightRig w14:rig="threePt" w14:dir="t">
              <w14:rot w14:lat="0" w14:lon="0" w14:rev="0"/>
            </w14:lightRig>
          </w14:scene3d>
        </w:rPr>
        <w:t>10.9</w:t>
      </w:r>
      <w:r>
        <w:rPr>
          <w:rStyle w:val="37"/>
        </w:rPr>
        <w:t xml:space="preserve"> 出口压力设定值</w:t>
      </w:r>
      <w:r>
        <w:tab/>
      </w:r>
      <w:r>
        <w:fldChar w:fldCharType="begin"/>
      </w:r>
      <w:r>
        <w:instrText xml:space="preserve"> PAGEREF _Toc209114096 \h </w:instrText>
      </w:r>
      <w:r>
        <w:fldChar w:fldCharType="separate"/>
      </w:r>
      <w:r>
        <w:t>35</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"_Toc209114097" </w:instrText>
      </w:r>
      <w:r>
        <w:fldChar w:fldCharType="separate"/>
      </w:r>
      <w:r>
        <w:rPr>
          <w:rStyle w:val="37"/>
          <w14:scene3d w14:prst="orthographicFront">
            <w14:lightRig w14:rig="threePt" w14:dir="t">
              <w14:rot w14:lat="0" w14:lon="0" w14:rev="0"/>
            </w14:lightRig>
          </w14:scene3d>
        </w:rPr>
        <w:t>10.10</w:t>
      </w:r>
      <w:r>
        <w:rPr>
          <w:rStyle w:val="37"/>
        </w:rPr>
        <w:t xml:space="preserve"> 安全阀启动压力设定值</w:t>
      </w:r>
      <w:r>
        <w:tab/>
      </w:r>
      <w:r>
        <w:fldChar w:fldCharType="begin"/>
      </w:r>
      <w:r>
        <w:instrText xml:space="preserve"> PAGEREF _Toc209114097 \h </w:instrText>
      </w:r>
      <w:r>
        <w:fldChar w:fldCharType="separate"/>
      </w:r>
      <w:r>
        <w:t>36</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"_Toc209114098" </w:instrText>
      </w:r>
      <w:r>
        <w:fldChar w:fldCharType="separate"/>
      </w:r>
      <w:r>
        <w:rPr>
          <w:rStyle w:val="37"/>
          <w14:scene3d w14:prst="orthographicFront">
            <w14:lightRig w14:rig="threePt" w14:dir="t">
              <w14:rot w14:lat="0" w14:lon="0" w14:rev="0"/>
            </w14:lightRig>
          </w14:scene3d>
        </w:rPr>
        <w:t>10.11</w:t>
      </w:r>
      <w:r>
        <w:rPr>
          <w:rStyle w:val="37"/>
        </w:rPr>
        <w:t xml:space="preserve"> 关闭压力</w:t>
      </w:r>
      <w:r>
        <w:tab/>
      </w:r>
      <w:r>
        <w:fldChar w:fldCharType="begin"/>
      </w:r>
      <w:r>
        <w:instrText xml:space="preserve"> PAGEREF _Toc209114098 \h </w:instrText>
      </w:r>
      <w:r>
        <w:fldChar w:fldCharType="separate"/>
      </w:r>
      <w:r>
        <w:t>36</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"_Toc209114099" </w:instrText>
      </w:r>
      <w:r>
        <w:fldChar w:fldCharType="separate"/>
      </w:r>
      <w:r>
        <w:rPr>
          <w:rStyle w:val="37"/>
          <w14:scene3d w14:prst="orthographicFront">
            <w14:lightRig w14:rig="threePt" w14:dir="t">
              <w14:rot w14:lat="0" w14:lon="0" w14:rev="0"/>
            </w14:lightRig>
          </w14:scene3d>
        </w:rPr>
        <w:t>10.12</w:t>
      </w:r>
      <w:r>
        <w:rPr>
          <w:rStyle w:val="37"/>
        </w:rPr>
        <w:t xml:space="preserve"> 变送器</w:t>
      </w:r>
      <w:r>
        <w:tab/>
      </w:r>
      <w:r>
        <w:fldChar w:fldCharType="begin"/>
      </w:r>
      <w:r>
        <w:instrText xml:space="preserve"> PAGEREF _Toc209114099 \h </w:instrText>
      </w:r>
      <w:r>
        <w:fldChar w:fldCharType="separate"/>
      </w:r>
      <w:r>
        <w:t>36</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"_Toc209114100" </w:instrText>
      </w:r>
      <w:r>
        <w:fldChar w:fldCharType="separate"/>
      </w:r>
      <w:r>
        <w:rPr>
          <w:rStyle w:val="37"/>
          <w14:scene3d w14:prst="orthographicFront">
            <w14:lightRig w14:rig="threePt" w14:dir="t">
              <w14:rot w14:lat="0" w14:lon="0" w14:rev="0"/>
            </w14:lightRig>
          </w14:scene3d>
        </w:rPr>
        <w:t>10.13</w:t>
      </w:r>
      <w:r>
        <w:rPr>
          <w:rStyle w:val="37"/>
        </w:rPr>
        <w:t xml:space="preserve"> 电动执行机构</w:t>
      </w:r>
      <w:r>
        <w:tab/>
      </w:r>
      <w:r>
        <w:fldChar w:fldCharType="begin"/>
      </w:r>
      <w:r>
        <w:instrText xml:space="preserve"> PAGEREF _Toc209114100 \h </w:instrText>
      </w:r>
      <w:r>
        <w:fldChar w:fldCharType="separate"/>
      </w:r>
      <w:r>
        <w:t>36</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"_Toc209114101" </w:instrText>
      </w:r>
      <w:r>
        <w:fldChar w:fldCharType="separate"/>
      </w:r>
      <w:r>
        <w:rPr>
          <w:rStyle w:val="37"/>
          <w14:scene3d w14:prst="orthographicFront">
            <w14:lightRig w14:rig="threePt" w14:dir="t">
              <w14:rot w14:lat="0" w14:lon="0" w14:rev="0"/>
            </w14:lightRig>
          </w14:scene3d>
        </w:rPr>
        <w:t>10.14</w:t>
      </w:r>
      <w:r>
        <w:rPr>
          <w:rStyle w:val="37"/>
        </w:rPr>
        <w:t xml:space="preserve"> 控制系统</w:t>
      </w:r>
      <w:r>
        <w:tab/>
      </w:r>
      <w:r>
        <w:fldChar w:fldCharType="begin"/>
      </w:r>
      <w:r>
        <w:instrText xml:space="preserve"> PAGEREF _Toc209114101 \h </w:instrText>
      </w:r>
      <w:r>
        <w:fldChar w:fldCharType="separate"/>
      </w:r>
      <w:r>
        <w:t>36</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"_Toc209114102" </w:instrText>
      </w:r>
      <w:r>
        <w:fldChar w:fldCharType="separate"/>
      </w:r>
      <w:r>
        <w:rPr>
          <w:rStyle w:val="37"/>
          <w14:scene3d w14:prst="orthographicFront">
            <w14:lightRig w14:rig="threePt" w14:dir="t">
              <w14:rot w14:lat="0" w14:lon="0" w14:rev="0"/>
            </w14:lightRig>
          </w14:scene3d>
        </w:rPr>
        <w:t>10.15</w:t>
      </w:r>
      <w:r>
        <w:rPr>
          <w:rStyle w:val="37"/>
        </w:rPr>
        <w:t xml:space="preserve"> 混气精度等级</w:t>
      </w:r>
      <w:r>
        <w:tab/>
      </w:r>
      <w:r>
        <w:fldChar w:fldCharType="begin"/>
      </w:r>
      <w:r>
        <w:instrText xml:space="preserve"> PAGEREF _Toc209114102 \h </w:instrText>
      </w:r>
      <w:r>
        <w:fldChar w:fldCharType="separate"/>
      </w:r>
      <w:r>
        <w:t>36</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"_Toc209114103" </w:instrText>
      </w:r>
      <w:r>
        <w:fldChar w:fldCharType="separate"/>
      </w:r>
      <w:r>
        <w:rPr>
          <w:rStyle w:val="37"/>
          <w14:scene3d w14:prst="orthographicFront">
            <w14:lightRig w14:rig="threePt" w14:dir="t">
              <w14:rot w14:lat="0" w14:lon="0" w14:rev="0"/>
            </w14:lightRig>
          </w14:scene3d>
        </w:rPr>
        <w:t>10.16</w:t>
      </w:r>
      <w:r>
        <w:rPr>
          <w:rStyle w:val="37"/>
        </w:rPr>
        <w:t xml:space="preserve"> 绝缘性能</w:t>
      </w:r>
      <w:r>
        <w:tab/>
      </w:r>
      <w:r>
        <w:fldChar w:fldCharType="begin"/>
      </w:r>
      <w:r>
        <w:instrText xml:space="preserve"> PAGEREF _Toc209114103 \h </w:instrText>
      </w:r>
      <w:r>
        <w:fldChar w:fldCharType="separate"/>
      </w:r>
      <w:r>
        <w:t>37</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"_Toc209114104" </w:instrText>
      </w:r>
      <w:r>
        <w:fldChar w:fldCharType="separate"/>
      </w:r>
      <w:r>
        <w:rPr>
          <w:rStyle w:val="37"/>
          <w14:scene3d w14:prst="orthographicFront">
            <w14:lightRig w14:rig="threePt" w14:dir="t">
              <w14:rot w14:lat="0" w14:lon="0" w14:rev="0"/>
            </w14:lightRig>
          </w14:scene3d>
        </w:rPr>
        <w:t>10.17</w:t>
      </w:r>
      <w:r>
        <w:rPr>
          <w:rStyle w:val="37"/>
        </w:rPr>
        <w:t xml:space="preserve"> 电气安全性能</w:t>
      </w:r>
      <w:r>
        <w:tab/>
      </w:r>
      <w:r>
        <w:fldChar w:fldCharType="begin"/>
      </w:r>
      <w:r>
        <w:instrText xml:space="preserve"> PAGEREF _Toc209114104 \h </w:instrText>
      </w:r>
      <w:r>
        <w:fldChar w:fldCharType="separate"/>
      </w:r>
      <w:r>
        <w:t>37</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"_Toc209114105" </w:instrText>
      </w:r>
      <w:r>
        <w:fldChar w:fldCharType="separate"/>
      </w:r>
      <w:r>
        <w:rPr>
          <w:rStyle w:val="37"/>
          <w14:scene3d w14:prst="orthographicFront">
            <w14:lightRig w14:rig="threePt" w14:dir="t">
              <w14:rot w14:lat="0" w14:lon="0" w14:rev="0"/>
            </w14:lightRig>
          </w14:scene3d>
        </w:rPr>
        <w:t>10.18</w:t>
      </w:r>
      <w:r>
        <w:rPr>
          <w:rStyle w:val="37"/>
        </w:rPr>
        <w:t xml:space="preserve"> 防爆性能</w:t>
      </w:r>
      <w:r>
        <w:tab/>
      </w:r>
      <w:r>
        <w:fldChar w:fldCharType="begin"/>
      </w:r>
      <w:r>
        <w:instrText xml:space="preserve"> PAGEREF _Toc209114105 \h </w:instrText>
      </w:r>
      <w:r>
        <w:fldChar w:fldCharType="separate"/>
      </w:r>
      <w:r>
        <w:t>37</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"_Toc209114106" </w:instrText>
      </w:r>
      <w:r>
        <w:fldChar w:fldCharType="separate"/>
      </w:r>
      <w:r>
        <w:rPr>
          <w:rStyle w:val="37"/>
          <w14:scene3d w14:prst="orthographicFront">
            <w14:lightRig w14:rig="threePt" w14:dir="t">
              <w14:rot w14:lat="0" w14:lon="0" w14:rev="0"/>
            </w14:lightRig>
          </w14:scene3d>
        </w:rPr>
        <w:t>10.19</w:t>
      </w:r>
      <w:r>
        <w:rPr>
          <w:rStyle w:val="37"/>
        </w:rPr>
        <w:t xml:space="preserve"> 混气均匀度</w:t>
      </w:r>
      <w:r>
        <w:tab/>
      </w:r>
      <w:r>
        <w:fldChar w:fldCharType="begin"/>
      </w:r>
      <w:r>
        <w:instrText xml:space="preserve"> PAGEREF _Toc209114106 \h </w:instrText>
      </w:r>
      <w:r>
        <w:fldChar w:fldCharType="separate"/>
      </w:r>
      <w:r>
        <w:t>37</w:t>
      </w:r>
      <w:r>
        <w:fldChar w:fldCharType="end"/>
      </w:r>
      <w:r>
        <w:fldChar w:fldCharType="end"/>
      </w:r>
    </w:p>
    <w:p>
      <w:pPr>
        <w:pStyle w:val="23"/>
        <w:tabs>
          <w:tab w:val="right" w:leader="dot" w:pos="9344"/>
        </w:tabs>
        <w:rPr>
          <w:rFonts w:asciiTheme="minorHAnsi" w:hAnsiTheme="minorHAnsi" w:eastAsiaTheme="minorEastAsia" w:cstheme="minorBidi"/>
          <w:szCs w:val="22"/>
        </w:rPr>
      </w:pPr>
      <w:r>
        <w:fldChar w:fldCharType="begin"/>
      </w:r>
      <w:r>
        <w:instrText xml:space="preserve"> HYPERLINK \l "_Toc209114107" </w:instrText>
      </w:r>
      <w:r>
        <w:fldChar w:fldCharType="separate"/>
      </w:r>
      <w:r>
        <w:rPr>
          <w:rStyle w:val="37"/>
        </w:rPr>
        <w:t>11 防腐保温与涂饰</w:t>
      </w:r>
      <w:r>
        <w:tab/>
      </w:r>
      <w:r>
        <w:fldChar w:fldCharType="begin"/>
      </w:r>
      <w:r>
        <w:instrText xml:space="preserve"> PAGEREF _Toc209114107 \h </w:instrText>
      </w:r>
      <w:r>
        <w:fldChar w:fldCharType="separate"/>
      </w:r>
      <w:r>
        <w:t>38</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"_Toc209114108" </w:instrText>
      </w:r>
      <w:r>
        <w:fldChar w:fldCharType="separate"/>
      </w:r>
      <w:r>
        <w:rPr>
          <w:rStyle w:val="37"/>
          <w14:scene3d w14:prst="orthographicFront">
            <w14:lightRig w14:rig="threePt" w14:dir="t">
              <w14:rot w14:lat="0" w14:lon="0" w14:rev="0"/>
            </w14:lightRig>
          </w14:scene3d>
        </w:rPr>
        <w:t>11.1</w:t>
      </w:r>
      <w:r>
        <w:rPr>
          <w:rStyle w:val="37"/>
        </w:rPr>
        <w:t xml:space="preserve"> 一般规定</w:t>
      </w:r>
      <w:r>
        <w:tab/>
      </w:r>
      <w:r>
        <w:fldChar w:fldCharType="begin"/>
      </w:r>
      <w:r>
        <w:instrText xml:space="preserve"> PAGEREF _Toc209114108 \h </w:instrText>
      </w:r>
      <w:r>
        <w:fldChar w:fldCharType="separate"/>
      </w:r>
      <w:r>
        <w:t>38</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"_Toc209114109" </w:instrText>
      </w:r>
      <w:r>
        <w:fldChar w:fldCharType="separate"/>
      </w:r>
      <w:r>
        <w:rPr>
          <w:rStyle w:val="37"/>
          <w14:scene3d w14:prst="orthographicFront">
            <w14:lightRig w14:rig="threePt" w14:dir="t">
              <w14:rot w14:lat="0" w14:lon="0" w14:rev="0"/>
            </w14:lightRig>
          </w14:scene3d>
        </w:rPr>
        <w:t>11.2</w:t>
      </w:r>
      <w:r>
        <w:rPr>
          <w:rStyle w:val="37"/>
        </w:rPr>
        <w:t xml:space="preserve"> 防腐</w:t>
      </w:r>
      <w:r>
        <w:tab/>
      </w:r>
      <w:r>
        <w:fldChar w:fldCharType="begin"/>
      </w:r>
      <w:r>
        <w:instrText xml:space="preserve"> PAGEREF _Toc209114109 \h </w:instrText>
      </w:r>
      <w:r>
        <w:fldChar w:fldCharType="separate"/>
      </w:r>
      <w:r>
        <w:t>38</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"_Toc209114110" </w:instrText>
      </w:r>
      <w:r>
        <w:fldChar w:fldCharType="separate"/>
      </w:r>
      <w:r>
        <w:rPr>
          <w:rStyle w:val="37"/>
          <w14:scene3d w14:prst="orthographicFront">
            <w14:lightRig w14:rig="threePt" w14:dir="t">
              <w14:rot w14:lat="0" w14:lon="0" w14:rev="0"/>
            </w14:lightRig>
          </w14:scene3d>
        </w:rPr>
        <w:t>11.3</w:t>
      </w:r>
      <w:r>
        <w:rPr>
          <w:rStyle w:val="37"/>
        </w:rPr>
        <w:t xml:space="preserve"> 保温</w:t>
      </w:r>
      <w:r>
        <w:tab/>
      </w:r>
      <w:r>
        <w:fldChar w:fldCharType="begin"/>
      </w:r>
      <w:r>
        <w:instrText xml:space="preserve"> PAGEREF _Toc209114110 \h </w:instrText>
      </w:r>
      <w:r>
        <w:fldChar w:fldCharType="separate"/>
      </w:r>
      <w:r>
        <w:t>38</w:t>
      </w:r>
      <w:r>
        <w:fldChar w:fldCharType="end"/>
      </w:r>
      <w:r>
        <w:fldChar w:fldCharType="end"/>
      </w:r>
    </w:p>
    <w:p>
      <w:pPr>
        <w:pStyle w:val="23"/>
        <w:tabs>
          <w:tab w:val="right" w:leader="dot" w:pos="9344"/>
        </w:tabs>
        <w:rPr>
          <w:rFonts w:asciiTheme="minorHAnsi" w:hAnsiTheme="minorHAnsi" w:eastAsiaTheme="minorEastAsia" w:cstheme="minorBidi"/>
          <w:szCs w:val="22"/>
        </w:rPr>
      </w:pPr>
      <w:r>
        <w:fldChar w:fldCharType="begin"/>
      </w:r>
      <w:r>
        <w:instrText xml:space="preserve"> HYPERLINK \l "_Toc209114111" </w:instrText>
      </w:r>
      <w:r>
        <w:fldChar w:fldCharType="separate"/>
      </w:r>
      <w:r>
        <w:rPr>
          <w:rStyle w:val="37"/>
        </w:rPr>
        <w:t>12 标志</w:t>
      </w:r>
      <w:r>
        <w:tab/>
      </w:r>
      <w:r>
        <w:fldChar w:fldCharType="begin"/>
      </w:r>
      <w:r>
        <w:instrText xml:space="preserve"> PAGEREF _Toc209114111 \h </w:instrText>
      </w:r>
      <w:r>
        <w:fldChar w:fldCharType="separate"/>
      </w:r>
      <w:r>
        <w:t>39</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"_Toc209114112" </w:instrText>
      </w:r>
      <w:r>
        <w:fldChar w:fldCharType="separate"/>
      </w:r>
      <w:r>
        <w:rPr>
          <w:rStyle w:val="37"/>
          <w14:scene3d w14:prst="orthographicFront">
            <w14:lightRig w14:rig="threePt" w14:dir="t">
              <w14:rot w14:lat="0" w14:lon="0" w14:rev="0"/>
            </w14:lightRig>
          </w14:scene3d>
        </w:rPr>
        <w:t>12.1</w:t>
      </w:r>
      <w:r>
        <w:rPr>
          <w:rStyle w:val="37"/>
        </w:rPr>
        <w:t xml:space="preserve"> 铭牌</w:t>
      </w:r>
      <w:r>
        <w:tab/>
      </w:r>
      <w:r>
        <w:fldChar w:fldCharType="begin"/>
      </w:r>
      <w:r>
        <w:instrText xml:space="preserve"> PAGEREF _Toc209114112 \h </w:instrText>
      </w:r>
      <w:r>
        <w:fldChar w:fldCharType="separate"/>
      </w:r>
      <w:r>
        <w:t>39</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"_Toc209114113" </w:instrText>
      </w:r>
      <w:r>
        <w:fldChar w:fldCharType="separate"/>
      </w:r>
      <w:r>
        <w:rPr>
          <w:rStyle w:val="37"/>
          <w14:scene3d w14:prst="orthographicFront">
            <w14:lightRig w14:rig="threePt" w14:dir="t">
              <w14:rot w14:lat="0" w14:lon="0" w14:rev="0"/>
            </w14:lightRig>
          </w14:scene3d>
        </w:rPr>
        <w:t>12.2</w:t>
      </w:r>
      <w:r>
        <w:rPr>
          <w:rStyle w:val="37"/>
        </w:rPr>
        <w:t xml:space="preserve"> 其它标识</w:t>
      </w:r>
      <w:r>
        <w:tab/>
      </w:r>
      <w:r>
        <w:fldChar w:fldCharType="begin"/>
      </w:r>
      <w:r>
        <w:instrText xml:space="preserve"> PAGEREF _Toc209114113 \h </w:instrText>
      </w:r>
      <w:r>
        <w:fldChar w:fldCharType="separate"/>
      </w:r>
      <w:r>
        <w:t>39</w:t>
      </w:r>
      <w:r>
        <w:fldChar w:fldCharType="end"/>
      </w:r>
      <w:r>
        <w:fldChar w:fldCharType="end"/>
      </w:r>
    </w:p>
    <w:p>
      <w:pPr>
        <w:pStyle w:val="23"/>
        <w:tabs>
          <w:tab w:val="right" w:leader="dot" w:pos="9344"/>
        </w:tabs>
        <w:rPr>
          <w:rFonts w:asciiTheme="minorHAnsi" w:hAnsiTheme="minorHAnsi" w:eastAsiaTheme="minorEastAsia" w:cstheme="minorBidi"/>
          <w:szCs w:val="22"/>
        </w:rPr>
      </w:pPr>
      <w:r>
        <w:fldChar w:fldCharType="begin"/>
      </w:r>
      <w:r>
        <w:instrText xml:space="preserve"> HYPERLINK \l "_Toc209114114" </w:instrText>
      </w:r>
      <w:r>
        <w:fldChar w:fldCharType="separate"/>
      </w:r>
      <w:r>
        <w:rPr>
          <w:rStyle w:val="37"/>
        </w:rPr>
        <w:t>13 包装与运输</w:t>
      </w:r>
      <w:r>
        <w:tab/>
      </w:r>
      <w:r>
        <w:fldChar w:fldCharType="begin"/>
      </w:r>
      <w:r>
        <w:instrText xml:space="preserve"> PAGEREF _Toc209114114 \h </w:instrText>
      </w:r>
      <w:r>
        <w:fldChar w:fldCharType="separate"/>
      </w:r>
      <w:r>
        <w:t>40</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"_Toc209114115" </w:instrText>
      </w:r>
      <w:r>
        <w:fldChar w:fldCharType="separate"/>
      </w:r>
      <w:r>
        <w:rPr>
          <w:rStyle w:val="37"/>
          <w14:scene3d w14:prst="orthographicFront">
            <w14:lightRig w14:rig="threePt" w14:dir="t">
              <w14:rot w14:lat="0" w14:lon="0" w14:rev="0"/>
            </w14:lightRig>
          </w14:scene3d>
        </w:rPr>
        <w:t>13.1</w:t>
      </w:r>
      <w:r>
        <w:rPr>
          <w:rStyle w:val="37"/>
        </w:rPr>
        <w:t xml:space="preserve"> 包装</w:t>
      </w:r>
      <w:r>
        <w:tab/>
      </w:r>
      <w:r>
        <w:fldChar w:fldCharType="begin"/>
      </w:r>
      <w:r>
        <w:instrText xml:space="preserve"> PAGEREF _Toc209114115 \h </w:instrText>
      </w:r>
      <w:r>
        <w:fldChar w:fldCharType="separate"/>
      </w:r>
      <w:r>
        <w:t>40</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"_Toc209114116" </w:instrText>
      </w:r>
      <w:r>
        <w:fldChar w:fldCharType="separate"/>
      </w:r>
      <w:r>
        <w:rPr>
          <w:rStyle w:val="37"/>
          <w14:scene3d w14:prst="orthographicFront">
            <w14:lightRig w14:rig="threePt" w14:dir="t">
              <w14:rot w14:lat="0" w14:lon="0" w14:rev="0"/>
            </w14:lightRig>
          </w14:scene3d>
        </w:rPr>
        <w:t>13.2</w:t>
      </w:r>
      <w:r>
        <w:rPr>
          <w:rStyle w:val="37"/>
        </w:rPr>
        <w:t xml:space="preserve"> 运输</w:t>
      </w:r>
      <w:r>
        <w:tab/>
      </w:r>
      <w:r>
        <w:fldChar w:fldCharType="begin"/>
      </w:r>
      <w:r>
        <w:instrText xml:space="preserve"> PAGEREF _Toc209114116 \h </w:instrText>
      </w:r>
      <w:r>
        <w:fldChar w:fldCharType="separate"/>
      </w:r>
      <w:r>
        <w:t>40</w:t>
      </w:r>
      <w:r>
        <w:fldChar w:fldCharType="end"/>
      </w:r>
      <w:r>
        <w:fldChar w:fldCharType="end"/>
      </w:r>
    </w:p>
    <w:p>
      <w:pPr>
        <w:pStyle w:val="23"/>
        <w:tabs>
          <w:tab w:val="right" w:leader="dot" w:pos="9344"/>
        </w:tabs>
        <w:rPr>
          <w:rFonts w:asciiTheme="minorHAnsi" w:hAnsiTheme="minorHAnsi" w:eastAsiaTheme="minorEastAsia" w:cstheme="minorBidi"/>
          <w:szCs w:val="22"/>
        </w:rPr>
      </w:pPr>
      <w:r>
        <w:fldChar w:fldCharType="begin"/>
      </w:r>
      <w:r>
        <w:instrText xml:space="preserve"> HYPERLINK \l "_Toc209114117" </w:instrText>
      </w:r>
      <w:r>
        <w:fldChar w:fldCharType="separate"/>
      </w:r>
      <w:r>
        <w:rPr>
          <w:rStyle w:val="37"/>
        </w:rPr>
        <w:t>14 产品交货文件</w:t>
      </w:r>
      <w:r>
        <w:tab/>
      </w:r>
      <w:r>
        <w:fldChar w:fldCharType="begin"/>
      </w:r>
      <w:r>
        <w:instrText xml:space="preserve"> PAGEREF _Toc209114117 \h </w:instrText>
      </w:r>
      <w:r>
        <w:fldChar w:fldCharType="separate"/>
      </w:r>
      <w:r>
        <w:t>40</w:t>
      </w:r>
      <w:r>
        <w:fldChar w:fldCharType="end"/>
      </w:r>
      <w:r>
        <w:fldChar w:fldCharType="end"/>
      </w:r>
    </w:p>
    <w:p>
      <w:pPr>
        <w:pStyle w:val="23"/>
        <w:tabs>
          <w:tab w:val="right" w:leader="dot" w:pos="9344"/>
        </w:tabs>
        <w:rPr>
          <w:rFonts w:asciiTheme="minorHAnsi" w:hAnsiTheme="minorHAnsi" w:eastAsiaTheme="minorEastAsia" w:cstheme="minorBidi"/>
          <w:szCs w:val="22"/>
        </w:rPr>
      </w:pPr>
      <w:r>
        <w:fldChar w:fldCharType="begin"/>
      </w:r>
      <w:r>
        <w:instrText xml:space="preserve"> HYPERLINK \l "_Toc209114118" </w:instrText>
      </w:r>
      <w:r>
        <w:fldChar w:fldCharType="separate"/>
      </w:r>
      <w:r>
        <w:rPr>
          <w:rStyle w:val="37"/>
          <w:spacing w:val="100"/>
        </w:rPr>
        <w:t>附录A</w:t>
      </w:r>
      <w:r>
        <w:rPr>
          <w:rStyle w:val="37"/>
        </w:rPr>
        <w:t xml:space="preserve"> （资料性） 掺氢撬工艺流程及结构布置示意图</w:t>
      </w:r>
      <w:r>
        <w:tab/>
      </w:r>
      <w:r>
        <w:fldChar w:fldCharType="begin"/>
      </w:r>
      <w:r>
        <w:instrText xml:space="preserve"> PAGEREF _Toc209114118 \h </w:instrText>
      </w:r>
      <w:r>
        <w:fldChar w:fldCharType="separate"/>
      </w:r>
      <w:r>
        <w:t>41</w:t>
      </w:r>
      <w:r>
        <w:fldChar w:fldCharType="end"/>
      </w:r>
      <w:r>
        <w:fldChar w:fldCharType="end"/>
      </w:r>
    </w:p>
    <w:p>
      <w:pPr>
        <w:pStyle w:val="23"/>
        <w:tabs>
          <w:tab w:val="right" w:leader="dot" w:pos="9344"/>
        </w:tabs>
        <w:rPr>
          <w:rFonts w:asciiTheme="minorHAnsi" w:hAnsiTheme="minorHAnsi" w:eastAsiaTheme="minorEastAsia" w:cstheme="minorBidi"/>
          <w:szCs w:val="22"/>
        </w:rPr>
      </w:pPr>
      <w:r>
        <w:fldChar w:fldCharType="begin"/>
      </w:r>
      <w:r>
        <w:instrText xml:space="preserve"> HYPERLINK \l "_Toc209114119" </w:instrText>
      </w:r>
      <w:r>
        <w:fldChar w:fldCharType="separate"/>
      </w:r>
      <w:r>
        <w:rPr>
          <w:rStyle w:val="37"/>
          <w:spacing w:val="100"/>
        </w:rPr>
        <w:t>附录B</w:t>
      </w:r>
      <w:r>
        <w:rPr>
          <w:rStyle w:val="37"/>
        </w:rPr>
        <w:t xml:space="preserve"> （资料性） 应力分析报告模版</w:t>
      </w:r>
      <w:r>
        <w:tab/>
      </w:r>
      <w:r>
        <w:fldChar w:fldCharType="begin"/>
      </w:r>
      <w:r>
        <w:instrText xml:space="preserve"> PAGEREF _Toc209114119 \h </w:instrText>
      </w:r>
      <w:r>
        <w:fldChar w:fldCharType="separate"/>
      </w:r>
      <w:r>
        <w:t>44</w:t>
      </w:r>
      <w:r>
        <w:fldChar w:fldCharType="end"/>
      </w:r>
      <w:r>
        <w:fldChar w:fldCharType="end"/>
      </w:r>
    </w:p>
    <w:p>
      <w:pPr>
        <w:pStyle w:val="23"/>
        <w:tabs>
          <w:tab w:val="right" w:leader="dot" w:pos="9344"/>
        </w:tabs>
        <w:rPr>
          <w:rFonts w:asciiTheme="minorHAnsi" w:hAnsiTheme="minorHAnsi" w:eastAsiaTheme="minorEastAsia" w:cstheme="minorBidi"/>
          <w:szCs w:val="22"/>
        </w:rPr>
      </w:pPr>
      <w:r>
        <w:fldChar w:fldCharType="begin"/>
      </w:r>
      <w:r>
        <w:instrText xml:space="preserve"> HYPERLINK \l "_Toc209114120" </w:instrText>
      </w:r>
      <w:r>
        <w:fldChar w:fldCharType="separate"/>
      </w:r>
      <w:r>
        <w:rPr>
          <w:rStyle w:val="37"/>
          <w:spacing w:val="100"/>
        </w:rPr>
        <w:t>附录C</w:t>
      </w:r>
      <w:r>
        <w:rPr>
          <w:rStyle w:val="37"/>
        </w:rPr>
        <w:t xml:space="preserve"> （规范性） 管端的坡口型式及组对尺寸</w:t>
      </w:r>
      <w:r>
        <w:tab/>
      </w:r>
      <w:r>
        <w:fldChar w:fldCharType="begin"/>
      </w:r>
      <w:r>
        <w:instrText xml:space="preserve"> PAGEREF _Toc209114120 \h </w:instrText>
      </w:r>
      <w:r>
        <w:fldChar w:fldCharType="separate"/>
      </w:r>
      <w:r>
        <w:t>49</w:t>
      </w:r>
      <w:r>
        <w:fldChar w:fldCharType="end"/>
      </w:r>
      <w:r>
        <w:fldChar w:fldCharType="end"/>
      </w:r>
    </w:p>
    <w:p>
      <w:pPr>
        <w:pStyle w:val="23"/>
        <w:tabs>
          <w:tab w:val="right" w:leader="dot" w:pos="9344"/>
        </w:tabs>
        <w:rPr>
          <w:rFonts w:asciiTheme="minorHAnsi" w:hAnsiTheme="minorHAnsi" w:eastAsiaTheme="minorEastAsia" w:cstheme="minorBidi"/>
          <w:szCs w:val="22"/>
        </w:rPr>
      </w:pPr>
      <w:r>
        <w:fldChar w:fldCharType="begin"/>
      </w:r>
      <w:r>
        <w:instrText xml:space="preserve"> HYPERLINK \l "_Toc209114121" </w:instrText>
      </w:r>
      <w:r>
        <w:fldChar w:fldCharType="separate"/>
      </w:r>
      <w:r>
        <w:rPr>
          <w:rStyle w:val="37"/>
          <w:spacing w:val="100"/>
        </w:rPr>
        <w:t>附录D</w:t>
      </w:r>
      <w:r>
        <w:rPr>
          <w:rStyle w:val="37"/>
        </w:rPr>
        <w:t xml:space="preserve"> （资料性） 掺氢撬混合均匀度现场测试方法</w:t>
      </w:r>
      <w:r>
        <w:tab/>
      </w:r>
      <w:r>
        <w:fldChar w:fldCharType="begin"/>
      </w:r>
      <w:r>
        <w:instrText xml:space="preserve"> PAGEREF _Toc209114121 \h </w:instrText>
      </w:r>
      <w:r>
        <w:fldChar w:fldCharType="separate"/>
      </w:r>
      <w:r>
        <w:t>52</w:t>
      </w:r>
      <w:r>
        <w:fldChar w:fldCharType="end"/>
      </w:r>
      <w:r>
        <w:fldChar w:fldCharType="end"/>
      </w:r>
    </w:p>
    <w:p>
      <w:pPr>
        <w:pStyle w:val="96"/>
        <w:spacing w:after="360"/>
        <w:sectPr>
          <w:headerReference r:id="rId8" w:type="default"/>
          <w:footerReference r:id="rId10" w:type="default"/>
          <w:headerReference r:id="rId9" w:type="even"/>
          <w:pgSz w:w="11906" w:h="16838"/>
          <w:pgMar w:top="1928" w:right="1134" w:bottom="1134" w:left="1134" w:header="1418" w:footer="1134" w:gutter="284"/>
          <w:pgNumType w:fmt="upperRoman" w:start="1"/>
          <w:cols w:space="425" w:num="1"/>
          <w:formProt w:val="0"/>
          <w:docGrid w:linePitch="312" w:charSpace="0"/>
        </w:sectPr>
      </w:pPr>
      <w:r>
        <w:fldChar w:fldCharType="end"/>
      </w:r>
    </w:p>
    <w:bookmarkEnd w:id="0"/>
    <w:p>
      <w:pPr>
        <w:pStyle w:val="94"/>
        <w:spacing w:before="900" w:after="360"/>
      </w:pPr>
      <w:bookmarkStart w:id="1" w:name="_Toc209114031"/>
      <w:bookmarkStart w:id="2" w:name="BookMark2"/>
      <w:r>
        <w:rPr>
          <w:spacing w:val="320"/>
        </w:rPr>
        <w:t>前</w:t>
      </w:r>
      <w:r>
        <w:t>言</w:t>
      </w:r>
      <w:bookmarkEnd w:id="1"/>
    </w:p>
    <w:p>
      <w:pPr>
        <w:pStyle w:val="61"/>
        <w:ind w:firstLine="420"/>
      </w:pPr>
      <w:r>
        <w:rPr>
          <w:rFonts w:hint="eastAsia"/>
        </w:rPr>
        <w:t>本文件按照GB/T 1.1—2020《标准化工作导则  第1部分：标准化文件的结构和起草规则》的规定起草。</w:t>
      </w:r>
    </w:p>
    <w:p>
      <w:pPr>
        <w:pStyle w:val="61"/>
        <w:ind w:firstLine="420"/>
      </w:pPr>
      <w:r>
        <w:rPr>
          <w:rFonts w:hint="eastAsia"/>
        </w:rPr>
        <w:t>请注意本文件的某些内容可能涉及专利。本文件的发布机构不承担识别专利的责任。</w:t>
      </w:r>
    </w:p>
    <w:p>
      <w:pPr>
        <w:pStyle w:val="235"/>
      </w:pPr>
      <w:r>
        <w:t>本文件由</w:t>
      </w:r>
      <w:r>
        <w:rPr>
          <w:rFonts w:hint="eastAsia"/>
        </w:rPr>
        <w:t>中国石油和石油化工设备工业协会专业标准化技术委员会提出并归口</w:t>
      </w:r>
      <w:r>
        <w:t>。</w:t>
      </w:r>
    </w:p>
    <w:p>
      <w:pPr>
        <w:pStyle w:val="61"/>
        <w:ind w:firstLine="420"/>
      </w:pPr>
      <w:r>
        <w:rPr>
          <w:rFonts w:hint="eastAsia"/>
        </w:rPr>
        <w:t>本文件起草单位：中油管道机械制造有限责任公司、中国石油天然气管道科学研究院有限公司、航天晨光股份有限公司化工机械分公司、中国石油大学（北京）、中国石油大学（华东）、国家管网集团研究总院、中国石油天然气集团公司规划总院、国家电投集团中央研究院、长庆工程设计有限公司、 国家管网集团工程技术创新有限公司、国家管网集团西部管道公司。</w:t>
      </w:r>
    </w:p>
    <w:p>
      <w:pPr>
        <w:pStyle w:val="61"/>
        <w:ind w:firstLine="420"/>
      </w:pPr>
      <w:r>
        <w:rPr>
          <w:rFonts w:hint="eastAsia"/>
        </w:rPr>
        <w:t>本文件主要起草人：起草人一、起草人二、起草人三、……。</w:t>
      </w:r>
    </w:p>
    <w:p>
      <w:pPr>
        <w:pStyle w:val="61"/>
        <w:ind w:firstLine="420"/>
      </w:pPr>
      <w:r>
        <w:rPr>
          <w:rFonts w:hint="eastAsia"/>
        </w:rPr>
        <w:t>本文件主要审查人：</w:t>
      </w:r>
      <w:r>
        <w:t xml:space="preserve"> </w:t>
      </w:r>
    </w:p>
    <w:p>
      <w:pPr>
        <w:pStyle w:val="61"/>
        <w:ind w:firstLine="420"/>
      </w:pPr>
    </w:p>
    <w:p>
      <w:pPr>
        <w:pStyle w:val="61"/>
        <w:ind w:firstLine="420"/>
        <w:sectPr>
          <w:pgSz w:w="11906" w:h="16838"/>
          <w:pgMar w:top="1928" w:right="1134" w:bottom="1134" w:left="1134" w:header="1418" w:footer="1134" w:gutter="284"/>
          <w:pgNumType w:fmt="upperRoman"/>
          <w:cols w:space="425" w:num="1"/>
          <w:formProt w:val="0"/>
          <w:docGrid w:linePitch="312" w:charSpace="0"/>
        </w:sectPr>
      </w:pPr>
    </w:p>
    <w:bookmarkEnd w:id="2"/>
    <w:p>
      <w:pPr>
        <w:spacing w:line="20" w:lineRule="exact"/>
        <w:jc w:val="center"/>
        <w:rPr>
          <w:rFonts w:ascii="黑体" w:hAnsi="黑体" w:eastAsia="黑体"/>
          <w:sz w:val="32"/>
          <w:szCs w:val="32"/>
        </w:rPr>
      </w:pPr>
      <w:bookmarkStart w:id="3" w:name="BookMark4"/>
    </w:p>
    <w:p>
      <w:pPr>
        <w:spacing w:line="20" w:lineRule="exact"/>
        <w:jc w:val="center"/>
        <w:rPr>
          <w:rFonts w:ascii="黑体" w:hAnsi="黑体" w:eastAsia="黑体"/>
          <w:sz w:val="32"/>
          <w:szCs w:val="32"/>
        </w:rPr>
      </w:pPr>
    </w:p>
    <w:sdt>
      <w:sdtPr>
        <w:tag w:val="NEW_STAND_NAME"/>
        <w:id w:val="595910757"/>
        <w:lock w:val="sdtLocked"/>
        <w:placeholder>
          <w:docPart w:val="07E7ABCB7A2B4B63BEE127568C2A4C53"/>
        </w:placeholder>
      </w:sdtPr>
      <w:sdtContent>
        <w:p>
          <w:pPr>
            <w:pStyle w:val="182"/>
            <w:spacing w:before="2" w:beforeLines="1" w:after="528" w:afterLines="220"/>
          </w:pPr>
          <w:bookmarkStart w:id="4" w:name="NEW_STAND_NAME"/>
          <w:r>
            <w:rPr>
              <w:rFonts w:hint="eastAsia"/>
            </w:rPr>
            <w:t>撬装式天然气</w:t>
          </w:r>
          <w:r>
            <w:rPr>
              <w:rFonts w:hint="eastAsia"/>
              <w:lang w:val="en-US" w:eastAsia="zh-CN"/>
            </w:rPr>
            <w:t>管道</w:t>
          </w:r>
          <w:r>
            <w:rPr>
              <w:rFonts w:hint="eastAsia"/>
            </w:rPr>
            <w:t>掺氢混气系统</w:t>
          </w:r>
        </w:p>
      </w:sdtContent>
    </w:sdt>
    <w:bookmarkEnd w:id="4"/>
    <w:p>
      <w:pPr>
        <w:pStyle w:val="109"/>
        <w:spacing w:before="240" w:after="240"/>
      </w:pPr>
      <w:bookmarkStart w:id="5" w:name="_Toc24884211"/>
      <w:bookmarkStart w:id="6" w:name="_Toc17233333"/>
      <w:bookmarkStart w:id="7" w:name="_Toc207179457"/>
      <w:bookmarkStart w:id="8" w:name="_Toc209114032"/>
      <w:bookmarkStart w:id="9" w:name="_Toc26986530"/>
      <w:bookmarkStart w:id="10" w:name="_Toc26648465"/>
      <w:bookmarkStart w:id="11" w:name="_Toc97192964"/>
      <w:bookmarkStart w:id="12" w:name="_Toc17233325"/>
      <w:bookmarkStart w:id="13" w:name="_Toc26986771"/>
      <w:bookmarkStart w:id="14" w:name="_Toc24884218"/>
      <w:bookmarkStart w:id="15" w:name="_Toc26718930"/>
      <w:r>
        <w:rPr>
          <w:rFonts w:hint="eastAsia"/>
        </w:rPr>
        <w:t>范围</w:t>
      </w:r>
      <w:bookmarkEnd w:id="5"/>
      <w:bookmarkEnd w:id="6"/>
      <w:bookmarkEnd w:id="7"/>
      <w:bookmarkEnd w:id="8"/>
      <w:bookmarkEnd w:id="9"/>
      <w:bookmarkEnd w:id="10"/>
      <w:bookmarkEnd w:id="11"/>
      <w:bookmarkEnd w:id="12"/>
      <w:bookmarkEnd w:id="13"/>
      <w:bookmarkEnd w:id="14"/>
      <w:bookmarkEnd w:id="15"/>
    </w:p>
    <w:p>
      <w:pPr>
        <w:pStyle w:val="61"/>
        <w:ind w:firstLine="420"/>
      </w:pPr>
      <w:bookmarkStart w:id="16" w:name="_Toc24884219"/>
      <w:bookmarkStart w:id="17" w:name="_Toc24884212"/>
      <w:bookmarkStart w:id="18" w:name="_Toc17233326"/>
      <w:bookmarkStart w:id="19" w:name="_Toc26648466"/>
      <w:bookmarkStart w:id="20" w:name="_Toc17233334"/>
      <w:r>
        <w:t>本文件规定了</w:t>
      </w:r>
      <w:r>
        <w:rPr>
          <w:rFonts w:hint="eastAsia"/>
        </w:rPr>
        <w:t>撬装式天然气管道掺氢混气系统（以下简称“掺氢撬”）</w:t>
      </w:r>
      <w:r>
        <w:t>的</w:t>
      </w:r>
      <w:r>
        <w:rPr>
          <w:rFonts w:hint="eastAsia"/>
        </w:rPr>
        <w:t>选材、计算、设计、制造、检验、试压、吹扫、干燥、防腐保温与涂饰、包装运输的技术要求，描述了检验、测试的方法，给出了标志方式和产品交货文件的种类。</w:t>
      </w:r>
    </w:p>
    <w:p>
      <w:pPr>
        <w:pStyle w:val="61"/>
        <w:ind w:firstLine="420"/>
      </w:pPr>
      <w:r>
        <w:t>本文件适用于</w:t>
      </w:r>
      <w:r>
        <w:rPr>
          <w:rFonts w:hint="eastAsia"/>
        </w:rPr>
        <w:t>最大工作压力</w:t>
      </w:r>
      <w:r>
        <w:t>不大于</w:t>
      </w:r>
      <w:r>
        <w:rPr>
          <w:rFonts w:hint="eastAsia"/>
        </w:rPr>
        <w:t>20MPa、氢气掺混比例不超过20%（体积分数）</w:t>
      </w:r>
      <w:r>
        <w:t>的</w:t>
      </w:r>
      <w:r>
        <w:rPr>
          <w:rFonts w:hint="eastAsia"/>
        </w:rPr>
        <w:t>掺氢撬</w:t>
      </w:r>
      <w:r>
        <w:t>。</w:t>
      </w:r>
    </w:p>
    <w:p>
      <w:pPr>
        <w:pStyle w:val="109"/>
        <w:spacing w:before="240" w:after="240"/>
      </w:pPr>
      <w:bookmarkStart w:id="21" w:name="_Toc97192965"/>
      <w:bookmarkStart w:id="22" w:name="_Toc26718931"/>
      <w:bookmarkStart w:id="23" w:name="_Toc26986772"/>
      <w:bookmarkStart w:id="24" w:name="_Toc26986531"/>
      <w:bookmarkStart w:id="25" w:name="_Toc207179458"/>
      <w:bookmarkStart w:id="26" w:name="_Toc209114033"/>
      <w:r>
        <w:rPr>
          <w:rFonts w:hint="eastAsia"/>
        </w:rPr>
        <w:t>规范性引用文件</w:t>
      </w:r>
      <w:bookmarkEnd w:id="16"/>
      <w:bookmarkEnd w:id="17"/>
      <w:bookmarkEnd w:id="18"/>
      <w:bookmarkEnd w:id="19"/>
      <w:bookmarkEnd w:id="20"/>
      <w:bookmarkEnd w:id="21"/>
      <w:bookmarkEnd w:id="22"/>
      <w:bookmarkEnd w:id="23"/>
      <w:bookmarkEnd w:id="24"/>
      <w:bookmarkEnd w:id="25"/>
      <w:bookmarkEnd w:id="26"/>
    </w:p>
    <w:sdt>
      <w:sdtPr>
        <w:rPr>
          <w:rFonts w:hint="eastAsia"/>
        </w:rPr>
        <w:id w:val="715848253"/>
        <w:placeholder>
          <w:docPart w:val="BFE2BFEA334142DFB6D6B9D00FD86820"/>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61"/>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61"/>
        <w:ind w:firstLine="420"/>
      </w:pPr>
      <w:r>
        <w:rPr>
          <w:rFonts w:hint="eastAsia"/>
        </w:rPr>
        <w:t>GB/T 150（所有部分）  压力容器</w:t>
      </w:r>
    </w:p>
    <w:p>
      <w:pPr>
        <w:pStyle w:val="61"/>
        <w:ind w:firstLine="420"/>
      </w:pPr>
      <w:r>
        <w:rPr>
          <w:rFonts w:hint="eastAsia"/>
        </w:rPr>
        <w:t>GB/T 151  热交换器</w:t>
      </w:r>
      <w:bookmarkStart w:id="243" w:name="_GoBack"/>
      <w:bookmarkEnd w:id="243"/>
    </w:p>
    <w:p>
      <w:pPr>
        <w:pStyle w:val="61"/>
        <w:ind w:firstLine="420"/>
      </w:pPr>
      <w:r>
        <w:rPr>
          <w:rFonts w:hint="eastAsia"/>
        </w:rPr>
        <w:t>GB/T 983  不锈钢焊条</w:t>
      </w:r>
    </w:p>
    <w:p>
      <w:pPr>
        <w:pStyle w:val="61"/>
        <w:ind w:firstLine="420"/>
      </w:pPr>
      <w:r>
        <w:rPr>
          <w:rFonts w:hint="eastAsia"/>
        </w:rPr>
        <w:t>GB/T 1220  不锈钢棒</w:t>
      </w:r>
    </w:p>
    <w:p>
      <w:pPr>
        <w:pStyle w:val="61"/>
        <w:ind w:firstLine="420"/>
      </w:pPr>
      <w:r>
        <w:rPr>
          <w:rFonts w:hint="eastAsia"/>
        </w:rPr>
        <w:t>GB/T 3077  合金结构钢</w:t>
      </w:r>
    </w:p>
    <w:p>
      <w:pPr>
        <w:pStyle w:val="61"/>
        <w:ind w:firstLine="420"/>
      </w:pPr>
      <w:r>
        <w:rPr>
          <w:rFonts w:hint="eastAsia"/>
        </w:rPr>
        <w:t>GB 3096  声环境质量标准</w:t>
      </w:r>
    </w:p>
    <w:p>
      <w:pPr>
        <w:pStyle w:val="61"/>
        <w:ind w:firstLine="420"/>
      </w:pPr>
      <w:r>
        <w:rPr>
          <w:rFonts w:hint="eastAsia"/>
        </w:rPr>
        <w:t>GB/T 3280  不锈钢冷轧钢板和钢带</w:t>
      </w:r>
    </w:p>
    <w:p>
      <w:pPr>
        <w:pStyle w:val="61"/>
        <w:ind w:firstLine="420"/>
      </w:pPr>
      <w:r>
        <w:rPr>
          <w:rFonts w:hint="eastAsia"/>
        </w:rPr>
        <w:t>GB/T 3765 卡套管接头技术条件</w:t>
      </w:r>
    </w:p>
    <w:p>
      <w:pPr>
        <w:pStyle w:val="61"/>
        <w:ind w:firstLine="420"/>
      </w:pPr>
      <w:r>
        <w:rPr>
          <w:rFonts w:hint="eastAsia"/>
        </w:rPr>
        <w:t>GB 3836（所有部分）  爆炸性气体环境用电气设备</w:t>
      </w:r>
    </w:p>
    <w:p>
      <w:pPr>
        <w:pStyle w:val="61"/>
        <w:ind w:firstLine="420"/>
      </w:pPr>
      <w:r>
        <w:rPr>
          <w:rFonts w:hint="eastAsia"/>
        </w:rPr>
        <w:t>GB/T 3965   熔敷金属中扩散氢测定方法</w:t>
      </w:r>
    </w:p>
    <w:p>
      <w:pPr>
        <w:pStyle w:val="61"/>
        <w:ind w:firstLine="420"/>
      </w:pPr>
      <w:r>
        <w:rPr>
          <w:rFonts w:hint="eastAsia"/>
        </w:rPr>
        <w:t>GB/T 4208 外壳防护等级(IP代码)</w:t>
      </w:r>
    </w:p>
    <w:p>
      <w:pPr>
        <w:pStyle w:val="61"/>
        <w:ind w:firstLine="420"/>
      </w:pPr>
      <w:r>
        <w:rPr>
          <w:rFonts w:hint="eastAsia"/>
        </w:rPr>
        <w:t>GB/T 4732  压力容器分析设计</w:t>
      </w:r>
    </w:p>
    <w:p>
      <w:pPr>
        <w:pStyle w:val="61"/>
        <w:ind w:firstLine="420"/>
      </w:pPr>
      <w:r>
        <w:rPr>
          <w:rFonts w:hint="eastAsia"/>
        </w:rPr>
        <w:t>GB 4943.1-2022 音视频、信息技术和通信技术设备 第1部分：安全要求</w:t>
      </w:r>
    </w:p>
    <w:p>
      <w:pPr>
        <w:pStyle w:val="61"/>
        <w:ind w:firstLine="420"/>
      </w:pPr>
      <w:r>
        <w:rPr>
          <w:rFonts w:hint="eastAsia"/>
        </w:rPr>
        <w:t>GB/T 5310  高压锅炉用无缝钢管</w:t>
      </w:r>
    </w:p>
    <w:p>
      <w:pPr>
        <w:pStyle w:val="61"/>
        <w:ind w:firstLine="420"/>
      </w:pPr>
      <w:r>
        <w:rPr>
          <w:rFonts w:hint="eastAsia"/>
        </w:rPr>
        <w:t>GB/T 6479  高压化肥设备用无缝钢管</w:t>
      </w:r>
    </w:p>
    <w:p>
      <w:pPr>
        <w:pStyle w:val="61"/>
        <w:ind w:firstLine="420"/>
      </w:pPr>
      <w:r>
        <w:rPr>
          <w:rFonts w:hint="eastAsia"/>
        </w:rPr>
        <w:t>GB 7231  工业管道的基本识别色、识别符号和安全标识</w:t>
      </w:r>
    </w:p>
    <w:p>
      <w:pPr>
        <w:pStyle w:val="61"/>
        <w:ind w:firstLine="420"/>
      </w:pPr>
      <w:r>
        <w:rPr>
          <w:rFonts w:hint="eastAsia"/>
        </w:rPr>
        <w:t>GB/T 7735-2016  无缝和焊接（埋弧焊除外）钢管缺欠的自动涡流检测</w:t>
      </w:r>
    </w:p>
    <w:p>
      <w:pPr>
        <w:pStyle w:val="61"/>
        <w:ind w:firstLine="420"/>
      </w:pPr>
      <w:r>
        <w:rPr>
          <w:rFonts w:hint="eastAsia"/>
        </w:rPr>
        <w:t>GB/T 8163  输送流体用无缝钢管</w:t>
      </w:r>
    </w:p>
    <w:p>
      <w:pPr>
        <w:pStyle w:val="61"/>
        <w:ind w:firstLine="420"/>
      </w:pPr>
      <w:r>
        <w:rPr>
          <w:rFonts w:hint="eastAsia"/>
        </w:rPr>
        <w:t>GB/T 8464  铁制和铜制螺纹连接阀门</w:t>
      </w:r>
    </w:p>
    <w:p>
      <w:pPr>
        <w:pStyle w:val="61"/>
        <w:ind w:firstLine="420"/>
      </w:pPr>
      <w:r>
        <w:rPr>
          <w:rFonts w:hint="eastAsia"/>
        </w:rPr>
        <w:t>GB/T 9711-2023  石油天然气工业 管线输送系统用钢管</w:t>
      </w:r>
    </w:p>
    <w:p>
      <w:pPr>
        <w:pStyle w:val="61"/>
        <w:ind w:firstLine="420"/>
      </w:pPr>
      <w:r>
        <w:rPr>
          <w:rFonts w:hint="eastAsia"/>
        </w:rPr>
        <w:t>GB/T 12224  钢制阀门 一般要求</w:t>
      </w:r>
    </w:p>
    <w:p>
      <w:pPr>
        <w:pStyle w:val="61"/>
        <w:ind w:firstLine="420"/>
      </w:pPr>
      <w:r>
        <w:rPr>
          <w:rFonts w:hint="eastAsia"/>
        </w:rPr>
        <w:t>GB/T 12232  通用阀门 法兰连接铁制闸阀</w:t>
      </w:r>
    </w:p>
    <w:p>
      <w:pPr>
        <w:pStyle w:val="61"/>
        <w:ind w:firstLine="420"/>
      </w:pPr>
      <w:r>
        <w:rPr>
          <w:rFonts w:hint="eastAsia"/>
        </w:rPr>
        <w:t>GB/T 12233  通用阀门 铁制截止阀和升降式止回阀</w:t>
      </w:r>
    </w:p>
    <w:p>
      <w:pPr>
        <w:pStyle w:val="61"/>
        <w:ind w:firstLine="420"/>
      </w:pPr>
      <w:r>
        <w:rPr>
          <w:rFonts w:hint="eastAsia"/>
        </w:rPr>
        <w:t>GB/T 12234  石油、天然气工业用螺柱连接阀盖的钢制闸阀</w:t>
      </w:r>
    </w:p>
    <w:p>
      <w:pPr>
        <w:pStyle w:val="61"/>
        <w:ind w:firstLine="420"/>
      </w:pPr>
      <w:r>
        <w:rPr>
          <w:rFonts w:hint="eastAsia"/>
        </w:rPr>
        <w:t>GB/T 12235  石油、石化及相关工业用钢制截止阀和升降式止回阀</w:t>
      </w:r>
    </w:p>
    <w:p>
      <w:pPr>
        <w:pStyle w:val="61"/>
        <w:ind w:firstLine="420"/>
      </w:pPr>
      <w:r>
        <w:rPr>
          <w:rFonts w:hint="eastAsia"/>
        </w:rPr>
        <w:t xml:space="preserve">GB/T 12236  石油、化工及相关工业用的钢制旋启式止回阀 </w:t>
      </w:r>
    </w:p>
    <w:p>
      <w:pPr>
        <w:pStyle w:val="61"/>
        <w:ind w:firstLine="420"/>
      </w:pPr>
      <w:r>
        <w:rPr>
          <w:rFonts w:hint="eastAsia"/>
        </w:rPr>
        <w:t>GB/T 12237  石油、石化及相关工业用的钢制球阀</w:t>
      </w:r>
    </w:p>
    <w:p>
      <w:pPr>
        <w:pStyle w:val="61"/>
        <w:ind w:firstLine="420"/>
      </w:pPr>
      <w:r>
        <w:rPr>
          <w:rFonts w:hint="eastAsia"/>
        </w:rPr>
        <w:t>GB/T 12238  法兰和对夹连接弹性密封蝶阀</w:t>
      </w:r>
    </w:p>
    <w:p>
      <w:pPr>
        <w:pStyle w:val="61"/>
        <w:ind w:firstLine="420"/>
      </w:pPr>
      <w:r>
        <w:rPr>
          <w:rFonts w:hint="eastAsia"/>
        </w:rPr>
        <w:t>GB/T 12240  钢制旋塞阀</w:t>
      </w:r>
    </w:p>
    <w:p>
      <w:pPr>
        <w:pStyle w:val="61"/>
        <w:ind w:firstLine="420"/>
      </w:pPr>
      <w:r>
        <w:rPr>
          <w:rFonts w:hint="eastAsia"/>
        </w:rPr>
        <w:t>GB/T 12241  安全阀 一般要求</w:t>
      </w:r>
    </w:p>
    <w:p>
      <w:pPr>
        <w:pStyle w:val="61"/>
        <w:ind w:firstLine="420"/>
      </w:pPr>
      <w:r>
        <w:rPr>
          <w:rFonts w:hint="eastAsia"/>
        </w:rPr>
        <w:t>GB/T 12243  弹簧直接载荷式安全阀</w:t>
      </w:r>
    </w:p>
    <w:p>
      <w:pPr>
        <w:pStyle w:val="61"/>
        <w:ind w:firstLine="420"/>
      </w:pPr>
      <w:r>
        <w:rPr>
          <w:rFonts w:hint="eastAsia"/>
        </w:rPr>
        <w:t>GB/T 12459  钢制对焊管件 类型与参数</w:t>
      </w:r>
    </w:p>
    <w:p>
      <w:pPr>
        <w:pStyle w:val="61"/>
        <w:ind w:firstLine="420"/>
      </w:pPr>
      <w:r>
        <w:rPr>
          <w:rFonts w:hint="eastAsia"/>
        </w:rPr>
        <w:t>GB 12791  点型紫外火焰探测器</w:t>
      </w:r>
    </w:p>
    <w:p>
      <w:pPr>
        <w:pStyle w:val="61"/>
        <w:ind w:firstLine="420"/>
      </w:pPr>
      <w:r>
        <w:rPr>
          <w:rFonts w:hint="eastAsia"/>
        </w:rPr>
        <w:t>GB/T 13384  机电产品包装通用技术条件</w:t>
      </w:r>
    </w:p>
    <w:p>
      <w:pPr>
        <w:pStyle w:val="61"/>
        <w:ind w:firstLine="420"/>
      </w:pPr>
      <w:r>
        <w:rPr>
          <w:rFonts w:hint="eastAsia"/>
        </w:rPr>
        <w:t>GB/T 13401  钢制对焊管件 技术规范</w:t>
      </w:r>
    </w:p>
    <w:p>
      <w:pPr>
        <w:pStyle w:val="61"/>
        <w:ind w:firstLine="420"/>
      </w:pPr>
      <w:r>
        <w:rPr>
          <w:rFonts w:hint="eastAsia"/>
        </w:rPr>
        <w:t>GB/T 13932  铁制旋启式止回阀</w:t>
      </w:r>
    </w:p>
    <w:p>
      <w:pPr>
        <w:pStyle w:val="61"/>
        <w:ind w:firstLine="420"/>
      </w:pPr>
      <w:r>
        <w:rPr>
          <w:rFonts w:hint="eastAsia"/>
        </w:rPr>
        <w:t>GB/T 13955  剩余电流动作保护装置安装和运行</w:t>
      </w:r>
    </w:p>
    <w:p>
      <w:pPr>
        <w:pStyle w:val="61"/>
        <w:ind w:firstLine="420"/>
      </w:pPr>
      <w:r>
        <w:rPr>
          <w:rFonts w:hint="eastAsia"/>
        </w:rPr>
        <w:t>GB/T 14048.1  低压开关设备和控制设备 第1部分：总则</w:t>
      </w:r>
    </w:p>
    <w:p>
      <w:pPr>
        <w:pStyle w:val="61"/>
        <w:ind w:firstLine="420"/>
      </w:pPr>
      <w:r>
        <w:rPr>
          <w:rFonts w:hint="eastAsia"/>
        </w:rPr>
        <w:t>GB/T 14976   流体输送用不锈钢无缝钢管</w:t>
      </w:r>
    </w:p>
    <w:p>
      <w:pPr>
        <w:pStyle w:val="61"/>
        <w:ind w:firstLine="420"/>
      </w:pPr>
      <w:r>
        <w:rPr>
          <w:rFonts w:hint="eastAsia"/>
        </w:rPr>
        <w:t>GB 15631  特种火灾探测器</w:t>
      </w:r>
    </w:p>
    <w:p>
      <w:pPr>
        <w:pStyle w:val="61"/>
        <w:ind w:firstLine="420"/>
      </w:pPr>
      <w:r>
        <w:rPr>
          <w:rFonts w:hint="eastAsia"/>
        </w:rPr>
        <w:t>GB/T 17185  钢制法兰管件</w:t>
      </w:r>
    </w:p>
    <w:p>
      <w:pPr>
        <w:pStyle w:val="61"/>
        <w:ind w:firstLine="420"/>
      </w:pPr>
      <w:r>
        <w:rPr>
          <w:rFonts w:hint="eastAsia"/>
        </w:rPr>
        <w:t>GB/T 17393  覆盖奥氏体不锈钢用绝热材料规范</w:t>
      </w:r>
    </w:p>
    <w:p>
      <w:pPr>
        <w:pStyle w:val="61"/>
        <w:ind w:firstLine="420"/>
      </w:pPr>
      <w:r>
        <w:rPr>
          <w:rFonts w:hint="eastAsia"/>
        </w:rPr>
        <w:t>GB/T 17853  不锈钢药芯焊丝</w:t>
      </w:r>
    </w:p>
    <w:p>
      <w:pPr>
        <w:pStyle w:val="61"/>
        <w:ind w:firstLine="420"/>
      </w:pPr>
      <w:r>
        <w:rPr>
          <w:rFonts w:hint="eastAsia"/>
        </w:rPr>
        <w:t>GB/T 18604  用气体超声波流量计测量天然气流量</w:t>
      </w:r>
    </w:p>
    <w:p>
      <w:pPr>
        <w:pStyle w:val="61"/>
        <w:ind w:firstLine="420"/>
      </w:pPr>
      <w:r>
        <w:rPr>
          <w:rFonts w:hint="eastAsia"/>
        </w:rPr>
        <w:t>GB/T 19326  锻制支管座</w:t>
      </w:r>
    </w:p>
    <w:p>
      <w:pPr>
        <w:pStyle w:val="61"/>
        <w:ind w:firstLine="420"/>
      </w:pPr>
      <w:r>
        <w:rPr>
          <w:rFonts w:hint="eastAsia"/>
        </w:rPr>
        <w:t>GB/T 20801（所有部分）  压力管道规范 工业管道</w:t>
      </w:r>
    </w:p>
    <w:p>
      <w:pPr>
        <w:pStyle w:val="61"/>
        <w:ind w:firstLine="420"/>
      </w:pPr>
      <w:r>
        <w:rPr>
          <w:rFonts w:hint="eastAsia"/>
        </w:rPr>
        <w:t>GB/T 21447  钢质管道外腐蚀控制规范</w:t>
      </w:r>
    </w:p>
    <w:p>
      <w:pPr>
        <w:pStyle w:val="61"/>
        <w:ind w:firstLine="420"/>
      </w:pPr>
      <w:r>
        <w:rPr>
          <w:rFonts w:hint="eastAsia"/>
        </w:rPr>
        <w:t>GB/T 22130  钢制旋塞阀</w:t>
      </w:r>
    </w:p>
    <w:p>
      <w:pPr>
        <w:pStyle w:val="61"/>
        <w:ind w:firstLine="420"/>
      </w:pPr>
      <w:r>
        <w:rPr>
          <w:rFonts w:hint="eastAsia"/>
        </w:rPr>
        <w:t>GB/T 26480  阀门检验和试验</w:t>
      </w:r>
    </w:p>
    <w:p>
      <w:pPr>
        <w:pStyle w:val="61"/>
        <w:ind w:firstLine="420"/>
      </w:pPr>
      <w:r>
        <w:rPr>
          <w:rFonts w:hint="eastAsia"/>
        </w:rPr>
        <w:t>GB/T 29729  氢系统安全的基本要求</w:t>
      </w:r>
    </w:p>
    <w:p>
      <w:pPr>
        <w:pStyle w:val="61"/>
        <w:ind w:firstLine="420"/>
      </w:pPr>
      <w:r>
        <w:rPr>
          <w:rFonts w:hint="eastAsia"/>
        </w:rPr>
        <w:t>GB/T 28778  先导式安全阀</w:t>
      </w:r>
    </w:p>
    <w:p>
      <w:pPr>
        <w:pStyle w:val="61"/>
        <w:ind w:firstLine="420"/>
      </w:pPr>
      <w:r>
        <w:rPr>
          <w:rFonts w:hint="eastAsia"/>
        </w:rPr>
        <w:t>GB/T 34275  压力管道规范 长输管道</w:t>
      </w:r>
    </w:p>
    <w:p>
      <w:pPr>
        <w:pStyle w:val="61"/>
        <w:ind w:firstLine="420"/>
      </w:pPr>
      <w:r>
        <w:rPr>
          <w:rFonts w:hint="eastAsia"/>
        </w:rPr>
        <w:t>GB/T 34542（所有部分）  氢气储存输送系统</w:t>
      </w:r>
    </w:p>
    <w:p>
      <w:pPr>
        <w:pStyle w:val="61"/>
        <w:ind w:firstLine="420"/>
      </w:pPr>
      <w:r>
        <w:rPr>
          <w:rFonts w:hint="eastAsia"/>
        </w:rPr>
        <w:t>GB/T 36051  燃气过滤器</w:t>
      </w:r>
    </w:p>
    <w:p>
      <w:pPr>
        <w:pStyle w:val="61"/>
        <w:ind w:firstLine="420"/>
      </w:pPr>
      <w:r>
        <w:rPr>
          <w:rFonts w:hint="eastAsia"/>
        </w:rPr>
        <w:t>GB 50017  钢结构设计规范</w:t>
      </w:r>
    </w:p>
    <w:p>
      <w:pPr>
        <w:pStyle w:val="61"/>
        <w:ind w:firstLine="420"/>
      </w:pPr>
      <w:r>
        <w:rPr>
          <w:rFonts w:hint="eastAsia"/>
        </w:rPr>
        <w:t>GB 50058  爆炸危险环境电力装置设计规范</w:t>
      </w:r>
    </w:p>
    <w:p>
      <w:pPr>
        <w:pStyle w:val="61"/>
        <w:ind w:firstLine="420"/>
      </w:pPr>
      <w:r>
        <w:rPr>
          <w:rFonts w:hint="eastAsia"/>
        </w:rPr>
        <w:t>GB 50093  自动化仪表工程施工及质量验收规范</w:t>
      </w:r>
    </w:p>
    <w:p>
      <w:pPr>
        <w:pStyle w:val="61"/>
        <w:ind w:firstLine="420"/>
      </w:pPr>
      <w:r>
        <w:rPr>
          <w:rFonts w:hint="eastAsia"/>
        </w:rPr>
        <w:t>GB 50096  仪表</w:t>
      </w:r>
    </w:p>
    <w:p>
      <w:pPr>
        <w:pStyle w:val="61"/>
        <w:ind w:firstLine="420"/>
      </w:pPr>
      <w:r>
        <w:rPr>
          <w:rFonts w:hint="eastAsia"/>
        </w:rPr>
        <w:t>GB 50116  火灾自动报警系统设计规范</w:t>
      </w:r>
    </w:p>
    <w:p>
      <w:pPr>
        <w:pStyle w:val="61"/>
        <w:ind w:firstLine="420"/>
      </w:pPr>
      <w:r>
        <w:rPr>
          <w:rFonts w:hint="eastAsia"/>
        </w:rPr>
        <w:t>GB 50156  汽车加油加气加氢站技术标准</w:t>
      </w:r>
    </w:p>
    <w:p>
      <w:pPr>
        <w:pStyle w:val="61"/>
        <w:ind w:firstLine="420"/>
      </w:pPr>
      <w:r>
        <w:rPr>
          <w:rFonts w:hint="eastAsia"/>
        </w:rPr>
        <w:t>GB 50168  电气装置安装工程 电缆线路施工及验收标准</w:t>
      </w:r>
    </w:p>
    <w:p>
      <w:pPr>
        <w:pStyle w:val="61"/>
        <w:ind w:firstLine="420"/>
      </w:pPr>
      <w:r>
        <w:rPr>
          <w:rFonts w:hint="eastAsia"/>
        </w:rPr>
        <w:t>GB 50169  电气装置安装工程接地装置施工及验收规范</w:t>
      </w:r>
    </w:p>
    <w:p>
      <w:pPr>
        <w:pStyle w:val="61"/>
        <w:ind w:firstLine="420"/>
      </w:pPr>
      <w:r>
        <w:rPr>
          <w:rFonts w:hint="eastAsia"/>
        </w:rPr>
        <w:t>GB 50177  氢气站设计规范</w:t>
      </w:r>
    </w:p>
    <w:p>
      <w:pPr>
        <w:pStyle w:val="61"/>
        <w:ind w:firstLine="420"/>
      </w:pPr>
      <w:r>
        <w:rPr>
          <w:rFonts w:hint="eastAsia"/>
        </w:rPr>
        <w:t>GB 50205  钢结构工程施工质量验收规范</w:t>
      </w:r>
    </w:p>
    <w:p>
      <w:pPr>
        <w:pStyle w:val="61"/>
        <w:ind w:firstLine="420"/>
      </w:pPr>
      <w:r>
        <w:rPr>
          <w:rFonts w:hint="eastAsia"/>
        </w:rPr>
        <w:t>GB 50235  工业金属管道工程施工规范</w:t>
      </w:r>
    </w:p>
    <w:p>
      <w:pPr>
        <w:pStyle w:val="61"/>
        <w:ind w:firstLine="420"/>
      </w:pPr>
      <w:r>
        <w:rPr>
          <w:rFonts w:hint="eastAsia"/>
        </w:rPr>
        <w:t>GB 50236  现场设备、工业管道焊接工程施工规范</w:t>
      </w:r>
    </w:p>
    <w:p>
      <w:pPr>
        <w:pStyle w:val="61"/>
        <w:ind w:firstLine="420"/>
      </w:pPr>
      <w:r>
        <w:rPr>
          <w:rFonts w:hint="eastAsia"/>
        </w:rPr>
        <w:t>GB 50257  电气装置安装工程 爆炸和火灾危险环境电气装置施工及验收规范</w:t>
      </w:r>
    </w:p>
    <w:p>
      <w:pPr>
        <w:pStyle w:val="61"/>
        <w:ind w:firstLine="420"/>
      </w:pPr>
      <w:r>
        <w:rPr>
          <w:rFonts w:hint="eastAsia"/>
        </w:rPr>
        <w:t>GB 50316  工业金属管道设计规范</w:t>
      </w:r>
    </w:p>
    <w:p>
      <w:pPr>
        <w:pStyle w:val="61"/>
        <w:ind w:firstLine="420"/>
      </w:pPr>
      <w:r>
        <w:rPr>
          <w:rFonts w:hint="eastAsia"/>
        </w:rPr>
        <w:t>GB/T 50493  石油化工可燃气体和有毒气体检测报警设计标准</w:t>
      </w:r>
    </w:p>
    <w:p>
      <w:pPr>
        <w:pStyle w:val="61"/>
        <w:ind w:firstLine="420"/>
      </w:pPr>
      <w:r>
        <w:rPr>
          <w:rFonts w:hint="eastAsia"/>
        </w:rPr>
        <w:t>GB 50516  加氢站技术规范</w:t>
      </w:r>
    </w:p>
    <w:p>
      <w:pPr>
        <w:pStyle w:val="61"/>
        <w:ind w:firstLine="420"/>
      </w:pPr>
      <w:r>
        <w:rPr>
          <w:rFonts w:hint="eastAsia"/>
        </w:rPr>
        <w:t>GB 50683  现场设备、工业管道焊接工程施工质量验收规范</w:t>
      </w:r>
    </w:p>
    <w:p>
      <w:pPr>
        <w:pStyle w:val="61"/>
        <w:ind w:firstLine="420"/>
      </w:pPr>
      <w:r>
        <w:rPr>
          <w:rFonts w:hint="eastAsia"/>
        </w:rPr>
        <w:t>HG/T 20592～20635  钢制管法兰、垫片、紧固件</w:t>
      </w:r>
    </w:p>
    <w:p>
      <w:pPr>
        <w:pStyle w:val="61"/>
        <w:ind w:firstLine="420"/>
      </w:pPr>
      <w:r>
        <w:rPr>
          <w:rFonts w:hint="eastAsia"/>
        </w:rPr>
        <w:t>HG/T 20584  钢制化工容器制造技术规范</w:t>
      </w:r>
    </w:p>
    <w:p>
      <w:pPr>
        <w:pStyle w:val="61"/>
        <w:ind w:firstLine="420"/>
      </w:pPr>
      <w:r>
        <w:rPr>
          <w:rFonts w:hint="eastAsia"/>
        </w:rPr>
        <w:t>JB/T 3223  焊接材料质量管理规程</w:t>
      </w:r>
    </w:p>
    <w:p>
      <w:pPr>
        <w:pStyle w:val="61"/>
        <w:ind w:firstLine="420"/>
      </w:pPr>
      <w:r>
        <w:rPr>
          <w:rFonts w:hint="eastAsia"/>
        </w:rPr>
        <w:t>JB/T 7660-2016  静态混合器</w:t>
      </w:r>
    </w:p>
    <w:p>
      <w:pPr>
        <w:pStyle w:val="61"/>
        <w:ind w:firstLine="420"/>
      </w:pPr>
      <w:r>
        <w:rPr>
          <w:rFonts w:hint="eastAsia"/>
        </w:rPr>
        <w:t>JB/T 7747  针型截止阀</w:t>
      </w:r>
    </w:p>
    <w:p>
      <w:pPr>
        <w:pStyle w:val="61"/>
        <w:ind w:firstLine="420"/>
      </w:pPr>
      <w:r>
        <w:rPr>
          <w:rFonts w:hint="eastAsia"/>
        </w:rPr>
        <w:t>JB/T 7758.2  柔性石墨板 技术条件</w:t>
      </w:r>
    </w:p>
    <w:p>
      <w:pPr>
        <w:pStyle w:val="61"/>
        <w:ind w:firstLine="420"/>
      </w:pPr>
      <w:r>
        <w:rPr>
          <w:rFonts w:hint="eastAsia"/>
        </w:rPr>
        <w:t>JB/T 8527  金属密封蝶阀</w:t>
      </w:r>
    </w:p>
    <w:p>
      <w:pPr>
        <w:pStyle w:val="61"/>
        <w:ind w:firstLine="420"/>
      </w:pPr>
      <w:r>
        <w:rPr>
          <w:rFonts w:hint="eastAsia"/>
        </w:rPr>
        <w:t>JB/T 8937  对夹式止回阀</w:t>
      </w:r>
    </w:p>
    <w:p>
      <w:pPr>
        <w:pStyle w:val="61"/>
        <w:ind w:firstLine="420"/>
      </w:pPr>
      <w:r>
        <w:rPr>
          <w:rFonts w:hint="eastAsia"/>
        </w:rPr>
        <w:t>JJG 700  气相色谱仪检定规程</w:t>
      </w:r>
    </w:p>
    <w:p>
      <w:pPr>
        <w:pStyle w:val="61"/>
        <w:ind w:firstLine="420"/>
      </w:pPr>
      <w:r>
        <w:rPr>
          <w:rFonts w:hint="eastAsia"/>
        </w:rPr>
        <w:t>NB/T 10558  压力容器涂敷与运输包装</w:t>
      </w:r>
    </w:p>
    <w:p>
      <w:pPr>
        <w:pStyle w:val="61"/>
        <w:ind w:firstLine="420"/>
      </w:pPr>
      <w:r>
        <w:rPr>
          <w:rFonts w:hint="eastAsia"/>
        </w:rPr>
        <w:t>NB/T 47008  承压设备用碳素钢和合金钢锻件</w:t>
      </w:r>
    </w:p>
    <w:p>
      <w:pPr>
        <w:pStyle w:val="61"/>
        <w:ind w:firstLine="420"/>
      </w:pPr>
      <w:r>
        <w:rPr>
          <w:rFonts w:hint="eastAsia"/>
        </w:rPr>
        <w:t xml:space="preserve">NB/T 47009  低温承压用低合金钢锻件 </w:t>
      </w:r>
    </w:p>
    <w:p>
      <w:pPr>
        <w:pStyle w:val="61"/>
        <w:ind w:firstLine="420"/>
      </w:pPr>
      <w:r>
        <w:rPr>
          <w:rFonts w:hint="eastAsia"/>
        </w:rPr>
        <w:t>NB/T 47010  承压设备用不锈钢和耐热钢锻件</w:t>
      </w:r>
    </w:p>
    <w:p>
      <w:pPr>
        <w:pStyle w:val="61"/>
        <w:ind w:firstLine="420"/>
      </w:pPr>
      <w:r>
        <w:rPr>
          <w:rFonts w:hint="eastAsia"/>
        </w:rPr>
        <w:t>NB/T 47013(所有部分)  承压设备无损检测</w:t>
      </w:r>
    </w:p>
    <w:p>
      <w:pPr>
        <w:pStyle w:val="61"/>
        <w:ind w:firstLine="420"/>
      </w:pPr>
      <w:r>
        <w:rPr>
          <w:rFonts w:hint="eastAsia"/>
        </w:rPr>
        <w:t>NB/T 47014  承压设备焊接工艺评定</w:t>
      </w:r>
    </w:p>
    <w:p>
      <w:pPr>
        <w:pStyle w:val="61"/>
        <w:ind w:firstLine="420"/>
      </w:pPr>
      <w:r>
        <w:rPr>
          <w:rFonts w:hint="eastAsia"/>
        </w:rPr>
        <w:t>NB/T 47053  安全自锁型快开盲板</w:t>
      </w:r>
    </w:p>
    <w:p>
      <w:pPr>
        <w:pStyle w:val="61"/>
        <w:ind w:firstLine="420"/>
      </w:pPr>
      <w:r>
        <w:rPr>
          <w:rFonts w:hint="eastAsia"/>
        </w:rPr>
        <w:t>SH/T 3097-2017 石油化工静电接地设计规范</w:t>
      </w:r>
    </w:p>
    <w:p>
      <w:pPr>
        <w:pStyle w:val="61"/>
        <w:ind w:firstLine="420"/>
      </w:pPr>
      <w:r>
        <w:rPr>
          <w:rFonts w:hint="eastAsia"/>
        </w:rPr>
        <w:t>SY/T 0510  钢制对焊管件规范</w:t>
      </w:r>
    </w:p>
    <w:p>
      <w:pPr>
        <w:pStyle w:val="61"/>
        <w:ind w:firstLine="420"/>
      </w:pPr>
      <w:r>
        <w:rPr>
          <w:rFonts w:hint="eastAsia"/>
        </w:rPr>
        <w:t>SY/T 0516  绝缘接头与绝缘法兰技术规范</w:t>
      </w:r>
    </w:p>
    <w:p>
      <w:pPr>
        <w:pStyle w:val="61"/>
        <w:ind w:firstLine="420"/>
      </w:pPr>
      <w:r>
        <w:rPr>
          <w:rFonts w:hint="eastAsia"/>
        </w:rPr>
        <w:t>SY/T 6883  输气管道工程过滤分离设备规范</w:t>
      </w:r>
    </w:p>
    <w:p>
      <w:pPr>
        <w:pStyle w:val="61"/>
        <w:ind w:firstLine="420"/>
      </w:pPr>
      <w:r>
        <w:rPr>
          <w:rFonts w:hint="eastAsia"/>
        </w:rPr>
        <w:t>SY/T 7036  石油天然气站场管道及设备外防腐层技术规范</w:t>
      </w:r>
    </w:p>
    <w:p>
      <w:pPr>
        <w:pStyle w:val="61"/>
        <w:ind w:firstLine="420"/>
      </w:pPr>
      <w:r>
        <w:rPr>
          <w:rFonts w:hint="eastAsia"/>
        </w:rPr>
        <w:t>YB/T 4001.1  钢格栅板及配套件 第1部分：钢格栅板</w:t>
      </w:r>
    </w:p>
    <w:p>
      <w:pPr>
        <w:pStyle w:val="61"/>
        <w:ind w:firstLine="420"/>
      </w:pPr>
      <w:r>
        <w:rPr>
          <w:rFonts w:hint="eastAsia"/>
        </w:rPr>
        <w:t>YB/T 5092  焊接用不锈钢焊丝</w:t>
      </w:r>
    </w:p>
    <w:p>
      <w:pPr>
        <w:pStyle w:val="61"/>
        <w:ind w:firstLine="420"/>
      </w:pPr>
      <w:r>
        <w:rPr>
          <w:rFonts w:hint="eastAsia"/>
        </w:rPr>
        <w:t>TSG 21  固定式压力容器安全技术监察规程</w:t>
      </w:r>
    </w:p>
    <w:p>
      <w:pPr>
        <w:pStyle w:val="61"/>
        <w:ind w:firstLine="420"/>
      </w:pPr>
      <w:r>
        <w:rPr>
          <w:rFonts w:hint="eastAsia"/>
        </w:rPr>
        <w:t>TSG D0001  压力管道安全技术监察规程-工业管道</w:t>
      </w:r>
    </w:p>
    <w:p>
      <w:pPr>
        <w:pStyle w:val="61"/>
        <w:ind w:firstLine="420"/>
      </w:pPr>
      <w:r>
        <w:rPr>
          <w:rFonts w:hint="eastAsia"/>
        </w:rPr>
        <w:t>TSG D7006  压力容器监督检验规则</w:t>
      </w:r>
    </w:p>
    <w:p>
      <w:pPr>
        <w:pStyle w:val="109"/>
        <w:spacing w:before="240" w:after="240"/>
      </w:pPr>
      <w:bookmarkStart w:id="27" w:name="_Toc207179459"/>
      <w:bookmarkStart w:id="28" w:name="_Toc97192966"/>
      <w:bookmarkStart w:id="29" w:name="_Toc209114034"/>
      <w:r>
        <w:rPr>
          <w:rFonts w:hint="eastAsia"/>
          <w:szCs w:val="21"/>
        </w:rPr>
        <w:t>术语和定义</w:t>
      </w:r>
      <w:bookmarkEnd w:id="27"/>
      <w:bookmarkEnd w:id="28"/>
      <w:bookmarkEnd w:id="29"/>
    </w:p>
    <w:sdt>
      <w:sdtPr>
        <w:id w:val="-1909835108"/>
        <w:placeholder>
          <w:docPart w:val="5BF99D944D0C499489DF2F326602BFCF"/>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61"/>
            <w:ind w:firstLine="420"/>
          </w:pPr>
          <w:bookmarkStart w:id="30" w:name="_Toc26986532"/>
          <w:bookmarkEnd w:id="30"/>
          <w:r>
            <w:t>下列术语和定义适用于本文件。</w:t>
          </w:r>
        </w:p>
      </w:sdtContent>
    </w:sdt>
    <w:p>
      <w:pPr>
        <w:pStyle w:val="228"/>
        <w:ind w:left="420" w:hanging="420" w:hangingChars="200"/>
        <w:rPr>
          <w:rFonts w:ascii="黑体" w:hAnsi="黑体" w:eastAsia="黑体"/>
        </w:rPr>
      </w:pPr>
    </w:p>
    <w:p>
      <w:pPr>
        <w:ind w:firstLine="420" w:firstLineChars="200"/>
        <w:rPr>
          <w:rFonts w:ascii="黑体" w:hAnsi="黑体" w:eastAsia="黑体"/>
        </w:rPr>
      </w:pPr>
      <w:r>
        <w:rPr>
          <w:rFonts w:ascii="黑体" w:hAnsi="黑体" w:eastAsia="黑体"/>
        </w:rPr>
        <w:t>掺氢天然气</w:t>
      </w:r>
      <w:r>
        <w:rPr>
          <w:rFonts w:hint="eastAsia" w:ascii="黑体" w:hAnsi="黑体" w:eastAsia="黑体"/>
        </w:rPr>
        <w:t>hydrogen blended natural gas</w:t>
      </w:r>
    </w:p>
    <w:p>
      <w:pPr>
        <w:pStyle w:val="235"/>
        <w:ind w:firstLine="400"/>
        <w:rPr>
          <w:rFonts w:hAnsi="宋体" w:cs="宋体"/>
          <w:sz w:val="20"/>
          <w:lang w:val="zh-TW" w:eastAsia="zh-TW" w:bidi="zh-TW"/>
        </w:rPr>
      </w:pPr>
      <w:r>
        <w:rPr>
          <w:rFonts w:hint="eastAsia" w:hAnsi="宋体" w:cs="宋体"/>
          <w:sz w:val="20"/>
          <w:lang w:val="zh-TW" w:eastAsia="zh-TW" w:bidi="zh-TW"/>
        </w:rPr>
        <w:t>将一定比例的氢气掺入天然气得到的气体燃料。</w:t>
      </w:r>
    </w:p>
    <w:p>
      <w:pPr>
        <w:pStyle w:val="228"/>
        <w:ind w:left="420" w:hanging="420" w:hangingChars="200"/>
        <w:rPr>
          <w:rFonts w:ascii="黑体" w:hAnsi="黑体" w:eastAsia="黑体"/>
        </w:rPr>
      </w:pPr>
      <w:bookmarkStart w:id="31" w:name="_Toc28129"/>
      <w:bookmarkEnd w:id="31"/>
      <w:bookmarkStart w:id="32" w:name="_Toc31453"/>
      <w:bookmarkEnd w:id="32"/>
      <w:bookmarkStart w:id="33" w:name="_Toc13763"/>
      <w:bookmarkEnd w:id="33"/>
      <w:bookmarkStart w:id="34" w:name="_Toc1651891"/>
      <w:bookmarkEnd w:id="34"/>
      <w:bookmarkStart w:id="35" w:name="_Toc1651887"/>
      <w:bookmarkEnd w:id="35"/>
      <w:bookmarkStart w:id="36" w:name="_Toc5507"/>
      <w:bookmarkEnd w:id="36"/>
      <w:bookmarkStart w:id="37" w:name="_Toc22638"/>
      <w:bookmarkEnd w:id="37"/>
      <w:bookmarkStart w:id="38" w:name="_Toc942024"/>
      <w:bookmarkEnd w:id="38"/>
      <w:bookmarkStart w:id="39" w:name="_Toc942357"/>
      <w:bookmarkEnd w:id="39"/>
      <w:bookmarkStart w:id="40" w:name="_Toc24503"/>
      <w:bookmarkEnd w:id="40"/>
      <w:bookmarkStart w:id="41" w:name="_Toc942028"/>
      <w:bookmarkEnd w:id="41"/>
      <w:bookmarkStart w:id="42" w:name="_Toc24826"/>
      <w:bookmarkEnd w:id="42"/>
      <w:bookmarkStart w:id="43" w:name="_Toc14987"/>
      <w:bookmarkEnd w:id="43"/>
      <w:bookmarkStart w:id="44" w:name="_Toc140441300"/>
      <w:bookmarkEnd w:id="44"/>
      <w:bookmarkStart w:id="45" w:name="_Toc22164"/>
      <w:bookmarkEnd w:id="45"/>
      <w:bookmarkStart w:id="46" w:name="_Toc24293"/>
      <w:bookmarkEnd w:id="46"/>
      <w:bookmarkStart w:id="47" w:name="_Toc11692"/>
      <w:bookmarkEnd w:id="47"/>
      <w:bookmarkStart w:id="48" w:name="_Toc170589345"/>
      <w:bookmarkEnd w:id="48"/>
      <w:bookmarkStart w:id="49" w:name="_Toc84498856"/>
      <w:bookmarkEnd w:id="49"/>
      <w:bookmarkStart w:id="50" w:name="_Toc173768113"/>
      <w:bookmarkEnd w:id="50"/>
      <w:bookmarkStart w:id="51" w:name="_Toc942353"/>
      <w:bookmarkEnd w:id="51"/>
      <w:bookmarkStart w:id="52" w:name="_Toc160237823"/>
      <w:bookmarkEnd w:id="52"/>
      <w:bookmarkStart w:id="53" w:name="_Toc127745625"/>
      <w:bookmarkEnd w:id="53"/>
      <w:bookmarkStart w:id="54" w:name="_Toc81229384"/>
      <w:bookmarkEnd w:id="54"/>
      <w:bookmarkStart w:id="55" w:name="_Toc81176681"/>
      <w:bookmarkEnd w:id="55"/>
      <w:bookmarkStart w:id="56" w:name="_Toc173877609"/>
      <w:bookmarkEnd w:id="56"/>
      <w:bookmarkStart w:id="57" w:name="_Toc160238250"/>
      <w:bookmarkEnd w:id="57"/>
      <w:bookmarkStart w:id="58" w:name="_Toc127657308"/>
      <w:bookmarkEnd w:id="58"/>
      <w:bookmarkStart w:id="59" w:name="_Toc127656980"/>
      <w:bookmarkEnd w:id="59"/>
      <w:bookmarkStart w:id="60" w:name="_Toc16268"/>
      <w:bookmarkEnd w:id="60"/>
    </w:p>
    <w:p>
      <w:pPr>
        <w:ind w:firstLine="420" w:firstLineChars="200"/>
        <w:rPr>
          <w:rFonts w:ascii="黑体" w:hAnsi="黑体" w:eastAsia="黑体"/>
        </w:rPr>
      </w:pPr>
      <w:r>
        <w:rPr>
          <w:rFonts w:hint="eastAsia" w:ascii="黑体" w:hAnsi="黑体" w:eastAsia="黑体"/>
        </w:rPr>
        <w:t xml:space="preserve">撬装式天然气管道掺氢混气系统 </w:t>
      </w:r>
      <w:r>
        <w:rPr>
          <w:rFonts w:ascii="黑体" w:hAnsi="黑体" w:eastAsia="黑体"/>
        </w:rPr>
        <w:t>Gas blending installation for hydrogen and natural gas</w:t>
      </w:r>
    </w:p>
    <w:p>
      <w:pPr>
        <w:ind w:firstLine="400" w:firstLineChars="200"/>
        <w:rPr>
          <w:rFonts w:ascii="宋体" w:hAnsi="宋体" w:cs="宋体"/>
          <w:sz w:val="20"/>
          <w:szCs w:val="20"/>
          <w:lang w:bidi="zh-TW"/>
        </w:rPr>
      </w:pPr>
      <w:r>
        <w:rPr>
          <w:rFonts w:hint="eastAsia" w:ascii="宋体" w:hAnsi="宋体" w:cs="宋体"/>
          <w:sz w:val="20"/>
          <w:szCs w:val="20"/>
          <w:lang w:bidi="zh-TW"/>
        </w:rPr>
        <w:t>将管道、混气设备、阀门、仪器仪表和控制系统等装置集成并固定在同一底座上，实现天然气和氢气互相均匀混合的可整体进行移动、就位的装置。</w:t>
      </w:r>
    </w:p>
    <w:p>
      <w:pPr>
        <w:pStyle w:val="228"/>
        <w:ind w:left="420" w:hanging="420" w:hangingChars="200"/>
        <w:rPr>
          <w:rFonts w:ascii="黑体" w:hAnsi="黑体" w:eastAsia="黑体"/>
        </w:rPr>
      </w:pPr>
      <w:bookmarkStart w:id="61" w:name="_Toc28338"/>
      <w:bookmarkEnd w:id="61"/>
      <w:bookmarkStart w:id="62" w:name="_Toc3465"/>
      <w:bookmarkEnd w:id="62"/>
      <w:bookmarkStart w:id="63" w:name="_Toc19089"/>
      <w:bookmarkEnd w:id="63"/>
      <w:bookmarkStart w:id="64" w:name="_Toc84498857"/>
      <w:bookmarkEnd w:id="64"/>
      <w:bookmarkStart w:id="65" w:name="_Toc81176682"/>
      <w:bookmarkEnd w:id="65"/>
      <w:bookmarkStart w:id="66" w:name="_Toc170589346"/>
      <w:bookmarkEnd w:id="66"/>
      <w:bookmarkStart w:id="67" w:name="_Toc81229385"/>
      <w:bookmarkEnd w:id="67"/>
      <w:bookmarkStart w:id="68" w:name="_Toc838"/>
      <w:bookmarkEnd w:id="68"/>
      <w:bookmarkStart w:id="69" w:name="_Toc9295"/>
      <w:bookmarkEnd w:id="69"/>
      <w:bookmarkStart w:id="70" w:name="_Toc127656981"/>
      <w:bookmarkEnd w:id="70"/>
      <w:bookmarkStart w:id="71" w:name="_Toc13410"/>
      <w:bookmarkEnd w:id="71"/>
      <w:bookmarkStart w:id="72" w:name="_Toc173768114"/>
      <w:bookmarkEnd w:id="72"/>
      <w:bookmarkStart w:id="73" w:name="_Toc160238251"/>
      <w:bookmarkEnd w:id="73"/>
      <w:bookmarkStart w:id="74" w:name="_Toc3388"/>
      <w:bookmarkEnd w:id="74"/>
      <w:bookmarkStart w:id="75" w:name="_Toc8658"/>
      <w:bookmarkEnd w:id="75"/>
      <w:bookmarkStart w:id="76" w:name="_Toc22049"/>
      <w:bookmarkEnd w:id="76"/>
      <w:bookmarkStart w:id="77" w:name="_Toc9350"/>
      <w:bookmarkEnd w:id="77"/>
      <w:bookmarkStart w:id="78" w:name="_Toc14016"/>
      <w:bookmarkEnd w:id="78"/>
      <w:bookmarkStart w:id="79" w:name="_Toc127745626"/>
      <w:bookmarkEnd w:id="79"/>
      <w:bookmarkStart w:id="80" w:name="_Toc140441301"/>
      <w:bookmarkEnd w:id="80"/>
      <w:bookmarkStart w:id="81" w:name="_Toc160237824"/>
      <w:bookmarkEnd w:id="81"/>
      <w:bookmarkStart w:id="82" w:name="_Toc173877610"/>
      <w:bookmarkEnd w:id="82"/>
      <w:bookmarkStart w:id="83" w:name="_Toc127657309"/>
      <w:bookmarkEnd w:id="83"/>
    </w:p>
    <w:p>
      <w:pPr>
        <w:ind w:firstLine="420" w:firstLineChars="200"/>
        <w:rPr>
          <w:rFonts w:ascii="黑体" w:hAnsi="黑体" w:eastAsia="黑体"/>
        </w:rPr>
      </w:pPr>
      <w:r>
        <w:rPr>
          <w:rFonts w:hint="eastAsia" w:ascii="黑体" w:hAnsi="黑体" w:eastAsia="黑体"/>
        </w:rPr>
        <w:t>静态混合器 mixer</w:t>
      </w:r>
    </w:p>
    <w:p>
      <w:pPr>
        <w:ind w:firstLine="400" w:firstLineChars="200"/>
        <w:rPr>
          <w:rFonts w:ascii="宋体" w:hAnsi="宋体" w:cs="宋体"/>
          <w:sz w:val="20"/>
          <w:szCs w:val="20"/>
          <w:lang w:val="zh-TW" w:eastAsia="zh-TW" w:bidi="zh-TW"/>
        </w:rPr>
      </w:pPr>
      <w:r>
        <w:rPr>
          <w:rFonts w:hint="eastAsia" w:ascii="宋体" w:hAnsi="宋体" w:cs="宋体"/>
          <w:sz w:val="20"/>
          <w:szCs w:val="20"/>
          <w:lang w:val="zh-TW" w:eastAsia="zh-TW" w:bidi="zh-TW"/>
        </w:rPr>
        <w:t>没有运动部件的混合设备，通过固定在管件内部的混合单元体改变管内流体的流动状态，以实现不同流体之间良好分散和充分混合的目的。</w:t>
      </w:r>
    </w:p>
    <w:p>
      <w:pPr>
        <w:pStyle w:val="228"/>
        <w:ind w:left="420" w:hanging="420" w:hangingChars="200"/>
        <w:rPr>
          <w:rFonts w:ascii="黑体" w:hAnsi="黑体" w:eastAsia="黑体"/>
        </w:rPr>
      </w:pPr>
      <w:bookmarkStart w:id="84" w:name="_Toc81229386"/>
      <w:bookmarkEnd w:id="84"/>
      <w:bookmarkStart w:id="85" w:name="_Toc127745627"/>
      <w:bookmarkEnd w:id="85"/>
      <w:bookmarkStart w:id="86" w:name="_Toc81176683"/>
      <w:bookmarkEnd w:id="86"/>
      <w:bookmarkStart w:id="87" w:name="_Toc127656982"/>
      <w:bookmarkEnd w:id="87"/>
      <w:bookmarkStart w:id="88" w:name="_Toc127657310"/>
      <w:bookmarkEnd w:id="88"/>
      <w:bookmarkStart w:id="89" w:name="_Toc6814"/>
      <w:bookmarkEnd w:id="89"/>
      <w:bookmarkStart w:id="90" w:name="_Toc160238252"/>
      <w:bookmarkEnd w:id="90"/>
      <w:bookmarkStart w:id="91" w:name="_Toc140441302"/>
      <w:bookmarkEnd w:id="91"/>
      <w:bookmarkStart w:id="92" w:name="_Toc140441303"/>
      <w:bookmarkEnd w:id="92"/>
      <w:bookmarkStart w:id="93" w:name="_Toc160237826"/>
      <w:bookmarkEnd w:id="93"/>
      <w:bookmarkStart w:id="94" w:name="_Toc84498858"/>
      <w:bookmarkEnd w:id="94"/>
      <w:bookmarkStart w:id="95" w:name="_Toc173768115"/>
      <w:bookmarkEnd w:id="95"/>
      <w:bookmarkStart w:id="96" w:name="_Toc173877611"/>
      <w:bookmarkEnd w:id="96"/>
      <w:bookmarkStart w:id="97" w:name="_Toc170589347"/>
      <w:bookmarkEnd w:id="97"/>
      <w:bookmarkStart w:id="98" w:name="_Toc160237825"/>
      <w:bookmarkEnd w:id="98"/>
      <w:bookmarkStart w:id="99" w:name="_Toc160238253"/>
      <w:bookmarkEnd w:id="99"/>
    </w:p>
    <w:p>
      <w:pPr>
        <w:ind w:firstLine="420" w:firstLineChars="200"/>
        <w:rPr>
          <w:rFonts w:ascii="黑体" w:hAnsi="黑体" w:eastAsia="黑体"/>
        </w:rPr>
      </w:pPr>
      <w:r>
        <w:rPr>
          <w:rFonts w:hint="eastAsia" w:ascii="黑体" w:hAnsi="黑体" w:eastAsia="黑体"/>
        </w:rPr>
        <w:t>临氢材料 materials in contact with hydrogen</w:t>
      </w:r>
    </w:p>
    <w:p>
      <w:pPr>
        <w:pStyle w:val="235"/>
      </w:pPr>
      <w:r>
        <w:rPr>
          <w:rFonts w:hint="eastAsia"/>
        </w:rPr>
        <w:t>掺氢撬内的阀门、管道、流量计、调节阀、传感元件、安全附件等正常工作时，与氢气直接接触的材料。</w:t>
      </w:r>
    </w:p>
    <w:p>
      <w:pPr>
        <w:pStyle w:val="228"/>
        <w:ind w:left="420" w:hanging="420" w:hangingChars="200"/>
        <w:rPr>
          <w:rFonts w:ascii="黑体" w:hAnsi="黑体" w:eastAsia="黑体"/>
        </w:rPr>
      </w:pPr>
    </w:p>
    <w:p>
      <w:pPr>
        <w:widowControl/>
        <w:tabs>
          <w:tab w:val="center" w:pos="4201"/>
          <w:tab w:val="right" w:leader="dot" w:pos="9298"/>
        </w:tabs>
        <w:autoSpaceDE w:val="0"/>
        <w:autoSpaceDN w:val="0"/>
        <w:ind w:firstLine="420" w:firstLineChars="200"/>
        <w:rPr>
          <w:rFonts w:ascii="黑体" w:hAnsi="黑体" w:eastAsia="黑体"/>
          <w:kern w:val="0"/>
          <w:szCs w:val="20"/>
        </w:rPr>
      </w:pPr>
      <w:r>
        <w:rPr>
          <w:rFonts w:hint="eastAsia" w:ascii="黑体" w:hAnsi="黑体" w:eastAsia="黑体"/>
          <w:kern w:val="0"/>
          <w:szCs w:val="20"/>
        </w:rPr>
        <w:t xml:space="preserve">混气精度  </w:t>
      </w:r>
      <w:r>
        <w:rPr>
          <w:rFonts w:ascii="黑体" w:hAnsi="黑体" w:eastAsia="黑体" w:cs="宋体"/>
          <w:b/>
          <w:kern w:val="0"/>
          <w:sz w:val="20"/>
          <w:szCs w:val="20"/>
          <w:lang w:val="zh-TW" w:bidi="zh-TW"/>
        </w:rPr>
        <w:t>blending</w:t>
      </w:r>
      <w:r>
        <w:rPr>
          <w:rFonts w:hint="eastAsia" w:ascii="黑体" w:hAnsi="黑体" w:eastAsia="黑体" w:cs="宋体"/>
          <w:b/>
          <w:kern w:val="0"/>
          <w:sz w:val="20"/>
          <w:szCs w:val="20"/>
          <w:lang w:val="zh-TW" w:bidi="zh-TW"/>
        </w:rPr>
        <w:t xml:space="preserve">  </w:t>
      </w:r>
      <w:r>
        <w:rPr>
          <w:rFonts w:ascii="黑体" w:hAnsi="黑体" w:eastAsia="黑体" w:cs="宋体"/>
          <w:b/>
          <w:kern w:val="0"/>
          <w:sz w:val="20"/>
          <w:szCs w:val="20"/>
          <w:lang w:val="zh-TW" w:bidi="zh-TW"/>
        </w:rPr>
        <w:t>accuracy</w:t>
      </w:r>
    </w:p>
    <w:p>
      <w:pPr>
        <w:widowControl/>
        <w:tabs>
          <w:tab w:val="center" w:pos="4201"/>
          <w:tab w:val="right" w:leader="dot" w:pos="9298"/>
        </w:tabs>
        <w:autoSpaceDE w:val="0"/>
        <w:autoSpaceDN w:val="0"/>
        <w:ind w:firstLine="420" w:firstLineChars="200"/>
        <w:rPr>
          <w:rFonts w:ascii="宋体"/>
          <w:kern w:val="0"/>
          <w:szCs w:val="20"/>
        </w:rPr>
      </w:pPr>
      <w:r>
        <w:rPr>
          <w:rFonts w:hint="eastAsia" w:ascii="宋体"/>
          <w:kern w:val="0"/>
          <w:szCs w:val="20"/>
        </w:rPr>
        <w:t>掺混装置</w:t>
      </w:r>
      <w:r>
        <w:rPr>
          <w:rFonts w:ascii="宋体"/>
          <w:kern w:val="0"/>
          <w:szCs w:val="20"/>
        </w:rPr>
        <w:t>配制的天然气与氢气混合物实际掺混比例与设定值之间最大偏差的绝对值与设定值的比值，用百分比表示。</w:t>
      </w:r>
      <w:bookmarkStart w:id="100" w:name="_Toc170589349"/>
      <w:bookmarkEnd w:id="100"/>
      <w:bookmarkStart w:id="101" w:name="_Toc173877613"/>
      <w:bookmarkEnd w:id="101"/>
      <w:bookmarkStart w:id="102" w:name="_Toc160237828"/>
      <w:bookmarkEnd w:id="102"/>
      <w:bookmarkStart w:id="103" w:name="_Toc173768117"/>
      <w:bookmarkEnd w:id="103"/>
      <w:bookmarkStart w:id="104" w:name="_Toc160238255"/>
      <w:bookmarkEnd w:id="104"/>
    </w:p>
    <w:p>
      <w:pPr>
        <w:pStyle w:val="228"/>
        <w:ind w:left="420" w:hanging="420" w:hangingChars="200"/>
        <w:rPr>
          <w:rFonts w:ascii="黑体" w:hAnsi="黑体" w:eastAsia="黑体"/>
        </w:rPr>
      </w:pPr>
    </w:p>
    <w:p>
      <w:pPr>
        <w:widowControl/>
        <w:tabs>
          <w:tab w:val="center" w:pos="4201"/>
          <w:tab w:val="right" w:leader="dot" w:pos="9298"/>
        </w:tabs>
        <w:autoSpaceDE w:val="0"/>
        <w:autoSpaceDN w:val="0"/>
        <w:ind w:firstLine="420" w:firstLineChars="200"/>
        <w:rPr>
          <w:rFonts w:ascii="黑体" w:hAnsi="黑体" w:eastAsia="黑体"/>
          <w:kern w:val="0"/>
          <w:szCs w:val="20"/>
        </w:rPr>
      </w:pPr>
      <w:r>
        <w:rPr>
          <w:rFonts w:hint="eastAsia" w:ascii="黑体" w:hAnsi="黑体" w:eastAsia="黑体"/>
          <w:kern w:val="0"/>
          <w:szCs w:val="20"/>
        </w:rPr>
        <w:t xml:space="preserve">混气精度等级 </w:t>
      </w:r>
      <w:r>
        <w:rPr>
          <w:rFonts w:ascii="黑体" w:hAnsi="黑体" w:eastAsia="黑体" w:cs="宋体"/>
          <w:b/>
          <w:kern w:val="0"/>
          <w:sz w:val="20"/>
          <w:szCs w:val="20"/>
          <w:lang w:val="zh-TW" w:bidi="zh-TW"/>
        </w:rPr>
        <w:t>blending</w:t>
      </w:r>
      <w:r>
        <w:rPr>
          <w:rFonts w:hint="eastAsia" w:ascii="黑体" w:hAnsi="黑体" w:eastAsia="黑体" w:cs="宋体"/>
          <w:b/>
          <w:kern w:val="0"/>
          <w:sz w:val="20"/>
          <w:szCs w:val="20"/>
          <w:lang w:val="zh-TW" w:bidi="zh-TW"/>
        </w:rPr>
        <w:t xml:space="preserve"> </w:t>
      </w:r>
      <w:r>
        <w:rPr>
          <w:rFonts w:ascii="黑体" w:hAnsi="黑体" w:eastAsia="黑体" w:cs="宋体"/>
          <w:b/>
          <w:kern w:val="0"/>
          <w:sz w:val="20"/>
          <w:szCs w:val="20"/>
          <w:lang w:val="zh-TW" w:bidi="zh-TW"/>
        </w:rPr>
        <w:t>accuracy</w:t>
      </w:r>
      <w:r>
        <w:rPr>
          <w:rFonts w:hint="eastAsia" w:ascii="黑体" w:hAnsi="黑体" w:eastAsia="黑体" w:cs="宋体"/>
          <w:b/>
          <w:kern w:val="0"/>
          <w:sz w:val="20"/>
          <w:szCs w:val="20"/>
          <w:lang w:val="zh-TW" w:bidi="zh-TW"/>
        </w:rPr>
        <w:t xml:space="preserve"> class</w:t>
      </w:r>
    </w:p>
    <w:p>
      <w:pPr>
        <w:pStyle w:val="61"/>
        <w:ind w:firstLine="420"/>
      </w:pPr>
      <w:r>
        <w:rPr>
          <w:rFonts w:hint="eastAsia"/>
        </w:rPr>
        <w:t>掺混比例偏差的最大允许绝对值。</w:t>
      </w:r>
    </w:p>
    <w:p>
      <w:pPr>
        <w:pStyle w:val="109"/>
        <w:spacing w:before="240" w:after="240"/>
      </w:pPr>
      <w:bookmarkStart w:id="105" w:name="_Toc127657311"/>
      <w:bookmarkStart w:id="106" w:name="_Toc81229387"/>
      <w:bookmarkStart w:id="107" w:name="_Toc84498859"/>
      <w:bookmarkStart w:id="108" w:name="_Toc81176684"/>
      <w:bookmarkStart w:id="109" w:name="_Toc127656983"/>
      <w:bookmarkStart w:id="110" w:name="_Toc127745628"/>
      <w:bookmarkStart w:id="111" w:name="_Toc140441304"/>
      <w:bookmarkStart w:id="112" w:name="_Toc69735302"/>
      <w:bookmarkStart w:id="113" w:name="_Toc69735377"/>
      <w:bookmarkStart w:id="114" w:name="_Toc529999721"/>
      <w:bookmarkStart w:id="115" w:name="_Toc170589350"/>
      <w:bookmarkStart w:id="116" w:name="_Toc532581502"/>
      <w:bookmarkStart w:id="117" w:name="_Toc160237829"/>
      <w:bookmarkStart w:id="118" w:name="_Toc531024253"/>
      <w:bookmarkStart w:id="119" w:name="_Toc535011293"/>
      <w:bookmarkStart w:id="120" w:name="_Toc529998841"/>
      <w:bookmarkStart w:id="121" w:name="_Toc160238256"/>
      <w:bookmarkStart w:id="122" w:name="_Toc173768118"/>
      <w:bookmarkStart w:id="123" w:name="_Toc173877614"/>
      <w:bookmarkStart w:id="124" w:name="_Toc413418064"/>
      <w:bookmarkStart w:id="125" w:name="_Toc520069068"/>
      <w:bookmarkStart w:id="126" w:name="_Toc535588944"/>
      <w:bookmarkStart w:id="127" w:name="_Toc536692761"/>
      <w:bookmarkStart w:id="128" w:name="_Toc529998580"/>
      <w:bookmarkStart w:id="129" w:name="_Toc413422928"/>
      <w:bookmarkStart w:id="130" w:name="_Toc536706135"/>
      <w:bookmarkStart w:id="131" w:name="_Toc17898512"/>
      <w:bookmarkStart w:id="132" w:name="_Toc209114035"/>
      <w:bookmarkStart w:id="133" w:name="_Toc413423013"/>
      <w:r>
        <w:rPr>
          <w:rFonts w:hint="eastAsia"/>
        </w:rPr>
        <w:t>型号</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pPr>
        <w:pStyle w:val="110"/>
        <w:spacing w:before="120" w:after="120"/>
      </w:pPr>
      <w:bookmarkStart w:id="134" w:name="_Toc209114036"/>
      <w:r>
        <w:rPr>
          <w:rFonts w:hint="eastAsia"/>
        </w:rPr>
        <w:t>编制型号</w:t>
      </w:r>
      <w:bookmarkEnd w:id="134"/>
    </w:p>
    <w:p>
      <w:pPr>
        <w:pStyle w:val="235"/>
        <w:spacing w:line="360" w:lineRule="auto"/>
        <w:rPr>
          <w:szCs w:val="21"/>
        </w:rPr>
      </w:pPr>
      <w:r>
        <w:rPr>
          <w:rFonts w:hint="eastAsia"/>
          <w:szCs w:val="21"/>
        </w:rPr>
        <w:t>型号编制按以下</w:t>
      </w:r>
      <w:r>
        <w:rPr>
          <w:rFonts w:hint="eastAsia" w:hAnsi="宋体"/>
          <w:szCs w:val="21"/>
        </w:rPr>
        <w:t>格式</w:t>
      </w:r>
      <w:r>
        <w:rPr>
          <w:rFonts w:hint="eastAsia"/>
          <w:szCs w:val="21"/>
        </w:rPr>
        <w:t>：</w:t>
      </w:r>
    </w:p>
    <w:p>
      <w:pPr>
        <w:pStyle w:val="235"/>
        <w:spacing w:line="360" w:lineRule="auto"/>
        <w:ind w:firstLine="422"/>
        <w:rPr>
          <w:rFonts w:hAnsi="宋体"/>
          <w:b/>
          <w:szCs w:val="21"/>
        </w:rPr>
      </w:pPr>
      <w:r>
        <w:rPr>
          <w:b/>
        </w:rPr>
        <mc:AlternateContent>
          <mc:Choice Requires="wps">
            <w:drawing>
              <wp:anchor distT="0" distB="0" distL="114300" distR="114300" simplePos="0" relativeHeight="251664384" behindDoc="0" locked="0" layoutInCell="1" allowOverlap="1">
                <wp:simplePos x="0" y="0"/>
                <wp:positionH relativeFrom="column">
                  <wp:posOffset>834390</wp:posOffset>
                </wp:positionH>
                <wp:positionV relativeFrom="paragraph">
                  <wp:posOffset>257175</wp:posOffset>
                </wp:positionV>
                <wp:extent cx="17780" cy="1386205"/>
                <wp:effectExtent l="0" t="0" r="20955" b="23495"/>
                <wp:wrapNone/>
                <wp:docPr id="11" name="直接连接符 11"/>
                <wp:cNvGraphicFramePr/>
                <a:graphic xmlns:a="http://schemas.openxmlformats.org/drawingml/2006/main">
                  <a:graphicData uri="http://schemas.microsoft.com/office/word/2010/wordprocessingShape">
                    <wps:wsp>
                      <wps:cNvCnPr>
                        <a:cxnSpLocks noChangeShapeType="1"/>
                      </wps:cNvCnPr>
                      <wps:spPr bwMode="auto">
                        <a:xfrm>
                          <a:off x="0" y="0"/>
                          <a:ext cx="17584" cy="1386254"/>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65.7pt;margin-top:20.25pt;height:109.15pt;width:1.4pt;z-index:251664384;mso-width-relative:page;mso-height-relative:page;" filled="f" stroked="t" coordsize="21600,21600" o:gfxdata="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0hZ3t&#10;1wAAAAoBAAAPAAAAAAAAAAEAIAAAACIAAABkcnMvZG93bnJldi54bWxQSwECFAAUAAAACACHTuJA&#10;MafPG+kBAACwAwAADgAAAAAAAAABACAAAAAmAQAAZHJzL2Uyb0RvYy54bWxQSwUGAAAAAAYABgBZ&#10;AQAAgQUAAAAA&#10;">
                <v:fill on="f" focussize="0,0"/>
                <v:stroke color="#000000" joinstyle="round"/>
                <v:imagedata o:title=""/>
                <o:lock v:ext="edit" aspectratio="f"/>
              </v:line>
            </w:pict>
          </mc:Fallback>
        </mc:AlternateContent>
      </w:r>
      <w:r>
        <w:rPr>
          <w:b/>
        </w:rPr>
        <mc:AlternateContent>
          <mc:Choice Requires="wps">
            <w:drawing>
              <wp:anchor distT="0" distB="0" distL="114300" distR="114300" simplePos="0" relativeHeight="251663360" behindDoc="0" locked="0" layoutInCell="1" allowOverlap="1">
                <wp:simplePos x="0" y="0"/>
                <wp:positionH relativeFrom="column">
                  <wp:posOffset>1268095</wp:posOffset>
                </wp:positionH>
                <wp:positionV relativeFrom="paragraph">
                  <wp:posOffset>257175</wp:posOffset>
                </wp:positionV>
                <wp:extent cx="0" cy="1137285"/>
                <wp:effectExtent l="0" t="0" r="19050" b="25400"/>
                <wp:wrapNone/>
                <wp:docPr id="10" name="直接连接符 10"/>
                <wp:cNvGraphicFramePr/>
                <a:graphic xmlns:a="http://schemas.openxmlformats.org/drawingml/2006/main">
                  <a:graphicData uri="http://schemas.microsoft.com/office/word/2010/wordprocessingShape">
                    <wps:wsp>
                      <wps:cNvCnPr>
                        <a:cxnSpLocks noChangeShapeType="1"/>
                      </wps:cNvCnPr>
                      <wps:spPr bwMode="auto">
                        <a:xfrm>
                          <a:off x="0" y="0"/>
                          <a:ext cx="0" cy="1137138"/>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99.85pt;margin-top:20.25pt;height:89.55pt;width:0pt;z-index:251663360;mso-width-relative:page;mso-height-relative:page;" filled="f" stroked="t" coordsize="21600,21600" o:gfxdata="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so4vWAAAACgEA&#10;AA8AAAAAAAAAAQAgAAAAIgAAAGRycy9kb3ducmV2LnhtbFBLAQIUABQAAAAIAIdO4kA9j9J34wEA&#10;AKwDAAAOAAAAAAAAAAEAIAAAACUBAABkcnMvZTJvRG9jLnhtbFBLBQYAAAAABgAGAFkBAAB6BQAA&#10;AAA=&#10;">
                <v:fill on="f" focussize="0,0"/>
                <v:stroke color="#000000" joinstyle="round"/>
                <v:imagedata o:title=""/>
                <o:lock v:ext="edit" aspectratio="f"/>
              </v:line>
            </w:pict>
          </mc:Fallback>
        </mc:AlternateContent>
      </w:r>
      <w:r>
        <w:rPr>
          <w:rFonts w:hint="eastAsia"/>
          <w:szCs w:val="21"/>
        </w:rPr>
        <w:t xml:space="preserve"> </w:t>
      </w:r>
      <w:r>
        <w:rPr>
          <w:b/>
          <w:szCs w:val="21"/>
        </w:rPr>
        <mc:AlternateContent>
          <mc:Choice Requires="wps">
            <w:drawing>
              <wp:anchor distT="0" distB="0" distL="114300" distR="114300" simplePos="0" relativeHeight="251676672" behindDoc="0" locked="0" layoutInCell="1" allowOverlap="1">
                <wp:simplePos x="0" y="0"/>
                <wp:positionH relativeFrom="column">
                  <wp:posOffset>3284855</wp:posOffset>
                </wp:positionH>
                <wp:positionV relativeFrom="paragraph">
                  <wp:posOffset>283845</wp:posOffset>
                </wp:positionV>
                <wp:extent cx="0" cy="87630"/>
                <wp:effectExtent l="13335" t="12700" r="5715" b="13970"/>
                <wp:wrapNone/>
                <wp:docPr id="21" name="直接连接符 21"/>
                <wp:cNvGraphicFramePr/>
                <a:graphic xmlns:a="http://schemas.openxmlformats.org/drawingml/2006/main">
                  <a:graphicData uri="http://schemas.microsoft.com/office/word/2010/wordprocessingShape">
                    <wps:wsp>
                      <wps:cNvCnPr>
                        <a:cxnSpLocks noChangeShapeType="1"/>
                      </wps:cNvCnPr>
                      <wps:spPr bwMode="auto">
                        <a:xfrm>
                          <a:off x="0" y="0"/>
                          <a:ext cx="0" cy="8763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58.65pt;margin-top:22.35pt;height:6.9pt;width:0pt;z-index:251676672;mso-width-relative:page;mso-height-relative:page;" filled="f" stroked="t" coordsize="21600,21600" o:gfxdata="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Iwq3tUAAAAJAQAA&#10;DwAAAAAAAAABACAAAAAiAAAAZHJzL2Rvd25yZXYueG1sUEsBAhQAFAAAAAgAh07iQPvF91jjAQAA&#10;qgMAAA4AAAAAAAAAAQAgAAAAJAEAAGRycy9lMm9Eb2MueG1sUEsFBgAAAAAGAAYAWQEAAHkFAAAA&#10;AA==&#10;">
                <v:fill on="f" focussize="0,0"/>
                <v:stroke color="#000000" joinstyle="round"/>
                <v:imagedata o:title=""/>
                <o:lock v:ext="edit" aspectratio="f"/>
              </v:line>
            </w:pict>
          </mc:Fallback>
        </mc:AlternateContent>
      </w:r>
      <w:r>
        <w:rPr>
          <w:b/>
          <w:szCs w:val="21"/>
        </w:rPr>
        <mc:AlternateContent>
          <mc:Choice Requires="wps">
            <w:drawing>
              <wp:anchor distT="0" distB="0" distL="114300" distR="114300" simplePos="0" relativeHeight="251677696" behindDoc="0" locked="0" layoutInCell="1" allowOverlap="1">
                <wp:simplePos x="0" y="0"/>
                <wp:positionH relativeFrom="column">
                  <wp:posOffset>3230245</wp:posOffset>
                </wp:positionH>
                <wp:positionV relativeFrom="paragraph">
                  <wp:posOffset>274320</wp:posOffset>
                </wp:positionV>
                <wp:extent cx="103505" cy="0"/>
                <wp:effectExtent l="6350" t="12700" r="13970" b="6350"/>
                <wp:wrapNone/>
                <wp:docPr id="20" name="直接连接符 20"/>
                <wp:cNvGraphicFramePr/>
                <a:graphic xmlns:a="http://schemas.openxmlformats.org/drawingml/2006/main">
                  <a:graphicData uri="http://schemas.microsoft.com/office/word/2010/wordprocessingShape">
                    <wps:wsp>
                      <wps:cNvCnPr>
                        <a:cxnSpLocks noChangeShapeType="1"/>
                      </wps:cNvCnPr>
                      <wps:spPr bwMode="auto">
                        <a:xfrm flipV="1">
                          <a:off x="0" y="0"/>
                          <a:ext cx="10350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254.35pt;margin-top:21.6pt;height:0pt;width:8.15pt;z-index:251677696;mso-width-relative:page;mso-height-relative:page;" filled="f" stroked="t" coordsize="21600,21600" o:gfxdata="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kMEH7W&#10;AAAACQEAAA8AAAAAAAAAAQAgAAAAIgAAAGRycy9kb3ducmV2LnhtbFBLAQIUABQAAAAIAIdO4kC7&#10;HdN56QEAALUDAAAOAAAAAAAAAAEAIAAAACUBAABkcnMvZTJvRG9jLnhtbFBLBQYAAAAABgAGAFkB&#10;AACABQAAAAA=&#10;">
                <v:fill on="f" focussize="0,0"/>
                <v:stroke color="#000000" joinstyle="round"/>
                <v:imagedata o:title=""/>
                <o:lock v:ext="edit" aspectratio="f"/>
              </v:line>
            </w:pict>
          </mc:Fallback>
        </mc:AlternateContent>
      </w:r>
      <w:r>
        <w:rPr>
          <w:rFonts w:hAnsi="宋体"/>
          <w:b/>
          <w:szCs w:val="21"/>
        </w:rPr>
        <mc:AlternateContent>
          <mc:Choice Requires="wps">
            <w:drawing>
              <wp:anchor distT="0" distB="0" distL="114300" distR="114300" simplePos="0" relativeHeight="251671552" behindDoc="0" locked="0" layoutInCell="1" allowOverlap="1">
                <wp:simplePos x="0" y="0"/>
                <wp:positionH relativeFrom="column">
                  <wp:posOffset>2753995</wp:posOffset>
                </wp:positionH>
                <wp:positionV relativeFrom="paragraph">
                  <wp:posOffset>293370</wp:posOffset>
                </wp:positionV>
                <wp:extent cx="103505" cy="0"/>
                <wp:effectExtent l="6350" t="12700" r="13970" b="6350"/>
                <wp:wrapNone/>
                <wp:docPr id="19" name="直接连接符 19"/>
                <wp:cNvGraphicFramePr/>
                <a:graphic xmlns:a="http://schemas.openxmlformats.org/drawingml/2006/main">
                  <a:graphicData uri="http://schemas.microsoft.com/office/word/2010/wordprocessingShape">
                    <wps:wsp>
                      <wps:cNvCnPr>
                        <a:cxnSpLocks noChangeShapeType="1"/>
                      </wps:cNvCnPr>
                      <wps:spPr bwMode="auto">
                        <a:xfrm flipV="1">
                          <a:off x="0" y="0"/>
                          <a:ext cx="10350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216.85pt;margin-top:23.1pt;height:0pt;width:8.15pt;z-index:251671552;mso-width-relative:page;mso-height-relative:page;" filled="f" stroked="t" coordsize="21600,21600" o:gfxdata="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49lO4&#10;1gAAAAkBAAAPAAAAAAAAAAEAIAAAACIAAABkcnMvZG93bnJldi54bWxQSwECFAAUAAAACACHTuJA&#10;Qt02KOoBAAC1AwAADgAAAAAAAAABACAAAAAlAQAAZHJzL2Uyb0RvYy54bWxQSwUGAAAAAAYABgBZ&#10;AQAAgQUAAAAA&#10;">
                <v:fill on="f" focussize="0,0"/>
                <v:stroke color="#000000" joinstyle="round"/>
                <v:imagedata o:title=""/>
                <o:lock v:ext="edit" aspectratio="f"/>
              </v:line>
            </w:pict>
          </mc:Fallback>
        </mc:AlternateContent>
      </w:r>
      <w:r>
        <w:rPr>
          <w:rFonts w:hint="eastAsia" w:hAnsi="宋体"/>
          <w:b/>
          <w:szCs w:val="21"/>
        </w:rPr>
        <w:t xml:space="preserve">       RH</w:t>
      </w:r>
      <w:r>
        <w:rPr>
          <w:rFonts w:hAnsi="宋体"/>
          <w:szCs w:val="21"/>
        </w:rPr>
        <w:t xml:space="preserve"> —</w:t>
      </w:r>
      <w:r>
        <w:rPr>
          <w:rFonts w:hint="eastAsia" w:hAnsi="宋体"/>
          <w:szCs w:val="21"/>
        </w:rPr>
        <w:t xml:space="preserve"> </w:t>
      </w:r>
      <w:r>
        <w:rPr>
          <w:rFonts w:hAnsi="宋体"/>
          <w:b/>
          <w:szCs w:val="21"/>
        </w:rPr>
        <w:t>□</w:t>
      </w:r>
      <w:r>
        <w:rPr>
          <w:rFonts w:hint="eastAsia" w:hAnsi="宋体"/>
          <w:b/>
          <w:szCs w:val="21"/>
        </w:rPr>
        <w:t xml:space="preserve"> </w:t>
      </w:r>
      <w:r>
        <w:rPr>
          <w:rFonts w:hAnsi="宋体"/>
          <w:szCs w:val="21"/>
        </w:rPr>
        <w:t>—</w:t>
      </w:r>
      <w:r>
        <w:rPr>
          <w:rFonts w:hint="eastAsia" w:hAnsi="宋体"/>
          <w:szCs w:val="21"/>
        </w:rPr>
        <w:t xml:space="preserve"> </w:t>
      </w:r>
      <w:r>
        <w:rPr>
          <w:rFonts w:hAnsi="宋体"/>
          <w:b/>
          <w:szCs w:val="21"/>
        </w:rPr>
        <w:t>□</w:t>
      </w:r>
      <w:r>
        <w:rPr>
          <w:rFonts w:hint="eastAsia" w:hAnsi="宋体"/>
          <w:b/>
          <w:szCs w:val="21"/>
        </w:rPr>
        <w:t xml:space="preserve">  </w:t>
      </w:r>
      <w:r>
        <w:rPr>
          <w:rFonts w:hAnsi="宋体"/>
          <w:szCs w:val="21"/>
        </w:rPr>
        <w:t>—</w:t>
      </w:r>
      <w:r>
        <w:rPr>
          <w:rFonts w:hint="eastAsia" w:hAnsi="宋体"/>
          <w:szCs w:val="21"/>
        </w:rPr>
        <w:t xml:space="preserve"> </w:t>
      </w:r>
      <w:r>
        <w:rPr>
          <w:rFonts w:hAnsi="宋体"/>
          <w:b/>
          <w:szCs w:val="21"/>
        </w:rPr>
        <w:t xml:space="preserve">□/□ </w:t>
      </w:r>
      <w:r>
        <w:rPr>
          <w:rFonts w:hint="eastAsia" w:hAnsi="宋体"/>
          <w:b/>
          <w:szCs w:val="21"/>
        </w:rPr>
        <w:t xml:space="preserve"> </w:t>
      </w:r>
      <w:r>
        <w:rPr>
          <w:rFonts w:hAnsi="宋体"/>
          <w:szCs w:val="21"/>
        </w:rPr>
        <w:t xml:space="preserve">— </w:t>
      </w:r>
      <w:r>
        <w:rPr>
          <w:rFonts w:hAnsi="宋体"/>
          <w:b/>
          <w:szCs w:val="21"/>
        </w:rPr>
        <w:t xml:space="preserve">□ </w:t>
      </w:r>
      <w:r>
        <w:rPr>
          <w:rFonts w:hint="eastAsia" w:hAnsi="宋体"/>
          <w:b/>
          <w:szCs w:val="21"/>
        </w:rPr>
        <w:t xml:space="preserve"> </w:t>
      </w:r>
      <w:r>
        <w:rPr>
          <w:rFonts w:hAnsi="宋体"/>
          <w:szCs w:val="21"/>
        </w:rPr>
        <w:t xml:space="preserve">— </w:t>
      </w:r>
      <w:r>
        <w:rPr>
          <w:rFonts w:hAnsi="宋体"/>
          <w:b/>
          <w:szCs w:val="21"/>
        </w:rPr>
        <w:t>□</w:t>
      </w:r>
    </w:p>
    <w:p>
      <w:pPr>
        <w:ind w:left="5040" w:leftChars="2400"/>
        <w:rPr>
          <w:b/>
        </w:rPr>
      </w:pPr>
      <w:r>
        <w:rPr>
          <w:b/>
        </w:rPr>
        <mc:AlternateContent>
          <mc:Choice Requires="wps">
            <w:drawing>
              <wp:anchor distT="0" distB="0" distL="114300" distR="114300" simplePos="0" relativeHeight="251667456" behindDoc="0" locked="0" layoutInCell="1" allowOverlap="1">
                <wp:simplePos x="0" y="0"/>
                <wp:positionH relativeFrom="column">
                  <wp:posOffset>2809875</wp:posOffset>
                </wp:positionH>
                <wp:positionV relativeFrom="paragraph">
                  <wp:posOffset>29845</wp:posOffset>
                </wp:positionV>
                <wp:extent cx="5715" cy="345440"/>
                <wp:effectExtent l="0" t="0" r="32385" b="35560"/>
                <wp:wrapNone/>
                <wp:docPr id="13" name="直接连接符 13"/>
                <wp:cNvGraphicFramePr/>
                <a:graphic xmlns:a="http://schemas.openxmlformats.org/drawingml/2006/main">
                  <a:graphicData uri="http://schemas.microsoft.com/office/word/2010/wordprocessingShape">
                    <wps:wsp>
                      <wps:cNvCnPr>
                        <a:cxnSpLocks noChangeShapeType="1"/>
                      </wps:cNvCnPr>
                      <wps:spPr bwMode="auto">
                        <a:xfrm>
                          <a:off x="0" y="0"/>
                          <a:ext cx="5715" cy="34544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21.25pt;margin-top:2.35pt;height:27.2pt;width:0.45pt;z-index:251667456;mso-width-relative:page;mso-height-relative:page;" filled="f" stroked="t" coordsize="21600,21600" o:gfxdata="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56L&#10;ltcAAAAIAQAADwAAAAAAAAABACAAAAAiAAAAZHJzL2Rvd25yZXYueG1sUEsBAhQAFAAAAAgAh07i&#10;QFgVap3qAQAArgMAAA4AAAAAAAAAAQAgAAAAJgEAAGRycy9lMm9Eb2MueG1sUEsFBgAAAAAGAAYA&#10;WQEAAIIFAAAAAA==&#10;">
                <v:fill on="f" focussize="0,0"/>
                <v:stroke color="#000000" joinstyle="round"/>
                <v:imagedata o:title=""/>
                <o:lock v:ext="edit" aspectratio="f"/>
              </v:line>
            </w:pict>
          </mc:Fallback>
        </mc:AlternateContent>
      </w:r>
      <w:r>
        <w:rPr>
          <w:rFonts w:cs="MingLiU"/>
        </w:rPr>
        <mc:AlternateContent>
          <mc:Choice Requires="wps">
            <w:drawing>
              <wp:anchor distT="0" distB="0" distL="114300" distR="114300" simplePos="0" relativeHeight="251678720" behindDoc="0" locked="0" layoutInCell="1" allowOverlap="1">
                <wp:simplePos x="0" y="0"/>
                <wp:positionH relativeFrom="column">
                  <wp:posOffset>3278505</wp:posOffset>
                </wp:positionH>
                <wp:positionV relativeFrom="paragraph">
                  <wp:posOffset>106680</wp:posOffset>
                </wp:positionV>
                <wp:extent cx="86995" cy="0"/>
                <wp:effectExtent l="0" t="0" r="27305" b="19050"/>
                <wp:wrapNone/>
                <wp:docPr id="18" name="直接连接符 18"/>
                <wp:cNvGraphicFramePr/>
                <a:graphic xmlns:a="http://schemas.openxmlformats.org/drawingml/2006/main">
                  <a:graphicData uri="http://schemas.microsoft.com/office/word/2010/wordprocessingShape">
                    <wps:wsp>
                      <wps:cNvCnPr>
                        <a:cxnSpLocks noChangeShapeType="1"/>
                      </wps:cNvCnPr>
                      <wps:spPr bwMode="auto">
                        <a:xfrm>
                          <a:off x="0" y="0"/>
                          <a:ext cx="8699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58.15pt;margin-top:8.4pt;height:0pt;width:6.85pt;z-index:251678720;mso-width-relative:page;mso-height-relative:page;" filled="f" stroked="t" coordsize="21600,21600" o:gfxdata="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q29ENUAAAAJAQAA&#10;DwAAAAAAAAABACAAAAAiAAAAZHJzL2Rvd25yZXYueG1sUEsBAhQAFAAAAAgAh07iQIAQXU7jAQAA&#10;qgMAAA4AAAAAAAAAAQAgAAAAJAEAAGRycy9lMm9Eb2MueG1sUEsFBgAAAAAGAAYAWQEAAHkFAAAA&#10;AA==&#10;">
                <v:fill on="f" focussize="0,0"/>
                <v:stroke color="#000000" joinstyle="round"/>
                <v:imagedata o:title=""/>
                <o:lock v:ext="edit" aspectratio="f"/>
              </v:line>
            </w:pict>
          </mc:Fallback>
        </mc:AlternateContent>
      </w:r>
      <w:r>
        <w:rPr>
          <w:b/>
        </w:rPr>
        <mc:AlternateContent>
          <mc:Choice Requires="wps">
            <w:drawing>
              <wp:anchor distT="0" distB="0" distL="114300" distR="114300" simplePos="0" relativeHeight="251665408" behindDoc="0" locked="0" layoutInCell="1" allowOverlap="1">
                <wp:simplePos x="0" y="0"/>
                <wp:positionH relativeFrom="column">
                  <wp:posOffset>2217420</wp:posOffset>
                </wp:positionH>
                <wp:positionV relativeFrom="paragraph">
                  <wp:posOffset>12065</wp:posOffset>
                </wp:positionV>
                <wp:extent cx="0" cy="618490"/>
                <wp:effectExtent l="0" t="0" r="19050" b="29845"/>
                <wp:wrapNone/>
                <wp:docPr id="12" name="直接连接符 12"/>
                <wp:cNvGraphicFramePr/>
                <a:graphic xmlns:a="http://schemas.openxmlformats.org/drawingml/2006/main">
                  <a:graphicData uri="http://schemas.microsoft.com/office/word/2010/wordprocessingShape">
                    <wps:wsp>
                      <wps:cNvCnPr>
                        <a:cxnSpLocks noChangeShapeType="1"/>
                      </wps:cNvCnPr>
                      <wps:spPr bwMode="auto">
                        <a:xfrm>
                          <a:off x="0" y="0"/>
                          <a:ext cx="0" cy="618392"/>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74.6pt;margin-top:0.95pt;height:48.7pt;width:0pt;z-index:251665408;mso-width-relative:page;mso-height-relative:page;" filled="f" stroked="t" coordsize="21600,21600" o:gfxdata="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v7B9vVAAAACAEA&#10;AA8AAAAAAAAAAQAgAAAAIgAAAGRycy9kb3ducmV2LnhtbFBLAQIUABQAAAAIAIdO4kCz/ttf5AEA&#10;AKsDAAAOAAAAAAAAAAEAIAAAACQBAABkcnMvZTJvRG9jLnhtbFBLBQYAAAAABgAGAFkBAAB6BQAA&#10;AAA=&#10;">
                <v:fill on="f" focussize="0,0"/>
                <v:stroke color="#000000" joinstyle="round"/>
                <v:imagedata o:title=""/>
                <o:lock v:ext="edit" aspectratio="f"/>
              </v:line>
            </w:pict>
          </mc:Fallback>
        </mc:AlternateContent>
      </w:r>
      <w:r>
        <w:rPr>
          <w:b/>
        </w:rPr>
        <mc:AlternateContent>
          <mc:Choice Requires="wps">
            <w:drawing>
              <wp:anchor distT="0" distB="0" distL="114300" distR="114300" simplePos="0" relativeHeight="251662336" behindDoc="0" locked="0" layoutInCell="1" allowOverlap="1">
                <wp:simplePos x="0" y="0"/>
                <wp:positionH relativeFrom="column">
                  <wp:posOffset>1671955</wp:posOffset>
                </wp:positionH>
                <wp:positionV relativeFrom="paragraph">
                  <wp:posOffset>12065</wp:posOffset>
                </wp:positionV>
                <wp:extent cx="0" cy="849630"/>
                <wp:effectExtent l="0" t="0" r="19050" b="26670"/>
                <wp:wrapNone/>
                <wp:docPr id="9" name="直接连接符 9"/>
                <wp:cNvGraphicFramePr/>
                <a:graphic xmlns:a="http://schemas.openxmlformats.org/drawingml/2006/main">
                  <a:graphicData uri="http://schemas.microsoft.com/office/word/2010/wordprocessingShape">
                    <wps:wsp>
                      <wps:cNvCnPr>
                        <a:cxnSpLocks noChangeShapeType="1"/>
                      </wps:cNvCnPr>
                      <wps:spPr bwMode="auto">
                        <a:xfrm flipH="1">
                          <a:off x="0" y="0"/>
                          <a:ext cx="0" cy="849923"/>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131.65pt;margin-top:0.95pt;height:66.9pt;width:0pt;z-index:251662336;mso-width-relative:page;mso-height-relative:page;" filled="f" stroked="t" coordsize="21600,21600" o:gfxdata="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s3GODUAAAA&#10;CQEAAA8AAAAAAAAAAQAgAAAAIgAAAGRycy9kb3ducmV2LnhtbFBLAQIUABQAAAAIAIdO4kBJXLEb&#10;6AEAALMDAAAOAAAAAAAAAAEAIAAAACMBAABkcnMvZTJvRG9jLnhtbFBLBQYAAAAABgAGAFkBAAB9&#10;BQAAAAA=&#10;">
                <v:fill on="f" focussize="0,0"/>
                <v:stroke color="#000000" joinstyle="round"/>
                <v:imagedata o:title=""/>
                <o:lock v:ext="edit" aspectratio="f"/>
              </v:line>
            </w:pict>
          </mc:Fallback>
        </mc:AlternateContent>
      </w:r>
      <w:r>
        <w:rPr>
          <w:b/>
        </w:rPr>
        <mc:AlternateContent>
          <mc:Choice Requires="wps">
            <w:drawing>
              <wp:anchor distT="0" distB="0" distL="114300" distR="114300" simplePos="0" relativeHeight="251675648" behindDoc="0" locked="0" layoutInCell="1" allowOverlap="1">
                <wp:simplePos x="0" y="0"/>
                <wp:positionH relativeFrom="column">
                  <wp:posOffset>782320</wp:posOffset>
                </wp:positionH>
                <wp:positionV relativeFrom="paragraph">
                  <wp:posOffset>0</wp:posOffset>
                </wp:positionV>
                <wp:extent cx="103505" cy="0"/>
                <wp:effectExtent l="6350" t="6985" r="13970" b="12065"/>
                <wp:wrapNone/>
                <wp:docPr id="17" name="直接连接符 17"/>
                <wp:cNvGraphicFramePr/>
                <a:graphic xmlns:a="http://schemas.openxmlformats.org/drawingml/2006/main">
                  <a:graphicData uri="http://schemas.microsoft.com/office/word/2010/wordprocessingShape">
                    <wps:wsp>
                      <wps:cNvCnPr>
                        <a:cxnSpLocks noChangeShapeType="1"/>
                      </wps:cNvCnPr>
                      <wps:spPr bwMode="auto">
                        <a:xfrm flipV="1">
                          <a:off x="0" y="0"/>
                          <a:ext cx="10350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61.6pt;margin-top:0pt;height:0pt;width:8.15pt;z-index:251675648;mso-width-relative:page;mso-height-relative:page;" filled="f" stroked="t" coordsize="21600,21600" o:gfxdata="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vHgrbRAAAA&#10;BQEAAA8AAAAAAAAAAQAgAAAAIgAAAGRycy9kb3ducmV2LnhtbFBLAQIUABQAAAAIAIdO4kAGAS+W&#10;6wEAALUDAAAOAAAAAAAAAAEAIAAAACABAABkcnMvZTJvRG9jLnhtbFBLBQYAAAAABgAGAFkBAAB9&#10;BQAAAAA=&#10;">
                <v:fill on="f" focussize="0,0"/>
                <v:stroke color="#000000" joinstyle="round"/>
                <v:imagedata o:title=""/>
                <o:lock v:ext="edit" aspectratio="f"/>
              </v:line>
            </w:pict>
          </mc:Fallback>
        </mc:AlternateContent>
      </w:r>
      <w:r>
        <w:rPr>
          <w:b/>
        </w:rPr>
        <mc:AlternateContent>
          <mc:Choice Requires="wps">
            <w:drawing>
              <wp:anchor distT="0" distB="0" distL="114300" distR="114300" simplePos="0" relativeHeight="251674624" behindDoc="0" locked="0" layoutInCell="1" allowOverlap="1">
                <wp:simplePos x="0" y="0"/>
                <wp:positionH relativeFrom="column">
                  <wp:posOffset>1213485</wp:posOffset>
                </wp:positionH>
                <wp:positionV relativeFrom="paragraph">
                  <wp:posOffset>0</wp:posOffset>
                </wp:positionV>
                <wp:extent cx="103505" cy="0"/>
                <wp:effectExtent l="8890" t="6985" r="11430" b="12065"/>
                <wp:wrapNone/>
                <wp:docPr id="16" name="直接连接符 16"/>
                <wp:cNvGraphicFramePr/>
                <a:graphic xmlns:a="http://schemas.openxmlformats.org/drawingml/2006/main">
                  <a:graphicData uri="http://schemas.microsoft.com/office/word/2010/wordprocessingShape">
                    <wps:wsp>
                      <wps:cNvCnPr>
                        <a:cxnSpLocks noChangeShapeType="1"/>
                      </wps:cNvCnPr>
                      <wps:spPr bwMode="auto">
                        <a:xfrm flipV="1">
                          <a:off x="0" y="0"/>
                          <a:ext cx="10350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95.55pt;margin-top:0pt;height:0pt;width:8.15pt;z-index:251674624;mso-width-relative:page;mso-height-relative:page;" filled="f" stroked="t" coordsize="21600,21600" o:gfxdata="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Ol9tjSAAAA&#10;BQEAAA8AAAAAAAAAAQAgAAAAIgAAAGRycy9kb3ducmV2LnhtbFBLAQIUABQAAAAIAIdO4kDQlfaJ&#10;6gEAALUDAAAOAAAAAAAAAAEAIAAAACEBAABkcnMvZTJvRG9jLnhtbFBLBQYAAAAABgAGAFkBAAB9&#10;BQAAAAA=&#10;">
                <v:fill on="f" focussize="0,0"/>
                <v:stroke color="#000000" joinstyle="round"/>
                <v:imagedata o:title=""/>
                <o:lock v:ext="edit" aspectratio="f"/>
              </v:line>
            </w:pict>
          </mc:Fallback>
        </mc:AlternateContent>
      </w:r>
      <w:r>
        <w:rPr>
          <w:b/>
        </w:rPr>
        <mc:AlternateContent>
          <mc:Choice Requires="wps">
            <w:drawing>
              <wp:anchor distT="0" distB="0" distL="114300" distR="114300" simplePos="0" relativeHeight="251673600" behindDoc="0" locked="0" layoutInCell="1" allowOverlap="1">
                <wp:simplePos x="0" y="0"/>
                <wp:positionH relativeFrom="column">
                  <wp:posOffset>1615440</wp:posOffset>
                </wp:positionH>
                <wp:positionV relativeFrom="paragraph">
                  <wp:posOffset>5080</wp:posOffset>
                </wp:positionV>
                <wp:extent cx="103505" cy="0"/>
                <wp:effectExtent l="10795" t="12065" r="9525" b="6985"/>
                <wp:wrapNone/>
                <wp:docPr id="15" name="直接连接符 15"/>
                <wp:cNvGraphicFramePr/>
                <a:graphic xmlns:a="http://schemas.openxmlformats.org/drawingml/2006/main">
                  <a:graphicData uri="http://schemas.microsoft.com/office/word/2010/wordprocessingShape">
                    <wps:wsp>
                      <wps:cNvCnPr>
                        <a:cxnSpLocks noChangeShapeType="1"/>
                      </wps:cNvCnPr>
                      <wps:spPr bwMode="auto">
                        <a:xfrm flipV="1">
                          <a:off x="0" y="0"/>
                          <a:ext cx="10350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27.2pt;margin-top:0.4pt;height:0pt;width:8.15pt;z-index:251673600;mso-width-relative:page;mso-height-relative:page;" filled="f" stroked="t" coordsize="21600,21600" o:gfxdata="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qFe7nTAAAA&#10;BQEAAA8AAAAAAAAAAQAgAAAAIgAAAGRycy9kb3ducmV2LnhtbFBLAQIUABQAAAAIAIdO4kCqKJyp&#10;6QEAALUDAAAOAAAAAAAAAAEAIAAAACIBAABkcnMvZTJvRG9jLnhtbFBLBQYAAAAABgAGAFkBAAB9&#10;BQAAAAA=&#10;">
                <v:fill on="f" focussize="0,0"/>
                <v:stroke color="#000000" joinstyle="round"/>
                <v:imagedata o:title=""/>
                <o:lock v:ext="edit" aspectratio="f"/>
              </v:line>
            </w:pict>
          </mc:Fallback>
        </mc:AlternateContent>
      </w:r>
      <w:r>
        <w:rPr>
          <w:b/>
        </w:rPr>
        <mc:AlternateContent>
          <mc:Choice Requires="wps">
            <w:drawing>
              <wp:anchor distT="0" distB="0" distL="114300" distR="114300" simplePos="0" relativeHeight="251672576" behindDoc="0" locked="0" layoutInCell="1" allowOverlap="1">
                <wp:simplePos x="0" y="0"/>
                <wp:positionH relativeFrom="column">
                  <wp:posOffset>2159635</wp:posOffset>
                </wp:positionH>
                <wp:positionV relativeFrom="paragraph">
                  <wp:posOffset>12700</wp:posOffset>
                </wp:positionV>
                <wp:extent cx="103505" cy="0"/>
                <wp:effectExtent l="12065" t="10160" r="8255" b="8890"/>
                <wp:wrapNone/>
                <wp:docPr id="14" name="直接连接符 14"/>
                <wp:cNvGraphicFramePr/>
                <a:graphic xmlns:a="http://schemas.openxmlformats.org/drawingml/2006/main">
                  <a:graphicData uri="http://schemas.microsoft.com/office/word/2010/wordprocessingShape">
                    <wps:wsp>
                      <wps:cNvCnPr>
                        <a:cxnSpLocks noChangeShapeType="1"/>
                      </wps:cNvCnPr>
                      <wps:spPr bwMode="auto">
                        <a:xfrm flipV="1">
                          <a:off x="0" y="0"/>
                          <a:ext cx="10350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70.05pt;margin-top:1pt;height:0pt;width:8.15pt;z-index:251672576;mso-width-relative:page;mso-height-relative:page;" filled="f" stroked="t" coordsize="21600,21600" o:gfxdata="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AocVNQA&#10;AAAHAQAADwAAAAAAAAABACAAAAAiAAAAZHJzL2Rvd25yZXYueG1sUEsBAhQAFAAAAAgAh07iQHy8&#10;RbbqAQAAtQMAAA4AAAAAAAAAAQAgAAAAIwEAAGRycy9lMm9Eb2MueG1sUEsFBgAAAAAGAAYAWQEA&#10;AH8FAAAAAA==&#10;">
                <v:fill on="f" focussize="0,0"/>
                <v:stroke color="#000000" joinstyle="round"/>
                <v:imagedata o:title=""/>
                <o:lock v:ext="edit" aspectratio="f"/>
              </v:line>
            </w:pict>
          </mc:Fallback>
        </mc:AlternateContent>
      </w:r>
      <w:r>
        <w:rPr>
          <w:rFonts w:hint="eastAsia"/>
          <w:b/>
        </w:rPr>
        <w:t xml:space="preserve">    </w:t>
      </w:r>
      <w:r>
        <w:rPr>
          <w:rFonts w:hint="eastAsia" w:cs="MingLiU"/>
        </w:rPr>
        <w:t>自定义代号</w:t>
      </w:r>
    </w:p>
    <w:p>
      <w:pPr>
        <w:ind w:firstLine="5460" w:firstLineChars="2600"/>
        <w:rPr>
          <w:rFonts w:cs="MingLiU"/>
        </w:rPr>
      </w:pPr>
      <w:r>
        <w:rPr>
          <w:rFonts w:cs="MingLiU"/>
        </w:rPr>
        <mc:AlternateContent>
          <mc:Choice Requires="wps">
            <w:drawing>
              <wp:anchor distT="0" distB="0" distL="114300" distR="114300" simplePos="0" relativeHeight="251668480" behindDoc="0" locked="0" layoutInCell="1" allowOverlap="1">
                <wp:simplePos x="0" y="0"/>
                <wp:positionH relativeFrom="column">
                  <wp:posOffset>2817495</wp:posOffset>
                </wp:positionH>
                <wp:positionV relativeFrom="paragraph">
                  <wp:posOffset>107315</wp:posOffset>
                </wp:positionV>
                <wp:extent cx="518160" cy="0"/>
                <wp:effectExtent l="12700" t="7620" r="12065" b="11430"/>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flipV="1">
                          <a:off x="0" y="0"/>
                          <a:ext cx="51816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221.85pt;margin-top:8.45pt;height:0pt;width:40.8pt;z-index:251668480;mso-width-relative:page;mso-height-relative:page;" filled="f" stroked="t" coordsize="21600,21600" o:gfxdata="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vKgKD&#10;1wAAAAkBAAAPAAAAAAAAAAEAIAAAACIAAABkcnMvZG93bnJldi54bWxQSwECFAAUAAAACACHTuJA&#10;ZhaVNOkBAACzAwAADgAAAAAAAAABACAAAAAmAQAAZHJzL2Uyb0RvYy54bWxQSwUGAAAAAAYABgBZ&#10;AQAAgQUAAAAA&#10;">
                <v:fill on="f" focussize="0,0"/>
                <v:stroke color="#000000" joinstyle="round"/>
                <v:imagedata o:title=""/>
                <o:lock v:ext="edit" aspectratio="f"/>
              </v:line>
            </w:pict>
          </mc:Fallback>
        </mc:AlternateContent>
      </w:r>
      <w:r>
        <w:rPr>
          <w:rFonts w:hint="eastAsia" w:cs="MingLiU"/>
        </w:rPr>
        <w:t>出口压力</w:t>
      </w:r>
    </w:p>
    <w:p>
      <w:pPr>
        <w:ind w:firstLine="5460" w:firstLineChars="2600"/>
        <w:rPr>
          <w:rFonts w:cs="MingLiU"/>
        </w:rPr>
      </w:pPr>
      <w:r>
        <mc:AlternateContent>
          <mc:Choice Requires="wps">
            <w:drawing>
              <wp:anchor distT="0" distB="0" distL="114300" distR="114300" simplePos="0" relativeHeight="251666432" behindDoc="0" locked="0" layoutInCell="1" allowOverlap="1">
                <wp:simplePos x="0" y="0"/>
                <wp:positionH relativeFrom="column">
                  <wp:posOffset>2218690</wp:posOffset>
                </wp:positionH>
                <wp:positionV relativeFrom="paragraph">
                  <wp:posOffset>122555</wp:posOffset>
                </wp:positionV>
                <wp:extent cx="1108075" cy="0"/>
                <wp:effectExtent l="13970" t="11430" r="11430" b="7620"/>
                <wp:wrapNone/>
                <wp:docPr id="7" name="直接连接符 7"/>
                <wp:cNvGraphicFramePr/>
                <a:graphic xmlns:a="http://schemas.openxmlformats.org/drawingml/2006/main">
                  <a:graphicData uri="http://schemas.microsoft.com/office/word/2010/wordprocessingShape">
                    <wps:wsp>
                      <wps:cNvCnPr>
                        <a:cxnSpLocks noChangeShapeType="1"/>
                      </wps:cNvCnPr>
                      <wps:spPr bwMode="auto">
                        <a:xfrm>
                          <a:off x="0" y="0"/>
                          <a:ext cx="110807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74.7pt;margin-top:9.65pt;height:0pt;width:87.25pt;z-index:251666432;mso-width-relative:page;mso-height-relative:page;" filled="f" stroked="t" coordsize="21600,21600" o:gfxdata="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uBEW1gAAAAkB&#10;AAAPAAAAAAAAAAEAIAAAACIAAABkcnMvZG93bnJldi54bWxQSwECFAAUAAAACACHTuJARjwTaOQB&#10;AACqAwAADgAAAAAAAAABACAAAAAlAQAAZHJzL2Uyb0RvYy54bWxQSwUGAAAAAAYABgBZAQAAewUA&#10;AAAA&#10;">
                <v:fill on="f" focussize="0,0"/>
                <v:stroke color="#000000" joinstyle="round"/>
                <v:imagedata o:title=""/>
                <o:lock v:ext="edit" aspectratio="f"/>
              </v:line>
            </w:pict>
          </mc:Fallback>
        </mc:AlternateContent>
      </w:r>
      <w:r>
        <w:rPr>
          <w:rFonts w:hint="eastAsia"/>
        </w:rPr>
        <w:t>天然气最大工作压力/氢气最大工作压力</w:t>
      </w:r>
    </w:p>
    <w:p>
      <w:pPr>
        <w:ind w:firstLine="5389" w:firstLineChars="2556"/>
        <w:rPr>
          <w:b/>
        </w:rPr>
      </w:pPr>
      <w:r>
        <w:rPr>
          <w:b/>
        </w:rPr>
        <mc:AlternateContent>
          <mc:Choice Requires="wps">
            <w:drawing>
              <wp:anchor distT="0" distB="0" distL="114300" distR="114300" simplePos="0" relativeHeight="251661312" behindDoc="0" locked="0" layoutInCell="1" allowOverlap="1">
                <wp:simplePos x="0" y="0"/>
                <wp:positionH relativeFrom="column">
                  <wp:posOffset>1672590</wp:posOffset>
                </wp:positionH>
                <wp:positionV relativeFrom="paragraph">
                  <wp:posOffset>122555</wp:posOffset>
                </wp:positionV>
                <wp:extent cx="1654175" cy="0"/>
                <wp:effectExtent l="10795" t="9525" r="11430" b="9525"/>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flipV="1">
                          <a:off x="0" y="0"/>
                          <a:ext cx="165417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31.7pt;margin-top:9.65pt;height:0pt;width:130.25pt;z-index:251661312;mso-width-relative:page;mso-height-relative:page;" filled="f" stroked="t" coordsize="21600,21600" o:gfxdata="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HN4bc&#10;1QAAAAkBAAAPAAAAAAAAAAEAIAAAACIAAABkcnMvZG93bnJldi54bWxQSwECFAAUAAAACACHTuJA&#10;IzjdfusBAAC0AwAADgAAAAAAAAABACAAAAAkAQAAZHJzL2Uyb0RvYy54bWxQSwUGAAAAAAYABgBZ&#10;AQAAgQUAAAAA&#10;">
                <v:fill on="f" focussize="0,0"/>
                <v:stroke color="#000000" joinstyle="round"/>
                <v:imagedata o:title=""/>
                <o:lock v:ext="edit" aspectratio="f"/>
              </v:line>
            </w:pict>
          </mc:Fallback>
        </mc:AlternateContent>
      </w:r>
      <w:r>
        <w:rPr>
          <w:rFonts w:hint="eastAsia"/>
        </w:rPr>
        <w:t>掺混比例（体积分数）或范围</w:t>
      </w:r>
    </w:p>
    <w:p>
      <w:pPr>
        <w:ind w:firstLine="5460" w:firstLineChars="2600"/>
        <w:rPr>
          <w:b/>
        </w:rPr>
      </w:pPr>
      <w:r>
        <mc:AlternateContent>
          <mc:Choice Requires="wps">
            <w:drawing>
              <wp:anchor distT="0" distB="0" distL="114300" distR="114300" simplePos="0" relativeHeight="251659264" behindDoc="0" locked="0" layoutInCell="1" allowOverlap="1">
                <wp:simplePos x="0" y="0"/>
                <wp:positionH relativeFrom="column">
                  <wp:posOffset>1268095</wp:posOffset>
                </wp:positionH>
                <wp:positionV relativeFrom="paragraph">
                  <wp:posOffset>119380</wp:posOffset>
                </wp:positionV>
                <wp:extent cx="2058670" cy="0"/>
                <wp:effectExtent l="6350" t="13970" r="11430" b="5080"/>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flipH="1">
                          <a:off x="0" y="0"/>
                          <a:ext cx="205867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99.85pt;margin-top:9.4pt;height:0pt;width:162.1pt;z-index:251659264;mso-width-relative:page;mso-height-relative:page;" filled="f" stroked="t" coordsize="21600,21600" o:gfxdata="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wxN&#10;LtUAAAAJAQAADwAAAAAAAAABACAAAAAiAAAAZHJzL2Rvd25yZXYueG1sUEsBAhQAFAAAAAgAh07i&#10;QMXZAqjsAQAAtAMAAA4AAAAAAAAAAQAgAAAAJAEAAGRycy9lMm9Eb2MueG1sUEsFBgAAAAAGAAYA&#10;WQEAAIIFAAAAAA==&#10;">
                <v:fill on="f" focussize="0,0"/>
                <v:stroke color="#000000" joinstyle="round"/>
                <v:imagedata o:title=""/>
                <o:lock v:ext="edit" aspectratio="f"/>
              </v:line>
            </w:pict>
          </mc:Fallback>
        </mc:AlternateContent>
      </w:r>
      <w:r>
        <w:rPr>
          <w:rFonts w:hint="eastAsia"/>
        </w:rPr>
        <w:t>输气量</w:t>
      </w:r>
    </w:p>
    <w:p>
      <w:pPr>
        <w:ind w:firstLine="5374" w:firstLineChars="2549"/>
      </w:pPr>
      <w:r>
        <w:rPr>
          <w:b/>
        </w:rPr>
        <mc:AlternateContent>
          <mc:Choice Requires="wps">
            <w:drawing>
              <wp:anchor distT="0" distB="0" distL="114300" distR="114300" simplePos="0" relativeHeight="251660288" behindDoc="0" locked="0" layoutInCell="1" allowOverlap="1">
                <wp:simplePos x="0" y="0"/>
                <wp:positionH relativeFrom="column">
                  <wp:posOffset>835025</wp:posOffset>
                </wp:positionH>
                <wp:positionV relativeFrom="paragraph">
                  <wp:posOffset>128905</wp:posOffset>
                </wp:positionV>
                <wp:extent cx="2491740" cy="0"/>
                <wp:effectExtent l="11430" t="12065" r="11430" b="6985"/>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flipH="1">
                          <a:off x="0" y="0"/>
                          <a:ext cx="249174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65.75pt;margin-top:10.15pt;height:0pt;width:196.2pt;z-index:251660288;mso-width-relative:page;mso-height-relative:page;" filled="f" stroked="t" coordsize="21600,21600" o:gfxdata="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GL6&#10;GNUAAAAJAQAADwAAAAAAAAABACAAAAAiAAAAZHJzL2Rvd25yZXYueG1sUEsBAhQAFAAAAAgAh07i&#10;QNh9VGfsAQAAtAMAAA4AAAAAAAAAAQAgAAAAJAEAAGRycy9lMm9Eb2MueG1sUEsFBgAAAAAGAAYA&#10;WQEAAIIFAAAAAA==&#10;">
                <v:fill on="f" focussize="0,0"/>
                <v:stroke color="#000000" joinstyle="round"/>
                <v:imagedata o:title=""/>
                <o:lock v:ext="edit" aspectratio="f"/>
              </v:line>
            </w:pict>
          </mc:Fallback>
        </mc:AlternateContent>
      </w:r>
      <w:r>
        <w:rPr>
          <w:rFonts w:hint="eastAsia"/>
        </w:rPr>
        <w:t>掺氢撬代号</w:t>
      </w:r>
    </w:p>
    <w:p>
      <w:pPr>
        <w:ind w:firstLine="420"/>
        <w:rPr>
          <w:b/>
        </w:rPr>
      </w:pPr>
    </w:p>
    <w:p>
      <w:pPr>
        <w:pStyle w:val="110"/>
        <w:spacing w:before="120" w:after="120"/>
      </w:pPr>
      <w:bookmarkStart w:id="135" w:name="_Toc209114037"/>
      <w:r>
        <w:rPr>
          <w:rFonts w:hint="eastAsia"/>
        </w:rPr>
        <w:t>示例</w:t>
      </w:r>
      <w:bookmarkEnd w:id="135"/>
    </w:p>
    <w:p>
      <w:pPr>
        <w:pStyle w:val="61"/>
        <w:ind w:firstLine="420"/>
      </w:pPr>
      <w:r>
        <w:rPr>
          <w:rFonts w:hint="eastAsia"/>
        </w:rPr>
        <w:t>掺混装置型号示例如下：</w:t>
      </w:r>
    </w:p>
    <w:p>
      <w:pPr>
        <w:pStyle w:val="179"/>
      </w:pPr>
      <w:r>
        <w:rPr>
          <w:rFonts w:hint="eastAsia"/>
        </w:rPr>
        <w:t>输气量为</w:t>
      </w:r>
      <w:r>
        <w:t>2</w:t>
      </w:r>
      <w:r>
        <w:rPr>
          <w:rFonts w:hint="eastAsia"/>
        </w:rPr>
        <w:t xml:space="preserve"> 000 Nm</w:t>
      </w:r>
      <w:r>
        <w:rPr>
          <w:rFonts w:hint="eastAsia"/>
          <w:vertAlign w:val="superscript"/>
        </w:rPr>
        <w:t>3</w:t>
      </w:r>
      <w:r>
        <w:rPr>
          <w:rFonts w:hint="eastAsia"/>
        </w:rPr>
        <w:t>/h，掺氢比例为1</w:t>
      </w:r>
      <w:r>
        <w:t>5</w:t>
      </w:r>
      <w:r>
        <w:rPr>
          <w:rFonts w:hint="eastAsia"/>
        </w:rPr>
        <w:t>%，天然气最大工作压力为1.6MPa，氢气最大工作压力为20.0MPa，混合气出口压力为0.4MPa，自定义为SD的掺混装置，表示为：RH-</w:t>
      </w:r>
      <w:r>
        <w:t>2</w:t>
      </w:r>
      <w:r>
        <w:rPr>
          <w:rFonts w:hint="eastAsia"/>
        </w:rPr>
        <w:t>000-1</w:t>
      </w:r>
      <w:r>
        <w:t>5</w:t>
      </w:r>
      <w:r>
        <w:rPr>
          <w:rFonts w:hint="eastAsia"/>
        </w:rPr>
        <w:t>-1.6/20.0-0.4-SD；</w:t>
      </w:r>
    </w:p>
    <w:p>
      <w:pPr>
        <w:pStyle w:val="179"/>
      </w:pPr>
      <w:r>
        <w:rPr>
          <w:rFonts w:hint="eastAsia"/>
        </w:rPr>
        <w:t>输气量为</w:t>
      </w:r>
      <w:r>
        <w:t>6</w:t>
      </w:r>
      <w:r>
        <w:rPr>
          <w:rFonts w:hint="eastAsia"/>
        </w:rPr>
        <w:t xml:space="preserve"> 000 Nm</w:t>
      </w:r>
      <w:r>
        <w:rPr>
          <w:rFonts w:hint="eastAsia"/>
          <w:vertAlign w:val="superscript"/>
        </w:rPr>
        <w:t>3</w:t>
      </w:r>
      <w:r>
        <w:rPr>
          <w:rFonts w:hint="eastAsia"/>
        </w:rPr>
        <w:t>/h，掺氢比例为</w:t>
      </w:r>
      <w:r>
        <w:t>5</w:t>
      </w:r>
      <w:r>
        <w:rPr>
          <w:rFonts w:hint="eastAsia"/>
        </w:rPr>
        <w:t>%</w:t>
      </w:r>
      <w:r>
        <w:rPr>
          <w:rFonts w:ascii="Times New Roman"/>
        </w:rPr>
        <w:t>~</w:t>
      </w:r>
      <w:r>
        <w:rPr>
          <w:rFonts w:hint="eastAsia"/>
        </w:rPr>
        <w:t>20%，天然气最大工作压力为</w:t>
      </w:r>
      <w:r>
        <w:t>5.1</w:t>
      </w:r>
      <w:r>
        <w:rPr>
          <w:rFonts w:hint="eastAsia"/>
        </w:rPr>
        <w:t>MPa，氢气最大工作压力为</w:t>
      </w:r>
      <w:r>
        <w:t>5.2</w:t>
      </w:r>
      <w:r>
        <w:rPr>
          <w:rFonts w:hint="eastAsia"/>
        </w:rPr>
        <w:t>MPa，混合气出口压力为</w:t>
      </w:r>
      <w:r>
        <w:t>4.8</w:t>
      </w:r>
      <w:r>
        <w:rPr>
          <w:rFonts w:hint="eastAsia"/>
        </w:rPr>
        <w:t xml:space="preserve">MPa, 自定义为HEV的掺混装置，表示为：RH - </w:t>
      </w:r>
      <w:r>
        <w:t>6</w:t>
      </w:r>
      <w:r>
        <w:rPr>
          <w:rFonts w:hint="eastAsia"/>
        </w:rPr>
        <w:t>000-（</w:t>
      </w:r>
      <w:r>
        <w:t>5</w:t>
      </w:r>
      <w:r>
        <w:rPr>
          <w:rFonts w:hint="eastAsia"/>
        </w:rPr>
        <w:t>-20）-</w:t>
      </w:r>
      <w:r>
        <w:t>5.1</w:t>
      </w:r>
      <w:r>
        <w:rPr>
          <w:rFonts w:hint="eastAsia"/>
        </w:rPr>
        <w:t>/</w:t>
      </w:r>
      <w:r>
        <w:t>5.3</w:t>
      </w:r>
      <w:r>
        <w:rPr>
          <w:rFonts w:hint="eastAsia"/>
        </w:rPr>
        <w:t>-</w:t>
      </w:r>
      <w:r>
        <w:t>4.8</w:t>
      </w:r>
      <w:r>
        <w:rPr>
          <w:rFonts w:hint="eastAsia"/>
        </w:rPr>
        <w:t>-HEV。</w:t>
      </w:r>
    </w:p>
    <w:p>
      <w:pPr>
        <w:pStyle w:val="109"/>
        <w:spacing w:before="240" w:after="240"/>
      </w:pPr>
      <w:bookmarkStart w:id="136" w:name="_Toc196146579"/>
      <w:bookmarkStart w:id="137" w:name="_Toc209114038"/>
      <w:r>
        <w:rPr>
          <w:rFonts w:hint="eastAsia"/>
        </w:rPr>
        <w:t>基本规定</w:t>
      </w:r>
      <w:bookmarkEnd w:id="136"/>
      <w:bookmarkEnd w:id="137"/>
    </w:p>
    <w:p>
      <w:pPr>
        <w:pStyle w:val="110"/>
        <w:spacing w:before="120" w:after="120"/>
      </w:pPr>
      <w:bookmarkStart w:id="138" w:name="_Toc209114039"/>
      <w:bookmarkStart w:id="139" w:name="_Toc196146580"/>
      <w:r>
        <w:rPr>
          <w:rFonts w:hint="eastAsia"/>
        </w:rPr>
        <w:t>资质要求</w:t>
      </w:r>
      <w:bookmarkEnd w:id="138"/>
      <w:bookmarkEnd w:id="139"/>
    </w:p>
    <w:p>
      <w:pPr>
        <w:pStyle w:val="170"/>
      </w:pPr>
      <w:r>
        <w:rPr>
          <w:rFonts w:hint="eastAsia"/>
        </w:rPr>
        <w:t>掺氢撬的设计单位应持有压力管道设计相关资质。</w:t>
      </w:r>
    </w:p>
    <w:p>
      <w:pPr>
        <w:pStyle w:val="170"/>
      </w:pPr>
      <w:r>
        <w:rPr>
          <w:rFonts w:hint="eastAsia"/>
        </w:rPr>
        <w:t>安装在掺氢撬上的压力容器应由具有相应资质和许可的单位设计、制造，按TSG 21中关于压力容器的要求制造、监检。</w:t>
      </w:r>
    </w:p>
    <w:p>
      <w:pPr>
        <w:pStyle w:val="170"/>
      </w:pPr>
      <w:r>
        <w:rPr>
          <w:rFonts w:hint="eastAsia"/>
        </w:rPr>
        <w:t>掺氢撬应由持有设备系统中相应级别压力容器制造许可证的制造单位或由持有元件组合装置制造许可证的制造单位组装，按TSG D7006中关于元件组合装置的要求制造监检。</w:t>
      </w:r>
    </w:p>
    <w:p>
      <w:pPr>
        <w:pStyle w:val="170"/>
      </w:pPr>
      <w:r>
        <w:rPr>
          <w:rFonts w:hint="eastAsia"/>
        </w:rPr>
        <w:t>从事无损检测的人员应取得国家有关部门颁发的无损检测资格证书。</w:t>
      </w:r>
    </w:p>
    <w:p>
      <w:pPr>
        <w:pStyle w:val="170"/>
      </w:pPr>
      <w:r>
        <w:rPr>
          <w:rFonts w:hint="eastAsia"/>
        </w:rPr>
        <w:t>从事管道焊接的焊工应取得国家有关部门颁发的特殊作业人员资格证书，从事工作范围应与资格证书相符。</w:t>
      </w:r>
    </w:p>
    <w:p>
      <w:pPr>
        <w:pStyle w:val="110"/>
        <w:spacing w:before="120" w:after="120"/>
      </w:pPr>
      <w:bookmarkStart w:id="140" w:name="_Toc196146581"/>
      <w:bookmarkStart w:id="141" w:name="_Toc209114040"/>
      <w:r>
        <w:rPr>
          <w:rFonts w:hint="eastAsia"/>
        </w:rPr>
        <w:t>一般要求</w:t>
      </w:r>
      <w:bookmarkEnd w:id="140"/>
      <w:bookmarkEnd w:id="141"/>
    </w:p>
    <w:p>
      <w:pPr>
        <w:pStyle w:val="170"/>
        <w:rPr>
          <w:rFonts w:hAnsi="黑体"/>
        </w:rPr>
      </w:pPr>
      <w:r>
        <w:rPr>
          <w:rFonts w:hint="eastAsia"/>
        </w:rPr>
        <w:t>掺氢撬内的设备、压力管道元件组合装置、压力管道元件、仪表和控制的设计、制造、检验和验收应符合现行国家标准及项目设计文件的相关规定。</w:t>
      </w:r>
    </w:p>
    <w:p>
      <w:pPr>
        <w:pStyle w:val="170"/>
        <w:rPr>
          <w:rFonts w:hAnsi="黑体"/>
        </w:rPr>
      </w:pPr>
      <w:r>
        <w:rPr>
          <w:rFonts w:hint="eastAsia"/>
        </w:rPr>
        <w:t>掺氢撬</w:t>
      </w:r>
      <w:r>
        <w:t>的</w:t>
      </w:r>
      <w:r>
        <w:rPr>
          <w:rFonts w:hint="eastAsia"/>
        </w:rPr>
        <w:t xml:space="preserve">噪声应符合GB </w:t>
      </w:r>
      <w:r>
        <w:t>3096</w:t>
      </w:r>
      <w:r>
        <w:rPr>
          <w:rFonts w:hint="eastAsia"/>
        </w:rPr>
        <w:t>的规定。</w:t>
      </w:r>
    </w:p>
    <w:p>
      <w:pPr>
        <w:pStyle w:val="170"/>
      </w:pPr>
      <w:r>
        <w:rPr>
          <w:rFonts w:hint="eastAsia"/>
        </w:rPr>
        <w:t>电气仪表的选型、安装，电缆敷设以及仪表机柜的配置应符合GB 50093的规定。撬座、梯子平台钢结构的设计应按GB 50017进行设计，并按GB 50205进行制造、检验和验收。</w:t>
      </w:r>
    </w:p>
    <w:p>
      <w:pPr>
        <w:pStyle w:val="109"/>
        <w:spacing w:before="240" w:after="240"/>
      </w:pPr>
      <w:bookmarkStart w:id="142" w:name="_Toc209114041"/>
      <w:r>
        <w:rPr>
          <w:rFonts w:hint="eastAsia"/>
        </w:rPr>
        <w:t>结构组成</w:t>
      </w:r>
      <w:bookmarkEnd w:id="142"/>
    </w:p>
    <w:p>
      <w:pPr>
        <w:pStyle w:val="110"/>
        <w:spacing w:before="120" w:after="120"/>
      </w:pPr>
      <w:bookmarkStart w:id="143" w:name="_Toc209114042"/>
      <w:r>
        <w:rPr>
          <w:rFonts w:hint="eastAsia"/>
        </w:rPr>
        <w:t>工艺流程</w:t>
      </w:r>
      <w:bookmarkEnd w:id="143"/>
    </w:p>
    <w:p>
      <w:pPr>
        <w:pStyle w:val="170"/>
      </w:pPr>
      <w:r>
        <w:rPr>
          <w:rFonts w:hint="eastAsia"/>
        </w:rPr>
        <w:t>掺氢撬宜采用随动流量混气方式，天然气为主动气源，氢气为随动气源，由混气系统和控制系统组成，混气系统内分为天然气管线、氢气管线和掺氢天然气管线，整体撬装，实现天然气和氢气两种气体不同比例混合，并将数据传输给控制系统，实时对混气状况进行监控、动态调节、联锁报警和切断。PLC控制系统通过混气管路上不同截面位置或同一截面位置不同深度处测得的氢气组分浓度信号，控制氢气管路上流量调节阀的开度来实时响应天然气管路流量的变化，从而根据天然气管路流量随动定比调节氢气管路流量，实时高精度维持固定的掺氢比例。掺氢撬的工艺流程示意参考图见附录A。</w:t>
      </w:r>
    </w:p>
    <w:p>
      <w:pPr>
        <w:pStyle w:val="110"/>
        <w:spacing w:before="120" w:after="120"/>
      </w:pPr>
      <w:bookmarkStart w:id="144" w:name="_Toc209114043"/>
      <w:r>
        <w:rPr>
          <w:rFonts w:hint="eastAsia"/>
        </w:rPr>
        <w:t>天然气管路</w:t>
      </w:r>
      <w:bookmarkEnd w:id="144"/>
    </w:p>
    <w:p>
      <w:pPr>
        <w:pStyle w:val="170"/>
      </w:pPr>
      <w:r>
        <w:rPr>
          <w:rFonts w:hint="eastAsia"/>
        </w:rPr>
        <w:t>天然气管路主要包括入口球阀、过滤器、流量计、紧急切断阀、调压阀，止回阀；流量计可计量天然气管路的流量，并将流量信号传输到PLC控制系统；通过止回阀防止管路中天然气回流；紧急切断阀应能在事故状态下实现紧急停车和关闭紧急关断或切断关键设备的电源和阀门的保护功能。</w:t>
      </w:r>
    </w:p>
    <w:p>
      <w:pPr>
        <w:pStyle w:val="170"/>
      </w:pPr>
      <w:r>
        <w:rPr>
          <w:rFonts w:hint="eastAsia"/>
        </w:rPr>
        <w:t>天然气管线进出口应设压力和温度现场显示和信号远传装置，调压器后应设有安全放散阀和手动排空旁通阀，过滤器应配有差压表和排污阀，管线上宜设有甲烷浓度分析仪。管线上部应设置甲烷气体泄漏报警器等。</w:t>
      </w:r>
    </w:p>
    <w:p>
      <w:pPr>
        <w:pStyle w:val="110"/>
        <w:spacing w:before="120" w:after="120"/>
      </w:pPr>
      <w:bookmarkStart w:id="145" w:name="_Toc209114044"/>
      <w:r>
        <w:rPr>
          <w:rFonts w:hint="eastAsia"/>
        </w:rPr>
        <w:t>氢气管路</w:t>
      </w:r>
      <w:bookmarkEnd w:id="145"/>
    </w:p>
    <w:p>
      <w:pPr>
        <w:pStyle w:val="170"/>
      </w:pPr>
      <w:r>
        <w:rPr>
          <w:rFonts w:hint="eastAsia"/>
        </w:rPr>
        <w:t>氢气管路应包括入口球阀、过滤器、流量计、紧急切断阀、调压阀，止回阀等。</w:t>
      </w:r>
    </w:p>
    <w:p>
      <w:pPr>
        <w:pStyle w:val="170"/>
      </w:pPr>
      <w:r>
        <w:rPr>
          <w:rFonts w:hint="eastAsia"/>
        </w:rPr>
        <w:t>氢气管路进出口应设有压力和温度现场显示和信号远传装置，各级调压器后应设有安全放散阀和手动排空旁通阀，过滤器应配置差压表和排污阀。</w:t>
      </w:r>
    </w:p>
    <w:p>
      <w:pPr>
        <w:pStyle w:val="170"/>
      </w:pPr>
      <w:r>
        <w:rPr>
          <w:rFonts w:hint="eastAsia"/>
        </w:rPr>
        <w:t>氢气管线上宜设有氢气浓度分析仪，管线上部应设置氢气泄漏报警器等。</w:t>
      </w:r>
    </w:p>
    <w:p>
      <w:pPr>
        <w:pStyle w:val="110"/>
        <w:spacing w:before="120" w:after="120"/>
      </w:pPr>
      <w:bookmarkStart w:id="146" w:name="_Toc209114045"/>
      <w:r>
        <w:rPr>
          <w:rFonts w:hint="eastAsia"/>
        </w:rPr>
        <w:t>掺氢天然气管路</w:t>
      </w:r>
      <w:bookmarkEnd w:id="146"/>
    </w:p>
    <w:p>
      <w:pPr>
        <w:pStyle w:val="170"/>
      </w:pPr>
      <w:r>
        <w:rPr>
          <w:rFonts w:hint="eastAsia"/>
        </w:rPr>
        <w:t>掺氢天然气管线应设混合器和出口手动切断阀等。</w:t>
      </w:r>
    </w:p>
    <w:p>
      <w:pPr>
        <w:pStyle w:val="170"/>
      </w:pPr>
      <w:r>
        <w:rPr>
          <w:rFonts w:hint="eastAsia"/>
        </w:rPr>
        <w:t>掺氢天然气管线出口应设有压力和温度现场显示和信号远传装置，管线上应设氢气浓度分析设备，宜设甲烷浓度分析设备等。</w:t>
      </w:r>
    </w:p>
    <w:p>
      <w:pPr>
        <w:pStyle w:val="170"/>
      </w:pPr>
      <w:r>
        <w:rPr>
          <w:rFonts w:hint="eastAsia"/>
        </w:rPr>
        <w:t>混合器应设混合气掺混模块，保证混合气均匀度满足工艺要求。</w:t>
      </w:r>
    </w:p>
    <w:p>
      <w:pPr>
        <w:pStyle w:val="170"/>
      </w:pPr>
      <w:r>
        <w:rPr>
          <w:rFonts w:hint="eastAsia"/>
        </w:rPr>
        <w:t>混合器应配有差压表、差压变送器和排污阀。</w:t>
      </w:r>
    </w:p>
    <w:p>
      <w:pPr>
        <w:pStyle w:val="110"/>
        <w:spacing w:before="120" w:after="120"/>
      </w:pPr>
      <w:bookmarkStart w:id="147" w:name="_Toc209114046"/>
      <w:r>
        <w:rPr>
          <w:rFonts w:hint="eastAsia"/>
        </w:rPr>
        <w:t>安全设施</w:t>
      </w:r>
      <w:bookmarkEnd w:id="147"/>
    </w:p>
    <w:p>
      <w:pPr>
        <w:pStyle w:val="170"/>
      </w:pPr>
      <w:r>
        <w:rPr>
          <w:rFonts w:hint="eastAsia"/>
        </w:rPr>
        <w:t>掺氢撬的安全放散阀、排污阀应分级设置，各相同压力的安全放散阀和排污阀出口宜分别汇总于一个独立接口。</w:t>
      </w:r>
    </w:p>
    <w:p>
      <w:pPr>
        <w:pStyle w:val="170"/>
      </w:pPr>
      <w:r>
        <w:rPr>
          <w:rFonts w:hint="eastAsia"/>
        </w:rPr>
        <w:t>氢气放空排气装置的设置应保证氢气安全排放，放空管道设计压力不应小于1.6MPa，放空管道宜采用奥氏体不锈钢S30408同等及以上的材料。</w:t>
      </w:r>
    </w:p>
    <w:p>
      <w:pPr>
        <w:pStyle w:val="170"/>
      </w:pPr>
      <w:r>
        <w:rPr>
          <w:rFonts w:hint="eastAsia"/>
        </w:rPr>
        <w:t>集中放空装置总管应设置防止回火的安全设施。应采取防止雨水积聚和杂物堵塞的措施，宜在放空总管底部设置排水管及阀门。</w:t>
      </w:r>
    </w:p>
    <w:p>
      <w:pPr>
        <w:pStyle w:val="170"/>
      </w:pPr>
      <w:r>
        <w:rPr>
          <w:rFonts w:hint="eastAsia"/>
        </w:rPr>
        <w:t>天然气和氢气入口管线宜设置氮气吹扫接口，所有氮气吹扫口前应配置截断阀、止回阀，吹扫氮气中含氧量不应大于0.5%。</w:t>
      </w:r>
    </w:p>
    <w:p>
      <w:pPr>
        <w:pStyle w:val="109"/>
        <w:spacing w:before="240" w:after="240"/>
      </w:pPr>
      <w:bookmarkStart w:id="148" w:name="_Toc209114047"/>
      <w:r>
        <w:rPr>
          <w:rFonts w:hint="eastAsia"/>
        </w:rPr>
        <w:t>材料</w:t>
      </w:r>
      <w:bookmarkEnd w:id="148"/>
    </w:p>
    <w:p>
      <w:pPr>
        <w:pStyle w:val="110"/>
        <w:spacing w:before="120" w:after="120"/>
      </w:pPr>
      <w:bookmarkStart w:id="149" w:name="_Toc209114048"/>
      <w:r>
        <w:rPr>
          <w:rFonts w:hint="eastAsia"/>
        </w:rPr>
        <w:t>一般规定</w:t>
      </w:r>
      <w:bookmarkEnd w:id="149"/>
    </w:p>
    <w:p>
      <w:pPr>
        <w:pStyle w:val="170"/>
      </w:pPr>
      <w:r>
        <w:rPr>
          <w:rFonts w:hint="eastAsia"/>
        </w:rPr>
        <w:t>掺氢撬的材料应依据其设计压力、工作温度、工作介质及材料性能等选用，其规格与性能应符合国家现行标准的规定，包括化学成分、物理和力学特性、制造工艺方法、热处理、检验及其他方面的规定。材料应有生产厂家的合格证及质量证明文件，必要时应进行复验。</w:t>
      </w:r>
    </w:p>
    <w:p>
      <w:pPr>
        <w:pStyle w:val="170"/>
      </w:pPr>
      <w:r>
        <w:rPr>
          <w:rFonts w:hint="eastAsia"/>
        </w:rPr>
        <w:t>掺氢撬的设备、管道及附件的材质应适应工作介质，临氢材料应选用有成熟使用经验或经试验验证具有良好氢相容性的材料。金属材料氢相容性试验应符合GB/T 34542.2的要求，材料的断裂韧度值应大于设计压力下裂纹尖端处最大应力强度因子，且任何情况下不应小于55MPa</w:t>
      </w:r>
      <w:r>
        <w:rPr>
          <w:rFonts w:hint="eastAsia" w:ascii="微软雅黑" w:hAnsi="微软雅黑" w:eastAsia="微软雅黑" w:cs="微软雅黑"/>
        </w:rPr>
        <w:t>•</w:t>
      </w:r>
      <w:r>
        <w:rPr>
          <w:rFonts w:hint="eastAsia"/>
        </w:rPr>
        <w:t xml:space="preserve">m </w:t>
      </w:r>
      <w:r>
        <w:rPr>
          <w:rFonts w:hint="eastAsia"/>
          <w:vertAlign w:val="superscript"/>
        </w:rPr>
        <w:t>1/2</w:t>
      </w:r>
      <w:r>
        <w:rPr>
          <w:rFonts w:hint="eastAsia"/>
        </w:rPr>
        <w:t>；材料的疲劳寿命应满足服役工况下的设计寿命要求。</w:t>
      </w:r>
    </w:p>
    <w:p>
      <w:pPr>
        <w:pStyle w:val="170"/>
      </w:pPr>
      <w:r>
        <w:rPr>
          <w:rFonts w:hint="eastAsia"/>
        </w:rPr>
        <w:t>掺氢撬内使用的压力容器应符合GB/T 150、GB/T 151和TSG 21的规定。</w:t>
      </w:r>
    </w:p>
    <w:p>
      <w:pPr>
        <w:pStyle w:val="170"/>
      </w:pPr>
      <w:r>
        <w:rPr>
          <w:rFonts w:hint="eastAsia"/>
        </w:rPr>
        <w:t>掺氢撬管道及管道附件应符合 GB 50516、GB 50235、GB 50236、GB/T 20801、</w:t>
      </w:r>
      <w:r>
        <w:t>GB/T 19326</w:t>
      </w:r>
      <w:r>
        <w:rPr>
          <w:rFonts w:hint="eastAsia"/>
        </w:rPr>
        <w:t>、TSG D0001的规定的要求。</w:t>
      </w:r>
    </w:p>
    <w:p>
      <w:pPr>
        <w:pStyle w:val="170"/>
      </w:pPr>
      <w:r>
        <w:rPr>
          <w:rFonts w:hint="eastAsia"/>
        </w:rPr>
        <w:t>掺氢撬内临氢材料受压元件用非合金钢和合金钢除符合相应标准外，还应符合以下规定：</w:t>
      </w:r>
    </w:p>
    <w:p>
      <w:pPr>
        <w:pStyle w:val="179"/>
        <w:numPr>
          <w:ilvl w:val="0"/>
          <w:numId w:val="35"/>
        </w:numPr>
      </w:pPr>
      <w:r>
        <w:rPr>
          <w:rFonts w:hint="eastAsia"/>
        </w:rPr>
        <w:t>钢管的交货状态应满足淬火+回火热处理工艺；</w:t>
      </w:r>
    </w:p>
    <w:p>
      <w:pPr>
        <w:pStyle w:val="179"/>
      </w:pPr>
      <w:r>
        <w:rPr>
          <w:rFonts w:hint="eastAsia"/>
        </w:rPr>
        <w:t>材料标准规定的最小屈服强度值不宜大于360MPa；</w:t>
      </w:r>
    </w:p>
    <w:p>
      <w:pPr>
        <w:pStyle w:val="179"/>
      </w:pPr>
      <w:r>
        <w:rPr>
          <w:rFonts w:hint="eastAsia"/>
        </w:rPr>
        <w:t>化学成分应满足如下要求：</w:t>
      </w:r>
    </w:p>
    <w:p>
      <w:pPr>
        <w:pStyle w:val="114"/>
        <w:numPr>
          <w:ilvl w:val="1"/>
          <w:numId w:val="36"/>
        </w:numPr>
      </w:pPr>
      <w:r>
        <w:rPr>
          <w:rFonts w:hint="eastAsia"/>
        </w:rPr>
        <w:t>硫含量（S）≤0.01%（质量分数）；</w:t>
      </w:r>
    </w:p>
    <w:p>
      <w:pPr>
        <w:pStyle w:val="114"/>
      </w:pPr>
      <w:r>
        <w:rPr>
          <w:rFonts w:hint="eastAsia"/>
        </w:rPr>
        <w:t>磷含量（P）≤0.015%（质量分数）；</w:t>
      </w:r>
    </w:p>
    <w:p>
      <w:pPr>
        <w:pStyle w:val="114"/>
      </w:pPr>
      <w:r>
        <w:rPr>
          <w:rFonts w:hint="eastAsia"/>
        </w:rPr>
        <w:t>碳含量（C）≤0.12%（质量分数）；</w:t>
      </w:r>
    </w:p>
    <w:p>
      <w:pPr>
        <w:pStyle w:val="114"/>
      </w:pPr>
      <w:r>
        <w:rPr>
          <w:rFonts w:hint="eastAsia"/>
        </w:rPr>
        <w:t>碳当量（CE IIW）≤0.4</w:t>
      </w:r>
      <w:r>
        <w:t>3</w:t>
      </w:r>
      <w:r>
        <w:rPr>
          <w:rFonts w:hint="eastAsia"/>
        </w:rPr>
        <w:t>%，碳当量 CE pcm 不应大于 0.20%；对于材料强度级别大于L415的无缝钢管的碳当量 CEpcm 不应大于0.22%；</w:t>
      </w:r>
    </w:p>
    <w:p>
      <w:pPr>
        <w:pStyle w:val="179"/>
      </w:pPr>
      <w:r>
        <w:rPr>
          <w:rFonts w:hint="eastAsia"/>
        </w:rPr>
        <w:t>当设计温度低于-20℃时，化学成分应满足：镍含量（Ni）≤0.5%（质量分数）；</w:t>
      </w:r>
    </w:p>
    <w:p>
      <w:pPr>
        <w:pStyle w:val="179"/>
      </w:pPr>
      <w:r>
        <w:rPr>
          <w:rFonts w:hint="eastAsia"/>
        </w:rPr>
        <w:t xml:space="preserve">材料本体、焊缝和热影响区硬度应满足： </w:t>
      </w:r>
    </w:p>
    <w:p>
      <w:pPr>
        <w:pStyle w:val="114"/>
        <w:numPr>
          <w:ilvl w:val="1"/>
          <w:numId w:val="37"/>
        </w:numPr>
      </w:pPr>
      <w:r>
        <w:rPr>
          <w:rFonts w:hint="eastAsia"/>
        </w:rPr>
        <w:t>L360及以下强度级别钢管的焊接接头的硬度不宜大于220HV10；</w:t>
      </w:r>
    </w:p>
    <w:p>
      <w:pPr>
        <w:pStyle w:val="114"/>
      </w:pPr>
      <w:r>
        <w:rPr>
          <w:rFonts w:hint="eastAsia"/>
        </w:rPr>
        <w:t>其他强度级别钢管的焊接接头硬度不宜大250HV10。</w:t>
      </w:r>
    </w:p>
    <w:p>
      <w:pPr>
        <w:pStyle w:val="179"/>
      </w:pPr>
      <w:r>
        <w:rPr>
          <w:rFonts w:hint="eastAsia"/>
        </w:rPr>
        <w:t>介质中氢气比例不大于10%时，选材宜符合本文件第</w:t>
      </w:r>
      <w:r>
        <w:t>7.1</w:t>
      </w:r>
      <w:r>
        <w:rPr>
          <w:rFonts w:hint="eastAsia"/>
        </w:rPr>
        <w:t>条的规定，当不符合第</w:t>
      </w:r>
      <w:r>
        <w:t>7.1</w:t>
      </w:r>
      <w:r>
        <w:rPr>
          <w:rFonts w:hint="eastAsia"/>
        </w:rPr>
        <w:t>条的规定，采用非合金钢和合金钢时，其许用应力值应按材料屈服强度的70%进行计算。</w:t>
      </w:r>
    </w:p>
    <w:p>
      <w:pPr>
        <w:pStyle w:val="110"/>
        <w:spacing w:before="120" w:after="120"/>
      </w:pPr>
      <w:bookmarkStart w:id="150" w:name="_Toc209114049"/>
      <w:r>
        <w:rPr>
          <w:rFonts w:hint="eastAsia"/>
        </w:rPr>
        <w:t>管子</w:t>
      </w:r>
      <w:bookmarkEnd w:id="150"/>
    </w:p>
    <w:p>
      <w:pPr>
        <w:pStyle w:val="170"/>
      </w:pPr>
      <w:r>
        <w:rPr>
          <w:rFonts w:hint="eastAsia"/>
        </w:rPr>
        <w:t>管子根据不同工作介质、工作压力和使用情况选择，氢气管道、掺氢天然气管道不应选择铸铁管。</w:t>
      </w:r>
    </w:p>
    <w:p>
      <w:pPr>
        <w:pStyle w:val="170"/>
      </w:pPr>
      <w:r>
        <w:rPr>
          <w:rFonts w:hint="eastAsia"/>
        </w:rPr>
        <w:t>天然气工艺管道应符合GB/T 8163、GB/T 5310、GB/T 6479要求或采用不低于上述标准要求的其它钢管。</w:t>
      </w:r>
    </w:p>
    <w:p>
      <w:pPr>
        <w:pStyle w:val="170"/>
      </w:pPr>
      <w:r>
        <w:rPr>
          <w:rFonts w:hint="eastAsia"/>
        </w:rPr>
        <w:t>氢气工艺管道应符合下列要求：</w:t>
      </w:r>
    </w:p>
    <w:p>
      <w:pPr>
        <w:pStyle w:val="179"/>
        <w:numPr>
          <w:ilvl w:val="0"/>
          <w:numId w:val="38"/>
        </w:numPr>
      </w:pPr>
      <w:r>
        <w:rPr>
          <w:rFonts w:hint="eastAsia"/>
        </w:rPr>
        <w:t>氢气工艺管道的材质应适应氢气介质，临氢材料应选用有成熟使用经验或经试验验证具有良好氢相容性的材料。金属材料氢相容性试验应符合GB/T 34542.2和GB/T 34542.3的要求；</w:t>
      </w:r>
    </w:p>
    <w:p>
      <w:pPr>
        <w:pStyle w:val="179"/>
      </w:pPr>
      <w:r>
        <w:rPr>
          <w:rFonts w:hint="eastAsia"/>
        </w:rPr>
        <w:t>氢气管道应采用奥氏体不锈钢无缝钢管，并应符合GB/T 14976的有关规定。宜选用S31603、S31608或其他已试验证实具有良好氢相容性的材料；</w:t>
      </w:r>
    </w:p>
    <w:p>
      <w:pPr>
        <w:pStyle w:val="179"/>
      </w:pPr>
      <w:r>
        <w:rPr>
          <w:rFonts w:hint="eastAsia"/>
        </w:rPr>
        <w:t>氢气管道工作压力大于10MPa时，应采用S31603奥氏体不锈钢或经试验验证具有良好氢相容性的其它材料；</w:t>
      </w:r>
    </w:p>
    <w:p>
      <w:pPr>
        <w:pStyle w:val="179"/>
      </w:pPr>
      <w:r>
        <w:rPr>
          <w:rFonts w:hint="eastAsia"/>
        </w:rPr>
        <w:t>压力20MPa以上高压氢气管道选用奥氏体不锈钢材料时，应采用S31603奥氏体不锈钢，且S31603的镍含量不应小于12%，镍当量不应小于28.5%。镍当量应按公式（1）计算；</w:t>
      </w:r>
    </w:p>
    <w:p>
      <w:pPr>
        <w:pStyle w:val="118"/>
      </w:pPr>
      <w:r>
        <w:tab/>
      </w:r>
      <m:oMath>
        <m:sSub>
          <m:sSubPr>
            <m:ctrlPr>
              <w:rPr>
                <w:rFonts w:ascii="Cambria Math" w:hAnsi="Cambria Math"/>
              </w:rPr>
            </m:ctrlPr>
          </m:sSubPr>
          <m:e>
            <m:r>
              <m:rPr/>
              <w:rPr>
                <w:rFonts w:ascii="Cambria Math" w:hAnsi="Cambria Math"/>
              </w:rPr>
              <m:t>Ni</m:t>
            </m:r>
            <m:ctrlPr>
              <w:rPr>
                <w:rFonts w:ascii="Cambria Math" w:hAnsi="Cambria Math"/>
              </w:rPr>
            </m:ctrlPr>
          </m:e>
          <m:sub>
            <m:r>
              <m:rPr/>
              <w:rPr>
                <w:rFonts w:ascii="Cambria Math" w:hAnsi="Cambria Math"/>
              </w:rPr>
              <m:t>eq</m:t>
            </m:r>
            <m:ctrlPr>
              <w:rPr>
                <w:rFonts w:ascii="Cambria Math" w:hAnsi="Cambria Math"/>
              </w:rPr>
            </m:ctrlPr>
          </m:sub>
        </m:sSub>
        <m:r>
          <m:rPr/>
          <w:rPr>
            <w:rFonts w:ascii="Cambria Math" w:hAnsi="Cambria Math"/>
          </w:rPr>
          <m:t>=Ni+12.6C+1.05Mn+0.65Cr+0.98Mo+0.35Si</m:t>
        </m:r>
      </m:oMath>
      <w:r>
        <w:rPr>
          <w:rFonts w:ascii="微软雅黑" w:hAnsi="微软雅黑" w:eastAsia="微软雅黑"/>
        </w:rPr>
        <w:tab/>
      </w:r>
      <w:r>
        <w:t>(</w:t>
      </w:r>
      <w:r>
        <w:fldChar w:fldCharType="begin"/>
      </w:r>
      <w:r>
        <w:instrText xml:space="preserve"> AUTONUM </w:instrText>
      </w:r>
      <w:r>
        <w:fldChar w:fldCharType="end"/>
      </w:r>
      <w:r>
        <w:t>)</w:t>
      </w:r>
    </w:p>
    <w:p>
      <w:pPr>
        <w:pStyle w:val="61"/>
        <w:ind w:firstLine="420"/>
      </w:pPr>
      <w:r>
        <w:rPr>
          <w:rFonts w:hint="eastAsia"/>
        </w:rPr>
        <w:t>式中:</w:t>
      </w:r>
    </w:p>
    <w:p>
      <w:pPr>
        <w:pStyle w:val="61"/>
        <w:ind w:firstLine="420"/>
        <w:rPr>
          <w:rFonts w:ascii="微软雅黑" w:hAnsi="微软雅黑" w:eastAsia="微软雅黑"/>
        </w:rPr>
      </w:pPr>
      <w:r>
        <w:tab/>
      </w:r>
      <m:oMath>
        <m:sSub>
          <m:sSubPr>
            <m:ctrlPr>
              <w:rPr>
                <w:rFonts w:ascii="Cambria Math" w:hAnsi="Cambria Math"/>
                <w:kern w:val="2"/>
                <w:szCs w:val="21"/>
              </w:rPr>
            </m:ctrlPr>
          </m:sSubPr>
          <m:e>
            <m:r>
              <m:rPr/>
              <w:rPr>
                <w:rFonts w:ascii="Cambria Math" w:hAnsi="Cambria Math"/>
              </w:rPr>
              <m:t>Ni</m:t>
            </m:r>
            <m:ctrlPr>
              <w:rPr>
                <w:rFonts w:ascii="Cambria Math" w:hAnsi="Cambria Math"/>
                <w:kern w:val="2"/>
                <w:szCs w:val="21"/>
              </w:rPr>
            </m:ctrlPr>
          </m:e>
          <m:sub>
            <m:r>
              <m:rPr/>
              <w:rPr>
                <w:rFonts w:ascii="Cambria Math" w:hAnsi="Cambria Math"/>
              </w:rPr>
              <m:t>eq</m:t>
            </m:r>
            <m:ctrlPr>
              <w:rPr>
                <w:rFonts w:ascii="Cambria Math" w:hAnsi="Cambria Math"/>
                <w:kern w:val="2"/>
                <w:szCs w:val="21"/>
              </w:rPr>
            </m:ctrlPr>
          </m:sub>
        </m:sSub>
      </m:oMath>
      <w:r>
        <w:rPr>
          <w:rFonts w:hint="eastAsia"/>
        </w:rPr>
        <w:t>——奥氏体不锈钢材料的镍当量；</w:t>
      </w:r>
    </w:p>
    <w:p>
      <w:pPr>
        <w:pStyle w:val="61"/>
        <w:ind w:firstLine="420"/>
        <w:rPr>
          <w:rFonts w:ascii="微软雅黑" w:hAnsi="微软雅黑" w:eastAsia="微软雅黑"/>
        </w:rPr>
      </w:pPr>
      <w:r>
        <w:tab/>
      </w:r>
      <m:oMath>
        <m:r>
          <m:rPr/>
          <w:rPr>
            <w:rFonts w:ascii="Cambria Math" w:hAnsi="Cambria Math"/>
          </w:rPr>
          <m:t>Ni</m:t>
        </m:r>
      </m:oMath>
      <w:r>
        <w:rPr>
          <w:rFonts w:hint="eastAsia"/>
        </w:rPr>
        <w:t>——镍元素质量分数；</w:t>
      </w:r>
    </w:p>
    <w:p>
      <w:pPr>
        <w:pStyle w:val="61"/>
        <w:ind w:firstLine="420"/>
      </w:pPr>
      <w:r>
        <w:tab/>
      </w:r>
      <m:oMath>
        <m:r>
          <m:rPr/>
          <w:rPr>
            <w:rFonts w:ascii="Cambria Math" w:hAnsi="Cambria Math"/>
          </w:rPr>
          <m:t>C</m:t>
        </m:r>
      </m:oMath>
      <w:r>
        <w:rPr>
          <w:rFonts w:hint="eastAsia"/>
        </w:rPr>
        <w:t>——碳元素质量分数；</w:t>
      </w:r>
    </w:p>
    <w:p>
      <w:pPr>
        <w:pStyle w:val="61"/>
        <w:ind w:firstLine="420"/>
      </w:pPr>
      <w:r>
        <w:tab/>
      </w:r>
      <m:oMath>
        <m:r>
          <m:rPr/>
          <w:rPr>
            <w:rFonts w:ascii="Cambria Math" w:hAnsi="Cambria Math"/>
          </w:rPr>
          <m:t>Mn</m:t>
        </m:r>
      </m:oMath>
      <w:r>
        <w:rPr>
          <w:rFonts w:hint="eastAsia"/>
        </w:rPr>
        <w:t>——锰元素质量分数；</w:t>
      </w:r>
    </w:p>
    <w:p>
      <w:pPr>
        <w:pStyle w:val="61"/>
        <w:ind w:firstLine="420"/>
      </w:pPr>
      <w:r>
        <w:tab/>
      </w:r>
      <m:oMath>
        <m:r>
          <m:rPr/>
          <w:rPr>
            <w:rFonts w:ascii="Cambria Math" w:hAnsi="Cambria Math"/>
          </w:rPr>
          <m:t>Cr</m:t>
        </m:r>
      </m:oMath>
      <w:r>
        <w:rPr>
          <w:rFonts w:hint="eastAsia"/>
        </w:rPr>
        <w:t>——铬元素质量分数；</w:t>
      </w:r>
    </w:p>
    <w:p>
      <w:pPr>
        <w:pStyle w:val="61"/>
        <w:ind w:firstLine="420"/>
      </w:pPr>
      <w:r>
        <w:tab/>
      </w:r>
      <m:oMath>
        <m:r>
          <m:rPr/>
          <w:rPr>
            <w:rFonts w:ascii="Cambria Math" w:hAnsi="Cambria Math"/>
          </w:rPr>
          <m:t>Mo</m:t>
        </m:r>
      </m:oMath>
      <w:r>
        <w:rPr>
          <w:rFonts w:hint="eastAsia"/>
        </w:rPr>
        <w:t>——钼元素质量分数；</w:t>
      </w:r>
    </w:p>
    <w:p>
      <w:pPr>
        <w:pStyle w:val="61"/>
        <w:ind w:firstLine="420"/>
      </w:pPr>
      <w:r>
        <w:tab/>
      </w:r>
      <m:oMath>
        <m:r>
          <m:rPr/>
          <w:rPr>
            <w:rFonts w:ascii="Cambria Math" w:hAnsi="Cambria Math"/>
          </w:rPr>
          <m:t>Si</m:t>
        </m:r>
      </m:oMath>
      <w:r>
        <w:rPr>
          <w:rFonts w:hint="eastAsia"/>
        </w:rPr>
        <w:t>——硅元素质量分数；</w:t>
      </w:r>
    </w:p>
    <w:p>
      <w:pPr>
        <w:pStyle w:val="179"/>
      </w:pPr>
      <w:r>
        <w:rPr>
          <w:rFonts w:hint="eastAsia"/>
        </w:rPr>
        <w:t>当采用GB/T 9711规定的氢用碳钢无缝钢管时，钢管等级不应低于PSL2，宜选用表1中材料，并应符合GB/T 9711-2023中附录A的要求。L</w:t>
      </w:r>
      <w:r>
        <w:t>450</w:t>
      </w:r>
      <w:r>
        <w:rPr>
          <w:rFonts w:hint="eastAsia"/>
        </w:rPr>
        <w:t>及以上等级材料仅允许用于设计压力≤10.3MPa的掺氢撬；</w:t>
      </w:r>
    </w:p>
    <w:p>
      <w:pPr>
        <w:pStyle w:val="117"/>
        <w:spacing w:before="120" w:after="120"/>
      </w:pPr>
      <w:r>
        <w:rPr>
          <w:rFonts w:hint="eastAsia"/>
        </w:rPr>
        <w:t>常用管线钢管材料</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01"/>
        <w:gridCol w:w="990"/>
        <w:gridCol w:w="1129"/>
        <w:gridCol w:w="1692"/>
        <w:gridCol w:w="1409"/>
        <w:gridCol w:w="1412"/>
        <w:gridCol w:w="17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001" w:type="dxa"/>
            <w:vMerge w:val="restart"/>
            <w:vAlign w:val="center"/>
          </w:tcPr>
          <w:p>
            <w:pPr>
              <w:pStyle w:val="61"/>
              <w:ind w:firstLine="360"/>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标准</w:t>
            </w:r>
          </w:p>
        </w:tc>
        <w:tc>
          <w:tcPr>
            <w:tcW w:w="990" w:type="dxa"/>
            <w:vMerge w:val="restart"/>
            <w:vAlign w:val="center"/>
          </w:tcPr>
          <w:p>
            <w:pPr>
              <w:pStyle w:val="61"/>
              <w:ind w:firstLine="0" w:firstLineChars="0"/>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材料牌号</w:t>
            </w:r>
          </w:p>
        </w:tc>
        <w:tc>
          <w:tcPr>
            <w:tcW w:w="1129" w:type="dxa"/>
            <w:vMerge w:val="restart"/>
            <w:vAlign w:val="center"/>
          </w:tcPr>
          <w:p>
            <w:pPr>
              <w:pStyle w:val="61"/>
              <w:ind w:firstLine="171" w:firstLineChars="95"/>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使用状态</w:t>
            </w:r>
          </w:p>
        </w:tc>
        <w:tc>
          <w:tcPr>
            <w:tcW w:w="1692" w:type="dxa"/>
            <w:vMerge w:val="restart"/>
            <w:vAlign w:val="center"/>
          </w:tcPr>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规定外径D</w:t>
            </w:r>
          </w:p>
          <w:p>
            <w:pPr>
              <w:pStyle w:val="61"/>
              <w:ind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mm</w:t>
            </w:r>
          </w:p>
        </w:tc>
        <w:tc>
          <w:tcPr>
            <w:tcW w:w="1409" w:type="dxa"/>
            <w:vMerge w:val="restart"/>
            <w:vAlign w:val="center"/>
          </w:tcPr>
          <w:p>
            <w:pPr>
              <w:pStyle w:val="61"/>
              <w:ind w:firstLine="0" w:firstLineChars="0"/>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冲击试验要求</w:t>
            </w:r>
          </w:p>
        </w:tc>
        <w:tc>
          <w:tcPr>
            <w:tcW w:w="1412" w:type="dxa"/>
            <w:vMerge w:val="restart"/>
            <w:vAlign w:val="center"/>
          </w:tcPr>
          <w:p>
            <w:pPr>
              <w:pStyle w:val="61"/>
              <w:ind w:firstLine="0" w:firstLineChars="0"/>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使用温度下限</w:t>
            </w:r>
          </w:p>
          <w:p>
            <w:pPr>
              <w:pStyle w:val="61"/>
              <w:ind w:left="420" w:firstLine="0" w:firstLineChars="0"/>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w:t>
            </w:r>
          </w:p>
        </w:tc>
        <w:tc>
          <w:tcPr>
            <w:tcW w:w="1701" w:type="dxa"/>
            <w:vAlign w:val="center"/>
          </w:tcPr>
          <w:p>
            <w:pPr>
              <w:pStyle w:val="61"/>
              <w:ind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冲击吸收能量推荐平均值（KV</w:t>
            </w:r>
            <w:r>
              <w:rPr>
                <w:rFonts w:hint="eastAsia" w:hAnsi="宋体"/>
                <w:color w:val="000000" w:themeColor="text1"/>
                <w:sz w:val="18"/>
                <w:szCs w:val="18"/>
                <w:vertAlign w:val="superscript"/>
                <w14:textFill>
                  <w14:solidFill>
                    <w14:schemeClr w14:val="tx1"/>
                  </w14:solidFill>
                </w14:textFill>
              </w:rPr>
              <w:t>2</w:t>
            </w:r>
            <w:r>
              <w:rPr>
                <w:rFonts w:hint="eastAsia" w:hAnsi="宋体"/>
                <w:color w:val="000000" w:themeColor="text1"/>
                <w:sz w:val="18"/>
                <w:szCs w:val="18"/>
                <w14:textFill>
                  <w14:solidFill>
                    <w14:schemeClr w14:val="tx1"/>
                  </w14:solidFill>
                </w14:textFill>
              </w:rPr>
              <w:t>）/J</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183"/>
              <w:rPr>
                <w:rFonts w:hAnsi="宋体"/>
                <w:color w:val="000000" w:themeColor="text1"/>
                <w:szCs w:val="18"/>
                <w14:textFill>
                  <w14:solidFill>
                    <w14:schemeClr w14:val="tx1"/>
                  </w14:solidFill>
                </w14:textFill>
              </w:rPr>
            </w:pPr>
          </w:p>
        </w:tc>
        <w:tc>
          <w:tcPr>
            <w:tcW w:w="990" w:type="dxa"/>
            <w:vMerge w:val="continue"/>
            <w:vAlign w:val="center"/>
          </w:tcPr>
          <w:p>
            <w:pPr>
              <w:pStyle w:val="183"/>
              <w:rPr>
                <w:rFonts w:hAnsi="宋体"/>
                <w:color w:val="000000" w:themeColor="text1"/>
                <w:szCs w:val="18"/>
                <w14:textFill>
                  <w14:solidFill>
                    <w14:schemeClr w14:val="tx1"/>
                  </w14:solidFill>
                </w14:textFill>
              </w:rPr>
            </w:pPr>
          </w:p>
        </w:tc>
        <w:tc>
          <w:tcPr>
            <w:tcW w:w="1129" w:type="dxa"/>
            <w:vMerge w:val="continue"/>
            <w:vAlign w:val="center"/>
          </w:tcPr>
          <w:p>
            <w:pPr>
              <w:pStyle w:val="183"/>
              <w:rPr>
                <w:rFonts w:hAnsi="宋体"/>
                <w:color w:val="000000" w:themeColor="text1"/>
                <w:szCs w:val="18"/>
                <w14:textFill>
                  <w14:solidFill>
                    <w14:schemeClr w14:val="tx1"/>
                  </w14:solidFill>
                </w14:textFill>
              </w:rPr>
            </w:pPr>
          </w:p>
        </w:tc>
        <w:tc>
          <w:tcPr>
            <w:tcW w:w="1692" w:type="dxa"/>
            <w:vMerge w:val="continue"/>
            <w:vAlign w:val="center"/>
          </w:tcPr>
          <w:p>
            <w:pPr>
              <w:pStyle w:val="183"/>
              <w:rPr>
                <w:rFonts w:hAnsi="宋体"/>
                <w:color w:val="000000" w:themeColor="text1"/>
                <w:szCs w:val="18"/>
                <w14:textFill>
                  <w14:solidFill>
                    <w14:schemeClr w14:val="tx1"/>
                  </w14:solidFill>
                </w14:textFill>
              </w:rPr>
            </w:pPr>
          </w:p>
        </w:tc>
        <w:tc>
          <w:tcPr>
            <w:tcW w:w="1409" w:type="dxa"/>
            <w:vMerge w:val="continue"/>
            <w:vAlign w:val="center"/>
          </w:tcPr>
          <w:p>
            <w:pPr>
              <w:pStyle w:val="183"/>
              <w:rPr>
                <w:rFonts w:hAnsi="宋体"/>
                <w:color w:val="000000" w:themeColor="text1"/>
                <w:szCs w:val="18"/>
                <w14:textFill>
                  <w14:solidFill>
                    <w14:schemeClr w14:val="tx1"/>
                  </w14:solidFill>
                </w14:textFill>
              </w:rPr>
            </w:pPr>
          </w:p>
        </w:tc>
        <w:tc>
          <w:tcPr>
            <w:tcW w:w="1412" w:type="dxa"/>
            <w:vMerge w:val="continue"/>
            <w:vAlign w:val="center"/>
          </w:tcPr>
          <w:p>
            <w:pPr>
              <w:pStyle w:val="183"/>
              <w:rPr>
                <w:rFonts w:hAnsi="宋体"/>
                <w:color w:val="000000" w:themeColor="text1"/>
                <w:szCs w:val="18"/>
                <w14:textFill>
                  <w14:solidFill>
                    <w14:schemeClr w14:val="tx1"/>
                  </w14:solidFill>
                </w14:textFill>
              </w:rPr>
            </w:pPr>
          </w:p>
        </w:tc>
        <w:tc>
          <w:tcPr>
            <w:tcW w:w="1701" w:type="dxa"/>
            <w:vAlign w:val="center"/>
          </w:tcPr>
          <w:p>
            <w:pPr>
              <w:pStyle w:val="183"/>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不小于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restart"/>
            <w:vAlign w:val="center"/>
          </w:tcPr>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GB/T 9711</w:t>
            </w:r>
          </w:p>
        </w:tc>
        <w:tc>
          <w:tcPr>
            <w:tcW w:w="990" w:type="dxa"/>
            <w:vMerge w:val="restart"/>
            <w:vAlign w:val="center"/>
          </w:tcPr>
          <w:p>
            <w:pPr>
              <w:pStyle w:val="61"/>
              <w:ind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L245/B</w:t>
            </w:r>
          </w:p>
        </w:tc>
        <w:tc>
          <w:tcPr>
            <w:tcW w:w="1129" w:type="dxa"/>
            <w:vMerge w:val="restart"/>
            <w:vAlign w:val="center"/>
          </w:tcPr>
          <w:p>
            <w:pPr>
              <w:pStyle w:val="61"/>
              <w:ind w:firstLine="0" w:firstLineChars="0"/>
              <w:jc w:val="center"/>
              <w:rPr>
                <w:rFonts w:hAnsi="宋体"/>
                <w:sz w:val="18"/>
                <w:szCs w:val="18"/>
              </w:rPr>
            </w:pPr>
            <w:r>
              <w:rPr>
                <w:rFonts w:hint="eastAsia" w:hAnsi="宋体"/>
                <w:color w:val="000000" w:themeColor="text1"/>
                <w:sz w:val="18"/>
                <w:szCs w:val="18"/>
                <w14:textFill>
                  <w14:solidFill>
                    <w14:schemeClr w14:val="tx1"/>
                  </w14:solidFill>
                </w14:textFill>
              </w:rPr>
              <w:t>淬火加回火</w:t>
            </w:r>
          </w:p>
        </w:tc>
        <w:tc>
          <w:tcPr>
            <w:tcW w:w="1692" w:type="dxa"/>
            <w:vAlign w:val="center"/>
          </w:tcPr>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D≤508</w:t>
            </w:r>
          </w:p>
        </w:tc>
        <w:tc>
          <w:tcPr>
            <w:tcW w:w="1409" w:type="dxa"/>
            <w:vMerge w:val="restart"/>
            <w:vAlign w:val="center"/>
          </w:tcPr>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0℃冲击或可协议更低温度</w:t>
            </w:r>
          </w:p>
        </w:tc>
        <w:tc>
          <w:tcPr>
            <w:tcW w:w="1412" w:type="dxa"/>
            <w:vMerge w:val="restart"/>
            <w:vAlign w:val="center"/>
          </w:tcPr>
          <w:p>
            <w:pPr>
              <w:pStyle w:val="61"/>
              <w:ind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与冲击温度</w:t>
            </w:r>
          </w:p>
          <w:p>
            <w:pPr>
              <w:pStyle w:val="61"/>
              <w:ind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一致</w:t>
            </w:r>
          </w:p>
        </w:tc>
        <w:tc>
          <w:tcPr>
            <w:tcW w:w="1701" w:type="dxa"/>
            <w:vAlign w:val="center"/>
          </w:tcPr>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rPr>
            </w:pPr>
          </w:p>
        </w:tc>
        <w:tc>
          <w:tcPr>
            <w:tcW w:w="1692" w:type="dxa"/>
            <w:vAlign w:val="center"/>
          </w:tcPr>
          <w:p>
            <w:pPr>
              <w:pStyle w:val="183"/>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5</w:t>
            </w:r>
            <w:r>
              <w:rPr>
                <w:rFonts w:hAnsi="宋体"/>
                <w:color w:val="000000" w:themeColor="text1"/>
                <w:szCs w:val="18"/>
                <w14:textFill>
                  <w14:solidFill>
                    <w14:schemeClr w14:val="tx1"/>
                  </w14:solidFill>
                </w14:textFill>
              </w:rPr>
              <w:t>08</w:t>
            </w: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D</w:t>
            </w:r>
            <w:r>
              <w:rPr>
                <w:rFonts w:hint="eastAsia" w:hAnsi="宋体"/>
                <w:color w:val="000000" w:themeColor="text1"/>
                <w:szCs w:val="18"/>
                <w14:textFill>
                  <w14:solidFill>
                    <w14:schemeClr w14:val="tx1"/>
                  </w14:solidFill>
                </w14:textFill>
              </w:rPr>
              <w:t>≤610</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rPr>
            </w:pPr>
          </w:p>
        </w:tc>
        <w:tc>
          <w:tcPr>
            <w:tcW w:w="1692" w:type="dxa"/>
            <w:vAlign w:val="center"/>
          </w:tcPr>
          <w:p>
            <w:pPr>
              <w:pStyle w:val="183"/>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610＜</w:t>
            </w:r>
            <w:r>
              <w:rPr>
                <w:rFonts w:hAnsi="宋体"/>
                <w:color w:val="000000" w:themeColor="text1"/>
                <w:szCs w:val="18"/>
                <w14:textFill>
                  <w14:solidFill>
                    <w14:schemeClr w14:val="tx1"/>
                  </w14:solidFill>
                </w14:textFill>
              </w:rPr>
              <w:t>D</w:t>
            </w:r>
            <w:r>
              <w:rPr>
                <w:rFonts w:hint="eastAsia" w:hAnsi="宋体"/>
                <w:color w:val="000000" w:themeColor="text1"/>
                <w:szCs w:val="18"/>
                <w14:textFill>
                  <w14:solidFill>
                    <w14:schemeClr w14:val="tx1"/>
                  </w14:solidFill>
                </w14:textFill>
              </w:rPr>
              <w:t>≤711</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rPr>
            </w:pPr>
          </w:p>
        </w:tc>
        <w:tc>
          <w:tcPr>
            <w:tcW w:w="1692" w:type="dxa"/>
            <w:vAlign w:val="center"/>
          </w:tcPr>
          <w:p>
            <w:pPr>
              <w:pStyle w:val="183"/>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711＜</w:t>
            </w:r>
            <w:r>
              <w:rPr>
                <w:rFonts w:hAnsi="宋体"/>
                <w:color w:val="000000" w:themeColor="text1"/>
                <w:szCs w:val="18"/>
                <w14:textFill>
                  <w14:solidFill>
                    <w14:schemeClr w14:val="tx1"/>
                  </w14:solidFill>
                </w14:textFill>
              </w:rPr>
              <w:t>D</w:t>
            </w:r>
            <w:r>
              <w:rPr>
                <w:rFonts w:hint="eastAsia" w:hAnsi="宋体"/>
                <w:color w:val="000000" w:themeColor="text1"/>
                <w:szCs w:val="18"/>
                <w14:textFill>
                  <w14:solidFill>
                    <w14:schemeClr w14:val="tx1"/>
                  </w14:solidFill>
                </w14:textFill>
              </w:rPr>
              <w:t>≤813</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rPr>
            </w:pPr>
          </w:p>
        </w:tc>
        <w:tc>
          <w:tcPr>
            <w:tcW w:w="1692" w:type="dxa"/>
            <w:vAlign w:val="center"/>
          </w:tcPr>
          <w:p>
            <w:pPr>
              <w:pStyle w:val="183"/>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813＜</w:t>
            </w:r>
            <w:r>
              <w:rPr>
                <w:rFonts w:hAnsi="宋体"/>
                <w:color w:val="000000" w:themeColor="text1"/>
                <w:szCs w:val="18"/>
                <w14:textFill>
                  <w14:solidFill>
                    <w14:schemeClr w14:val="tx1"/>
                  </w14:solidFill>
                </w14:textFill>
              </w:rPr>
              <w:t>D</w:t>
            </w:r>
            <w:r>
              <w:rPr>
                <w:rFonts w:hint="eastAsia" w:hAnsi="宋体"/>
                <w:color w:val="000000" w:themeColor="text1"/>
                <w:szCs w:val="18"/>
                <w14:textFill>
                  <w14:solidFill>
                    <w14:schemeClr w14:val="tx1"/>
                  </w14:solidFill>
                </w14:textFill>
              </w:rPr>
              <w:t>≤914</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rPr>
            </w:pPr>
          </w:p>
        </w:tc>
        <w:tc>
          <w:tcPr>
            <w:tcW w:w="1692" w:type="dxa"/>
            <w:vAlign w:val="center"/>
          </w:tcPr>
          <w:p>
            <w:pPr>
              <w:pStyle w:val="183"/>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914＜</w:t>
            </w:r>
            <w:r>
              <w:rPr>
                <w:rFonts w:hAnsi="宋体"/>
                <w:color w:val="000000" w:themeColor="text1"/>
                <w:szCs w:val="18"/>
                <w14:textFill>
                  <w14:solidFill>
                    <w14:schemeClr w14:val="tx1"/>
                  </w14:solidFill>
                </w14:textFill>
              </w:rPr>
              <w:t>D</w:t>
            </w:r>
            <w:r>
              <w:rPr>
                <w:rFonts w:hint="eastAsia" w:hAnsi="宋体"/>
                <w:color w:val="000000" w:themeColor="text1"/>
                <w:szCs w:val="18"/>
                <w14:textFill>
                  <w14:solidFill>
                    <w14:schemeClr w14:val="tx1"/>
                  </w14:solidFill>
                </w14:textFill>
              </w:rPr>
              <w:t>≤1016</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rPr>
            </w:pPr>
          </w:p>
        </w:tc>
        <w:tc>
          <w:tcPr>
            <w:tcW w:w="1692" w:type="dxa"/>
            <w:vAlign w:val="center"/>
          </w:tcPr>
          <w:p>
            <w:pPr>
              <w:pStyle w:val="183"/>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1016＜</w:t>
            </w:r>
            <w:r>
              <w:rPr>
                <w:rFonts w:hAnsi="宋体"/>
                <w:color w:val="000000" w:themeColor="text1"/>
                <w:szCs w:val="18"/>
                <w14:textFill>
                  <w14:solidFill>
                    <w14:schemeClr w14:val="tx1"/>
                  </w14:solidFill>
                </w14:textFill>
              </w:rPr>
              <w:t>D</w:t>
            </w:r>
            <w:r>
              <w:rPr>
                <w:rFonts w:hint="eastAsia" w:hAnsi="宋体"/>
                <w:color w:val="000000" w:themeColor="text1"/>
                <w:szCs w:val="18"/>
                <w14:textFill>
                  <w14:solidFill>
                    <w14:schemeClr w14:val="tx1"/>
                  </w14:solidFill>
                </w14:textFill>
              </w:rPr>
              <w:t>≤1118</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rPr>
            </w:pPr>
          </w:p>
        </w:tc>
        <w:tc>
          <w:tcPr>
            <w:tcW w:w="1692" w:type="dxa"/>
            <w:vAlign w:val="center"/>
          </w:tcPr>
          <w:p>
            <w:pPr>
              <w:pStyle w:val="183"/>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1118＜</w:t>
            </w:r>
            <w:r>
              <w:rPr>
                <w:rFonts w:hAnsi="宋体"/>
                <w:color w:val="000000" w:themeColor="text1"/>
                <w:szCs w:val="18"/>
                <w14:textFill>
                  <w14:solidFill>
                    <w14:schemeClr w14:val="tx1"/>
                  </w14:solidFill>
                </w14:textFill>
              </w:rPr>
              <w:t>D</w:t>
            </w:r>
            <w:r>
              <w:rPr>
                <w:rFonts w:hint="eastAsia" w:hAnsi="宋体"/>
                <w:color w:val="000000" w:themeColor="text1"/>
                <w:szCs w:val="18"/>
                <w14:textFill>
                  <w14:solidFill>
                    <w14:schemeClr w14:val="tx1"/>
                  </w14:solidFill>
                </w14:textFill>
              </w:rPr>
              <w:t>≤1219</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rPr>
            </w:pPr>
          </w:p>
        </w:tc>
        <w:tc>
          <w:tcPr>
            <w:tcW w:w="1692" w:type="dxa"/>
            <w:vAlign w:val="center"/>
          </w:tcPr>
          <w:p>
            <w:pPr>
              <w:pStyle w:val="183"/>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1219＜</w:t>
            </w:r>
            <w:r>
              <w:rPr>
                <w:rFonts w:hAnsi="宋体"/>
                <w:color w:val="000000" w:themeColor="text1"/>
                <w:szCs w:val="18"/>
                <w14:textFill>
                  <w14:solidFill>
                    <w14:schemeClr w14:val="tx1"/>
                  </w14:solidFill>
                </w14:textFill>
              </w:rPr>
              <w:t>D</w:t>
            </w:r>
            <w:r>
              <w:rPr>
                <w:rFonts w:hint="eastAsia" w:hAnsi="宋体"/>
                <w:color w:val="000000" w:themeColor="text1"/>
                <w:szCs w:val="18"/>
                <w14:textFill>
                  <w14:solidFill>
                    <w14:schemeClr w14:val="tx1"/>
                  </w14:solidFill>
                </w14:textFill>
              </w:rPr>
              <w:t>≤1422</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00" w:hRule="exact"/>
          <w:jc w:val="center"/>
        </w:trPr>
        <w:tc>
          <w:tcPr>
            <w:tcW w:w="1001" w:type="dxa"/>
            <w:vMerge w:val="restart"/>
            <w:vAlign w:val="center"/>
          </w:tcPr>
          <w:p>
            <w:pPr>
              <w:jc w:val="center"/>
              <w:rPr>
                <w:rFonts w:ascii="宋体" w:hAnsi="宋体"/>
                <w:sz w:val="18"/>
                <w:szCs w:val="18"/>
              </w:rPr>
            </w:pPr>
            <w:r>
              <w:rPr>
                <w:rFonts w:hint="eastAsia" w:ascii="宋体" w:hAnsi="宋体"/>
                <w:sz w:val="18"/>
                <w:szCs w:val="18"/>
              </w:rPr>
              <w:t>GB/T 9711</w:t>
            </w:r>
          </w:p>
        </w:tc>
        <w:tc>
          <w:tcPr>
            <w:tcW w:w="990" w:type="dxa"/>
            <w:vMerge w:val="restart"/>
            <w:vAlign w:val="center"/>
          </w:tcPr>
          <w:p>
            <w:pPr>
              <w:jc w:val="center"/>
              <w:rPr>
                <w:rFonts w:ascii="宋体" w:hAnsi="宋体"/>
                <w:sz w:val="18"/>
                <w:szCs w:val="18"/>
              </w:rPr>
            </w:pPr>
            <w:r>
              <w:rPr>
                <w:rFonts w:hint="eastAsia" w:ascii="宋体" w:hAnsi="宋体"/>
                <w:sz w:val="18"/>
                <w:szCs w:val="18"/>
              </w:rPr>
              <w:t>L290/X42</w:t>
            </w:r>
          </w:p>
        </w:tc>
        <w:tc>
          <w:tcPr>
            <w:tcW w:w="1129" w:type="dxa"/>
            <w:vMerge w:val="restart"/>
            <w:vAlign w:val="center"/>
          </w:tcPr>
          <w:p>
            <w:pPr>
              <w:jc w:val="center"/>
              <w:rPr>
                <w:rFonts w:ascii="宋体" w:hAnsi="宋体"/>
                <w:sz w:val="18"/>
                <w:szCs w:val="18"/>
              </w:rPr>
            </w:pPr>
            <w:r>
              <w:rPr>
                <w:rFonts w:hint="eastAsia" w:ascii="宋体" w:hAnsi="宋体"/>
                <w:sz w:val="18"/>
                <w:szCs w:val="18"/>
              </w:rPr>
              <w:t>淬火加回火</w:t>
            </w:r>
          </w:p>
        </w:tc>
        <w:tc>
          <w:tcPr>
            <w:tcW w:w="1692" w:type="dxa"/>
            <w:vAlign w:val="center"/>
          </w:tcPr>
          <w:p>
            <w:pPr>
              <w:pStyle w:val="183"/>
              <w:rPr>
                <w:rFonts w:hAnsi="宋体"/>
                <w:szCs w:val="18"/>
              </w:rPr>
            </w:pPr>
            <w:r>
              <w:rPr>
                <w:rFonts w:hint="eastAsia" w:hAnsi="宋体"/>
                <w:szCs w:val="18"/>
              </w:rPr>
              <w:t>D≤508</w:t>
            </w:r>
          </w:p>
        </w:tc>
        <w:tc>
          <w:tcPr>
            <w:tcW w:w="1409" w:type="dxa"/>
            <w:vMerge w:val="restart"/>
            <w:vAlign w:val="center"/>
          </w:tcPr>
          <w:p>
            <w:pPr>
              <w:pStyle w:val="61"/>
              <w:ind w:firstLine="0" w:firstLineChars="0"/>
              <w:jc w:val="center"/>
              <w:rPr>
                <w:rFonts w:hAnsi="宋体"/>
                <w:sz w:val="18"/>
                <w:szCs w:val="18"/>
              </w:rPr>
            </w:pPr>
            <w:r>
              <w:rPr>
                <w:rFonts w:hint="eastAsia" w:hAnsi="宋体"/>
                <w:color w:val="000000" w:themeColor="text1"/>
                <w:sz w:val="18"/>
                <w:szCs w:val="18"/>
                <w14:textFill>
                  <w14:solidFill>
                    <w14:schemeClr w14:val="tx1"/>
                  </w14:solidFill>
                </w14:textFill>
              </w:rPr>
              <w:t>0℃冲击或可协议更低温度</w:t>
            </w:r>
          </w:p>
        </w:tc>
        <w:tc>
          <w:tcPr>
            <w:tcW w:w="1412" w:type="dxa"/>
            <w:vMerge w:val="restart"/>
            <w:vAlign w:val="center"/>
          </w:tcPr>
          <w:p>
            <w:pPr>
              <w:pStyle w:val="61"/>
              <w:ind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与冲击温度</w:t>
            </w:r>
          </w:p>
          <w:p>
            <w:pPr>
              <w:pStyle w:val="61"/>
              <w:ind w:firstLineChars="0"/>
              <w:jc w:val="center"/>
              <w:rPr>
                <w:rFonts w:hAnsi="宋体"/>
                <w:sz w:val="18"/>
                <w:szCs w:val="18"/>
              </w:rPr>
            </w:pPr>
            <w:r>
              <w:rPr>
                <w:rFonts w:hint="eastAsia" w:hAnsi="宋体"/>
                <w:color w:val="000000" w:themeColor="text1"/>
                <w:sz w:val="18"/>
                <w:szCs w:val="18"/>
                <w14:textFill>
                  <w14:solidFill>
                    <w14:schemeClr w14:val="tx1"/>
                  </w14:solidFill>
                </w14:textFill>
              </w:rPr>
              <w:t>一致</w:t>
            </w:r>
          </w:p>
        </w:tc>
        <w:tc>
          <w:tcPr>
            <w:tcW w:w="1701" w:type="dxa"/>
            <w:vAlign w:val="center"/>
          </w:tcPr>
          <w:p>
            <w:pPr>
              <w:pStyle w:val="183"/>
              <w:rPr>
                <w:rFonts w:hAnsi="宋体"/>
                <w:szCs w:val="18"/>
              </w:rPr>
            </w:pPr>
            <w:r>
              <w:rPr>
                <w:rFonts w:hint="eastAsia" w:hAnsi="宋体"/>
                <w:szCs w:val="18"/>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color w:val="000000" w:themeColor="text1"/>
                <w:szCs w:val="18"/>
                <w:highlight w:val="yellow"/>
                <w14:textFill>
                  <w14:solidFill>
                    <w14:schemeClr w14:val="tx1"/>
                  </w14:solidFill>
                </w14:textFill>
              </w:rPr>
            </w:pPr>
            <w:r>
              <w:rPr>
                <w:rFonts w:hint="eastAsia" w:hAnsi="宋体"/>
                <w:szCs w:val="18"/>
              </w:rPr>
              <w:t>508＜D≤610</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sz w:val="18"/>
                <w:szCs w:val="18"/>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color w:val="000000" w:themeColor="text1"/>
                <w:szCs w:val="18"/>
                <w:highlight w:val="yellow"/>
                <w14:textFill>
                  <w14:solidFill>
                    <w14:schemeClr w14:val="tx1"/>
                  </w14:solidFill>
                </w14:textFill>
              </w:rPr>
            </w:pPr>
            <w:r>
              <w:rPr>
                <w:rFonts w:hint="eastAsia" w:hAnsi="宋体"/>
                <w:szCs w:val="18"/>
              </w:rPr>
              <w:t>610＜D≤711</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sz w:val="18"/>
                <w:szCs w:val="18"/>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color w:val="000000" w:themeColor="text1"/>
                <w:szCs w:val="18"/>
                <w:highlight w:val="yellow"/>
                <w14:textFill>
                  <w14:solidFill>
                    <w14:schemeClr w14:val="tx1"/>
                  </w14:solidFill>
                </w14:textFill>
              </w:rPr>
            </w:pPr>
            <w:r>
              <w:rPr>
                <w:rFonts w:hint="eastAsia" w:hAnsi="宋体"/>
                <w:szCs w:val="18"/>
              </w:rPr>
              <w:t>711＜D≤813</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sz w:val="18"/>
                <w:szCs w:val="18"/>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color w:val="000000" w:themeColor="text1"/>
                <w:szCs w:val="18"/>
                <w:highlight w:val="yellow"/>
                <w14:textFill>
                  <w14:solidFill>
                    <w14:schemeClr w14:val="tx1"/>
                  </w14:solidFill>
                </w14:textFill>
              </w:rPr>
            </w:pPr>
            <w:r>
              <w:rPr>
                <w:rFonts w:hint="eastAsia" w:hAnsi="宋体"/>
                <w:szCs w:val="18"/>
              </w:rPr>
              <w:t>813＜D≤914</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sz w:val="18"/>
                <w:szCs w:val="18"/>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color w:val="000000" w:themeColor="text1"/>
                <w:szCs w:val="18"/>
                <w:highlight w:val="yellow"/>
                <w14:textFill>
                  <w14:solidFill>
                    <w14:schemeClr w14:val="tx1"/>
                  </w14:solidFill>
                </w14:textFill>
              </w:rPr>
            </w:pPr>
            <w:r>
              <w:rPr>
                <w:rFonts w:hint="eastAsia" w:hAnsi="宋体"/>
                <w:szCs w:val="18"/>
              </w:rPr>
              <w:t>914＜D≤1016</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sz w:val="18"/>
                <w:szCs w:val="18"/>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color w:val="000000" w:themeColor="text1"/>
                <w:szCs w:val="18"/>
                <w:highlight w:val="yellow"/>
                <w14:textFill>
                  <w14:solidFill>
                    <w14:schemeClr w14:val="tx1"/>
                  </w14:solidFill>
                </w14:textFill>
              </w:rPr>
            </w:pPr>
            <w:r>
              <w:rPr>
                <w:rFonts w:hint="eastAsia" w:hAnsi="宋体"/>
                <w:szCs w:val="18"/>
              </w:rPr>
              <w:t>1016＜D≤1118</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sz w:val="18"/>
                <w:szCs w:val="18"/>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color w:val="000000" w:themeColor="text1"/>
                <w:szCs w:val="18"/>
                <w:highlight w:val="yellow"/>
                <w14:textFill>
                  <w14:solidFill>
                    <w14:schemeClr w14:val="tx1"/>
                  </w14:solidFill>
                </w14:textFill>
              </w:rPr>
            </w:pPr>
            <w:r>
              <w:rPr>
                <w:rFonts w:hint="eastAsia" w:hAnsi="宋体"/>
                <w:szCs w:val="18"/>
              </w:rPr>
              <w:t>1118＜D≤1219</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sz w:val="18"/>
                <w:szCs w:val="18"/>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color w:val="000000" w:themeColor="text1"/>
                <w:szCs w:val="18"/>
                <w:highlight w:val="yellow"/>
                <w14:textFill>
                  <w14:solidFill>
                    <w14:schemeClr w14:val="tx1"/>
                  </w14:solidFill>
                </w14:textFill>
              </w:rPr>
            </w:pPr>
            <w:r>
              <w:rPr>
                <w:rFonts w:hint="eastAsia" w:hAnsi="宋体"/>
                <w:szCs w:val="18"/>
              </w:rPr>
              <w:t>1219＜D≤1422</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sz w:val="18"/>
                <w:szCs w:val="18"/>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restart"/>
            <w:vAlign w:val="center"/>
          </w:tcPr>
          <w:p>
            <w:pPr>
              <w:jc w:val="center"/>
              <w:rPr>
                <w:rFonts w:ascii="宋体" w:hAnsi="宋体"/>
                <w:sz w:val="18"/>
                <w:szCs w:val="18"/>
              </w:rPr>
            </w:pPr>
            <w:r>
              <w:rPr>
                <w:rFonts w:hint="eastAsia" w:ascii="宋体" w:hAnsi="宋体"/>
                <w:sz w:val="18"/>
                <w:szCs w:val="18"/>
              </w:rPr>
              <w:t>GB/T 9711</w:t>
            </w:r>
          </w:p>
        </w:tc>
        <w:tc>
          <w:tcPr>
            <w:tcW w:w="990" w:type="dxa"/>
            <w:vMerge w:val="restart"/>
            <w:vAlign w:val="center"/>
          </w:tcPr>
          <w:p>
            <w:pPr>
              <w:jc w:val="center"/>
              <w:rPr>
                <w:rFonts w:ascii="宋体" w:hAnsi="宋体"/>
                <w:sz w:val="18"/>
                <w:szCs w:val="18"/>
              </w:rPr>
            </w:pPr>
            <w:r>
              <w:rPr>
                <w:rFonts w:hint="eastAsia" w:ascii="宋体" w:hAnsi="宋体"/>
                <w:sz w:val="18"/>
                <w:szCs w:val="18"/>
              </w:rPr>
              <w:t>L320/X46</w:t>
            </w:r>
          </w:p>
        </w:tc>
        <w:tc>
          <w:tcPr>
            <w:tcW w:w="1129" w:type="dxa"/>
            <w:vMerge w:val="restart"/>
            <w:vAlign w:val="center"/>
          </w:tcPr>
          <w:p>
            <w:pPr>
              <w:jc w:val="center"/>
              <w:rPr>
                <w:rFonts w:ascii="宋体" w:hAnsi="宋体"/>
                <w:sz w:val="18"/>
                <w:szCs w:val="18"/>
              </w:rPr>
            </w:pPr>
            <w:r>
              <w:rPr>
                <w:rFonts w:hint="eastAsia" w:ascii="宋体" w:hAnsi="宋体"/>
                <w:sz w:val="18"/>
                <w:szCs w:val="18"/>
              </w:rPr>
              <w:t>淬火加回火</w:t>
            </w:r>
          </w:p>
        </w:tc>
        <w:tc>
          <w:tcPr>
            <w:tcW w:w="1692" w:type="dxa"/>
            <w:vAlign w:val="center"/>
          </w:tcPr>
          <w:p>
            <w:pPr>
              <w:pStyle w:val="183"/>
              <w:rPr>
                <w:rFonts w:hAnsi="宋体"/>
                <w:szCs w:val="18"/>
              </w:rPr>
            </w:pPr>
            <w:r>
              <w:rPr>
                <w:rFonts w:hint="eastAsia" w:hAnsi="宋体"/>
                <w:szCs w:val="18"/>
              </w:rPr>
              <w:t>D≤508</w:t>
            </w:r>
          </w:p>
        </w:tc>
        <w:tc>
          <w:tcPr>
            <w:tcW w:w="1409" w:type="dxa"/>
            <w:vMerge w:val="restart"/>
            <w:vAlign w:val="center"/>
          </w:tcPr>
          <w:p>
            <w:pPr>
              <w:pStyle w:val="61"/>
              <w:ind w:firstLine="0" w:firstLineChars="0"/>
              <w:jc w:val="center"/>
              <w:rPr>
                <w:rFonts w:hAnsi="宋体"/>
                <w:sz w:val="18"/>
                <w:szCs w:val="18"/>
              </w:rPr>
            </w:pPr>
            <w:r>
              <w:rPr>
                <w:rFonts w:hint="eastAsia" w:hAnsi="宋体"/>
                <w:color w:val="000000" w:themeColor="text1"/>
                <w:sz w:val="18"/>
                <w:szCs w:val="18"/>
                <w14:textFill>
                  <w14:solidFill>
                    <w14:schemeClr w14:val="tx1"/>
                  </w14:solidFill>
                </w14:textFill>
              </w:rPr>
              <w:t>0℃冲击或可协议更低温度</w:t>
            </w:r>
          </w:p>
        </w:tc>
        <w:tc>
          <w:tcPr>
            <w:tcW w:w="1412" w:type="dxa"/>
            <w:vMerge w:val="restart"/>
            <w:vAlign w:val="center"/>
          </w:tcPr>
          <w:p>
            <w:pPr>
              <w:pStyle w:val="61"/>
              <w:ind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与冲击温度</w:t>
            </w:r>
          </w:p>
          <w:p>
            <w:pPr>
              <w:pStyle w:val="61"/>
              <w:ind w:firstLineChars="0"/>
              <w:jc w:val="center"/>
              <w:rPr>
                <w:rFonts w:hAnsi="宋体"/>
                <w:sz w:val="18"/>
                <w:szCs w:val="18"/>
              </w:rPr>
            </w:pPr>
            <w:r>
              <w:rPr>
                <w:rFonts w:hint="eastAsia" w:hAnsi="宋体"/>
                <w:color w:val="000000" w:themeColor="text1"/>
                <w:sz w:val="18"/>
                <w:szCs w:val="18"/>
                <w14:textFill>
                  <w14:solidFill>
                    <w14:schemeClr w14:val="tx1"/>
                  </w14:solidFill>
                </w14:textFill>
              </w:rPr>
              <w:t>一致</w:t>
            </w:r>
          </w:p>
        </w:tc>
        <w:tc>
          <w:tcPr>
            <w:tcW w:w="1701" w:type="dxa"/>
            <w:vAlign w:val="center"/>
          </w:tcPr>
          <w:p>
            <w:pPr>
              <w:pStyle w:val="183"/>
              <w:rPr>
                <w:rFonts w:hAnsi="宋体"/>
                <w:szCs w:val="18"/>
              </w:rPr>
            </w:pPr>
            <w:r>
              <w:rPr>
                <w:rFonts w:hint="eastAsia" w:hAnsi="宋体"/>
                <w:szCs w:val="18"/>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508＜D≤610</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610＜D≤711</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711＜D≤813</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813＜D≤914</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914＜D≤1016</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1016＜D≤1118</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1118＜D≤1219</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1219＜D≤1422</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restart"/>
            <w:vAlign w:val="center"/>
          </w:tcPr>
          <w:p>
            <w:pPr>
              <w:jc w:val="center"/>
              <w:rPr>
                <w:rFonts w:ascii="宋体" w:hAnsi="宋体"/>
                <w:sz w:val="18"/>
                <w:szCs w:val="18"/>
              </w:rPr>
            </w:pPr>
            <w:r>
              <w:rPr>
                <w:rFonts w:hint="eastAsia" w:ascii="宋体" w:hAnsi="宋体"/>
                <w:sz w:val="18"/>
                <w:szCs w:val="18"/>
              </w:rPr>
              <w:t>GB/T 9711</w:t>
            </w:r>
          </w:p>
        </w:tc>
        <w:tc>
          <w:tcPr>
            <w:tcW w:w="990" w:type="dxa"/>
            <w:vMerge w:val="restart"/>
            <w:vAlign w:val="center"/>
          </w:tcPr>
          <w:p>
            <w:pPr>
              <w:jc w:val="center"/>
              <w:rPr>
                <w:rFonts w:ascii="宋体" w:hAnsi="宋体"/>
                <w:sz w:val="18"/>
                <w:szCs w:val="18"/>
              </w:rPr>
            </w:pPr>
            <w:r>
              <w:rPr>
                <w:rFonts w:hint="eastAsia" w:ascii="宋体" w:hAnsi="宋体"/>
                <w:sz w:val="18"/>
                <w:szCs w:val="18"/>
              </w:rPr>
              <w:t>L360/X52</w:t>
            </w:r>
          </w:p>
        </w:tc>
        <w:tc>
          <w:tcPr>
            <w:tcW w:w="1129" w:type="dxa"/>
            <w:vMerge w:val="restart"/>
            <w:vAlign w:val="center"/>
          </w:tcPr>
          <w:p>
            <w:pPr>
              <w:jc w:val="center"/>
              <w:rPr>
                <w:rFonts w:ascii="宋体" w:hAnsi="宋体"/>
                <w:sz w:val="18"/>
                <w:szCs w:val="18"/>
              </w:rPr>
            </w:pPr>
            <w:r>
              <w:rPr>
                <w:rFonts w:hint="eastAsia" w:ascii="宋体" w:hAnsi="宋体"/>
                <w:sz w:val="18"/>
                <w:szCs w:val="18"/>
              </w:rPr>
              <w:t>淬火加回火</w:t>
            </w:r>
          </w:p>
        </w:tc>
        <w:tc>
          <w:tcPr>
            <w:tcW w:w="1692" w:type="dxa"/>
            <w:vAlign w:val="center"/>
          </w:tcPr>
          <w:p>
            <w:pPr>
              <w:pStyle w:val="183"/>
              <w:rPr>
                <w:rFonts w:hAnsi="宋体"/>
                <w:szCs w:val="18"/>
              </w:rPr>
            </w:pPr>
            <w:r>
              <w:rPr>
                <w:rFonts w:hint="eastAsia" w:hAnsi="宋体"/>
                <w:szCs w:val="18"/>
              </w:rPr>
              <w:t>D≤508</w:t>
            </w:r>
          </w:p>
        </w:tc>
        <w:tc>
          <w:tcPr>
            <w:tcW w:w="1409" w:type="dxa"/>
            <w:vMerge w:val="restart"/>
            <w:vAlign w:val="center"/>
          </w:tcPr>
          <w:p>
            <w:pPr>
              <w:pStyle w:val="61"/>
              <w:ind w:firstLine="0" w:firstLineChars="0"/>
              <w:jc w:val="center"/>
              <w:rPr>
                <w:rFonts w:hAnsi="宋体"/>
                <w:sz w:val="18"/>
                <w:szCs w:val="18"/>
              </w:rPr>
            </w:pPr>
            <w:r>
              <w:rPr>
                <w:rFonts w:hint="eastAsia" w:hAnsi="宋体"/>
                <w:color w:val="000000" w:themeColor="text1"/>
                <w:sz w:val="18"/>
                <w:szCs w:val="18"/>
                <w14:textFill>
                  <w14:solidFill>
                    <w14:schemeClr w14:val="tx1"/>
                  </w14:solidFill>
                </w14:textFill>
              </w:rPr>
              <w:t>0℃冲击或可协议更低温度</w:t>
            </w:r>
          </w:p>
        </w:tc>
        <w:tc>
          <w:tcPr>
            <w:tcW w:w="1412" w:type="dxa"/>
            <w:vMerge w:val="restart"/>
            <w:vAlign w:val="center"/>
          </w:tcPr>
          <w:p>
            <w:pPr>
              <w:pStyle w:val="61"/>
              <w:ind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与冲击温度</w:t>
            </w:r>
          </w:p>
          <w:p>
            <w:pPr>
              <w:pStyle w:val="61"/>
              <w:ind w:firstLineChars="0"/>
              <w:jc w:val="center"/>
              <w:rPr>
                <w:rFonts w:hAnsi="宋体"/>
                <w:sz w:val="18"/>
                <w:szCs w:val="18"/>
              </w:rPr>
            </w:pPr>
            <w:r>
              <w:rPr>
                <w:rFonts w:hint="eastAsia" w:hAnsi="宋体"/>
                <w:color w:val="000000" w:themeColor="text1"/>
                <w:sz w:val="18"/>
                <w:szCs w:val="18"/>
                <w14:textFill>
                  <w14:solidFill>
                    <w14:schemeClr w14:val="tx1"/>
                  </w14:solidFill>
                </w14:textFill>
              </w:rPr>
              <w:t>一致</w:t>
            </w:r>
          </w:p>
        </w:tc>
        <w:tc>
          <w:tcPr>
            <w:tcW w:w="1701" w:type="dxa"/>
            <w:vAlign w:val="center"/>
          </w:tcPr>
          <w:p>
            <w:pPr>
              <w:pStyle w:val="183"/>
              <w:rPr>
                <w:rFonts w:hAnsi="宋体"/>
                <w:szCs w:val="18"/>
              </w:rPr>
            </w:pPr>
            <w:r>
              <w:rPr>
                <w:rFonts w:hint="eastAsia" w:hAnsi="宋体"/>
                <w:szCs w:val="18"/>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508＜D≤610</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610＜D≤711</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711＜D≤813</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813＜D≤914</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914＜D≤1016</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1016＜D≤1118</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1118＜D≤1219</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1219＜D≤1422</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restart"/>
            <w:vAlign w:val="center"/>
          </w:tcPr>
          <w:p>
            <w:pPr>
              <w:jc w:val="center"/>
              <w:rPr>
                <w:rFonts w:ascii="宋体" w:hAnsi="宋体"/>
                <w:sz w:val="18"/>
                <w:szCs w:val="18"/>
              </w:rPr>
            </w:pPr>
            <w:r>
              <w:rPr>
                <w:rFonts w:hint="eastAsia" w:ascii="宋体" w:hAnsi="宋体"/>
                <w:sz w:val="18"/>
                <w:szCs w:val="18"/>
              </w:rPr>
              <w:t>GB/T 9711</w:t>
            </w:r>
          </w:p>
        </w:tc>
        <w:tc>
          <w:tcPr>
            <w:tcW w:w="990" w:type="dxa"/>
            <w:vMerge w:val="restart"/>
            <w:vAlign w:val="center"/>
          </w:tcPr>
          <w:p>
            <w:pPr>
              <w:jc w:val="center"/>
              <w:rPr>
                <w:rFonts w:ascii="宋体" w:hAnsi="宋体"/>
                <w:sz w:val="18"/>
                <w:szCs w:val="18"/>
              </w:rPr>
            </w:pPr>
            <w:r>
              <w:rPr>
                <w:rFonts w:hint="eastAsia" w:ascii="宋体" w:hAnsi="宋体"/>
                <w:sz w:val="18"/>
                <w:szCs w:val="18"/>
              </w:rPr>
              <w:t>L390/X56</w:t>
            </w:r>
          </w:p>
        </w:tc>
        <w:tc>
          <w:tcPr>
            <w:tcW w:w="1129" w:type="dxa"/>
            <w:vMerge w:val="restart"/>
            <w:vAlign w:val="center"/>
          </w:tcPr>
          <w:p>
            <w:pPr>
              <w:jc w:val="center"/>
              <w:rPr>
                <w:rFonts w:ascii="宋体" w:hAnsi="宋体"/>
                <w:sz w:val="18"/>
                <w:szCs w:val="18"/>
              </w:rPr>
            </w:pPr>
            <w:r>
              <w:rPr>
                <w:rFonts w:hint="eastAsia" w:ascii="宋体" w:hAnsi="宋体"/>
                <w:sz w:val="18"/>
                <w:szCs w:val="18"/>
              </w:rPr>
              <w:t>淬火加回火</w:t>
            </w:r>
          </w:p>
        </w:tc>
        <w:tc>
          <w:tcPr>
            <w:tcW w:w="1692" w:type="dxa"/>
            <w:vAlign w:val="center"/>
          </w:tcPr>
          <w:p>
            <w:pPr>
              <w:pStyle w:val="183"/>
              <w:rPr>
                <w:rFonts w:hAnsi="宋体"/>
                <w:szCs w:val="18"/>
              </w:rPr>
            </w:pPr>
            <w:r>
              <w:rPr>
                <w:rFonts w:hint="eastAsia" w:hAnsi="宋体"/>
                <w:szCs w:val="18"/>
              </w:rPr>
              <w:t>D≤508</w:t>
            </w:r>
          </w:p>
        </w:tc>
        <w:tc>
          <w:tcPr>
            <w:tcW w:w="1409" w:type="dxa"/>
            <w:vMerge w:val="restart"/>
            <w:vAlign w:val="center"/>
          </w:tcPr>
          <w:p>
            <w:pPr>
              <w:pStyle w:val="61"/>
              <w:ind w:firstLine="0" w:firstLineChars="0"/>
              <w:jc w:val="center"/>
              <w:rPr>
                <w:rFonts w:hAnsi="宋体"/>
                <w:sz w:val="18"/>
                <w:szCs w:val="18"/>
              </w:rPr>
            </w:pPr>
            <w:r>
              <w:rPr>
                <w:rFonts w:hint="eastAsia" w:hAnsi="宋体"/>
                <w:color w:val="000000" w:themeColor="text1"/>
                <w:sz w:val="18"/>
                <w:szCs w:val="18"/>
                <w14:textFill>
                  <w14:solidFill>
                    <w14:schemeClr w14:val="tx1"/>
                  </w14:solidFill>
                </w14:textFill>
              </w:rPr>
              <w:t>0℃冲击或可协议更低温度</w:t>
            </w:r>
          </w:p>
        </w:tc>
        <w:tc>
          <w:tcPr>
            <w:tcW w:w="1412" w:type="dxa"/>
            <w:vMerge w:val="restart"/>
            <w:vAlign w:val="center"/>
          </w:tcPr>
          <w:p>
            <w:pPr>
              <w:pStyle w:val="61"/>
              <w:ind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与冲击温度</w:t>
            </w:r>
          </w:p>
          <w:p>
            <w:pPr>
              <w:pStyle w:val="61"/>
              <w:ind w:firstLineChars="0"/>
              <w:jc w:val="center"/>
              <w:rPr>
                <w:rFonts w:hAnsi="宋体"/>
                <w:sz w:val="18"/>
                <w:szCs w:val="18"/>
              </w:rPr>
            </w:pPr>
            <w:r>
              <w:rPr>
                <w:rFonts w:hint="eastAsia" w:hAnsi="宋体"/>
                <w:color w:val="000000" w:themeColor="text1"/>
                <w:sz w:val="18"/>
                <w:szCs w:val="18"/>
                <w14:textFill>
                  <w14:solidFill>
                    <w14:schemeClr w14:val="tx1"/>
                  </w14:solidFill>
                </w14:textFill>
              </w:rPr>
              <w:t>一致</w:t>
            </w:r>
          </w:p>
        </w:tc>
        <w:tc>
          <w:tcPr>
            <w:tcW w:w="1701" w:type="dxa"/>
            <w:vAlign w:val="center"/>
          </w:tcPr>
          <w:p>
            <w:pPr>
              <w:pStyle w:val="183"/>
              <w:rPr>
                <w:rFonts w:hAnsi="宋体"/>
                <w:szCs w:val="18"/>
              </w:rPr>
            </w:pPr>
            <w:r>
              <w:rPr>
                <w:rFonts w:hint="eastAsia" w:hAnsi="宋体"/>
                <w:szCs w:val="18"/>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508＜D≤610</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610＜D≤711</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711＜D≤813</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813＜D≤914</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914＜D≤1016</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1016＜D≤1118</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1118＜D≤1219</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1219＜D≤1422</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restart"/>
            <w:vAlign w:val="center"/>
          </w:tcPr>
          <w:p>
            <w:pPr>
              <w:jc w:val="center"/>
              <w:rPr>
                <w:rFonts w:ascii="宋体" w:hAnsi="宋体"/>
                <w:sz w:val="18"/>
                <w:szCs w:val="18"/>
              </w:rPr>
            </w:pPr>
            <w:r>
              <w:rPr>
                <w:rFonts w:hint="eastAsia" w:ascii="宋体" w:hAnsi="宋体"/>
                <w:sz w:val="18"/>
                <w:szCs w:val="18"/>
              </w:rPr>
              <w:t>GB/T 9711</w:t>
            </w:r>
          </w:p>
        </w:tc>
        <w:tc>
          <w:tcPr>
            <w:tcW w:w="990" w:type="dxa"/>
            <w:vMerge w:val="restart"/>
            <w:vAlign w:val="center"/>
          </w:tcPr>
          <w:p>
            <w:pPr>
              <w:jc w:val="center"/>
              <w:rPr>
                <w:rFonts w:ascii="宋体" w:hAnsi="宋体"/>
                <w:sz w:val="18"/>
                <w:szCs w:val="18"/>
              </w:rPr>
            </w:pPr>
            <w:r>
              <w:rPr>
                <w:rFonts w:hint="eastAsia" w:ascii="宋体" w:hAnsi="宋体"/>
                <w:sz w:val="18"/>
                <w:szCs w:val="18"/>
              </w:rPr>
              <w:t>L415/X60</w:t>
            </w:r>
          </w:p>
        </w:tc>
        <w:tc>
          <w:tcPr>
            <w:tcW w:w="1129" w:type="dxa"/>
            <w:vMerge w:val="restart"/>
            <w:vAlign w:val="center"/>
          </w:tcPr>
          <w:p>
            <w:pPr>
              <w:jc w:val="center"/>
              <w:rPr>
                <w:rFonts w:ascii="宋体" w:hAnsi="宋体"/>
                <w:sz w:val="18"/>
                <w:szCs w:val="18"/>
              </w:rPr>
            </w:pPr>
            <w:r>
              <w:rPr>
                <w:rFonts w:hint="eastAsia" w:ascii="宋体" w:hAnsi="宋体"/>
                <w:sz w:val="18"/>
                <w:szCs w:val="18"/>
              </w:rPr>
              <w:t>淬火加回火</w:t>
            </w:r>
          </w:p>
        </w:tc>
        <w:tc>
          <w:tcPr>
            <w:tcW w:w="1692" w:type="dxa"/>
            <w:vAlign w:val="center"/>
          </w:tcPr>
          <w:p>
            <w:pPr>
              <w:pStyle w:val="183"/>
              <w:rPr>
                <w:rFonts w:hAnsi="宋体"/>
                <w:szCs w:val="18"/>
              </w:rPr>
            </w:pPr>
            <w:r>
              <w:rPr>
                <w:rFonts w:hint="eastAsia" w:hAnsi="宋体"/>
                <w:szCs w:val="18"/>
              </w:rPr>
              <w:t>D≤508</w:t>
            </w:r>
          </w:p>
        </w:tc>
        <w:tc>
          <w:tcPr>
            <w:tcW w:w="1409" w:type="dxa"/>
            <w:vMerge w:val="restart"/>
            <w:vAlign w:val="center"/>
          </w:tcPr>
          <w:p>
            <w:pPr>
              <w:pStyle w:val="61"/>
              <w:ind w:firstLine="0" w:firstLineChars="0"/>
              <w:jc w:val="center"/>
              <w:rPr>
                <w:rFonts w:hAnsi="宋体"/>
                <w:sz w:val="18"/>
                <w:szCs w:val="18"/>
              </w:rPr>
            </w:pPr>
            <w:r>
              <w:rPr>
                <w:rFonts w:hint="eastAsia" w:hAnsi="宋体"/>
                <w:color w:val="000000" w:themeColor="text1"/>
                <w:sz w:val="18"/>
                <w:szCs w:val="18"/>
                <w14:textFill>
                  <w14:solidFill>
                    <w14:schemeClr w14:val="tx1"/>
                  </w14:solidFill>
                </w14:textFill>
              </w:rPr>
              <w:t>0℃冲击或可协议更低温度</w:t>
            </w:r>
          </w:p>
        </w:tc>
        <w:tc>
          <w:tcPr>
            <w:tcW w:w="1412" w:type="dxa"/>
            <w:vMerge w:val="restart"/>
            <w:vAlign w:val="center"/>
          </w:tcPr>
          <w:p>
            <w:pPr>
              <w:pStyle w:val="61"/>
              <w:ind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与冲击温度</w:t>
            </w:r>
          </w:p>
          <w:p>
            <w:pPr>
              <w:pStyle w:val="61"/>
              <w:ind w:firstLineChars="0"/>
              <w:jc w:val="center"/>
              <w:rPr>
                <w:rFonts w:hAnsi="宋体"/>
                <w:sz w:val="18"/>
                <w:szCs w:val="18"/>
              </w:rPr>
            </w:pPr>
            <w:r>
              <w:rPr>
                <w:rFonts w:hint="eastAsia" w:hAnsi="宋体"/>
                <w:color w:val="000000" w:themeColor="text1"/>
                <w:sz w:val="18"/>
                <w:szCs w:val="18"/>
                <w14:textFill>
                  <w14:solidFill>
                    <w14:schemeClr w14:val="tx1"/>
                  </w14:solidFill>
                </w14:textFill>
              </w:rPr>
              <w:t>一致</w:t>
            </w:r>
          </w:p>
        </w:tc>
        <w:tc>
          <w:tcPr>
            <w:tcW w:w="1701" w:type="dxa"/>
            <w:vAlign w:val="center"/>
          </w:tcPr>
          <w:p>
            <w:pPr>
              <w:pStyle w:val="183"/>
              <w:rPr>
                <w:rFonts w:hAnsi="宋体"/>
                <w:szCs w:val="18"/>
              </w:rPr>
            </w:pPr>
            <w:r>
              <w:rPr>
                <w:rFonts w:hint="eastAsia" w:hAnsi="宋体"/>
                <w:szCs w:val="18"/>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508＜D≤610</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610＜D≤711</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711＜D≤813</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813＜D≤914</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914＜D≤1016</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1016＜D≤1118</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1118＜D≤1219</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001" w:type="dxa"/>
            <w:vMerge w:val="continue"/>
            <w:vAlign w:val="center"/>
          </w:tcPr>
          <w:p>
            <w:pPr>
              <w:pStyle w:val="61"/>
              <w:ind w:firstLine="0" w:firstLineChars="0"/>
              <w:jc w:val="center"/>
              <w:rPr>
                <w:rFonts w:hAnsi="宋体"/>
                <w:color w:val="000000" w:themeColor="text1"/>
                <w:sz w:val="18"/>
                <w:szCs w:val="18"/>
                <w:highlight w:val="yellow"/>
                <w14:textFill>
                  <w14:solidFill>
                    <w14:schemeClr w14:val="tx1"/>
                  </w14:solidFill>
                </w14:textFill>
              </w:rPr>
            </w:pPr>
          </w:p>
        </w:tc>
        <w:tc>
          <w:tcPr>
            <w:tcW w:w="990" w:type="dxa"/>
            <w:vMerge w:val="continue"/>
            <w:vAlign w:val="center"/>
          </w:tcPr>
          <w:p>
            <w:pPr>
              <w:pStyle w:val="61"/>
              <w:ind w:firstLineChars="0"/>
              <w:jc w:val="center"/>
              <w:rPr>
                <w:rFonts w:hAnsi="宋体"/>
                <w:color w:val="000000" w:themeColor="text1"/>
                <w:sz w:val="18"/>
                <w:szCs w:val="18"/>
                <w:highlight w:val="yellow"/>
                <w14:textFill>
                  <w14:solidFill>
                    <w14:schemeClr w14:val="tx1"/>
                  </w14:solidFill>
                </w14:textFill>
              </w:rPr>
            </w:pPr>
          </w:p>
        </w:tc>
        <w:tc>
          <w:tcPr>
            <w:tcW w:w="1129" w:type="dxa"/>
            <w:vMerge w:val="continue"/>
            <w:vAlign w:val="center"/>
          </w:tcPr>
          <w:p>
            <w:pPr>
              <w:pStyle w:val="61"/>
              <w:ind w:left="942" w:firstLine="360"/>
              <w:jc w:val="center"/>
              <w:rPr>
                <w:rFonts w:hAnsi="宋体"/>
                <w:sz w:val="18"/>
                <w:szCs w:val="18"/>
                <w:highlight w:val="yellow"/>
              </w:rPr>
            </w:pPr>
          </w:p>
        </w:tc>
        <w:tc>
          <w:tcPr>
            <w:tcW w:w="1692" w:type="dxa"/>
            <w:vAlign w:val="center"/>
          </w:tcPr>
          <w:p>
            <w:pPr>
              <w:pStyle w:val="183"/>
              <w:rPr>
                <w:rFonts w:hAnsi="宋体"/>
                <w:szCs w:val="18"/>
              </w:rPr>
            </w:pPr>
            <w:r>
              <w:rPr>
                <w:rFonts w:hint="eastAsia" w:hAnsi="宋体"/>
                <w:szCs w:val="18"/>
              </w:rPr>
              <w:t>1219＜D≤1422</w:t>
            </w:r>
          </w:p>
        </w:tc>
        <w:tc>
          <w:tcPr>
            <w:tcW w:w="1409" w:type="dxa"/>
            <w:vMerge w:val="continue"/>
            <w:vAlign w:val="center"/>
          </w:tcPr>
          <w:p>
            <w:pPr>
              <w:pStyle w:val="61"/>
              <w:ind w:firstLine="0" w:firstLineChars="0"/>
              <w:jc w:val="center"/>
              <w:rPr>
                <w:rFonts w:hAnsi="宋体"/>
                <w:color w:val="000000" w:themeColor="text1"/>
                <w:sz w:val="18"/>
                <w:szCs w:val="18"/>
                <w14:textFill>
                  <w14:solidFill>
                    <w14:schemeClr w14:val="tx1"/>
                  </w14:solidFill>
                </w14:textFill>
              </w:rPr>
            </w:pPr>
          </w:p>
        </w:tc>
        <w:tc>
          <w:tcPr>
            <w:tcW w:w="1412" w:type="dxa"/>
            <w:vMerge w:val="continue"/>
            <w:vAlign w:val="center"/>
          </w:tcPr>
          <w:p>
            <w:pPr>
              <w:pStyle w:val="61"/>
              <w:ind w:firstLineChars="0"/>
              <w:jc w:val="center"/>
              <w:rPr>
                <w:rFonts w:hAnsi="宋体"/>
                <w:color w:val="000000" w:themeColor="text1"/>
                <w:sz w:val="18"/>
                <w:szCs w:val="18"/>
                <w14:textFill>
                  <w14:solidFill>
                    <w14:schemeClr w14:val="tx1"/>
                  </w14:solidFill>
                </w14:textFill>
              </w:rPr>
            </w:pPr>
          </w:p>
        </w:tc>
        <w:tc>
          <w:tcPr>
            <w:tcW w:w="1701" w:type="dxa"/>
            <w:vAlign w:val="center"/>
          </w:tcPr>
          <w:p>
            <w:pPr>
              <w:pStyle w:val="61"/>
              <w:ind w:firstLine="0" w:firstLineChars="0"/>
              <w:jc w:val="center"/>
              <w:rPr>
                <w:rFonts w:hAnsi="宋体"/>
                <w:sz w:val="18"/>
                <w:szCs w:val="18"/>
              </w:rPr>
            </w:pPr>
            <w:r>
              <w:rPr>
                <w:rFonts w:hint="eastAsia" w:hAnsi="宋体"/>
                <w:sz w:val="18"/>
                <w:szCs w:val="18"/>
              </w:rPr>
              <w:t>90</w:t>
            </w:r>
          </w:p>
        </w:tc>
      </w:tr>
    </w:tbl>
    <w:p>
      <w:pPr>
        <w:pStyle w:val="170"/>
        <w:numPr>
          <w:ilvl w:val="0"/>
          <w:numId w:val="0"/>
        </w:numPr>
        <w:rPr>
          <w:color w:val="C00000"/>
        </w:rPr>
      </w:pPr>
    </w:p>
    <w:p>
      <w:pPr>
        <w:pStyle w:val="179"/>
      </w:pPr>
      <w:r>
        <w:rPr>
          <w:rFonts w:hint="eastAsia"/>
        </w:rPr>
        <w:t>当采用GB/T 6479 或GB/T 8163规定的碳钢无缝钢管时宜选用表</w:t>
      </w:r>
      <w:r>
        <w:t>2</w:t>
      </w:r>
      <w:r>
        <w:rPr>
          <w:rFonts w:hint="eastAsia"/>
        </w:rPr>
        <w:t>中材料，应符合GB/T 150.2要求，并应符合下列要求：</w:t>
      </w:r>
    </w:p>
    <w:p>
      <w:pPr>
        <w:pStyle w:val="114"/>
        <w:numPr>
          <w:ilvl w:val="1"/>
          <w:numId w:val="39"/>
        </w:numPr>
      </w:pPr>
      <w:r>
        <w:rPr>
          <w:rFonts w:hint="eastAsia"/>
        </w:rPr>
        <w:t>钢管表面不允许有深度大于0.4mm的尖锐缺陷存在；</w:t>
      </w:r>
    </w:p>
    <w:p>
      <w:pPr>
        <w:pStyle w:val="114"/>
      </w:pPr>
      <w:r>
        <w:rPr>
          <w:rFonts w:hint="eastAsia"/>
        </w:rPr>
        <w:t>20钢不应用于温度超过177℃，且氢气压力不低于0.345MPa的工况；</w:t>
      </w:r>
    </w:p>
    <w:p>
      <w:pPr>
        <w:pStyle w:val="117"/>
        <w:spacing w:before="120" w:after="120"/>
      </w:pPr>
      <w:r>
        <w:rPr>
          <w:rFonts w:hint="eastAsia"/>
        </w:rPr>
        <w:t>常用无缝钢管材料</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61"/>
        <w:gridCol w:w="992"/>
        <w:gridCol w:w="992"/>
        <w:gridCol w:w="993"/>
        <w:gridCol w:w="1275"/>
        <w:gridCol w:w="1418"/>
        <w:gridCol w:w="1672"/>
        <w:gridCol w:w="11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blHeader/>
          <w:jc w:val="center"/>
        </w:trPr>
        <w:tc>
          <w:tcPr>
            <w:tcW w:w="861" w:type="dxa"/>
            <w:vMerge w:val="restart"/>
            <w:tcBorders>
              <w:top w:val="single" w:color="auto" w:sz="8" w:space="0"/>
            </w:tcBorders>
            <w:shd w:val="clear" w:color="auto" w:fill="auto"/>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标准</w:t>
            </w:r>
          </w:p>
        </w:tc>
        <w:tc>
          <w:tcPr>
            <w:tcW w:w="992" w:type="dxa"/>
            <w:vMerge w:val="restart"/>
            <w:tcBorders>
              <w:top w:val="single" w:color="auto" w:sz="8" w:space="0"/>
            </w:tcBorders>
            <w:shd w:val="clear" w:color="auto" w:fill="auto"/>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材料牌号</w:t>
            </w:r>
          </w:p>
        </w:tc>
        <w:tc>
          <w:tcPr>
            <w:tcW w:w="992" w:type="dxa"/>
            <w:vMerge w:val="restart"/>
            <w:tcBorders>
              <w:top w:val="single" w:color="auto" w:sz="8" w:space="0"/>
            </w:tcBorders>
            <w:shd w:val="clear" w:color="auto" w:fill="auto"/>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使用状态</w:t>
            </w:r>
          </w:p>
        </w:tc>
        <w:tc>
          <w:tcPr>
            <w:tcW w:w="993" w:type="dxa"/>
            <w:vMerge w:val="restart"/>
            <w:tcBorders>
              <w:top w:val="single" w:color="auto" w:sz="8" w:space="0"/>
            </w:tcBorders>
            <w:shd w:val="clear" w:color="auto" w:fill="auto"/>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厚度</w:t>
            </w:r>
          </w:p>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mm</w:t>
            </w:r>
          </w:p>
        </w:tc>
        <w:tc>
          <w:tcPr>
            <w:tcW w:w="1275" w:type="dxa"/>
            <w:vMerge w:val="restart"/>
            <w:tcBorders>
              <w:top w:val="single" w:color="auto" w:sz="8" w:space="0"/>
            </w:tcBorders>
            <w:shd w:val="clear" w:color="auto" w:fill="auto"/>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冲击试验</w:t>
            </w:r>
          </w:p>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要求</w:t>
            </w:r>
          </w:p>
        </w:tc>
        <w:tc>
          <w:tcPr>
            <w:tcW w:w="1418" w:type="dxa"/>
            <w:vMerge w:val="restart"/>
            <w:tcBorders>
              <w:top w:val="single" w:color="auto" w:sz="8" w:space="0"/>
            </w:tcBorders>
            <w:shd w:val="clear" w:color="auto" w:fill="auto"/>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使用温度下限</w:t>
            </w:r>
          </w:p>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w:t>
            </w:r>
          </w:p>
        </w:tc>
        <w:tc>
          <w:tcPr>
            <w:tcW w:w="1672" w:type="dxa"/>
            <w:tcBorders>
              <w:top w:val="single" w:color="auto" w:sz="8" w:space="0"/>
              <w:bottom w:val="single" w:color="auto" w:sz="8" w:space="0"/>
            </w:tcBorders>
            <w:shd w:val="clear" w:color="auto" w:fill="auto"/>
            <w:vAlign w:val="center"/>
          </w:tcPr>
          <w:p>
            <w:pPr>
              <w:widowControl/>
              <w:autoSpaceDE w:val="0"/>
              <w:autoSpaceDN w:val="0"/>
              <w:adjustRightInd/>
              <w:spacing w:line="240" w:lineRule="auto"/>
              <w:jc w:val="center"/>
              <w:rPr>
                <w:rFonts w:ascii="宋体" w:hAnsi="宋体"/>
                <w:color w:val="000000" w:themeColor="text1"/>
                <w:kern w:val="0"/>
                <w:sz w:val="18"/>
                <w:szCs w:val="20"/>
                <w14:textFill>
                  <w14:solidFill>
                    <w14:schemeClr w14:val="tx1"/>
                  </w14:solidFill>
                </w14:textFill>
              </w:rPr>
            </w:pPr>
            <w:r>
              <w:rPr>
                <w:rFonts w:hint="eastAsia" w:ascii="宋体" w:hAnsi="宋体"/>
                <w:color w:val="000000" w:themeColor="text1"/>
                <w:kern w:val="0"/>
                <w:sz w:val="18"/>
                <w:szCs w:val="20"/>
                <w14:textFill>
                  <w14:solidFill>
                    <w14:schemeClr w14:val="tx1"/>
                  </w14:solidFill>
                </w14:textFill>
              </w:rPr>
              <w:t>冲击吸收能量平均值（KV</w:t>
            </w:r>
            <w:r>
              <w:rPr>
                <w:rFonts w:hint="eastAsia" w:ascii="宋体" w:hAnsi="宋体"/>
                <w:color w:val="000000" w:themeColor="text1"/>
                <w:kern w:val="0"/>
                <w:sz w:val="18"/>
                <w:szCs w:val="20"/>
                <w:vertAlign w:val="superscript"/>
                <w14:textFill>
                  <w14:solidFill>
                    <w14:schemeClr w14:val="tx1"/>
                  </w14:solidFill>
                </w14:textFill>
              </w:rPr>
              <w:t>2</w:t>
            </w:r>
            <w:r>
              <w:rPr>
                <w:rFonts w:hint="eastAsia" w:ascii="宋体" w:hAnsi="宋体"/>
                <w:color w:val="000000" w:themeColor="text1"/>
                <w:kern w:val="0"/>
                <w:sz w:val="18"/>
                <w:szCs w:val="20"/>
                <w14:textFill>
                  <w14:solidFill>
                    <w14:schemeClr w14:val="tx1"/>
                  </w14:solidFill>
                </w14:textFill>
              </w:rPr>
              <w:t>）/J</w:t>
            </w:r>
          </w:p>
        </w:tc>
        <w:tc>
          <w:tcPr>
            <w:tcW w:w="1171" w:type="dxa"/>
            <w:vMerge w:val="restart"/>
            <w:tcBorders>
              <w:top w:val="single" w:color="auto" w:sz="8" w:space="0"/>
            </w:tcBorders>
            <w:shd w:val="clear" w:color="auto" w:fill="auto"/>
            <w:vAlign w:val="center"/>
          </w:tcPr>
          <w:p>
            <w:pPr>
              <w:widowControl/>
              <w:autoSpaceDE w:val="0"/>
              <w:autoSpaceDN w:val="0"/>
              <w:adjustRightInd/>
              <w:spacing w:line="240" w:lineRule="auto"/>
              <w:ind w:left="363"/>
              <w:jc w:val="center"/>
              <w:rPr>
                <w:rFonts w:ascii="宋体" w:hAnsi="宋体"/>
                <w:color w:val="000000" w:themeColor="text1"/>
                <w:kern w:val="0"/>
                <w:sz w:val="18"/>
                <w:szCs w:val="20"/>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1" w:type="dxa"/>
            <w:vMerge w:val="continue"/>
            <w:shd w:val="clear" w:color="auto" w:fill="auto"/>
            <w:vAlign w:val="center"/>
          </w:tcPr>
          <w:p>
            <w:pPr>
              <w:widowControl/>
              <w:numPr>
                <w:ilvl w:val="0"/>
                <w:numId w:val="28"/>
              </w:numPr>
              <w:autoSpaceDE w:val="0"/>
              <w:autoSpaceDN w:val="0"/>
              <w:adjustRightInd/>
              <w:spacing w:line="240" w:lineRule="auto"/>
              <w:ind w:firstLine="0"/>
              <w:jc w:val="center"/>
              <w:rPr>
                <w:rFonts w:ascii="宋体" w:hAnsi="宋体"/>
                <w:color w:val="000000" w:themeColor="text1"/>
                <w:kern w:val="0"/>
                <w:sz w:val="18"/>
                <w:szCs w:val="20"/>
                <w14:textFill>
                  <w14:solidFill>
                    <w14:schemeClr w14:val="tx1"/>
                  </w14:solidFill>
                </w14:textFill>
              </w:rPr>
            </w:pPr>
          </w:p>
        </w:tc>
        <w:tc>
          <w:tcPr>
            <w:tcW w:w="992" w:type="dxa"/>
            <w:vMerge w:val="continue"/>
            <w:shd w:val="clear" w:color="auto" w:fill="auto"/>
            <w:vAlign w:val="center"/>
          </w:tcPr>
          <w:p>
            <w:pPr>
              <w:widowControl/>
              <w:numPr>
                <w:ilvl w:val="0"/>
                <w:numId w:val="28"/>
              </w:numPr>
              <w:autoSpaceDE w:val="0"/>
              <w:autoSpaceDN w:val="0"/>
              <w:adjustRightInd/>
              <w:spacing w:line="240" w:lineRule="auto"/>
              <w:ind w:firstLine="0"/>
              <w:jc w:val="center"/>
              <w:rPr>
                <w:rFonts w:ascii="宋体" w:hAnsi="宋体"/>
                <w:color w:val="000000" w:themeColor="text1"/>
                <w:kern w:val="0"/>
                <w:sz w:val="18"/>
                <w:szCs w:val="20"/>
                <w14:textFill>
                  <w14:solidFill>
                    <w14:schemeClr w14:val="tx1"/>
                  </w14:solidFill>
                </w14:textFill>
              </w:rPr>
            </w:pPr>
          </w:p>
        </w:tc>
        <w:tc>
          <w:tcPr>
            <w:tcW w:w="992" w:type="dxa"/>
            <w:vMerge w:val="continue"/>
            <w:shd w:val="clear" w:color="auto" w:fill="auto"/>
            <w:vAlign w:val="center"/>
          </w:tcPr>
          <w:p>
            <w:pPr>
              <w:widowControl/>
              <w:numPr>
                <w:ilvl w:val="0"/>
                <w:numId w:val="28"/>
              </w:numPr>
              <w:autoSpaceDE w:val="0"/>
              <w:autoSpaceDN w:val="0"/>
              <w:adjustRightInd/>
              <w:spacing w:line="240" w:lineRule="auto"/>
              <w:ind w:firstLine="0"/>
              <w:jc w:val="center"/>
              <w:rPr>
                <w:rFonts w:ascii="宋体" w:hAnsi="宋体"/>
                <w:color w:val="000000" w:themeColor="text1"/>
                <w:kern w:val="0"/>
                <w:sz w:val="18"/>
                <w:szCs w:val="20"/>
                <w14:textFill>
                  <w14:solidFill>
                    <w14:schemeClr w14:val="tx1"/>
                  </w14:solidFill>
                </w14:textFill>
              </w:rPr>
            </w:pPr>
          </w:p>
        </w:tc>
        <w:tc>
          <w:tcPr>
            <w:tcW w:w="993" w:type="dxa"/>
            <w:vMerge w:val="continue"/>
            <w:shd w:val="clear" w:color="auto" w:fill="auto"/>
            <w:vAlign w:val="center"/>
          </w:tcPr>
          <w:p>
            <w:pPr>
              <w:widowControl/>
              <w:numPr>
                <w:ilvl w:val="0"/>
                <w:numId w:val="28"/>
              </w:numPr>
              <w:autoSpaceDE w:val="0"/>
              <w:autoSpaceDN w:val="0"/>
              <w:adjustRightInd/>
              <w:spacing w:line="240" w:lineRule="auto"/>
              <w:ind w:firstLine="0"/>
              <w:jc w:val="center"/>
              <w:rPr>
                <w:rFonts w:ascii="宋体" w:hAnsi="宋体"/>
                <w:color w:val="000000" w:themeColor="text1"/>
                <w:kern w:val="0"/>
                <w:sz w:val="18"/>
                <w:szCs w:val="20"/>
                <w14:textFill>
                  <w14:solidFill>
                    <w14:schemeClr w14:val="tx1"/>
                  </w14:solidFill>
                </w14:textFill>
              </w:rPr>
            </w:pPr>
          </w:p>
        </w:tc>
        <w:tc>
          <w:tcPr>
            <w:tcW w:w="1275" w:type="dxa"/>
            <w:vMerge w:val="continue"/>
            <w:shd w:val="clear" w:color="auto" w:fill="auto"/>
            <w:vAlign w:val="center"/>
          </w:tcPr>
          <w:p>
            <w:pPr>
              <w:widowControl/>
              <w:numPr>
                <w:ilvl w:val="0"/>
                <w:numId w:val="28"/>
              </w:numPr>
              <w:autoSpaceDE w:val="0"/>
              <w:autoSpaceDN w:val="0"/>
              <w:adjustRightInd/>
              <w:spacing w:line="240" w:lineRule="auto"/>
              <w:ind w:firstLine="0"/>
              <w:jc w:val="center"/>
              <w:rPr>
                <w:rFonts w:ascii="宋体" w:hAnsi="宋体"/>
                <w:color w:val="000000" w:themeColor="text1"/>
                <w:kern w:val="0"/>
                <w:sz w:val="18"/>
                <w:szCs w:val="20"/>
                <w14:textFill>
                  <w14:solidFill>
                    <w14:schemeClr w14:val="tx1"/>
                  </w14:solidFill>
                </w14:textFill>
              </w:rPr>
            </w:pPr>
          </w:p>
        </w:tc>
        <w:tc>
          <w:tcPr>
            <w:tcW w:w="1418" w:type="dxa"/>
            <w:vMerge w:val="continue"/>
            <w:shd w:val="clear" w:color="auto" w:fill="auto"/>
            <w:vAlign w:val="center"/>
          </w:tcPr>
          <w:p>
            <w:pPr>
              <w:widowControl/>
              <w:numPr>
                <w:ilvl w:val="0"/>
                <w:numId w:val="28"/>
              </w:numPr>
              <w:autoSpaceDE w:val="0"/>
              <w:autoSpaceDN w:val="0"/>
              <w:adjustRightInd/>
              <w:spacing w:line="240" w:lineRule="auto"/>
              <w:ind w:firstLine="0"/>
              <w:jc w:val="center"/>
              <w:rPr>
                <w:rFonts w:ascii="宋体" w:hAnsi="宋体"/>
                <w:color w:val="000000" w:themeColor="text1"/>
                <w:kern w:val="0"/>
                <w:sz w:val="18"/>
                <w:szCs w:val="20"/>
                <w14:textFill>
                  <w14:solidFill>
                    <w14:schemeClr w14:val="tx1"/>
                  </w14:solidFill>
                </w14:textFill>
              </w:rPr>
            </w:pPr>
          </w:p>
        </w:tc>
        <w:tc>
          <w:tcPr>
            <w:tcW w:w="1672" w:type="dxa"/>
            <w:tcBorders>
              <w:top w:val="single" w:color="auto" w:sz="8" w:space="0"/>
            </w:tcBorders>
            <w:shd w:val="clear" w:color="auto" w:fill="auto"/>
            <w:vAlign w:val="center"/>
          </w:tcPr>
          <w:p>
            <w:pPr>
              <w:widowControl/>
              <w:autoSpaceDE w:val="0"/>
              <w:autoSpaceDN w:val="0"/>
              <w:adjustRightInd/>
              <w:spacing w:line="240" w:lineRule="auto"/>
              <w:ind w:firstLine="360" w:firstLineChars="200"/>
              <w:jc w:val="center"/>
              <w:rPr>
                <w:rFonts w:ascii="宋体" w:hAnsi="宋体"/>
                <w:color w:val="000000" w:themeColor="text1"/>
                <w:kern w:val="0"/>
                <w:sz w:val="18"/>
                <w:szCs w:val="20"/>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不小于</w:t>
            </w:r>
          </w:p>
        </w:tc>
        <w:tc>
          <w:tcPr>
            <w:tcW w:w="1171" w:type="dxa"/>
            <w:vMerge w:val="continue"/>
            <w:shd w:val="clear" w:color="auto" w:fill="auto"/>
            <w:vAlign w:val="center"/>
          </w:tcPr>
          <w:p>
            <w:pPr>
              <w:widowControl/>
              <w:numPr>
                <w:ilvl w:val="0"/>
                <w:numId w:val="28"/>
              </w:numPr>
              <w:autoSpaceDE w:val="0"/>
              <w:autoSpaceDN w:val="0"/>
              <w:adjustRightInd/>
              <w:spacing w:line="240" w:lineRule="auto"/>
              <w:ind w:firstLine="0"/>
              <w:jc w:val="center"/>
              <w:rPr>
                <w:rFonts w:ascii="宋体" w:hAnsi="宋体"/>
                <w:color w:val="000000" w:themeColor="text1"/>
                <w:kern w:val="0"/>
                <w:sz w:val="18"/>
                <w:szCs w:val="20"/>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1" w:type="dxa"/>
            <w:vMerge w:val="restart"/>
            <w:shd w:val="clear" w:color="auto" w:fill="auto"/>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ascii="宋体" w:hAnsi="宋体"/>
                <w:color w:val="000000" w:themeColor="text1"/>
                <w:kern w:val="0"/>
                <w:sz w:val="18"/>
                <w:szCs w:val="18"/>
                <w14:textFill>
                  <w14:solidFill>
                    <w14:schemeClr w14:val="tx1"/>
                  </w14:solidFill>
                </w14:textFill>
              </w:rPr>
              <w:t>GB/T</w:t>
            </w:r>
            <w:r>
              <w:rPr>
                <w:rFonts w:hint="eastAsia" w:ascii="宋体" w:hAnsi="宋体"/>
                <w:color w:val="000000" w:themeColor="text1"/>
                <w:kern w:val="0"/>
                <w:sz w:val="18"/>
                <w:szCs w:val="18"/>
                <w14:textFill>
                  <w14:solidFill>
                    <w14:schemeClr w14:val="tx1"/>
                  </w14:solidFill>
                </w14:textFill>
              </w:rPr>
              <w:t xml:space="preserve"> </w:t>
            </w:r>
            <w:r>
              <w:rPr>
                <w:rFonts w:ascii="宋体" w:hAnsi="宋体"/>
                <w:color w:val="000000" w:themeColor="text1"/>
                <w:kern w:val="0"/>
                <w:sz w:val="18"/>
                <w:szCs w:val="18"/>
                <w14:textFill>
                  <w14:solidFill>
                    <w14:schemeClr w14:val="tx1"/>
                  </w14:solidFill>
                </w14:textFill>
              </w:rPr>
              <w:t>6479</w:t>
            </w:r>
          </w:p>
        </w:tc>
        <w:tc>
          <w:tcPr>
            <w:tcW w:w="992"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10</w:t>
            </w:r>
          </w:p>
        </w:tc>
        <w:tc>
          <w:tcPr>
            <w:tcW w:w="992"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正火</w:t>
            </w:r>
          </w:p>
        </w:tc>
        <w:tc>
          <w:tcPr>
            <w:tcW w:w="993"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≤16</w:t>
            </w:r>
          </w:p>
        </w:tc>
        <w:tc>
          <w:tcPr>
            <w:tcW w:w="1275"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-10 ℃冲击</w:t>
            </w:r>
          </w:p>
        </w:tc>
        <w:tc>
          <w:tcPr>
            <w:tcW w:w="1418"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-10</w:t>
            </w:r>
          </w:p>
        </w:tc>
        <w:tc>
          <w:tcPr>
            <w:tcW w:w="1672"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40</w:t>
            </w:r>
          </w:p>
        </w:tc>
        <w:tc>
          <w:tcPr>
            <w:tcW w:w="1171" w:type="dxa"/>
            <w:vMerge w:val="restart"/>
            <w:shd w:val="clear" w:color="auto" w:fill="auto"/>
            <w:vAlign w:val="center"/>
          </w:tcPr>
          <w:p>
            <w:pPr>
              <w:widowControl/>
              <w:autoSpaceDE w:val="0"/>
              <w:autoSpaceDN w:val="0"/>
              <w:adjustRightInd/>
              <w:spacing w:line="240" w:lineRule="auto"/>
              <w:jc w:val="center"/>
              <w:rPr>
                <w:rFonts w:ascii="宋体" w:hAnsi="宋体"/>
                <w:color w:val="000000" w:themeColor="text1"/>
                <w:kern w:val="0"/>
                <w:sz w:val="18"/>
                <w:szCs w:val="20"/>
                <w14:textFill>
                  <w14:solidFill>
                    <w14:schemeClr w14:val="tx1"/>
                  </w14:solidFill>
                </w14:textFill>
              </w:rPr>
            </w:pPr>
            <w:r>
              <w:rPr>
                <w:rFonts w:ascii="宋体" w:hAnsi="宋体"/>
                <w:color w:val="000000" w:themeColor="text1"/>
                <w:kern w:val="0"/>
                <w:sz w:val="18"/>
                <w:szCs w:val="18"/>
                <w14:textFill>
                  <w14:solidFill>
                    <w14:schemeClr w14:val="tx1"/>
                  </w14:solidFill>
                </w14:textFill>
              </w:rPr>
              <w:t>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1" w:type="dxa"/>
            <w:vMerge w:val="continue"/>
            <w:shd w:val="clear" w:color="auto" w:fill="auto"/>
            <w:vAlign w:val="center"/>
          </w:tcPr>
          <w:p>
            <w:pPr>
              <w:widowControl/>
              <w:numPr>
                <w:ilvl w:val="0"/>
                <w:numId w:val="28"/>
              </w:numPr>
              <w:autoSpaceDE w:val="0"/>
              <w:autoSpaceDN w:val="0"/>
              <w:adjustRightInd/>
              <w:spacing w:line="240" w:lineRule="auto"/>
              <w:ind w:firstLine="0"/>
              <w:jc w:val="center"/>
              <w:rPr>
                <w:rFonts w:ascii="宋体" w:hAnsi="宋体"/>
                <w:color w:val="000000" w:themeColor="text1"/>
                <w:kern w:val="0"/>
                <w:sz w:val="18"/>
                <w:szCs w:val="18"/>
                <w14:textFill>
                  <w14:solidFill>
                    <w14:schemeClr w14:val="tx1"/>
                  </w14:solidFill>
                </w14:textFill>
              </w:rPr>
            </w:pPr>
          </w:p>
        </w:tc>
        <w:tc>
          <w:tcPr>
            <w:tcW w:w="992"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20</w:t>
            </w:r>
          </w:p>
        </w:tc>
        <w:tc>
          <w:tcPr>
            <w:tcW w:w="992"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正火</w:t>
            </w:r>
          </w:p>
        </w:tc>
        <w:tc>
          <w:tcPr>
            <w:tcW w:w="993"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≤16</w:t>
            </w:r>
          </w:p>
        </w:tc>
        <w:tc>
          <w:tcPr>
            <w:tcW w:w="1275"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 ℃冲击</w:t>
            </w:r>
          </w:p>
        </w:tc>
        <w:tc>
          <w:tcPr>
            <w:tcW w:w="1418"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w:t>
            </w:r>
          </w:p>
        </w:tc>
        <w:tc>
          <w:tcPr>
            <w:tcW w:w="1672"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40</w:t>
            </w:r>
          </w:p>
        </w:tc>
        <w:tc>
          <w:tcPr>
            <w:tcW w:w="1171" w:type="dxa"/>
            <w:vMerge w:val="continue"/>
            <w:shd w:val="clear" w:color="auto" w:fill="auto"/>
            <w:vAlign w:val="center"/>
          </w:tcPr>
          <w:p>
            <w:pPr>
              <w:widowControl/>
              <w:numPr>
                <w:ilvl w:val="0"/>
                <w:numId w:val="28"/>
              </w:numPr>
              <w:autoSpaceDE w:val="0"/>
              <w:autoSpaceDN w:val="0"/>
              <w:adjustRightInd/>
              <w:spacing w:line="240" w:lineRule="auto"/>
              <w:ind w:firstLine="0"/>
              <w:jc w:val="center"/>
              <w:rPr>
                <w:rFonts w:ascii="宋体" w:hAnsi="宋体"/>
                <w:color w:val="000000" w:themeColor="text1"/>
                <w:kern w:val="0"/>
                <w:sz w:val="18"/>
                <w:szCs w:val="20"/>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1" w:type="dxa"/>
            <w:vMerge w:val="continue"/>
            <w:shd w:val="clear" w:color="auto" w:fill="auto"/>
            <w:vAlign w:val="center"/>
          </w:tcPr>
          <w:p>
            <w:pPr>
              <w:widowControl/>
              <w:numPr>
                <w:ilvl w:val="0"/>
                <w:numId w:val="28"/>
              </w:numPr>
              <w:autoSpaceDE w:val="0"/>
              <w:autoSpaceDN w:val="0"/>
              <w:adjustRightInd/>
              <w:spacing w:line="240" w:lineRule="auto"/>
              <w:ind w:firstLine="0"/>
              <w:jc w:val="center"/>
              <w:rPr>
                <w:rFonts w:ascii="宋体" w:hAnsi="宋体"/>
                <w:color w:val="000000" w:themeColor="text1"/>
                <w:kern w:val="0"/>
                <w:sz w:val="18"/>
                <w:szCs w:val="18"/>
                <w14:textFill>
                  <w14:solidFill>
                    <w14:schemeClr w14:val="tx1"/>
                  </w14:solidFill>
                </w14:textFill>
              </w:rPr>
            </w:pPr>
          </w:p>
        </w:tc>
        <w:tc>
          <w:tcPr>
            <w:tcW w:w="992"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Q345D</w:t>
            </w:r>
          </w:p>
        </w:tc>
        <w:tc>
          <w:tcPr>
            <w:tcW w:w="992"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正火</w:t>
            </w:r>
          </w:p>
        </w:tc>
        <w:tc>
          <w:tcPr>
            <w:tcW w:w="993"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≤16</w:t>
            </w:r>
          </w:p>
        </w:tc>
        <w:tc>
          <w:tcPr>
            <w:tcW w:w="1275"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-20 ℃冲击</w:t>
            </w:r>
          </w:p>
        </w:tc>
        <w:tc>
          <w:tcPr>
            <w:tcW w:w="1418"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-20</w:t>
            </w:r>
          </w:p>
        </w:tc>
        <w:tc>
          <w:tcPr>
            <w:tcW w:w="1672"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40</w:t>
            </w:r>
          </w:p>
        </w:tc>
        <w:tc>
          <w:tcPr>
            <w:tcW w:w="1171" w:type="dxa"/>
            <w:vMerge w:val="continue"/>
            <w:shd w:val="clear" w:color="auto" w:fill="auto"/>
            <w:vAlign w:val="center"/>
          </w:tcPr>
          <w:p>
            <w:pPr>
              <w:widowControl/>
              <w:numPr>
                <w:ilvl w:val="0"/>
                <w:numId w:val="28"/>
              </w:numPr>
              <w:autoSpaceDE w:val="0"/>
              <w:autoSpaceDN w:val="0"/>
              <w:adjustRightInd/>
              <w:spacing w:line="240" w:lineRule="auto"/>
              <w:ind w:firstLine="0"/>
              <w:jc w:val="center"/>
              <w:rPr>
                <w:rFonts w:ascii="宋体" w:hAnsi="宋体"/>
                <w:color w:val="000000" w:themeColor="text1"/>
                <w:kern w:val="0"/>
                <w:sz w:val="18"/>
                <w:szCs w:val="20"/>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1" w:type="dxa"/>
            <w:vMerge w:val="continue"/>
            <w:shd w:val="clear" w:color="auto" w:fill="auto"/>
            <w:vAlign w:val="center"/>
          </w:tcPr>
          <w:p>
            <w:pPr>
              <w:widowControl/>
              <w:numPr>
                <w:ilvl w:val="0"/>
                <w:numId w:val="28"/>
              </w:numPr>
              <w:autoSpaceDE w:val="0"/>
              <w:autoSpaceDN w:val="0"/>
              <w:adjustRightInd/>
              <w:spacing w:line="240" w:lineRule="auto"/>
              <w:ind w:firstLine="0"/>
              <w:jc w:val="center"/>
              <w:rPr>
                <w:rFonts w:ascii="宋体" w:hAnsi="宋体"/>
                <w:color w:val="000000" w:themeColor="text1"/>
                <w:kern w:val="0"/>
                <w:sz w:val="18"/>
                <w:szCs w:val="18"/>
                <w14:textFill>
                  <w14:solidFill>
                    <w14:schemeClr w14:val="tx1"/>
                  </w14:solidFill>
                </w14:textFill>
              </w:rPr>
            </w:pPr>
          </w:p>
        </w:tc>
        <w:tc>
          <w:tcPr>
            <w:tcW w:w="992"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Q345E</w:t>
            </w:r>
          </w:p>
        </w:tc>
        <w:tc>
          <w:tcPr>
            <w:tcW w:w="992"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正火</w:t>
            </w:r>
          </w:p>
        </w:tc>
        <w:tc>
          <w:tcPr>
            <w:tcW w:w="993"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≤16</w:t>
            </w:r>
          </w:p>
        </w:tc>
        <w:tc>
          <w:tcPr>
            <w:tcW w:w="1275"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-40 ℃冲击</w:t>
            </w:r>
          </w:p>
        </w:tc>
        <w:tc>
          <w:tcPr>
            <w:tcW w:w="1418"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-40</w:t>
            </w:r>
          </w:p>
        </w:tc>
        <w:tc>
          <w:tcPr>
            <w:tcW w:w="1672"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40</w:t>
            </w:r>
          </w:p>
        </w:tc>
        <w:tc>
          <w:tcPr>
            <w:tcW w:w="1171" w:type="dxa"/>
            <w:vMerge w:val="continue"/>
            <w:shd w:val="clear" w:color="auto" w:fill="auto"/>
            <w:vAlign w:val="center"/>
          </w:tcPr>
          <w:p>
            <w:pPr>
              <w:widowControl/>
              <w:numPr>
                <w:ilvl w:val="0"/>
                <w:numId w:val="28"/>
              </w:numPr>
              <w:autoSpaceDE w:val="0"/>
              <w:autoSpaceDN w:val="0"/>
              <w:adjustRightInd/>
              <w:spacing w:line="240" w:lineRule="auto"/>
              <w:ind w:firstLine="0"/>
              <w:jc w:val="center"/>
              <w:rPr>
                <w:rFonts w:ascii="宋体" w:hAnsi="宋体"/>
                <w:color w:val="000000" w:themeColor="text1"/>
                <w:kern w:val="0"/>
                <w:sz w:val="18"/>
                <w:szCs w:val="20"/>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1" w:type="dxa"/>
            <w:shd w:val="clear" w:color="auto" w:fill="auto"/>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GB/T 8163</w:t>
            </w:r>
          </w:p>
        </w:tc>
        <w:tc>
          <w:tcPr>
            <w:tcW w:w="992"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Q345D</w:t>
            </w:r>
          </w:p>
        </w:tc>
        <w:tc>
          <w:tcPr>
            <w:tcW w:w="992"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正火</w:t>
            </w:r>
          </w:p>
        </w:tc>
        <w:tc>
          <w:tcPr>
            <w:tcW w:w="993"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≤16</w:t>
            </w:r>
          </w:p>
        </w:tc>
        <w:tc>
          <w:tcPr>
            <w:tcW w:w="1275"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-40 ℃冲击</w:t>
            </w:r>
          </w:p>
        </w:tc>
        <w:tc>
          <w:tcPr>
            <w:tcW w:w="1418"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-40</w:t>
            </w:r>
          </w:p>
        </w:tc>
        <w:tc>
          <w:tcPr>
            <w:tcW w:w="1672"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40</w:t>
            </w:r>
          </w:p>
        </w:tc>
        <w:tc>
          <w:tcPr>
            <w:tcW w:w="1171" w:type="dxa"/>
            <w:shd w:val="clear" w:color="auto" w:fill="auto"/>
            <w:vAlign w:val="center"/>
          </w:tcPr>
          <w:p>
            <w:pPr>
              <w:widowControl/>
              <w:autoSpaceDE w:val="0"/>
              <w:autoSpaceDN w:val="0"/>
              <w:adjustRightInd/>
              <w:spacing w:line="240" w:lineRule="auto"/>
              <w:ind w:left="363"/>
              <w:jc w:val="center"/>
              <w:rPr>
                <w:rFonts w:ascii="宋体" w:hAnsi="宋体"/>
                <w:color w:val="000000" w:themeColor="text1"/>
                <w:kern w:val="0"/>
                <w:sz w:val="18"/>
                <w:szCs w:val="20"/>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374" w:type="dxa"/>
            <w:gridSpan w:val="8"/>
            <w:tcBorders>
              <w:top w:val="single" w:color="auto" w:sz="8" w:space="0"/>
              <w:bottom w:val="single" w:color="auto" w:sz="8" w:space="0"/>
            </w:tcBorders>
            <w:shd w:val="clear" w:color="auto" w:fill="auto"/>
            <w:vAlign w:val="center"/>
          </w:tcPr>
          <w:p>
            <w:pPr>
              <w:pStyle w:val="185"/>
              <w:numPr>
                <w:ilvl w:val="0"/>
                <w:numId w:val="0"/>
              </w:numPr>
              <w:ind w:left="363"/>
              <w:rPr>
                <w:color w:val="000000" w:themeColor="text1"/>
                <w:szCs w:val="20"/>
                <w14:textFill>
                  <w14:solidFill>
                    <w14:schemeClr w14:val="tx1"/>
                  </w14:solidFill>
                </w14:textFill>
              </w:rPr>
            </w:pPr>
            <w:r>
              <w:rPr>
                <w:rFonts w:hint="eastAsia" w:ascii="黑体" w:hAnsi="黑体" w:eastAsia="黑体"/>
                <w:color w:val="000000" w:themeColor="text1"/>
                <w14:textFill>
                  <w14:solidFill>
                    <w14:schemeClr w14:val="tx1"/>
                  </w14:solidFill>
                </w14:textFill>
              </w:rPr>
              <w:t>注：</w:t>
            </w:r>
            <w:r>
              <w:rPr>
                <w:rFonts w:hint="eastAsia"/>
                <w:color w:val="000000" w:themeColor="text1"/>
                <w14:textFill>
                  <w14:solidFill>
                    <w14:schemeClr w14:val="tx1"/>
                  </w14:solidFill>
                </w14:textFill>
              </w:rPr>
              <w:t>钢管应逐根进行液压试验。供需双方协议，也可按GB/T 7735-2016进行钢管（逐根）的涡流检测替代液压试验，对比样管人工缺陷应符合GB/T 7735-2016中验收等级E4H或E4、E5的规定。</w:t>
            </w:r>
          </w:p>
        </w:tc>
      </w:tr>
    </w:tbl>
    <w:p>
      <w:pPr>
        <w:pStyle w:val="61"/>
        <w:ind w:firstLine="0" w:firstLineChars="0"/>
      </w:pPr>
    </w:p>
    <w:p>
      <w:pPr>
        <w:pStyle w:val="179"/>
      </w:pPr>
      <w:r>
        <w:rPr>
          <w:rFonts w:hint="eastAsia"/>
        </w:rPr>
        <w:t>氢气管道采用国外钢管时，宜选用A</w:t>
      </w:r>
      <w:r>
        <w:t>STM A 106 Grade B,ASTM A53 Grade B,API 5L</w:t>
      </w:r>
      <w:r>
        <w:rPr>
          <w:rFonts w:hint="eastAsia"/>
        </w:rPr>
        <w:t xml:space="preserve"> X42 和API 5L X52或其他已试验证实具有良好氢相容性的材料。选用国外压力管道规范允许使用并且已有使用实例的材料,该材料性能不得低于国内标准要求,其使用范围符合有关标准的规定；</w:t>
      </w:r>
    </w:p>
    <w:p>
      <w:pPr>
        <w:pStyle w:val="179"/>
      </w:pPr>
      <w:r>
        <w:rPr>
          <w:rFonts w:hint="eastAsia"/>
        </w:rPr>
        <w:t>氢气工艺管道的最小公称壁厚应符合表</w:t>
      </w:r>
      <w:r>
        <w:t>3</w:t>
      </w:r>
      <w:r>
        <w:rPr>
          <w:rFonts w:hint="eastAsia"/>
        </w:rPr>
        <w:t>的要求；</w:t>
      </w:r>
    </w:p>
    <w:p>
      <w:pPr>
        <w:pStyle w:val="117"/>
        <w:spacing w:before="120" w:after="120"/>
      </w:pPr>
      <w:r>
        <w:rPr>
          <w:rFonts w:hint="eastAsia"/>
        </w:rPr>
        <w:t>氢气工艺管道</w:t>
      </w:r>
      <w:r>
        <w:t>最小公称壁厚</w:t>
      </w:r>
    </w:p>
    <w:tbl>
      <w:tblPr>
        <w:tblStyle w:val="31"/>
        <w:tblW w:w="40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973"/>
        <w:gridCol w:w="3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2644" w:type="pct"/>
          </w:tcPr>
          <w:p>
            <w:pPr>
              <w:jc w:val="center"/>
              <w:rPr>
                <w:rFonts w:ascii="宋体" w:hAnsi="宋体"/>
                <w:sz w:val="18"/>
                <w:szCs w:val="18"/>
              </w:rPr>
            </w:pPr>
            <w:r>
              <w:rPr>
                <w:rFonts w:hint="eastAsia" w:ascii="宋体" w:hAnsi="宋体"/>
                <w:sz w:val="18"/>
                <w:szCs w:val="18"/>
              </w:rPr>
              <w:t xml:space="preserve">钢管公称直径 </w:t>
            </w:r>
            <w:r>
              <w:rPr>
                <w:rFonts w:ascii="宋体" w:hAnsi="宋体"/>
                <w:sz w:val="18"/>
                <w:szCs w:val="18"/>
              </w:rPr>
              <w:t>DN</w:t>
            </w:r>
          </w:p>
        </w:tc>
        <w:tc>
          <w:tcPr>
            <w:tcW w:w="2356" w:type="pct"/>
          </w:tcPr>
          <w:p>
            <w:pPr>
              <w:jc w:val="center"/>
              <w:rPr>
                <w:rFonts w:ascii="宋体" w:hAnsi="宋体"/>
                <w:sz w:val="18"/>
                <w:szCs w:val="18"/>
              </w:rPr>
            </w:pPr>
            <w:r>
              <w:rPr>
                <w:rFonts w:hint="eastAsia" w:ascii="宋体" w:hAnsi="宋体"/>
                <w:sz w:val="18"/>
                <w:szCs w:val="18"/>
              </w:rPr>
              <w:t>最小公称壁厚/mm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2644" w:type="pct"/>
          </w:tcPr>
          <w:p>
            <w:pPr>
              <w:jc w:val="center"/>
              <w:rPr>
                <w:rFonts w:ascii="宋体" w:hAnsi="宋体"/>
                <w:sz w:val="18"/>
                <w:szCs w:val="18"/>
              </w:rPr>
            </w:pPr>
            <w:r>
              <w:rPr>
                <w:rFonts w:ascii="宋体" w:hAnsi="宋体"/>
                <w:sz w:val="18"/>
                <w:szCs w:val="18"/>
              </w:rPr>
              <w:t>DN</w:t>
            </w:r>
            <w:r>
              <w:rPr>
                <w:rFonts w:hint="eastAsia" w:ascii="宋体" w:hAnsi="宋体"/>
                <w:sz w:val="18"/>
                <w:szCs w:val="18"/>
              </w:rPr>
              <w:t>15～</w:t>
            </w:r>
            <w:r>
              <w:rPr>
                <w:rFonts w:ascii="宋体" w:hAnsi="宋体"/>
                <w:sz w:val="18"/>
                <w:szCs w:val="18"/>
              </w:rPr>
              <w:t>DN</w:t>
            </w:r>
            <w:r>
              <w:rPr>
                <w:rFonts w:hint="eastAsia" w:ascii="宋体" w:hAnsi="宋体"/>
                <w:sz w:val="18"/>
                <w:szCs w:val="18"/>
              </w:rPr>
              <w:t>20</w:t>
            </w:r>
          </w:p>
        </w:tc>
        <w:tc>
          <w:tcPr>
            <w:tcW w:w="2356" w:type="pct"/>
          </w:tcPr>
          <w:p>
            <w:pPr>
              <w:jc w:val="center"/>
              <w:rPr>
                <w:rFonts w:ascii="宋体" w:hAnsi="宋体"/>
                <w:sz w:val="18"/>
                <w:szCs w:val="18"/>
              </w:rPr>
            </w:pPr>
            <w:r>
              <w:rPr>
                <w:rFonts w:hint="eastAsia" w:ascii="宋体" w:hAnsi="宋体"/>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2644" w:type="pct"/>
          </w:tcPr>
          <w:p>
            <w:pPr>
              <w:jc w:val="center"/>
              <w:rPr>
                <w:rFonts w:ascii="宋体" w:hAnsi="宋体"/>
                <w:sz w:val="18"/>
                <w:szCs w:val="18"/>
              </w:rPr>
            </w:pPr>
            <w:r>
              <w:rPr>
                <w:rFonts w:ascii="宋体" w:hAnsi="宋体"/>
                <w:sz w:val="18"/>
                <w:szCs w:val="18"/>
              </w:rPr>
              <w:t>DN</w:t>
            </w:r>
            <w:r>
              <w:rPr>
                <w:rFonts w:hint="eastAsia" w:ascii="宋体" w:hAnsi="宋体"/>
                <w:sz w:val="18"/>
                <w:szCs w:val="18"/>
              </w:rPr>
              <w:t>25～</w:t>
            </w:r>
            <w:r>
              <w:rPr>
                <w:rFonts w:ascii="宋体" w:hAnsi="宋体"/>
                <w:sz w:val="18"/>
                <w:szCs w:val="18"/>
              </w:rPr>
              <w:t>DN</w:t>
            </w:r>
            <w:r>
              <w:rPr>
                <w:rFonts w:hint="eastAsia" w:ascii="宋体" w:hAnsi="宋体"/>
                <w:sz w:val="18"/>
                <w:szCs w:val="18"/>
              </w:rPr>
              <w:t>80</w:t>
            </w:r>
          </w:p>
        </w:tc>
        <w:tc>
          <w:tcPr>
            <w:tcW w:w="2356" w:type="pct"/>
          </w:tcPr>
          <w:p>
            <w:pPr>
              <w:jc w:val="center"/>
              <w:rPr>
                <w:rFonts w:ascii="宋体" w:hAnsi="宋体"/>
                <w:sz w:val="18"/>
                <w:szCs w:val="18"/>
              </w:rPr>
            </w:pPr>
            <w:r>
              <w:rPr>
                <w:rFonts w:hint="eastAsia" w:ascii="宋体" w:hAnsi="宋体"/>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2644" w:type="pct"/>
          </w:tcPr>
          <w:p>
            <w:pPr>
              <w:jc w:val="center"/>
              <w:rPr>
                <w:rFonts w:ascii="宋体" w:hAnsi="宋体"/>
                <w:sz w:val="18"/>
                <w:szCs w:val="18"/>
              </w:rPr>
            </w:pPr>
            <w:r>
              <w:rPr>
                <w:rFonts w:ascii="宋体" w:hAnsi="宋体"/>
                <w:sz w:val="18"/>
                <w:szCs w:val="18"/>
              </w:rPr>
              <w:t>DN100</w:t>
            </w:r>
            <w:r>
              <w:rPr>
                <w:rFonts w:hint="eastAsia" w:ascii="宋体" w:hAnsi="宋体"/>
                <w:sz w:val="18"/>
                <w:szCs w:val="18"/>
              </w:rPr>
              <w:t>～</w:t>
            </w:r>
            <w:r>
              <w:rPr>
                <w:rFonts w:ascii="宋体" w:hAnsi="宋体"/>
                <w:sz w:val="18"/>
                <w:szCs w:val="18"/>
              </w:rPr>
              <w:t>DN150</w:t>
            </w:r>
          </w:p>
        </w:tc>
        <w:tc>
          <w:tcPr>
            <w:tcW w:w="2356" w:type="pct"/>
          </w:tcPr>
          <w:p>
            <w:pPr>
              <w:jc w:val="center"/>
              <w:rPr>
                <w:rFonts w:ascii="宋体" w:hAnsi="宋体"/>
                <w:sz w:val="18"/>
                <w:szCs w:val="18"/>
              </w:rPr>
            </w:pPr>
            <w:r>
              <w:rPr>
                <w:rFonts w:ascii="宋体" w:hAnsi="宋体"/>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2644" w:type="pct"/>
          </w:tcPr>
          <w:p>
            <w:pPr>
              <w:jc w:val="center"/>
              <w:rPr>
                <w:rFonts w:ascii="宋体" w:hAnsi="宋体"/>
                <w:sz w:val="18"/>
                <w:szCs w:val="18"/>
              </w:rPr>
            </w:pPr>
            <w:r>
              <w:rPr>
                <w:rFonts w:ascii="宋体" w:hAnsi="宋体"/>
                <w:sz w:val="18"/>
                <w:szCs w:val="18"/>
              </w:rPr>
              <w:t>DN200</w:t>
            </w:r>
            <w:r>
              <w:rPr>
                <w:rFonts w:hint="eastAsia" w:ascii="宋体" w:hAnsi="宋体"/>
                <w:sz w:val="18"/>
                <w:szCs w:val="18"/>
              </w:rPr>
              <w:t>～</w:t>
            </w:r>
            <w:r>
              <w:rPr>
                <w:rFonts w:ascii="宋体" w:hAnsi="宋体"/>
                <w:sz w:val="18"/>
                <w:szCs w:val="18"/>
              </w:rPr>
              <w:t>DN300</w:t>
            </w:r>
          </w:p>
        </w:tc>
        <w:tc>
          <w:tcPr>
            <w:tcW w:w="2356" w:type="pct"/>
          </w:tcPr>
          <w:p>
            <w:pPr>
              <w:jc w:val="center"/>
              <w:rPr>
                <w:rFonts w:ascii="宋体" w:hAnsi="宋体"/>
                <w:sz w:val="18"/>
                <w:szCs w:val="18"/>
              </w:rPr>
            </w:pPr>
            <w:r>
              <w:rPr>
                <w:rFonts w:ascii="宋体" w:hAnsi="宋体"/>
                <w:sz w:val="18"/>
                <w:szCs w:val="18"/>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2644" w:type="pct"/>
          </w:tcPr>
          <w:p>
            <w:pPr>
              <w:jc w:val="center"/>
              <w:rPr>
                <w:rFonts w:ascii="宋体" w:hAnsi="宋体"/>
                <w:sz w:val="18"/>
                <w:szCs w:val="18"/>
              </w:rPr>
            </w:pPr>
            <w:r>
              <w:rPr>
                <w:rFonts w:ascii="宋体" w:hAnsi="宋体"/>
                <w:sz w:val="18"/>
                <w:szCs w:val="18"/>
              </w:rPr>
              <w:t>DN350</w:t>
            </w:r>
            <w:r>
              <w:rPr>
                <w:rFonts w:hint="eastAsia" w:ascii="宋体" w:hAnsi="宋体"/>
                <w:sz w:val="18"/>
                <w:szCs w:val="18"/>
              </w:rPr>
              <w:t>～</w:t>
            </w:r>
            <w:r>
              <w:rPr>
                <w:rFonts w:ascii="宋体" w:hAnsi="宋体"/>
                <w:sz w:val="18"/>
                <w:szCs w:val="18"/>
              </w:rPr>
              <w:t>DN450</w:t>
            </w:r>
          </w:p>
        </w:tc>
        <w:tc>
          <w:tcPr>
            <w:tcW w:w="2356" w:type="pct"/>
          </w:tcPr>
          <w:p>
            <w:pPr>
              <w:jc w:val="center"/>
              <w:rPr>
                <w:rFonts w:ascii="宋体" w:hAnsi="宋体"/>
                <w:sz w:val="18"/>
                <w:szCs w:val="18"/>
              </w:rPr>
            </w:pPr>
            <w:r>
              <w:rPr>
                <w:rFonts w:hint="eastAsia" w:ascii="宋体" w:hAnsi="宋体"/>
                <w:sz w:val="18"/>
                <w:szCs w:val="18"/>
              </w:rPr>
              <w:t>6.</w:t>
            </w:r>
            <w:r>
              <w:rPr>
                <w:rFonts w:ascii="宋体" w:hAnsi="宋体"/>
                <w:sz w:val="18"/>
                <w:szCs w:val="18"/>
              </w:rPr>
              <w:t>2</w:t>
            </w:r>
          </w:p>
        </w:tc>
      </w:tr>
    </w:tbl>
    <w:p>
      <w:pPr>
        <w:pStyle w:val="170"/>
      </w:pPr>
      <w:r>
        <w:rPr>
          <w:rFonts w:hint="eastAsia" w:hAnsi="宋体"/>
        </w:rPr>
        <w:t>掺氢工艺管道</w:t>
      </w:r>
      <w:r>
        <w:rPr>
          <w:rFonts w:hint="eastAsia"/>
        </w:rPr>
        <w:t xml:space="preserve">应符合下列要求： </w:t>
      </w:r>
    </w:p>
    <w:p>
      <w:pPr>
        <w:pStyle w:val="179"/>
        <w:numPr>
          <w:ilvl w:val="0"/>
          <w:numId w:val="40"/>
        </w:numPr>
      </w:pPr>
      <w:r>
        <w:rPr>
          <w:rFonts w:hint="eastAsia"/>
        </w:rPr>
        <w:t>掺氢工艺管道的材质应适应氢气介质，临氢材料应选用有成熟使用经验或经试验验证具有良好氢相容性的材料。金属材料氢相容性试验应符合GB/T 34542.2和GB/T 34542.3的要求；</w:t>
      </w:r>
    </w:p>
    <w:p>
      <w:pPr>
        <w:pStyle w:val="179"/>
      </w:pPr>
      <w:r>
        <w:rPr>
          <w:rFonts w:hint="eastAsia" w:hAnsi="宋体"/>
        </w:rPr>
        <w:t>掺氢管道所采用的碳钢钢管和附件应根据选用的材料、管径、壁厚、介质特性、使用温度及施工环境温度等因素，对材料提出冲击试验和（或）落锤撕裂试验要求。对于有抗延性断裂扩展要求的钢管，应符合GB/T 9711-2023 中5.2的规定；</w:t>
      </w:r>
    </w:p>
    <w:p>
      <w:pPr>
        <w:pStyle w:val="179"/>
        <w:rPr>
          <w:rFonts w:hAnsi="宋体"/>
        </w:rPr>
      </w:pPr>
      <w:r>
        <w:rPr>
          <w:rFonts w:hint="eastAsia" w:hAnsi="宋体"/>
        </w:rPr>
        <w:t>掺氢管道应采用无缝钢管，并应符合下列要求：</w:t>
      </w:r>
    </w:p>
    <w:p>
      <w:pPr>
        <w:pStyle w:val="114"/>
        <w:numPr>
          <w:ilvl w:val="1"/>
          <w:numId w:val="41"/>
        </w:numPr>
      </w:pPr>
      <w:r>
        <w:rPr>
          <w:rFonts w:hint="eastAsia"/>
        </w:rPr>
        <w:t>当采用GB/T 14976规定的不锈钢无缝钢管时，宜选用S31603、S31608或其他已试验证实具有良好氢相容性的材料；</w:t>
      </w:r>
    </w:p>
    <w:p>
      <w:pPr>
        <w:pStyle w:val="114"/>
      </w:pPr>
      <w:r>
        <w:rPr>
          <w:rFonts w:hint="eastAsia"/>
        </w:rPr>
        <w:t>当采用GB/T 9711规定的氢用碳钢无缝钢管时应符合7</w:t>
      </w:r>
      <w:r>
        <w:t>.2.3 e)</w:t>
      </w:r>
      <w:r>
        <w:rPr>
          <w:rFonts w:hint="eastAsia"/>
        </w:rPr>
        <w:t>条的规定；</w:t>
      </w:r>
    </w:p>
    <w:p>
      <w:pPr>
        <w:pStyle w:val="114"/>
      </w:pPr>
      <w:r>
        <w:rPr>
          <w:rFonts w:hint="eastAsia"/>
        </w:rPr>
        <w:t>当采用GB/T 6479 或</w:t>
      </w:r>
      <w:r>
        <w:t>GB/T 8163</w:t>
      </w:r>
      <w:r>
        <w:rPr>
          <w:rFonts w:hint="eastAsia"/>
        </w:rPr>
        <w:t>规定的碳钢无缝钢管时应符合7</w:t>
      </w:r>
      <w:r>
        <w:t xml:space="preserve">.2.3 </w:t>
      </w:r>
      <w:r>
        <w:rPr>
          <w:rFonts w:hint="eastAsia"/>
        </w:rPr>
        <w:t>f</w:t>
      </w:r>
      <w:r>
        <w:t>)</w:t>
      </w:r>
      <w:r>
        <w:rPr>
          <w:rFonts w:hint="eastAsia"/>
        </w:rPr>
        <w:t>条的规定。</w:t>
      </w:r>
    </w:p>
    <w:p>
      <w:pPr>
        <w:pStyle w:val="170"/>
      </w:pPr>
      <w:r>
        <w:rPr>
          <w:rFonts w:hint="eastAsia"/>
        </w:rPr>
        <w:t>信号管应采用不锈钢管，最小厚度不应小于1.0mm。</w:t>
      </w:r>
    </w:p>
    <w:p>
      <w:pPr>
        <w:pStyle w:val="110"/>
        <w:spacing w:before="120" w:after="120"/>
      </w:pPr>
      <w:bookmarkStart w:id="151" w:name="_Toc209114050"/>
      <w:r>
        <w:rPr>
          <w:rFonts w:hint="eastAsia"/>
        </w:rPr>
        <w:t>管件</w:t>
      </w:r>
      <w:bookmarkEnd w:id="151"/>
    </w:p>
    <w:p>
      <w:pPr>
        <w:pStyle w:val="170"/>
      </w:pPr>
      <w:r>
        <w:rPr>
          <w:rFonts w:hint="eastAsia"/>
        </w:rPr>
        <w:t>管件（包括弯头、三通、四通、异径管、管帽等）的</w:t>
      </w:r>
      <w:r>
        <w:t>选用应符合GB</w:t>
      </w:r>
      <w:r>
        <w:rPr>
          <w:rFonts w:hint="eastAsia"/>
        </w:rPr>
        <w:t xml:space="preserve">/T </w:t>
      </w:r>
      <w:r>
        <w:t>12459、GB/T</w:t>
      </w:r>
      <w:r>
        <w:rPr>
          <w:rFonts w:hint="eastAsia"/>
        </w:rPr>
        <w:t xml:space="preserve"> </w:t>
      </w:r>
      <w:r>
        <w:t>13401、GB/T</w:t>
      </w:r>
      <w:r>
        <w:rPr>
          <w:rFonts w:hint="eastAsia"/>
        </w:rPr>
        <w:t xml:space="preserve"> </w:t>
      </w:r>
      <w:r>
        <w:t>17185、SY/T</w:t>
      </w:r>
      <w:r>
        <w:rPr>
          <w:rFonts w:hint="eastAsia"/>
        </w:rPr>
        <w:t xml:space="preserve"> </w:t>
      </w:r>
      <w:r>
        <w:t>0510等</w:t>
      </w:r>
      <w:r>
        <w:rPr>
          <w:rFonts w:hint="eastAsia"/>
        </w:rPr>
        <w:t>相</w:t>
      </w:r>
      <w:r>
        <w:t>关标准的规定，</w:t>
      </w:r>
      <w:r>
        <w:rPr>
          <w:rFonts w:hint="eastAsia"/>
        </w:rPr>
        <w:t>其材质应适应工作介质</w:t>
      </w:r>
      <w:r>
        <w:t>。</w:t>
      </w:r>
    </w:p>
    <w:p>
      <w:pPr>
        <w:pStyle w:val="170"/>
      </w:pPr>
      <w:r>
        <w:rPr>
          <w:rFonts w:hint="eastAsia" w:hAnsi="宋体"/>
        </w:rPr>
        <w:t>焊接连接的氢气工艺</w:t>
      </w:r>
      <w:r>
        <w:rPr>
          <w:rFonts w:hint="eastAsia"/>
        </w:rPr>
        <w:t>管道、掺氢工艺管道</w:t>
      </w:r>
      <w:r>
        <w:rPr>
          <w:rFonts w:hint="eastAsia" w:hAnsi="宋体"/>
        </w:rPr>
        <w:t>管件应选用钢制对焊无缝管件，性能应符合GB/T 12459和GB/T 13401的有关规定。</w:t>
      </w:r>
    </w:p>
    <w:p>
      <w:pPr>
        <w:pStyle w:val="170"/>
      </w:pPr>
      <w:r>
        <w:t>非标</w:t>
      </w:r>
      <w:r>
        <w:rPr>
          <w:rFonts w:hint="eastAsia"/>
        </w:rPr>
        <w:t>钢制管件</w:t>
      </w:r>
      <w:r>
        <w:t>可参照</w:t>
      </w:r>
      <w:r>
        <w:rPr>
          <w:rFonts w:hint="eastAsia"/>
        </w:rPr>
        <w:t>GB/T 150.</w:t>
      </w:r>
      <w:r>
        <w:t>3的有关规定。</w:t>
      </w:r>
    </w:p>
    <w:p>
      <w:pPr>
        <w:pStyle w:val="170"/>
      </w:pPr>
      <w:r>
        <w:t>管件中所用的锻件，应符合</w:t>
      </w:r>
      <w:r>
        <w:rPr>
          <w:rFonts w:hint="eastAsia"/>
        </w:rPr>
        <w:t>NB/T 47008、NB/T 47009、NB/T 47010 、GB/T 150.</w:t>
      </w:r>
      <w:r>
        <w:t>2的有关规定</w:t>
      </w:r>
      <w:r>
        <w:rPr>
          <w:rFonts w:hint="eastAsia"/>
        </w:rPr>
        <w:t>，宜选用表</w:t>
      </w:r>
      <w:r>
        <w:t>4</w:t>
      </w:r>
      <w:r>
        <w:rPr>
          <w:rFonts w:hint="eastAsia"/>
        </w:rPr>
        <w:t>中材料。</w:t>
      </w:r>
      <w:r>
        <w:t>管件不</w:t>
      </w:r>
      <w:r>
        <w:rPr>
          <w:rFonts w:hint="eastAsia"/>
        </w:rPr>
        <w:t>应</w:t>
      </w:r>
      <w:r>
        <w:t>采用螺旋焊缝钢管</w:t>
      </w:r>
      <w:r>
        <w:rPr>
          <w:rFonts w:hint="eastAsia"/>
        </w:rPr>
        <w:t>和</w:t>
      </w:r>
      <w:r>
        <w:t>铸铁</w:t>
      </w:r>
      <w:r>
        <w:rPr>
          <w:rFonts w:hint="eastAsia"/>
        </w:rPr>
        <w:t>材料</w:t>
      </w:r>
      <w:r>
        <w:t>制作。</w:t>
      </w:r>
    </w:p>
    <w:p>
      <w:pPr>
        <w:pStyle w:val="117"/>
        <w:spacing w:before="120" w:after="120"/>
      </w:pPr>
      <w:r>
        <w:rPr>
          <w:rFonts w:hint="eastAsia"/>
        </w:rPr>
        <w:t>常用锻件钢使用温度下限和冲击试验要求</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8"/>
        <w:gridCol w:w="875"/>
        <w:gridCol w:w="1677"/>
        <w:gridCol w:w="1279"/>
        <w:gridCol w:w="1275"/>
        <w:gridCol w:w="1419"/>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47" w:type="pct"/>
            <w:vMerge w:val="restart"/>
            <w:vAlign w:val="center"/>
          </w:tcPr>
          <w:p>
            <w:pPr>
              <w:widowControl/>
              <w:autoSpaceDE w:val="0"/>
              <w:autoSpaceDN w:val="0"/>
              <w:adjustRightInd/>
              <w:spacing w:line="240" w:lineRule="auto"/>
              <w:ind w:firstLine="171" w:firstLineChars="95"/>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标准</w:t>
            </w:r>
          </w:p>
        </w:tc>
        <w:tc>
          <w:tcPr>
            <w:tcW w:w="457" w:type="pct"/>
            <w:vMerge w:val="restart"/>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材料</w:t>
            </w:r>
          </w:p>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牌号</w:t>
            </w:r>
          </w:p>
        </w:tc>
        <w:tc>
          <w:tcPr>
            <w:tcW w:w="876" w:type="pct"/>
            <w:vMerge w:val="restart"/>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使用状态</w:t>
            </w:r>
          </w:p>
        </w:tc>
        <w:tc>
          <w:tcPr>
            <w:tcW w:w="668" w:type="pct"/>
            <w:vMerge w:val="restart"/>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厚度</w:t>
            </w:r>
          </w:p>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mm</w:t>
            </w:r>
          </w:p>
        </w:tc>
        <w:tc>
          <w:tcPr>
            <w:tcW w:w="666" w:type="pct"/>
            <w:vMerge w:val="restart"/>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冲击试验</w:t>
            </w:r>
          </w:p>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要求</w:t>
            </w:r>
          </w:p>
        </w:tc>
        <w:tc>
          <w:tcPr>
            <w:tcW w:w="741" w:type="pct"/>
            <w:vMerge w:val="restart"/>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使用温度下限</w:t>
            </w:r>
          </w:p>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w:t>
            </w:r>
          </w:p>
        </w:tc>
        <w:tc>
          <w:tcPr>
            <w:tcW w:w="944" w:type="pct"/>
            <w:vMerge w:val="restart"/>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冲击吸收能量平均值（KV</w:t>
            </w:r>
            <w:r>
              <w:rPr>
                <w:rFonts w:hint="eastAsia" w:ascii="宋体" w:hAnsi="宋体"/>
                <w:color w:val="000000" w:themeColor="text1"/>
                <w:kern w:val="0"/>
                <w:sz w:val="18"/>
                <w:szCs w:val="18"/>
                <w:vertAlign w:val="superscript"/>
                <w14:textFill>
                  <w14:solidFill>
                    <w14:schemeClr w14:val="tx1"/>
                  </w14:solidFill>
                </w14:textFill>
              </w:rPr>
              <w:t>2</w:t>
            </w:r>
            <w:r>
              <w:rPr>
                <w:rFonts w:hint="eastAsia" w:ascii="宋体" w:hAnsi="宋体"/>
                <w:color w:val="000000" w:themeColor="text1"/>
                <w:kern w:val="0"/>
                <w:sz w:val="18"/>
                <w:szCs w:val="18"/>
                <w14:textFill>
                  <w14:solidFill>
                    <w14:schemeClr w14:val="tx1"/>
                  </w14:solidFill>
                </w14:textFill>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47" w:type="pct"/>
            <w:vMerge w:val="continue"/>
            <w:vAlign w:val="center"/>
          </w:tcPr>
          <w:p>
            <w:pPr>
              <w:widowControl/>
              <w:autoSpaceDE w:val="0"/>
              <w:autoSpaceDN w:val="0"/>
              <w:adjustRightInd/>
              <w:spacing w:line="240" w:lineRule="auto"/>
              <w:ind w:firstLine="171" w:firstLineChars="95"/>
              <w:jc w:val="center"/>
              <w:rPr>
                <w:rFonts w:ascii="宋体" w:hAnsi="宋体"/>
                <w:color w:val="000000" w:themeColor="text1"/>
                <w:kern w:val="0"/>
                <w:sz w:val="18"/>
                <w:szCs w:val="18"/>
                <w14:textFill>
                  <w14:solidFill>
                    <w14:schemeClr w14:val="tx1"/>
                  </w14:solidFill>
                </w14:textFill>
              </w:rPr>
            </w:pPr>
          </w:p>
        </w:tc>
        <w:tc>
          <w:tcPr>
            <w:tcW w:w="457" w:type="pct"/>
            <w:vMerge w:val="continue"/>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p>
        </w:tc>
        <w:tc>
          <w:tcPr>
            <w:tcW w:w="876" w:type="pct"/>
            <w:vMerge w:val="continue"/>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p>
        </w:tc>
        <w:tc>
          <w:tcPr>
            <w:tcW w:w="668" w:type="pct"/>
            <w:vMerge w:val="continue"/>
            <w:vAlign w:val="center"/>
          </w:tcPr>
          <w:p>
            <w:pPr>
              <w:widowControl/>
              <w:autoSpaceDE w:val="0"/>
              <w:autoSpaceDN w:val="0"/>
              <w:adjustRightInd/>
              <w:spacing w:line="240" w:lineRule="auto"/>
              <w:ind w:firstLine="180" w:firstLineChars="100"/>
              <w:jc w:val="center"/>
              <w:rPr>
                <w:rFonts w:ascii="宋体" w:hAnsi="宋体"/>
                <w:color w:val="000000" w:themeColor="text1"/>
                <w:kern w:val="0"/>
                <w:sz w:val="18"/>
                <w:szCs w:val="18"/>
                <w14:textFill>
                  <w14:solidFill>
                    <w14:schemeClr w14:val="tx1"/>
                  </w14:solidFill>
                </w14:textFill>
              </w:rPr>
            </w:pPr>
          </w:p>
        </w:tc>
        <w:tc>
          <w:tcPr>
            <w:tcW w:w="666" w:type="pct"/>
            <w:vMerge w:val="continue"/>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p>
        </w:tc>
        <w:tc>
          <w:tcPr>
            <w:tcW w:w="741" w:type="pct"/>
            <w:vMerge w:val="continue"/>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p>
        </w:tc>
        <w:tc>
          <w:tcPr>
            <w:tcW w:w="944" w:type="pct"/>
            <w:vMerge w:val="continue"/>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47" w:type="pct"/>
            <w:vMerge w:val="continue"/>
            <w:vAlign w:val="center"/>
          </w:tcPr>
          <w:p>
            <w:pPr>
              <w:widowControl/>
              <w:autoSpaceDE w:val="0"/>
              <w:autoSpaceDN w:val="0"/>
              <w:adjustRightInd/>
              <w:spacing w:line="240" w:lineRule="auto"/>
              <w:ind w:firstLine="171" w:firstLineChars="95"/>
              <w:jc w:val="center"/>
              <w:rPr>
                <w:rFonts w:ascii="宋体" w:hAnsi="宋体"/>
                <w:color w:val="000000" w:themeColor="text1"/>
                <w:kern w:val="0"/>
                <w:sz w:val="18"/>
                <w:szCs w:val="18"/>
                <w14:textFill>
                  <w14:solidFill>
                    <w14:schemeClr w14:val="tx1"/>
                  </w14:solidFill>
                </w14:textFill>
              </w:rPr>
            </w:pPr>
          </w:p>
        </w:tc>
        <w:tc>
          <w:tcPr>
            <w:tcW w:w="457" w:type="pct"/>
            <w:vMerge w:val="continue"/>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p>
        </w:tc>
        <w:tc>
          <w:tcPr>
            <w:tcW w:w="876" w:type="pct"/>
            <w:vMerge w:val="continue"/>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p>
        </w:tc>
        <w:tc>
          <w:tcPr>
            <w:tcW w:w="668" w:type="pct"/>
            <w:vMerge w:val="continue"/>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p>
        </w:tc>
        <w:tc>
          <w:tcPr>
            <w:tcW w:w="666" w:type="pct"/>
            <w:vMerge w:val="continue"/>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p>
        </w:tc>
        <w:tc>
          <w:tcPr>
            <w:tcW w:w="741" w:type="pct"/>
            <w:vMerge w:val="continue"/>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p>
        </w:tc>
        <w:tc>
          <w:tcPr>
            <w:tcW w:w="944" w:type="pct"/>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不小于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47" w:type="pct"/>
            <w:vMerge w:val="restar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NB/T 47008</w:t>
            </w:r>
          </w:p>
        </w:tc>
        <w:tc>
          <w:tcPr>
            <w:tcW w:w="457" w:type="pct"/>
            <w:vMerge w:val="restar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16Mn</w:t>
            </w:r>
          </w:p>
        </w:tc>
        <w:tc>
          <w:tcPr>
            <w:tcW w:w="876" w:type="pct"/>
            <w:vMerge w:val="restar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正火、正火加回火、调质</w:t>
            </w:r>
          </w:p>
        </w:tc>
        <w:tc>
          <w:tcPr>
            <w:tcW w:w="668" w:type="pct"/>
            <w:vMerge w:val="restar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≤300</w:t>
            </w:r>
          </w:p>
        </w:tc>
        <w:tc>
          <w:tcPr>
            <w:tcW w:w="666" w:type="pc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0 ℃ 冲击</w:t>
            </w:r>
          </w:p>
        </w:tc>
        <w:tc>
          <w:tcPr>
            <w:tcW w:w="741" w:type="pc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0</w:t>
            </w:r>
          </w:p>
        </w:tc>
        <w:tc>
          <w:tcPr>
            <w:tcW w:w="944" w:type="pct"/>
            <w:vMerge w:val="restar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47" w:type="pct"/>
            <w:vMerge w:val="continue"/>
            <w:vAlign w:val="center"/>
          </w:tcPr>
          <w:p>
            <w:pPr>
              <w:widowControl/>
              <w:autoSpaceDE w:val="0"/>
              <w:autoSpaceDN w:val="0"/>
              <w:adjustRightInd/>
              <w:spacing w:line="240" w:lineRule="auto"/>
              <w:ind w:firstLine="171" w:firstLineChars="95"/>
              <w:jc w:val="center"/>
              <w:rPr>
                <w:rFonts w:ascii="宋体" w:hAnsi="宋体"/>
                <w:kern w:val="0"/>
                <w:sz w:val="18"/>
                <w:szCs w:val="18"/>
              </w:rPr>
            </w:pPr>
          </w:p>
        </w:tc>
        <w:tc>
          <w:tcPr>
            <w:tcW w:w="457" w:type="pct"/>
            <w:vMerge w:val="continue"/>
            <w:vAlign w:val="center"/>
          </w:tcPr>
          <w:p>
            <w:pPr>
              <w:widowControl/>
              <w:autoSpaceDE w:val="0"/>
              <w:autoSpaceDN w:val="0"/>
              <w:adjustRightInd/>
              <w:spacing w:line="240" w:lineRule="auto"/>
              <w:jc w:val="center"/>
              <w:rPr>
                <w:rFonts w:ascii="宋体" w:hAnsi="宋体"/>
                <w:kern w:val="0"/>
                <w:sz w:val="18"/>
                <w:szCs w:val="18"/>
              </w:rPr>
            </w:pPr>
          </w:p>
        </w:tc>
        <w:tc>
          <w:tcPr>
            <w:tcW w:w="876" w:type="pct"/>
            <w:vMerge w:val="continue"/>
            <w:vAlign w:val="center"/>
          </w:tcPr>
          <w:p>
            <w:pPr>
              <w:widowControl/>
              <w:autoSpaceDE w:val="0"/>
              <w:autoSpaceDN w:val="0"/>
              <w:adjustRightInd/>
              <w:spacing w:line="240" w:lineRule="auto"/>
              <w:jc w:val="center"/>
              <w:rPr>
                <w:rFonts w:ascii="宋体" w:hAnsi="宋体"/>
                <w:kern w:val="0"/>
                <w:sz w:val="18"/>
                <w:szCs w:val="18"/>
              </w:rPr>
            </w:pPr>
          </w:p>
        </w:tc>
        <w:tc>
          <w:tcPr>
            <w:tcW w:w="668" w:type="pct"/>
            <w:vMerge w:val="continue"/>
            <w:vAlign w:val="center"/>
          </w:tcPr>
          <w:p>
            <w:pPr>
              <w:widowControl/>
              <w:autoSpaceDE w:val="0"/>
              <w:autoSpaceDN w:val="0"/>
              <w:adjustRightInd/>
              <w:spacing w:line="240" w:lineRule="auto"/>
              <w:jc w:val="center"/>
              <w:rPr>
                <w:rFonts w:ascii="宋体" w:hAnsi="宋体"/>
                <w:kern w:val="0"/>
                <w:sz w:val="18"/>
                <w:szCs w:val="18"/>
              </w:rPr>
            </w:pPr>
          </w:p>
        </w:tc>
        <w:tc>
          <w:tcPr>
            <w:tcW w:w="666" w:type="pc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-20 ℃ 冲击</w:t>
            </w:r>
          </w:p>
        </w:tc>
        <w:tc>
          <w:tcPr>
            <w:tcW w:w="741" w:type="pc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-20</w:t>
            </w:r>
          </w:p>
        </w:tc>
        <w:tc>
          <w:tcPr>
            <w:tcW w:w="944" w:type="pct"/>
            <w:vMerge w:val="continue"/>
            <w:vAlign w:val="center"/>
          </w:tcPr>
          <w:p>
            <w:pPr>
              <w:widowControl/>
              <w:autoSpaceDE w:val="0"/>
              <w:autoSpaceDN w:val="0"/>
              <w:adjustRightInd/>
              <w:spacing w:line="240" w:lineRule="auto"/>
              <w:jc w:val="center"/>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47" w:type="pct"/>
            <w:vMerge w:val="restar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NB/T 47008</w:t>
            </w:r>
          </w:p>
        </w:tc>
        <w:tc>
          <w:tcPr>
            <w:tcW w:w="457" w:type="pct"/>
            <w:vMerge w:val="restar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20MnMo</w:t>
            </w:r>
          </w:p>
        </w:tc>
        <w:tc>
          <w:tcPr>
            <w:tcW w:w="876" w:type="pct"/>
            <w:vMerge w:val="restar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调质</w:t>
            </w:r>
          </w:p>
        </w:tc>
        <w:tc>
          <w:tcPr>
            <w:tcW w:w="668" w:type="pct"/>
            <w:vMerge w:val="restart"/>
            <w:vAlign w:val="center"/>
          </w:tcPr>
          <w:p>
            <w:pPr>
              <w:widowControl/>
              <w:autoSpaceDE w:val="0"/>
              <w:autoSpaceDN w:val="0"/>
              <w:adjustRightInd/>
              <w:spacing w:line="240" w:lineRule="auto"/>
              <w:jc w:val="center"/>
              <w:rPr>
                <w:rFonts w:ascii="宋体" w:hAnsi="宋体"/>
                <w:kern w:val="0"/>
                <w:sz w:val="18"/>
                <w:szCs w:val="18"/>
              </w:rPr>
            </w:pPr>
            <w:r>
              <w:rPr>
                <w:rFonts w:ascii="宋体" w:hAnsi="宋体"/>
                <w:kern w:val="0"/>
                <w:sz w:val="18"/>
                <w:szCs w:val="18"/>
              </w:rPr>
              <w:t>≤</w:t>
            </w:r>
            <w:r>
              <w:rPr>
                <w:rFonts w:hint="eastAsia" w:ascii="宋体" w:hAnsi="宋体"/>
                <w:kern w:val="0"/>
                <w:sz w:val="18"/>
                <w:szCs w:val="18"/>
              </w:rPr>
              <w:t>850</w:t>
            </w:r>
          </w:p>
        </w:tc>
        <w:tc>
          <w:tcPr>
            <w:tcW w:w="666" w:type="pc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0 ℃ 冲击</w:t>
            </w:r>
          </w:p>
        </w:tc>
        <w:tc>
          <w:tcPr>
            <w:tcW w:w="741" w:type="pc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0</w:t>
            </w:r>
          </w:p>
        </w:tc>
        <w:tc>
          <w:tcPr>
            <w:tcW w:w="944" w:type="pct"/>
            <w:vMerge w:val="restar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47" w:type="pct"/>
            <w:vMerge w:val="continue"/>
            <w:vAlign w:val="center"/>
          </w:tcPr>
          <w:p>
            <w:pPr>
              <w:widowControl/>
              <w:autoSpaceDE w:val="0"/>
              <w:autoSpaceDN w:val="0"/>
              <w:adjustRightInd/>
              <w:spacing w:line="240" w:lineRule="auto"/>
              <w:ind w:firstLine="171" w:firstLineChars="95"/>
              <w:jc w:val="center"/>
              <w:rPr>
                <w:rFonts w:ascii="宋体" w:hAnsi="宋体"/>
                <w:kern w:val="0"/>
                <w:sz w:val="18"/>
                <w:szCs w:val="18"/>
              </w:rPr>
            </w:pPr>
          </w:p>
        </w:tc>
        <w:tc>
          <w:tcPr>
            <w:tcW w:w="457" w:type="pct"/>
            <w:vMerge w:val="continue"/>
            <w:vAlign w:val="center"/>
          </w:tcPr>
          <w:p>
            <w:pPr>
              <w:widowControl/>
              <w:autoSpaceDE w:val="0"/>
              <w:autoSpaceDN w:val="0"/>
              <w:adjustRightInd/>
              <w:spacing w:line="240" w:lineRule="auto"/>
              <w:jc w:val="center"/>
              <w:rPr>
                <w:rFonts w:ascii="宋体" w:hAnsi="宋体"/>
                <w:kern w:val="0"/>
                <w:sz w:val="18"/>
                <w:szCs w:val="18"/>
              </w:rPr>
            </w:pPr>
          </w:p>
        </w:tc>
        <w:tc>
          <w:tcPr>
            <w:tcW w:w="876" w:type="pct"/>
            <w:vMerge w:val="continue"/>
            <w:vAlign w:val="center"/>
          </w:tcPr>
          <w:p>
            <w:pPr>
              <w:widowControl/>
              <w:autoSpaceDE w:val="0"/>
              <w:autoSpaceDN w:val="0"/>
              <w:adjustRightInd/>
              <w:spacing w:line="240" w:lineRule="auto"/>
              <w:jc w:val="center"/>
              <w:rPr>
                <w:rFonts w:ascii="宋体" w:hAnsi="宋体"/>
                <w:kern w:val="0"/>
                <w:sz w:val="18"/>
                <w:szCs w:val="18"/>
              </w:rPr>
            </w:pPr>
          </w:p>
        </w:tc>
        <w:tc>
          <w:tcPr>
            <w:tcW w:w="668" w:type="pct"/>
            <w:vMerge w:val="continue"/>
            <w:vAlign w:val="center"/>
          </w:tcPr>
          <w:p>
            <w:pPr>
              <w:widowControl/>
              <w:autoSpaceDE w:val="0"/>
              <w:autoSpaceDN w:val="0"/>
              <w:adjustRightInd/>
              <w:spacing w:line="240" w:lineRule="auto"/>
              <w:jc w:val="center"/>
              <w:rPr>
                <w:rFonts w:ascii="宋体" w:hAnsi="宋体"/>
                <w:kern w:val="0"/>
                <w:sz w:val="18"/>
                <w:szCs w:val="18"/>
              </w:rPr>
            </w:pPr>
          </w:p>
        </w:tc>
        <w:tc>
          <w:tcPr>
            <w:tcW w:w="666" w:type="pc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-20 ℃ 冲击</w:t>
            </w:r>
          </w:p>
        </w:tc>
        <w:tc>
          <w:tcPr>
            <w:tcW w:w="741" w:type="pc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-20</w:t>
            </w:r>
          </w:p>
        </w:tc>
        <w:tc>
          <w:tcPr>
            <w:tcW w:w="944" w:type="pct"/>
            <w:vMerge w:val="continue"/>
            <w:vAlign w:val="center"/>
          </w:tcPr>
          <w:p>
            <w:pPr>
              <w:widowControl/>
              <w:autoSpaceDE w:val="0"/>
              <w:autoSpaceDN w:val="0"/>
              <w:adjustRightInd/>
              <w:spacing w:line="240" w:lineRule="auto"/>
              <w:jc w:val="center"/>
              <w:rPr>
                <w:rFonts w:ascii="宋体" w:hAns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47" w:type="pct"/>
            <w:vAlign w:val="center"/>
          </w:tcPr>
          <w:p>
            <w:pPr>
              <w:widowControl/>
              <w:autoSpaceDE w:val="0"/>
              <w:autoSpaceDN w:val="0"/>
              <w:adjustRightInd/>
              <w:spacing w:line="240" w:lineRule="auto"/>
              <w:jc w:val="center"/>
              <w:rPr>
                <w:rFonts w:ascii="宋体" w:hAnsi="宋体"/>
                <w:kern w:val="0"/>
                <w:sz w:val="18"/>
                <w:szCs w:val="18"/>
              </w:rPr>
            </w:pPr>
            <w:r>
              <w:rPr>
                <w:rFonts w:ascii="宋体" w:hAnsi="宋体"/>
                <w:kern w:val="0"/>
                <w:sz w:val="18"/>
                <w:szCs w:val="18"/>
              </w:rPr>
              <w:t>NB/T</w:t>
            </w:r>
            <w:r>
              <w:rPr>
                <w:rFonts w:hint="eastAsia" w:ascii="宋体" w:hAnsi="宋体"/>
                <w:kern w:val="0"/>
                <w:sz w:val="18"/>
                <w:szCs w:val="18"/>
              </w:rPr>
              <w:t xml:space="preserve"> </w:t>
            </w:r>
            <w:r>
              <w:rPr>
                <w:rFonts w:ascii="宋体" w:hAnsi="宋体"/>
                <w:kern w:val="0"/>
                <w:sz w:val="18"/>
                <w:szCs w:val="18"/>
              </w:rPr>
              <w:t>4700</w:t>
            </w:r>
            <w:r>
              <w:rPr>
                <w:rFonts w:hint="eastAsia" w:ascii="宋体" w:hAnsi="宋体"/>
                <w:kern w:val="0"/>
                <w:sz w:val="18"/>
                <w:szCs w:val="18"/>
              </w:rPr>
              <w:t>9</w:t>
            </w:r>
          </w:p>
        </w:tc>
        <w:tc>
          <w:tcPr>
            <w:tcW w:w="457" w:type="pc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16MnD</w:t>
            </w:r>
          </w:p>
        </w:tc>
        <w:tc>
          <w:tcPr>
            <w:tcW w:w="876" w:type="pc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调质</w:t>
            </w:r>
          </w:p>
        </w:tc>
        <w:tc>
          <w:tcPr>
            <w:tcW w:w="668" w:type="pct"/>
            <w:vAlign w:val="center"/>
          </w:tcPr>
          <w:p>
            <w:pPr>
              <w:widowControl/>
              <w:autoSpaceDE w:val="0"/>
              <w:autoSpaceDN w:val="0"/>
              <w:adjustRightInd/>
              <w:spacing w:line="240" w:lineRule="auto"/>
              <w:jc w:val="center"/>
              <w:rPr>
                <w:rFonts w:ascii="宋体" w:hAnsi="宋体"/>
                <w:kern w:val="0"/>
                <w:sz w:val="18"/>
                <w:szCs w:val="18"/>
              </w:rPr>
            </w:pPr>
            <w:r>
              <w:rPr>
                <w:rFonts w:ascii="宋体" w:hAnsi="宋体"/>
                <w:kern w:val="0"/>
                <w:sz w:val="18"/>
                <w:szCs w:val="18"/>
              </w:rPr>
              <w:t>≤</w:t>
            </w:r>
            <w:r>
              <w:rPr>
                <w:rFonts w:hint="eastAsia" w:ascii="宋体" w:hAnsi="宋体"/>
                <w:kern w:val="0"/>
                <w:sz w:val="18"/>
                <w:szCs w:val="18"/>
              </w:rPr>
              <w:t>100</w:t>
            </w:r>
          </w:p>
        </w:tc>
        <w:tc>
          <w:tcPr>
            <w:tcW w:w="666" w:type="pc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-45 ℃ 冲击</w:t>
            </w:r>
          </w:p>
        </w:tc>
        <w:tc>
          <w:tcPr>
            <w:tcW w:w="741" w:type="pc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-45</w:t>
            </w:r>
          </w:p>
        </w:tc>
        <w:tc>
          <w:tcPr>
            <w:tcW w:w="944" w:type="pc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647" w:type="pct"/>
            <w:vMerge w:val="restart"/>
            <w:vAlign w:val="center"/>
          </w:tcPr>
          <w:p>
            <w:pPr>
              <w:widowControl/>
              <w:autoSpaceDE w:val="0"/>
              <w:autoSpaceDN w:val="0"/>
              <w:adjustRightInd/>
              <w:spacing w:line="240" w:lineRule="auto"/>
              <w:jc w:val="center"/>
              <w:rPr>
                <w:rFonts w:ascii="宋体" w:hAnsi="宋体"/>
                <w:kern w:val="0"/>
                <w:sz w:val="18"/>
                <w:szCs w:val="18"/>
              </w:rPr>
            </w:pPr>
            <w:r>
              <w:rPr>
                <w:rFonts w:ascii="宋体" w:hAnsi="宋体"/>
                <w:kern w:val="0"/>
                <w:sz w:val="18"/>
                <w:szCs w:val="18"/>
              </w:rPr>
              <w:t>NB/T</w:t>
            </w:r>
            <w:r>
              <w:rPr>
                <w:rFonts w:hint="eastAsia" w:ascii="宋体" w:hAnsi="宋体"/>
                <w:kern w:val="0"/>
                <w:sz w:val="18"/>
                <w:szCs w:val="18"/>
              </w:rPr>
              <w:t xml:space="preserve"> </w:t>
            </w:r>
            <w:r>
              <w:rPr>
                <w:rFonts w:ascii="宋体" w:hAnsi="宋体"/>
                <w:kern w:val="0"/>
                <w:sz w:val="18"/>
                <w:szCs w:val="18"/>
              </w:rPr>
              <w:t>4700</w:t>
            </w:r>
            <w:r>
              <w:rPr>
                <w:rFonts w:hint="eastAsia" w:ascii="宋体" w:hAnsi="宋体"/>
                <w:kern w:val="0"/>
                <w:sz w:val="18"/>
                <w:szCs w:val="18"/>
              </w:rPr>
              <w:t>9</w:t>
            </w:r>
          </w:p>
        </w:tc>
        <w:tc>
          <w:tcPr>
            <w:tcW w:w="457" w:type="pct"/>
            <w:vMerge w:val="restar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20MnMoD</w:t>
            </w:r>
          </w:p>
        </w:tc>
        <w:tc>
          <w:tcPr>
            <w:tcW w:w="876" w:type="pc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调质</w:t>
            </w:r>
          </w:p>
        </w:tc>
        <w:tc>
          <w:tcPr>
            <w:tcW w:w="668" w:type="pct"/>
            <w:vAlign w:val="center"/>
          </w:tcPr>
          <w:p>
            <w:pPr>
              <w:widowControl/>
              <w:autoSpaceDE w:val="0"/>
              <w:autoSpaceDN w:val="0"/>
              <w:adjustRightInd/>
              <w:spacing w:line="240" w:lineRule="auto"/>
              <w:ind w:firstLine="180" w:firstLineChars="100"/>
              <w:jc w:val="center"/>
              <w:rPr>
                <w:rFonts w:ascii="宋体" w:hAnsi="宋体"/>
                <w:kern w:val="0"/>
                <w:sz w:val="18"/>
                <w:szCs w:val="18"/>
              </w:rPr>
            </w:pPr>
            <w:r>
              <w:rPr>
                <w:rFonts w:ascii="宋体" w:hAnsi="宋体"/>
                <w:kern w:val="0"/>
                <w:sz w:val="18"/>
                <w:szCs w:val="18"/>
              </w:rPr>
              <w:t>≤</w:t>
            </w:r>
            <w:r>
              <w:rPr>
                <w:rFonts w:hint="eastAsia" w:ascii="宋体" w:hAnsi="宋体"/>
                <w:kern w:val="0"/>
                <w:sz w:val="18"/>
                <w:szCs w:val="18"/>
              </w:rPr>
              <w:t>300</w:t>
            </w:r>
          </w:p>
        </w:tc>
        <w:tc>
          <w:tcPr>
            <w:tcW w:w="666" w:type="pc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-40 ℃ 冲击</w:t>
            </w:r>
          </w:p>
        </w:tc>
        <w:tc>
          <w:tcPr>
            <w:tcW w:w="741" w:type="pc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-40</w:t>
            </w:r>
          </w:p>
        </w:tc>
        <w:tc>
          <w:tcPr>
            <w:tcW w:w="944" w:type="pct"/>
            <w:vMerge w:val="restar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647" w:type="pct"/>
            <w:vMerge w:val="continue"/>
            <w:vAlign w:val="center"/>
          </w:tcPr>
          <w:p>
            <w:pPr>
              <w:widowControl/>
              <w:autoSpaceDE w:val="0"/>
              <w:autoSpaceDN w:val="0"/>
              <w:adjustRightInd/>
              <w:spacing w:line="240" w:lineRule="auto"/>
              <w:jc w:val="center"/>
              <w:rPr>
                <w:rFonts w:ascii="宋体" w:hAnsi="宋体"/>
                <w:color w:val="00B050"/>
                <w:kern w:val="0"/>
                <w:sz w:val="18"/>
                <w:szCs w:val="18"/>
              </w:rPr>
            </w:pPr>
          </w:p>
        </w:tc>
        <w:tc>
          <w:tcPr>
            <w:tcW w:w="457" w:type="pct"/>
            <w:vMerge w:val="continue"/>
            <w:vAlign w:val="center"/>
          </w:tcPr>
          <w:p>
            <w:pPr>
              <w:widowControl/>
              <w:autoSpaceDE w:val="0"/>
              <w:autoSpaceDN w:val="0"/>
              <w:adjustRightInd/>
              <w:spacing w:line="240" w:lineRule="auto"/>
              <w:jc w:val="center"/>
              <w:rPr>
                <w:rFonts w:ascii="宋体" w:hAnsi="宋体"/>
                <w:color w:val="00B050"/>
                <w:kern w:val="0"/>
                <w:sz w:val="18"/>
                <w:szCs w:val="18"/>
              </w:rPr>
            </w:pPr>
          </w:p>
        </w:tc>
        <w:tc>
          <w:tcPr>
            <w:tcW w:w="876" w:type="pc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调质</w:t>
            </w:r>
          </w:p>
        </w:tc>
        <w:tc>
          <w:tcPr>
            <w:tcW w:w="668" w:type="pct"/>
            <w:vAlign w:val="center"/>
          </w:tcPr>
          <w:p>
            <w:pPr>
              <w:widowControl/>
              <w:autoSpaceDE w:val="0"/>
              <w:autoSpaceDN w:val="0"/>
              <w:adjustRightInd/>
              <w:spacing w:line="240" w:lineRule="auto"/>
              <w:ind w:firstLine="180" w:firstLineChars="100"/>
              <w:jc w:val="center"/>
              <w:rPr>
                <w:rFonts w:ascii="宋体" w:hAnsi="宋体"/>
                <w:kern w:val="0"/>
                <w:sz w:val="18"/>
                <w:szCs w:val="18"/>
              </w:rPr>
            </w:pPr>
            <w:r>
              <w:rPr>
                <w:rFonts w:hint="eastAsia" w:ascii="宋体" w:hAnsi="宋体"/>
                <w:kern w:val="0"/>
                <w:sz w:val="18"/>
                <w:szCs w:val="18"/>
              </w:rPr>
              <w:t>＞300</w:t>
            </w:r>
            <w:r>
              <w:rPr>
                <w:rFonts w:hint="eastAsia" w:ascii="微软雅黑" w:hAnsi="微软雅黑" w:eastAsia="微软雅黑" w:cs="微软雅黑"/>
                <w:color w:val="000000" w:themeColor="text1"/>
                <w:szCs w:val="18"/>
                <w14:textFill>
                  <w14:solidFill>
                    <w14:schemeClr w14:val="tx1"/>
                  </w14:solidFill>
                </w14:textFill>
              </w:rPr>
              <w:t>~</w:t>
            </w:r>
            <w:r>
              <w:rPr>
                <w:rFonts w:hint="eastAsia" w:ascii="宋体" w:hAnsi="宋体"/>
                <w:kern w:val="0"/>
                <w:sz w:val="18"/>
                <w:szCs w:val="18"/>
              </w:rPr>
              <w:t>700</w:t>
            </w:r>
          </w:p>
        </w:tc>
        <w:tc>
          <w:tcPr>
            <w:tcW w:w="666" w:type="pc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-30 ℃ 冲击</w:t>
            </w:r>
          </w:p>
        </w:tc>
        <w:tc>
          <w:tcPr>
            <w:tcW w:w="741" w:type="pc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-30</w:t>
            </w:r>
          </w:p>
        </w:tc>
        <w:tc>
          <w:tcPr>
            <w:tcW w:w="944" w:type="pct"/>
            <w:vMerge w:val="continue"/>
            <w:vAlign w:val="center"/>
          </w:tcPr>
          <w:p>
            <w:pPr>
              <w:widowControl/>
              <w:autoSpaceDE w:val="0"/>
              <w:autoSpaceDN w:val="0"/>
              <w:adjustRightInd/>
              <w:spacing w:line="240" w:lineRule="auto"/>
              <w:ind w:firstLine="540" w:firstLineChars="300"/>
              <w:jc w:val="center"/>
              <w:rPr>
                <w:rFonts w:ascii="宋体" w:hAnsi="宋体"/>
                <w:color w:val="000000" w:themeColor="text1"/>
                <w:ker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647" w:type="pct"/>
            <w:vAlign w:val="center"/>
          </w:tcPr>
          <w:p>
            <w:pPr>
              <w:widowControl/>
              <w:autoSpaceDE w:val="0"/>
              <w:autoSpaceDN w:val="0"/>
              <w:adjustRightInd/>
              <w:spacing w:line="240" w:lineRule="auto"/>
              <w:jc w:val="center"/>
              <w:rPr>
                <w:rFonts w:ascii="宋体" w:hAnsi="宋体"/>
                <w:kern w:val="0"/>
                <w:sz w:val="18"/>
                <w:szCs w:val="18"/>
              </w:rPr>
            </w:pPr>
            <w:r>
              <w:rPr>
                <w:rFonts w:ascii="宋体" w:hAnsi="宋体"/>
                <w:kern w:val="0"/>
                <w:sz w:val="18"/>
                <w:szCs w:val="18"/>
              </w:rPr>
              <w:t>NB/T 470</w:t>
            </w:r>
            <w:r>
              <w:rPr>
                <w:rFonts w:hint="eastAsia" w:ascii="宋体" w:hAnsi="宋体"/>
                <w:kern w:val="0"/>
                <w:sz w:val="18"/>
                <w:szCs w:val="18"/>
              </w:rPr>
              <w:t>10</w:t>
            </w:r>
          </w:p>
        </w:tc>
        <w:tc>
          <w:tcPr>
            <w:tcW w:w="457" w:type="pc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S30408</w:t>
            </w:r>
          </w:p>
        </w:tc>
        <w:tc>
          <w:tcPr>
            <w:tcW w:w="876" w:type="pc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固溶</w:t>
            </w:r>
          </w:p>
        </w:tc>
        <w:tc>
          <w:tcPr>
            <w:tcW w:w="668" w:type="pct"/>
            <w:vAlign w:val="center"/>
          </w:tcPr>
          <w:p>
            <w:pPr>
              <w:widowControl/>
              <w:autoSpaceDE w:val="0"/>
              <w:autoSpaceDN w:val="0"/>
              <w:adjustRightInd/>
              <w:spacing w:line="240" w:lineRule="auto"/>
              <w:ind w:firstLine="180" w:firstLineChars="100"/>
              <w:jc w:val="center"/>
              <w:rPr>
                <w:rFonts w:ascii="宋体" w:hAnsi="宋体"/>
                <w:kern w:val="0"/>
                <w:sz w:val="18"/>
                <w:szCs w:val="18"/>
              </w:rPr>
            </w:pPr>
            <w:r>
              <w:rPr>
                <w:rFonts w:ascii="宋体" w:hAnsi="宋体"/>
                <w:kern w:val="0"/>
                <w:sz w:val="18"/>
                <w:szCs w:val="18"/>
              </w:rPr>
              <w:t>≤</w:t>
            </w:r>
            <w:r>
              <w:rPr>
                <w:rFonts w:hint="eastAsia" w:ascii="宋体" w:hAnsi="宋体"/>
                <w:kern w:val="0"/>
                <w:sz w:val="18"/>
                <w:szCs w:val="18"/>
              </w:rPr>
              <w:t>300</w:t>
            </w:r>
          </w:p>
        </w:tc>
        <w:tc>
          <w:tcPr>
            <w:tcW w:w="666" w:type="pc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-196 ℃冲击</w:t>
            </w:r>
          </w:p>
        </w:tc>
        <w:tc>
          <w:tcPr>
            <w:tcW w:w="741" w:type="pc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-269</w:t>
            </w:r>
          </w:p>
        </w:tc>
        <w:tc>
          <w:tcPr>
            <w:tcW w:w="944" w:type="pct"/>
            <w:vAlign w:val="center"/>
          </w:tcPr>
          <w:p>
            <w:pPr>
              <w:widowControl/>
              <w:autoSpaceDE w:val="0"/>
              <w:autoSpaceDN w:val="0"/>
              <w:adjustRightInd/>
              <w:spacing w:line="240" w:lineRule="auto"/>
              <w:ind w:firstLine="720" w:firstLineChars="400"/>
              <w:rPr>
                <w:rFonts w:ascii="宋体" w:hAnsi="宋体"/>
                <w:kern w:val="0"/>
                <w:sz w:val="18"/>
                <w:szCs w:val="18"/>
              </w:rPr>
            </w:pPr>
            <w:r>
              <w:rPr>
                <w:rFonts w:hint="eastAsia" w:ascii="宋体" w:hAnsi="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647" w:type="pct"/>
            <w:vAlign w:val="center"/>
          </w:tcPr>
          <w:p>
            <w:pPr>
              <w:widowControl/>
              <w:autoSpaceDE w:val="0"/>
              <w:autoSpaceDN w:val="0"/>
              <w:adjustRightInd/>
              <w:spacing w:line="240" w:lineRule="auto"/>
              <w:jc w:val="center"/>
              <w:rPr>
                <w:rFonts w:ascii="宋体" w:hAnsi="宋体"/>
                <w:kern w:val="0"/>
                <w:sz w:val="18"/>
                <w:szCs w:val="18"/>
              </w:rPr>
            </w:pPr>
            <w:r>
              <w:rPr>
                <w:rFonts w:ascii="宋体" w:hAnsi="宋体"/>
                <w:kern w:val="0"/>
                <w:sz w:val="18"/>
                <w:szCs w:val="18"/>
              </w:rPr>
              <w:t>NB/T 47010</w:t>
            </w:r>
          </w:p>
        </w:tc>
        <w:tc>
          <w:tcPr>
            <w:tcW w:w="457" w:type="pc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S30403</w:t>
            </w:r>
          </w:p>
        </w:tc>
        <w:tc>
          <w:tcPr>
            <w:tcW w:w="876" w:type="pc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固溶</w:t>
            </w:r>
          </w:p>
        </w:tc>
        <w:tc>
          <w:tcPr>
            <w:tcW w:w="668" w:type="pct"/>
            <w:vAlign w:val="center"/>
          </w:tcPr>
          <w:p>
            <w:pPr>
              <w:widowControl/>
              <w:autoSpaceDE w:val="0"/>
              <w:autoSpaceDN w:val="0"/>
              <w:adjustRightInd/>
              <w:spacing w:line="240" w:lineRule="auto"/>
              <w:ind w:firstLine="180" w:firstLineChars="100"/>
              <w:jc w:val="center"/>
              <w:rPr>
                <w:rFonts w:ascii="宋体" w:hAnsi="宋体"/>
                <w:kern w:val="0"/>
                <w:sz w:val="18"/>
                <w:szCs w:val="18"/>
              </w:rPr>
            </w:pPr>
            <w:r>
              <w:rPr>
                <w:rFonts w:ascii="宋体" w:hAnsi="宋体"/>
                <w:kern w:val="0"/>
                <w:sz w:val="18"/>
                <w:szCs w:val="18"/>
              </w:rPr>
              <w:t>≤</w:t>
            </w:r>
            <w:r>
              <w:rPr>
                <w:rFonts w:hint="eastAsia" w:ascii="宋体" w:hAnsi="宋体"/>
                <w:kern w:val="0"/>
                <w:sz w:val="18"/>
                <w:szCs w:val="18"/>
              </w:rPr>
              <w:t>300</w:t>
            </w:r>
          </w:p>
        </w:tc>
        <w:tc>
          <w:tcPr>
            <w:tcW w:w="666" w:type="pct"/>
            <w:vAlign w:val="center"/>
          </w:tcPr>
          <w:p>
            <w:pPr>
              <w:jc w:val="center"/>
            </w:pPr>
            <w:r>
              <w:rPr>
                <w:rFonts w:hint="eastAsia" w:ascii="宋体" w:hAnsi="宋体"/>
                <w:kern w:val="0"/>
                <w:sz w:val="18"/>
                <w:szCs w:val="18"/>
              </w:rPr>
              <w:t>-196 ℃冲击</w:t>
            </w:r>
          </w:p>
        </w:tc>
        <w:tc>
          <w:tcPr>
            <w:tcW w:w="741" w:type="pct"/>
            <w:vAlign w:val="center"/>
          </w:tcPr>
          <w:p>
            <w:pPr>
              <w:jc w:val="center"/>
            </w:pPr>
            <w:r>
              <w:rPr>
                <w:rFonts w:hint="eastAsia" w:ascii="宋体" w:hAnsi="宋体"/>
                <w:kern w:val="0"/>
                <w:sz w:val="18"/>
                <w:szCs w:val="18"/>
              </w:rPr>
              <w:t>-269</w:t>
            </w:r>
          </w:p>
        </w:tc>
        <w:tc>
          <w:tcPr>
            <w:tcW w:w="944" w:type="pct"/>
            <w:vAlign w:val="center"/>
          </w:tcPr>
          <w:p>
            <w:pPr>
              <w:widowControl/>
              <w:autoSpaceDE w:val="0"/>
              <w:autoSpaceDN w:val="0"/>
              <w:adjustRightInd/>
              <w:spacing w:line="240" w:lineRule="auto"/>
              <w:ind w:firstLine="720" w:firstLineChars="400"/>
              <w:rPr>
                <w:rFonts w:ascii="宋体" w:hAnsi="宋体"/>
                <w:kern w:val="0"/>
                <w:sz w:val="18"/>
                <w:szCs w:val="18"/>
              </w:rPr>
            </w:pPr>
            <w:r>
              <w:rPr>
                <w:rFonts w:hint="eastAsia" w:ascii="宋体" w:hAnsi="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647" w:type="pct"/>
            <w:vAlign w:val="center"/>
          </w:tcPr>
          <w:p>
            <w:pPr>
              <w:widowControl/>
              <w:autoSpaceDE w:val="0"/>
              <w:autoSpaceDN w:val="0"/>
              <w:adjustRightInd/>
              <w:spacing w:line="240" w:lineRule="auto"/>
              <w:jc w:val="center"/>
              <w:rPr>
                <w:rFonts w:ascii="宋体" w:hAnsi="宋体"/>
                <w:kern w:val="0"/>
                <w:sz w:val="18"/>
                <w:szCs w:val="18"/>
              </w:rPr>
            </w:pPr>
            <w:r>
              <w:rPr>
                <w:rFonts w:ascii="宋体" w:hAnsi="宋体"/>
                <w:kern w:val="0"/>
                <w:sz w:val="18"/>
                <w:szCs w:val="18"/>
              </w:rPr>
              <w:t>NB/T 47010</w:t>
            </w:r>
          </w:p>
        </w:tc>
        <w:tc>
          <w:tcPr>
            <w:tcW w:w="457" w:type="pc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S31608</w:t>
            </w:r>
          </w:p>
        </w:tc>
        <w:tc>
          <w:tcPr>
            <w:tcW w:w="876" w:type="pc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固溶</w:t>
            </w:r>
          </w:p>
        </w:tc>
        <w:tc>
          <w:tcPr>
            <w:tcW w:w="668" w:type="pct"/>
            <w:vAlign w:val="center"/>
          </w:tcPr>
          <w:p>
            <w:pPr>
              <w:widowControl/>
              <w:autoSpaceDE w:val="0"/>
              <w:autoSpaceDN w:val="0"/>
              <w:adjustRightInd/>
              <w:spacing w:line="240" w:lineRule="auto"/>
              <w:ind w:firstLine="180" w:firstLineChars="100"/>
              <w:jc w:val="center"/>
              <w:rPr>
                <w:rFonts w:ascii="宋体" w:hAnsi="宋体"/>
                <w:kern w:val="0"/>
                <w:sz w:val="18"/>
                <w:szCs w:val="18"/>
              </w:rPr>
            </w:pPr>
            <w:r>
              <w:rPr>
                <w:rFonts w:ascii="宋体" w:hAnsi="宋体"/>
                <w:kern w:val="0"/>
                <w:sz w:val="18"/>
                <w:szCs w:val="18"/>
              </w:rPr>
              <w:t>≤</w:t>
            </w:r>
            <w:r>
              <w:rPr>
                <w:rFonts w:hint="eastAsia" w:ascii="宋体" w:hAnsi="宋体"/>
                <w:kern w:val="0"/>
                <w:sz w:val="18"/>
                <w:szCs w:val="18"/>
              </w:rPr>
              <w:t>300</w:t>
            </w:r>
          </w:p>
        </w:tc>
        <w:tc>
          <w:tcPr>
            <w:tcW w:w="666" w:type="pct"/>
            <w:vAlign w:val="center"/>
          </w:tcPr>
          <w:p>
            <w:pPr>
              <w:jc w:val="center"/>
            </w:pPr>
            <w:r>
              <w:rPr>
                <w:rFonts w:hint="eastAsia" w:ascii="宋体" w:hAnsi="宋体"/>
                <w:kern w:val="0"/>
                <w:sz w:val="18"/>
                <w:szCs w:val="18"/>
              </w:rPr>
              <w:t>-196 ℃冲击</w:t>
            </w:r>
          </w:p>
        </w:tc>
        <w:tc>
          <w:tcPr>
            <w:tcW w:w="741" w:type="pct"/>
            <w:vAlign w:val="center"/>
          </w:tcPr>
          <w:p>
            <w:pPr>
              <w:jc w:val="center"/>
            </w:pPr>
            <w:r>
              <w:rPr>
                <w:rFonts w:hint="eastAsia" w:ascii="宋体" w:hAnsi="宋体"/>
                <w:kern w:val="0"/>
                <w:sz w:val="18"/>
                <w:szCs w:val="18"/>
              </w:rPr>
              <w:t>-269</w:t>
            </w:r>
          </w:p>
        </w:tc>
        <w:tc>
          <w:tcPr>
            <w:tcW w:w="944" w:type="pct"/>
            <w:vAlign w:val="center"/>
          </w:tcPr>
          <w:p>
            <w:pPr>
              <w:widowControl/>
              <w:autoSpaceDE w:val="0"/>
              <w:autoSpaceDN w:val="0"/>
              <w:adjustRightInd/>
              <w:spacing w:line="240" w:lineRule="auto"/>
              <w:ind w:firstLine="720" w:firstLineChars="400"/>
              <w:rPr>
                <w:rFonts w:ascii="宋体" w:hAnsi="宋体"/>
                <w:kern w:val="0"/>
                <w:sz w:val="18"/>
                <w:szCs w:val="18"/>
              </w:rPr>
            </w:pPr>
            <w:r>
              <w:rPr>
                <w:rFonts w:hint="eastAsia" w:ascii="宋体" w:hAnsi="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647" w:type="pct"/>
            <w:vAlign w:val="center"/>
          </w:tcPr>
          <w:p>
            <w:pPr>
              <w:widowControl/>
              <w:autoSpaceDE w:val="0"/>
              <w:autoSpaceDN w:val="0"/>
              <w:adjustRightInd/>
              <w:spacing w:line="240" w:lineRule="auto"/>
              <w:jc w:val="center"/>
              <w:rPr>
                <w:rFonts w:ascii="宋体" w:hAnsi="宋体"/>
                <w:kern w:val="0"/>
                <w:sz w:val="18"/>
                <w:szCs w:val="18"/>
              </w:rPr>
            </w:pPr>
            <w:r>
              <w:rPr>
                <w:rFonts w:ascii="宋体" w:hAnsi="宋体"/>
                <w:kern w:val="0"/>
                <w:sz w:val="18"/>
                <w:szCs w:val="18"/>
              </w:rPr>
              <w:t>NB/T 47010</w:t>
            </w:r>
          </w:p>
        </w:tc>
        <w:tc>
          <w:tcPr>
            <w:tcW w:w="457" w:type="pc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S31603</w:t>
            </w:r>
          </w:p>
        </w:tc>
        <w:tc>
          <w:tcPr>
            <w:tcW w:w="876" w:type="pct"/>
            <w:vAlign w:val="center"/>
          </w:tcPr>
          <w:p>
            <w:pPr>
              <w:widowControl/>
              <w:autoSpaceDE w:val="0"/>
              <w:autoSpaceDN w:val="0"/>
              <w:adjustRightInd/>
              <w:spacing w:line="240" w:lineRule="auto"/>
              <w:jc w:val="center"/>
              <w:rPr>
                <w:rFonts w:ascii="宋体" w:hAnsi="宋体"/>
                <w:kern w:val="0"/>
                <w:sz w:val="18"/>
                <w:szCs w:val="18"/>
              </w:rPr>
            </w:pPr>
            <w:r>
              <w:rPr>
                <w:rFonts w:hint="eastAsia" w:ascii="宋体" w:hAnsi="宋体"/>
                <w:kern w:val="0"/>
                <w:sz w:val="18"/>
                <w:szCs w:val="18"/>
              </w:rPr>
              <w:t>固溶</w:t>
            </w:r>
          </w:p>
        </w:tc>
        <w:tc>
          <w:tcPr>
            <w:tcW w:w="668" w:type="pct"/>
            <w:vAlign w:val="center"/>
          </w:tcPr>
          <w:p>
            <w:pPr>
              <w:widowControl/>
              <w:autoSpaceDE w:val="0"/>
              <w:autoSpaceDN w:val="0"/>
              <w:adjustRightInd/>
              <w:spacing w:line="240" w:lineRule="auto"/>
              <w:ind w:firstLine="180" w:firstLineChars="100"/>
              <w:jc w:val="center"/>
              <w:rPr>
                <w:rFonts w:ascii="宋体" w:hAnsi="宋体"/>
                <w:kern w:val="0"/>
                <w:sz w:val="18"/>
                <w:szCs w:val="18"/>
              </w:rPr>
            </w:pPr>
            <w:r>
              <w:rPr>
                <w:rFonts w:ascii="宋体" w:hAnsi="宋体"/>
                <w:kern w:val="0"/>
                <w:sz w:val="18"/>
                <w:szCs w:val="18"/>
              </w:rPr>
              <w:t>≤</w:t>
            </w:r>
            <w:r>
              <w:rPr>
                <w:rFonts w:hint="eastAsia" w:ascii="宋体" w:hAnsi="宋体"/>
                <w:kern w:val="0"/>
                <w:sz w:val="18"/>
                <w:szCs w:val="18"/>
              </w:rPr>
              <w:t>300</w:t>
            </w:r>
          </w:p>
        </w:tc>
        <w:tc>
          <w:tcPr>
            <w:tcW w:w="666" w:type="pct"/>
            <w:vAlign w:val="center"/>
          </w:tcPr>
          <w:p>
            <w:pPr>
              <w:jc w:val="center"/>
            </w:pPr>
            <w:r>
              <w:rPr>
                <w:rFonts w:hint="eastAsia" w:ascii="宋体" w:hAnsi="宋体"/>
                <w:kern w:val="0"/>
                <w:sz w:val="18"/>
                <w:szCs w:val="18"/>
              </w:rPr>
              <w:t>-196 ℃冲击</w:t>
            </w:r>
          </w:p>
        </w:tc>
        <w:tc>
          <w:tcPr>
            <w:tcW w:w="741" w:type="pct"/>
            <w:vAlign w:val="center"/>
          </w:tcPr>
          <w:p>
            <w:pPr>
              <w:jc w:val="center"/>
            </w:pPr>
            <w:r>
              <w:rPr>
                <w:rFonts w:hint="eastAsia" w:ascii="宋体" w:hAnsi="宋体"/>
                <w:kern w:val="0"/>
                <w:sz w:val="18"/>
                <w:szCs w:val="18"/>
              </w:rPr>
              <w:t>-269</w:t>
            </w:r>
          </w:p>
        </w:tc>
        <w:tc>
          <w:tcPr>
            <w:tcW w:w="944" w:type="pct"/>
            <w:vAlign w:val="center"/>
          </w:tcPr>
          <w:p>
            <w:pPr>
              <w:widowControl/>
              <w:autoSpaceDE w:val="0"/>
              <w:autoSpaceDN w:val="0"/>
              <w:adjustRightInd/>
              <w:spacing w:line="240" w:lineRule="auto"/>
              <w:ind w:firstLine="720" w:firstLineChars="400"/>
              <w:rPr>
                <w:rFonts w:ascii="宋体" w:hAnsi="宋体"/>
                <w:kern w:val="0"/>
                <w:sz w:val="18"/>
                <w:szCs w:val="18"/>
              </w:rPr>
            </w:pPr>
            <w:r>
              <w:rPr>
                <w:rFonts w:hint="eastAsia" w:ascii="宋体" w:hAnsi="宋体"/>
                <w:kern w:val="0"/>
                <w:sz w:val="18"/>
                <w:szCs w:val="18"/>
              </w:rPr>
              <w:t>/</w:t>
            </w:r>
          </w:p>
        </w:tc>
      </w:tr>
    </w:tbl>
    <w:p>
      <w:pPr>
        <w:pStyle w:val="61"/>
        <w:ind w:firstLine="0" w:firstLineChars="0"/>
      </w:pPr>
    </w:p>
    <w:p>
      <w:pPr>
        <w:pStyle w:val="110"/>
        <w:spacing w:before="120" w:after="120"/>
        <w:rPr>
          <w:szCs w:val="21"/>
        </w:rPr>
      </w:pPr>
      <w:bookmarkStart w:id="152" w:name="_Toc209114051"/>
      <w:r>
        <w:t>法兰、垫片和</w:t>
      </w:r>
      <w:r>
        <w:rPr>
          <w:rFonts w:hint="eastAsia"/>
        </w:rPr>
        <w:t>紧</w:t>
      </w:r>
      <w:r>
        <w:t>固件</w:t>
      </w:r>
      <w:bookmarkEnd w:id="152"/>
      <w:r>
        <w:rPr>
          <w:rFonts w:hint="eastAsia"/>
        </w:rPr>
        <w:t xml:space="preserve"> </w:t>
      </w:r>
      <w:r>
        <w:rPr>
          <w:rFonts w:hint="eastAsia"/>
          <w:szCs w:val="21"/>
        </w:rPr>
        <w:t xml:space="preserve"> </w:t>
      </w:r>
    </w:p>
    <w:p>
      <w:pPr>
        <w:pStyle w:val="170"/>
      </w:pPr>
      <w:r>
        <w:rPr>
          <w:rFonts w:hint="eastAsia"/>
        </w:rPr>
        <w:t>法兰用锻件除另有规定外，应符合NB/T 47008、NB/T 47009、NB/T 47010 、GB/T 150.2的有关规定，宜选用表1中材料。</w:t>
      </w:r>
    </w:p>
    <w:p>
      <w:pPr>
        <w:pStyle w:val="170"/>
      </w:pPr>
      <w:r>
        <w:t>管法兰的选用</w:t>
      </w:r>
      <w:r>
        <w:rPr>
          <w:rFonts w:hint="eastAsia"/>
        </w:rPr>
        <w:t>应根据工作介质、工作压力、工作温度和密封要求确定，除符合本文件的要求外，还应符合HG/T 20592～HG/T 20635的规定。出口端法兰的公称压力应不低于PN16。</w:t>
      </w:r>
    </w:p>
    <w:p>
      <w:pPr>
        <w:pStyle w:val="170"/>
      </w:pPr>
      <w:r>
        <w:rPr>
          <w:rFonts w:hint="eastAsia"/>
        </w:rPr>
        <w:t>法兰、垫片和紧固件应根据介质性质、特性配套选用。</w:t>
      </w:r>
    </w:p>
    <w:p>
      <w:pPr>
        <w:pStyle w:val="170"/>
      </w:pPr>
      <w:r>
        <w:rPr>
          <w:rFonts w:hint="eastAsia"/>
        </w:rPr>
        <w:t>紧固件应符合以下要求：</w:t>
      </w:r>
    </w:p>
    <w:p>
      <w:pPr>
        <w:pStyle w:val="179"/>
        <w:numPr>
          <w:ilvl w:val="0"/>
          <w:numId w:val="42"/>
        </w:numPr>
      </w:pPr>
      <w:r>
        <w:rPr>
          <w:rFonts w:hint="eastAsia"/>
        </w:rPr>
        <w:t>钢棒标准，使用状态、螺柱规格、使用温度上限及许用应力按表</w:t>
      </w:r>
      <w:r>
        <w:t>12</w:t>
      </w:r>
      <w:r>
        <w:rPr>
          <w:rFonts w:hint="eastAsia"/>
        </w:rPr>
        <w:t>的规定；</w:t>
      </w:r>
    </w:p>
    <w:p>
      <w:pPr>
        <w:pStyle w:val="179"/>
      </w:pPr>
      <w:r>
        <w:rPr>
          <w:rFonts w:hint="eastAsia"/>
        </w:rPr>
        <w:t>螺柱应选用高级优质钢（牌号后加“A”）或特级优质钢（牌号后加“E”），螺柱用毛坯材料应按表</w:t>
      </w:r>
      <w:r>
        <w:t>5</w:t>
      </w:r>
      <w:r>
        <w:rPr>
          <w:rFonts w:hint="eastAsia"/>
        </w:rPr>
        <w:t>规定进行调质热处理。本文件未涉及到的材料除另有规定外，应符合GB/T 150.2的规定；</w:t>
      </w:r>
    </w:p>
    <w:p>
      <w:pPr>
        <w:pStyle w:val="117"/>
        <w:spacing w:before="120" w:after="120"/>
      </w:pPr>
      <w:r>
        <w:rPr>
          <w:rFonts w:hint="eastAsia"/>
        </w:rPr>
        <w:t>常用螺柱用钢</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61"/>
        <w:gridCol w:w="829"/>
        <w:gridCol w:w="1864"/>
        <w:gridCol w:w="988"/>
        <w:gridCol w:w="845"/>
        <w:gridCol w:w="838"/>
        <w:gridCol w:w="1015"/>
        <w:gridCol w:w="567"/>
        <w:gridCol w:w="15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blHeader/>
          <w:jc w:val="center"/>
        </w:trPr>
        <w:tc>
          <w:tcPr>
            <w:tcW w:w="861" w:type="dxa"/>
            <w:tcBorders>
              <w:top w:val="single" w:color="auto" w:sz="8" w:space="0"/>
              <w:bottom w:val="single" w:color="auto" w:sz="8" w:space="0"/>
            </w:tcBorders>
            <w:shd w:val="clear" w:color="auto" w:fill="auto"/>
            <w:vAlign w:val="center"/>
          </w:tcPr>
          <w:p>
            <w:pPr>
              <w:pStyle w:val="61"/>
              <w:ind w:firstLine="0" w:firstLineChars="0"/>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材料标准</w:t>
            </w:r>
          </w:p>
        </w:tc>
        <w:tc>
          <w:tcPr>
            <w:tcW w:w="829" w:type="dxa"/>
            <w:tcBorders>
              <w:top w:val="single" w:color="auto" w:sz="8" w:space="0"/>
              <w:bottom w:val="single" w:color="auto" w:sz="8" w:space="0"/>
            </w:tcBorders>
            <w:shd w:val="clear" w:color="auto" w:fill="auto"/>
            <w:vAlign w:val="center"/>
          </w:tcPr>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材料牌号</w:t>
            </w:r>
          </w:p>
        </w:tc>
        <w:tc>
          <w:tcPr>
            <w:tcW w:w="1864" w:type="dxa"/>
            <w:tcBorders>
              <w:top w:val="single" w:color="auto" w:sz="8" w:space="0"/>
              <w:bottom w:val="single" w:color="auto" w:sz="8" w:space="0"/>
            </w:tcBorders>
            <w:shd w:val="clear" w:color="auto" w:fill="auto"/>
            <w:vAlign w:val="center"/>
          </w:tcPr>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热处理状态调质状态</w:t>
            </w:r>
          </w:p>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的回火温度</w:t>
            </w:r>
          </w:p>
          <w:p>
            <w:pPr>
              <w:pStyle w:val="61"/>
              <w:ind w:left="420" w:leftChars="200" w:firstLine="360"/>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w:t>
            </w:r>
          </w:p>
        </w:tc>
        <w:tc>
          <w:tcPr>
            <w:tcW w:w="988" w:type="dxa"/>
            <w:tcBorders>
              <w:top w:val="single" w:color="auto" w:sz="8" w:space="0"/>
              <w:bottom w:val="single" w:color="auto" w:sz="8" w:space="0"/>
            </w:tcBorders>
            <w:shd w:val="clear" w:color="auto" w:fill="auto"/>
            <w:vAlign w:val="center"/>
          </w:tcPr>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使用状态</w:t>
            </w:r>
          </w:p>
        </w:tc>
        <w:tc>
          <w:tcPr>
            <w:tcW w:w="845" w:type="dxa"/>
            <w:tcBorders>
              <w:top w:val="single" w:color="auto" w:sz="8" w:space="0"/>
              <w:bottom w:val="single" w:color="auto" w:sz="8" w:space="0"/>
            </w:tcBorders>
            <w:shd w:val="clear" w:color="auto" w:fill="auto"/>
            <w:vAlign w:val="center"/>
          </w:tcPr>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规格</w:t>
            </w:r>
          </w:p>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mm</w:t>
            </w:r>
          </w:p>
        </w:tc>
        <w:tc>
          <w:tcPr>
            <w:tcW w:w="838" w:type="dxa"/>
            <w:tcBorders>
              <w:top w:val="single" w:color="auto" w:sz="8" w:space="0"/>
              <w:bottom w:val="single" w:color="auto" w:sz="8" w:space="0"/>
            </w:tcBorders>
            <w:shd w:val="clear" w:color="auto" w:fill="auto"/>
            <w:vAlign w:val="center"/>
          </w:tcPr>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Rm</w:t>
            </w:r>
          </w:p>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MPa</w:t>
            </w:r>
          </w:p>
        </w:tc>
        <w:tc>
          <w:tcPr>
            <w:tcW w:w="1015" w:type="dxa"/>
            <w:tcBorders>
              <w:top w:val="single" w:color="auto" w:sz="8" w:space="0"/>
              <w:bottom w:val="single" w:color="auto" w:sz="8" w:space="0"/>
            </w:tcBorders>
            <w:shd w:val="clear" w:color="auto" w:fill="auto"/>
            <w:vAlign w:val="center"/>
          </w:tcPr>
          <w:p>
            <w:pPr>
              <w:pStyle w:val="61"/>
              <w:ind w:firstLineChars="0"/>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Re（R</w:t>
            </w:r>
            <w:r>
              <w:rPr>
                <w:rFonts w:hint="eastAsia" w:hAnsi="宋体"/>
                <w:color w:val="000000" w:themeColor="text1"/>
                <w:sz w:val="18"/>
                <w:szCs w:val="18"/>
                <w:vertAlign w:val="subscript"/>
                <w14:textFill>
                  <w14:solidFill>
                    <w14:schemeClr w14:val="tx1"/>
                  </w14:solidFill>
                </w14:textFill>
              </w:rPr>
              <w:t>P0.2</w:t>
            </w:r>
            <w:r>
              <w:rPr>
                <w:rFonts w:hint="eastAsia" w:hAnsi="宋体"/>
                <w:color w:val="000000" w:themeColor="text1"/>
                <w:sz w:val="18"/>
                <w:szCs w:val="18"/>
                <w14:textFill>
                  <w14:solidFill>
                    <w14:schemeClr w14:val="tx1"/>
                  </w14:solidFill>
                </w14:textFill>
              </w:rPr>
              <w:t>）</w:t>
            </w:r>
          </w:p>
          <w:p>
            <w:pPr>
              <w:pStyle w:val="61"/>
              <w:ind w:firstLine="379" w:firstLineChars="211"/>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MPa</w:t>
            </w:r>
          </w:p>
        </w:tc>
        <w:tc>
          <w:tcPr>
            <w:tcW w:w="567" w:type="dxa"/>
            <w:tcBorders>
              <w:top w:val="single" w:color="auto" w:sz="8" w:space="0"/>
              <w:bottom w:val="single" w:color="auto" w:sz="8" w:space="0"/>
            </w:tcBorders>
            <w:shd w:val="clear" w:color="auto" w:fill="auto"/>
            <w:vAlign w:val="center"/>
          </w:tcPr>
          <w:p>
            <w:pPr>
              <w:pStyle w:val="61"/>
              <w:ind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A</w:t>
            </w:r>
          </w:p>
          <w:p>
            <w:pPr>
              <w:pStyle w:val="61"/>
              <w:ind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w:t>
            </w:r>
          </w:p>
        </w:tc>
        <w:tc>
          <w:tcPr>
            <w:tcW w:w="1567" w:type="dxa"/>
            <w:tcBorders>
              <w:top w:val="single" w:color="auto" w:sz="8" w:space="0"/>
              <w:bottom w:val="single" w:color="auto" w:sz="8" w:space="0"/>
            </w:tcBorders>
            <w:shd w:val="clear" w:color="auto" w:fill="auto"/>
            <w:vAlign w:val="center"/>
          </w:tcPr>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0 ℃冲击吸收能量</w:t>
            </w:r>
          </w:p>
          <w:p>
            <w:pPr>
              <w:pStyle w:val="61"/>
              <w:ind w:firstLine="0"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平均值</w:t>
            </w:r>
          </w:p>
          <w:p>
            <w:pPr>
              <w:pStyle w:val="61"/>
              <w:ind w:left="420" w:firstLine="0"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（KV</w:t>
            </w:r>
            <w:r>
              <w:rPr>
                <w:rFonts w:hint="eastAsia" w:hAnsi="宋体"/>
                <w:color w:val="000000" w:themeColor="text1"/>
                <w:sz w:val="18"/>
                <w:szCs w:val="18"/>
                <w:vertAlign w:val="superscript"/>
                <w14:textFill>
                  <w14:solidFill>
                    <w14:schemeClr w14:val="tx1"/>
                  </w14:solidFill>
                </w14:textFill>
              </w:rPr>
              <w:t>2</w:t>
            </w:r>
            <w:r>
              <w:rPr>
                <w:rFonts w:hint="eastAsia" w:hAnsi="宋体"/>
                <w:color w:val="000000" w:themeColor="text1"/>
                <w:sz w:val="18"/>
                <w:szCs w:val="18"/>
                <w14:textFill>
                  <w14:solidFill>
                    <w14:schemeClr w14:val="tx1"/>
                  </w14:solidFill>
                </w14:textFill>
              </w:rPr>
              <w:t>）J</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75" w:hRule="exact"/>
          <w:jc w:val="center"/>
        </w:trPr>
        <w:tc>
          <w:tcPr>
            <w:tcW w:w="861" w:type="dxa"/>
            <w:vMerge w:val="restart"/>
            <w:tcBorders>
              <w:top w:val="single" w:color="auto" w:sz="8" w:space="0"/>
            </w:tcBorders>
            <w:shd w:val="clear" w:color="auto" w:fill="auto"/>
            <w:vAlign w:val="center"/>
          </w:tcPr>
          <w:p>
            <w:pPr>
              <w:pStyle w:val="61"/>
              <w:ind w:firstLine="0" w:firstLineChars="0"/>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GB/T 3077</w:t>
            </w:r>
          </w:p>
        </w:tc>
        <w:tc>
          <w:tcPr>
            <w:tcW w:w="829" w:type="dxa"/>
            <w:vMerge w:val="restart"/>
            <w:tcBorders>
              <w:top w:val="single" w:color="auto" w:sz="8" w:space="0"/>
            </w:tcBorders>
            <w:shd w:val="clear" w:color="auto" w:fill="auto"/>
            <w:vAlign w:val="center"/>
          </w:tcPr>
          <w:p>
            <w:pPr>
              <w:pStyle w:val="61"/>
              <w:ind w:firstLineChars="0"/>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30CrMo</w:t>
            </w:r>
          </w:p>
        </w:tc>
        <w:tc>
          <w:tcPr>
            <w:tcW w:w="1864" w:type="dxa"/>
            <w:vMerge w:val="restart"/>
            <w:tcBorders>
              <w:top w:val="single" w:color="auto" w:sz="8" w:space="0"/>
            </w:tcBorders>
            <w:shd w:val="clear" w:color="auto" w:fill="auto"/>
            <w:vAlign w:val="center"/>
          </w:tcPr>
          <w:p>
            <w:pPr>
              <w:pStyle w:val="61"/>
              <w:ind w:left="420" w:firstLineChars="111"/>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≥600</w:t>
            </w:r>
          </w:p>
        </w:tc>
        <w:tc>
          <w:tcPr>
            <w:tcW w:w="988" w:type="dxa"/>
            <w:vMerge w:val="restart"/>
            <w:tcBorders>
              <w:top w:val="single" w:color="auto" w:sz="8" w:space="0"/>
            </w:tcBorders>
            <w:shd w:val="clear" w:color="auto" w:fill="auto"/>
            <w:vAlign w:val="center"/>
          </w:tcPr>
          <w:p>
            <w:pPr>
              <w:pStyle w:val="61"/>
              <w:ind w:firstLineChars="0"/>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调质</w:t>
            </w:r>
          </w:p>
        </w:tc>
        <w:tc>
          <w:tcPr>
            <w:tcW w:w="845" w:type="dxa"/>
            <w:tcBorders>
              <w:top w:val="single" w:color="auto" w:sz="8" w:space="0"/>
            </w:tcBorders>
            <w:shd w:val="clear" w:color="auto" w:fill="auto"/>
            <w:vAlign w:val="center"/>
          </w:tcPr>
          <w:p>
            <w:pPr>
              <w:pStyle w:val="61"/>
              <w:ind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≤M22</w:t>
            </w:r>
          </w:p>
        </w:tc>
        <w:tc>
          <w:tcPr>
            <w:tcW w:w="838" w:type="dxa"/>
            <w:tcBorders>
              <w:top w:val="single" w:color="auto" w:sz="8" w:space="0"/>
            </w:tcBorders>
            <w:shd w:val="clear" w:color="auto" w:fill="auto"/>
            <w:vAlign w:val="center"/>
          </w:tcPr>
          <w:p>
            <w:pPr>
              <w:pStyle w:val="61"/>
              <w:ind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≥700</w:t>
            </w:r>
          </w:p>
        </w:tc>
        <w:tc>
          <w:tcPr>
            <w:tcW w:w="1015" w:type="dxa"/>
            <w:tcBorders>
              <w:top w:val="single" w:color="auto" w:sz="8" w:space="0"/>
            </w:tcBorders>
            <w:shd w:val="clear" w:color="auto" w:fill="auto"/>
            <w:vAlign w:val="center"/>
          </w:tcPr>
          <w:p>
            <w:pPr>
              <w:pStyle w:val="61"/>
              <w:ind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≥550</w:t>
            </w:r>
          </w:p>
        </w:tc>
        <w:tc>
          <w:tcPr>
            <w:tcW w:w="567" w:type="dxa"/>
            <w:vMerge w:val="restart"/>
            <w:tcBorders>
              <w:top w:val="single" w:color="auto" w:sz="8" w:space="0"/>
            </w:tcBorders>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≥16</w:t>
            </w:r>
          </w:p>
        </w:tc>
        <w:tc>
          <w:tcPr>
            <w:tcW w:w="1567" w:type="dxa"/>
            <w:vMerge w:val="restart"/>
            <w:tcBorders>
              <w:top w:val="single" w:color="auto" w:sz="8" w:space="0"/>
            </w:tcBorders>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75" w:hRule="exact"/>
          <w:jc w:val="center"/>
        </w:trPr>
        <w:tc>
          <w:tcPr>
            <w:tcW w:w="861" w:type="dxa"/>
            <w:vMerge w:val="continue"/>
            <w:shd w:val="clear" w:color="auto" w:fill="auto"/>
            <w:vAlign w:val="center"/>
          </w:tcPr>
          <w:p>
            <w:pPr>
              <w:pStyle w:val="183"/>
              <w:rPr>
                <w:rFonts w:hAnsi="宋体"/>
                <w:color w:val="000000" w:themeColor="text1"/>
                <w:szCs w:val="18"/>
                <w14:textFill>
                  <w14:solidFill>
                    <w14:schemeClr w14:val="tx1"/>
                  </w14:solidFill>
                </w14:textFill>
              </w:rPr>
            </w:pPr>
          </w:p>
        </w:tc>
        <w:tc>
          <w:tcPr>
            <w:tcW w:w="829" w:type="dxa"/>
            <w:vMerge w:val="continue"/>
            <w:shd w:val="clear" w:color="auto" w:fill="auto"/>
            <w:vAlign w:val="center"/>
          </w:tcPr>
          <w:p>
            <w:pPr>
              <w:pStyle w:val="183"/>
              <w:rPr>
                <w:rFonts w:hAnsi="宋体"/>
                <w:color w:val="000000" w:themeColor="text1"/>
                <w:szCs w:val="18"/>
                <w14:textFill>
                  <w14:solidFill>
                    <w14:schemeClr w14:val="tx1"/>
                  </w14:solidFill>
                </w14:textFill>
              </w:rPr>
            </w:pPr>
          </w:p>
        </w:tc>
        <w:tc>
          <w:tcPr>
            <w:tcW w:w="1864" w:type="dxa"/>
            <w:vMerge w:val="continue"/>
            <w:shd w:val="clear" w:color="auto" w:fill="auto"/>
            <w:vAlign w:val="center"/>
          </w:tcPr>
          <w:p>
            <w:pPr>
              <w:pStyle w:val="183"/>
              <w:rPr>
                <w:rFonts w:hAnsi="宋体"/>
                <w:color w:val="000000" w:themeColor="text1"/>
                <w:szCs w:val="18"/>
                <w14:textFill>
                  <w14:solidFill>
                    <w14:schemeClr w14:val="tx1"/>
                  </w14:solidFill>
                </w14:textFill>
              </w:rPr>
            </w:pPr>
          </w:p>
        </w:tc>
        <w:tc>
          <w:tcPr>
            <w:tcW w:w="988" w:type="dxa"/>
            <w:vMerge w:val="continue"/>
            <w:shd w:val="clear" w:color="auto" w:fill="auto"/>
            <w:vAlign w:val="center"/>
          </w:tcPr>
          <w:p>
            <w:pPr>
              <w:pStyle w:val="183"/>
              <w:rPr>
                <w:rFonts w:hAnsi="宋体"/>
                <w:color w:val="000000" w:themeColor="text1"/>
                <w:szCs w:val="18"/>
                <w14:textFill>
                  <w14:solidFill>
                    <w14:schemeClr w14:val="tx1"/>
                  </w14:solidFill>
                </w14:textFill>
              </w:rPr>
            </w:pPr>
          </w:p>
        </w:tc>
        <w:tc>
          <w:tcPr>
            <w:tcW w:w="845" w:type="dxa"/>
            <w:shd w:val="clear" w:color="auto" w:fill="auto"/>
            <w:vAlign w:val="center"/>
          </w:tcPr>
          <w:p>
            <w:pPr>
              <w:pStyle w:val="183"/>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M24</w:t>
            </w:r>
            <w:r>
              <w:rPr>
                <w:rFonts w:hint="eastAsia" w:hAnsi="宋体" w:cs="微软雅黑"/>
                <w:color w:val="000000" w:themeColor="text1"/>
                <w:szCs w:val="18"/>
                <w14:textFill>
                  <w14:solidFill>
                    <w14:schemeClr w14:val="tx1"/>
                  </w14:solidFill>
                </w14:textFill>
              </w:rPr>
              <w:t>～</w:t>
            </w:r>
            <w:r>
              <w:rPr>
                <w:rFonts w:hint="eastAsia" w:hAnsi="宋体"/>
                <w:color w:val="000000" w:themeColor="text1"/>
                <w:szCs w:val="18"/>
                <w14:textFill>
                  <w14:solidFill>
                    <w14:schemeClr w14:val="tx1"/>
                  </w14:solidFill>
                </w14:textFill>
              </w:rPr>
              <w:t>M80</w:t>
            </w:r>
          </w:p>
        </w:tc>
        <w:tc>
          <w:tcPr>
            <w:tcW w:w="838" w:type="dxa"/>
            <w:shd w:val="clear" w:color="auto" w:fill="auto"/>
            <w:vAlign w:val="center"/>
          </w:tcPr>
          <w:p>
            <w:pPr>
              <w:pStyle w:val="183"/>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≥660</w:t>
            </w:r>
          </w:p>
        </w:tc>
        <w:tc>
          <w:tcPr>
            <w:tcW w:w="1015" w:type="dxa"/>
            <w:shd w:val="clear" w:color="auto" w:fill="auto"/>
            <w:vAlign w:val="center"/>
          </w:tcPr>
          <w:p>
            <w:pPr>
              <w:pStyle w:val="183"/>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≥500</w:t>
            </w:r>
          </w:p>
        </w:tc>
        <w:tc>
          <w:tcPr>
            <w:tcW w:w="567" w:type="dxa"/>
            <w:vMerge w:val="continue"/>
            <w:shd w:val="clear" w:color="auto" w:fill="auto"/>
            <w:vAlign w:val="center"/>
          </w:tcPr>
          <w:p>
            <w:pPr>
              <w:pStyle w:val="183"/>
              <w:rPr>
                <w:rFonts w:hAnsi="宋体"/>
                <w:color w:val="000000" w:themeColor="text1"/>
                <w:szCs w:val="18"/>
                <w14:textFill>
                  <w14:solidFill>
                    <w14:schemeClr w14:val="tx1"/>
                  </w14:solidFill>
                </w14:textFill>
              </w:rPr>
            </w:pPr>
          </w:p>
        </w:tc>
        <w:tc>
          <w:tcPr>
            <w:tcW w:w="1567" w:type="dxa"/>
            <w:vMerge w:val="continue"/>
            <w:shd w:val="clear" w:color="auto" w:fill="auto"/>
            <w:vAlign w:val="center"/>
          </w:tcPr>
          <w:p>
            <w:pPr>
              <w:pStyle w:val="183"/>
              <w:rPr>
                <w:rFonts w:hAnsi="宋体"/>
                <w:color w:val="000000" w:themeColor="text1"/>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75" w:hRule="exact"/>
          <w:jc w:val="center"/>
        </w:trPr>
        <w:tc>
          <w:tcPr>
            <w:tcW w:w="861" w:type="dxa"/>
            <w:vMerge w:val="restart"/>
            <w:shd w:val="clear" w:color="auto" w:fill="auto"/>
            <w:vAlign w:val="center"/>
          </w:tcPr>
          <w:p>
            <w:pPr>
              <w:pStyle w:val="61"/>
              <w:ind w:firstLine="0" w:firstLineChars="0"/>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GB/T 3077</w:t>
            </w:r>
          </w:p>
        </w:tc>
        <w:tc>
          <w:tcPr>
            <w:tcW w:w="829" w:type="dxa"/>
            <w:vMerge w:val="restart"/>
            <w:shd w:val="clear" w:color="auto" w:fill="auto"/>
            <w:vAlign w:val="center"/>
          </w:tcPr>
          <w:p>
            <w:pPr>
              <w:pStyle w:val="61"/>
              <w:ind w:firstLineChars="0"/>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35CrMo</w:t>
            </w:r>
          </w:p>
        </w:tc>
        <w:tc>
          <w:tcPr>
            <w:tcW w:w="1864" w:type="dxa"/>
            <w:vMerge w:val="restart"/>
            <w:shd w:val="clear" w:color="auto" w:fill="auto"/>
            <w:vAlign w:val="center"/>
          </w:tcPr>
          <w:p>
            <w:pPr>
              <w:pStyle w:val="61"/>
              <w:ind w:left="420" w:firstLineChars="111"/>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≥560</w:t>
            </w:r>
          </w:p>
        </w:tc>
        <w:tc>
          <w:tcPr>
            <w:tcW w:w="988" w:type="dxa"/>
            <w:vMerge w:val="restart"/>
            <w:shd w:val="clear" w:color="auto" w:fill="auto"/>
            <w:vAlign w:val="center"/>
          </w:tcPr>
          <w:p>
            <w:pPr>
              <w:pStyle w:val="61"/>
              <w:ind w:firstLineChars="0"/>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调质</w:t>
            </w:r>
          </w:p>
        </w:tc>
        <w:tc>
          <w:tcPr>
            <w:tcW w:w="845" w:type="dxa"/>
            <w:shd w:val="clear" w:color="auto" w:fill="auto"/>
            <w:vAlign w:val="center"/>
          </w:tcPr>
          <w:p>
            <w:pPr>
              <w:pStyle w:val="61"/>
              <w:ind w:firstLineChars="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≤M22</w:t>
            </w:r>
          </w:p>
        </w:tc>
        <w:tc>
          <w:tcPr>
            <w:tcW w:w="838" w:type="dxa"/>
            <w:shd w:val="clear" w:color="auto" w:fill="auto"/>
            <w:vAlign w:val="center"/>
          </w:tcPr>
          <w:p>
            <w:pPr>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≥835</w:t>
            </w:r>
          </w:p>
        </w:tc>
        <w:tc>
          <w:tcPr>
            <w:tcW w:w="1015" w:type="dxa"/>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≥735</w:t>
            </w:r>
          </w:p>
        </w:tc>
        <w:tc>
          <w:tcPr>
            <w:tcW w:w="567" w:type="dxa"/>
            <w:vMerge w:val="restart"/>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≥14</w:t>
            </w:r>
          </w:p>
        </w:tc>
        <w:tc>
          <w:tcPr>
            <w:tcW w:w="1567" w:type="dxa"/>
            <w:vMerge w:val="restart"/>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75" w:hRule="exact"/>
          <w:jc w:val="center"/>
        </w:trPr>
        <w:tc>
          <w:tcPr>
            <w:tcW w:w="861" w:type="dxa"/>
            <w:vMerge w:val="continue"/>
            <w:shd w:val="clear" w:color="auto" w:fill="auto"/>
          </w:tcPr>
          <w:p>
            <w:pPr>
              <w:pStyle w:val="183"/>
              <w:rPr>
                <w:rFonts w:hAnsi="宋体"/>
                <w:color w:val="000000" w:themeColor="text1"/>
                <w:szCs w:val="18"/>
                <w14:textFill>
                  <w14:solidFill>
                    <w14:schemeClr w14:val="tx1"/>
                  </w14:solidFill>
                </w14:textFill>
              </w:rPr>
            </w:pPr>
          </w:p>
        </w:tc>
        <w:tc>
          <w:tcPr>
            <w:tcW w:w="829" w:type="dxa"/>
            <w:vMerge w:val="continue"/>
            <w:shd w:val="clear" w:color="auto" w:fill="auto"/>
          </w:tcPr>
          <w:p>
            <w:pPr>
              <w:pStyle w:val="183"/>
              <w:rPr>
                <w:rFonts w:hAnsi="宋体"/>
                <w:color w:val="000000" w:themeColor="text1"/>
                <w:szCs w:val="18"/>
                <w14:textFill>
                  <w14:solidFill>
                    <w14:schemeClr w14:val="tx1"/>
                  </w14:solidFill>
                </w14:textFill>
              </w:rPr>
            </w:pPr>
          </w:p>
        </w:tc>
        <w:tc>
          <w:tcPr>
            <w:tcW w:w="1864" w:type="dxa"/>
            <w:vMerge w:val="continue"/>
            <w:shd w:val="clear" w:color="auto" w:fill="auto"/>
          </w:tcPr>
          <w:p>
            <w:pPr>
              <w:pStyle w:val="183"/>
              <w:rPr>
                <w:rFonts w:hAnsi="宋体"/>
                <w:color w:val="000000" w:themeColor="text1"/>
                <w:szCs w:val="18"/>
                <w14:textFill>
                  <w14:solidFill>
                    <w14:schemeClr w14:val="tx1"/>
                  </w14:solidFill>
                </w14:textFill>
              </w:rPr>
            </w:pPr>
          </w:p>
        </w:tc>
        <w:tc>
          <w:tcPr>
            <w:tcW w:w="988" w:type="dxa"/>
            <w:vMerge w:val="continue"/>
            <w:shd w:val="clear" w:color="auto" w:fill="auto"/>
          </w:tcPr>
          <w:p>
            <w:pPr>
              <w:pStyle w:val="183"/>
              <w:rPr>
                <w:rFonts w:hAnsi="宋体"/>
                <w:color w:val="000000" w:themeColor="text1"/>
                <w:szCs w:val="18"/>
                <w14:textFill>
                  <w14:solidFill>
                    <w14:schemeClr w14:val="tx1"/>
                  </w14:solidFill>
                </w14:textFill>
              </w:rPr>
            </w:pPr>
          </w:p>
        </w:tc>
        <w:tc>
          <w:tcPr>
            <w:tcW w:w="845" w:type="dxa"/>
            <w:shd w:val="clear" w:color="auto" w:fill="auto"/>
            <w:vAlign w:val="center"/>
          </w:tcPr>
          <w:p>
            <w:pPr>
              <w:pStyle w:val="183"/>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M24</w:t>
            </w:r>
            <w:r>
              <w:rPr>
                <w:rFonts w:hint="eastAsia" w:hAnsi="宋体" w:cs="微软雅黑"/>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M80</w:t>
            </w:r>
          </w:p>
        </w:tc>
        <w:tc>
          <w:tcPr>
            <w:tcW w:w="838" w:type="dxa"/>
            <w:shd w:val="clear" w:color="auto" w:fill="auto"/>
            <w:vAlign w:val="center"/>
          </w:tcPr>
          <w:p>
            <w:pPr>
              <w:pStyle w:val="183"/>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≥805</w:t>
            </w:r>
          </w:p>
        </w:tc>
        <w:tc>
          <w:tcPr>
            <w:tcW w:w="1015" w:type="dxa"/>
            <w:shd w:val="clear" w:color="auto" w:fill="auto"/>
            <w:vAlign w:val="center"/>
          </w:tcPr>
          <w:p>
            <w:pPr>
              <w:pStyle w:val="183"/>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≥685</w:t>
            </w:r>
          </w:p>
        </w:tc>
        <w:tc>
          <w:tcPr>
            <w:tcW w:w="567" w:type="dxa"/>
            <w:vMerge w:val="continue"/>
            <w:shd w:val="clear" w:color="auto" w:fill="auto"/>
            <w:vAlign w:val="center"/>
          </w:tcPr>
          <w:p>
            <w:pPr>
              <w:pStyle w:val="183"/>
              <w:rPr>
                <w:rFonts w:hAnsi="宋体"/>
                <w:color w:val="000000" w:themeColor="text1"/>
                <w:szCs w:val="18"/>
                <w14:textFill>
                  <w14:solidFill>
                    <w14:schemeClr w14:val="tx1"/>
                  </w14:solidFill>
                </w14:textFill>
              </w:rPr>
            </w:pPr>
          </w:p>
        </w:tc>
        <w:tc>
          <w:tcPr>
            <w:tcW w:w="1567" w:type="dxa"/>
            <w:vMerge w:val="continue"/>
            <w:shd w:val="clear" w:color="auto" w:fill="auto"/>
            <w:vAlign w:val="center"/>
          </w:tcPr>
          <w:p>
            <w:pPr>
              <w:pStyle w:val="183"/>
              <w:rPr>
                <w:rFonts w:hAnsi="宋体"/>
                <w:color w:val="000000" w:themeColor="text1"/>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75" w:hRule="exact"/>
          <w:jc w:val="center"/>
        </w:trPr>
        <w:tc>
          <w:tcPr>
            <w:tcW w:w="861" w:type="dxa"/>
            <w:vMerge w:val="continue"/>
            <w:shd w:val="clear" w:color="auto" w:fill="auto"/>
          </w:tcPr>
          <w:p>
            <w:pPr>
              <w:pStyle w:val="183"/>
              <w:rPr>
                <w:rFonts w:hAnsi="宋体"/>
                <w:color w:val="000000" w:themeColor="text1"/>
                <w:szCs w:val="18"/>
                <w14:textFill>
                  <w14:solidFill>
                    <w14:schemeClr w14:val="tx1"/>
                  </w14:solidFill>
                </w14:textFill>
              </w:rPr>
            </w:pPr>
          </w:p>
        </w:tc>
        <w:tc>
          <w:tcPr>
            <w:tcW w:w="829" w:type="dxa"/>
            <w:vMerge w:val="continue"/>
            <w:shd w:val="clear" w:color="auto" w:fill="auto"/>
          </w:tcPr>
          <w:p>
            <w:pPr>
              <w:pStyle w:val="183"/>
              <w:rPr>
                <w:rFonts w:hAnsi="宋体"/>
                <w:color w:val="000000" w:themeColor="text1"/>
                <w:szCs w:val="18"/>
                <w14:textFill>
                  <w14:solidFill>
                    <w14:schemeClr w14:val="tx1"/>
                  </w14:solidFill>
                </w14:textFill>
              </w:rPr>
            </w:pPr>
          </w:p>
        </w:tc>
        <w:tc>
          <w:tcPr>
            <w:tcW w:w="1864" w:type="dxa"/>
            <w:vMerge w:val="continue"/>
            <w:shd w:val="clear" w:color="auto" w:fill="auto"/>
          </w:tcPr>
          <w:p>
            <w:pPr>
              <w:pStyle w:val="183"/>
              <w:rPr>
                <w:rFonts w:hAnsi="宋体"/>
                <w:color w:val="000000" w:themeColor="text1"/>
                <w:szCs w:val="18"/>
                <w14:textFill>
                  <w14:solidFill>
                    <w14:schemeClr w14:val="tx1"/>
                  </w14:solidFill>
                </w14:textFill>
              </w:rPr>
            </w:pPr>
          </w:p>
        </w:tc>
        <w:tc>
          <w:tcPr>
            <w:tcW w:w="988" w:type="dxa"/>
            <w:vMerge w:val="continue"/>
            <w:shd w:val="clear" w:color="auto" w:fill="auto"/>
          </w:tcPr>
          <w:p>
            <w:pPr>
              <w:pStyle w:val="183"/>
              <w:rPr>
                <w:rFonts w:hAnsi="宋体"/>
                <w:color w:val="000000" w:themeColor="text1"/>
                <w:szCs w:val="18"/>
                <w14:textFill>
                  <w14:solidFill>
                    <w14:schemeClr w14:val="tx1"/>
                  </w14:solidFill>
                </w14:textFill>
              </w:rPr>
            </w:pPr>
          </w:p>
        </w:tc>
        <w:tc>
          <w:tcPr>
            <w:tcW w:w="845" w:type="dxa"/>
            <w:shd w:val="clear" w:color="auto" w:fill="auto"/>
            <w:vAlign w:val="center"/>
          </w:tcPr>
          <w:p>
            <w:pPr>
              <w:pStyle w:val="183"/>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M</w:t>
            </w:r>
            <w:r>
              <w:rPr>
                <w:rFonts w:hint="eastAsia" w:hAnsi="宋体"/>
                <w:color w:val="000000" w:themeColor="text1"/>
                <w:szCs w:val="18"/>
                <w14:textFill>
                  <w14:solidFill>
                    <w14:schemeClr w14:val="tx1"/>
                  </w14:solidFill>
                </w14:textFill>
              </w:rPr>
              <w:t>85</w:t>
            </w:r>
            <w:r>
              <w:rPr>
                <w:rFonts w:hint="eastAsia" w:hAnsi="宋体" w:cs="微软雅黑"/>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M</w:t>
            </w:r>
            <w:r>
              <w:rPr>
                <w:rFonts w:hint="eastAsia" w:hAnsi="宋体"/>
                <w:color w:val="000000" w:themeColor="text1"/>
                <w:szCs w:val="18"/>
                <w14:textFill>
                  <w14:solidFill>
                    <w14:schemeClr w14:val="tx1"/>
                  </w14:solidFill>
                </w14:textFill>
              </w:rPr>
              <w:t>105</w:t>
            </w:r>
          </w:p>
        </w:tc>
        <w:tc>
          <w:tcPr>
            <w:tcW w:w="838" w:type="dxa"/>
            <w:shd w:val="clear" w:color="auto" w:fill="auto"/>
            <w:vAlign w:val="center"/>
          </w:tcPr>
          <w:p>
            <w:pPr>
              <w:pStyle w:val="183"/>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≥735</w:t>
            </w:r>
          </w:p>
        </w:tc>
        <w:tc>
          <w:tcPr>
            <w:tcW w:w="1015" w:type="dxa"/>
            <w:shd w:val="clear" w:color="auto" w:fill="auto"/>
            <w:vAlign w:val="center"/>
          </w:tcPr>
          <w:p>
            <w:pPr>
              <w:pStyle w:val="183"/>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≥590</w:t>
            </w:r>
          </w:p>
        </w:tc>
        <w:tc>
          <w:tcPr>
            <w:tcW w:w="567" w:type="dxa"/>
            <w:vMerge w:val="continue"/>
            <w:shd w:val="clear" w:color="auto" w:fill="auto"/>
            <w:vAlign w:val="center"/>
          </w:tcPr>
          <w:p>
            <w:pPr>
              <w:pStyle w:val="183"/>
              <w:rPr>
                <w:rFonts w:hAnsi="宋体"/>
                <w:color w:val="000000" w:themeColor="text1"/>
                <w:szCs w:val="18"/>
                <w14:textFill>
                  <w14:solidFill>
                    <w14:schemeClr w14:val="tx1"/>
                  </w14:solidFill>
                </w14:textFill>
              </w:rPr>
            </w:pPr>
          </w:p>
        </w:tc>
        <w:tc>
          <w:tcPr>
            <w:tcW w:w="1567" w:type="dxa"/>
            <w:vMerge w:val="continue"/>
            <w:shd w:val="clear" w:color="auto" w:fill="auto"/>
            <w:vAlign w:val="center"/>
          </w:tcPr>
          <w:p>
            <w:pPr>
              <w:pStyle w:val="183"/>
              <w:rPr>
                <w:rFonts w:hAnsi="宋体"/>
                <w:color w:val="000000" w:themeColor="text1"/>
                <w:szCs w:val="18"/>
                <w14:textFill>
                  <w14:solidFill>
                    <w14:schemeClr w14:val="tx1"/>
                  </w14:solidFill>
                </w14:textFill>
              </w:rPr>
            </w:pPr>
          </w:p>
        </w:tc>
      </w:tr>
    </w:tbl>
    <w:p>
      <w:pPr>
        <w:pStyle w:val="61"/>
        <w:ind w:firstLine="199" w:firstLineChars="95"/>
      </w:pPr>
    </w:p>
    <w:p>
      <w:pPr>
        <w:pStyle w:val="179"/>
      </w:pPr>
      <w:r>
        <w:rPr>
          <w:rFonts w:hint="eastAsia"/>
        </w:rPr>
        <w:t>当螺柱的使用温度为-20 ℃～-</w:t>
      </w:r>
      <w:r>
        <w:t>40</w:t>
      </w:r>
      <w:r>
        <w:rPr>
          <w:rFonts w:hint="eastAsia"/>
        </w:rPr>
        <w:t xml:space="preserve"> ℃时，30CrMo和35CrMo钢棒用钢，其化学成分（熔炼分析）中磷含量应小于或等于0.020%，硫含量应小于或等于0.010%；并应进行使用温度下的低温冲击试验，此时表</w:t>
      </w:r>
      <w:r>
        <w:t>6</w:t>
      </w:r>
      <w:r>
        <w:rPr>
          <w:rFonts w:hint="eastAsia"/>
        </w:rPr>
        <w:t>中0℃对应的冲击试验温度由0</w:t>
      </w:r>
      <w:r>
        <w:t xml:space="preserve"> </w:t>
      </w:r>
      <w:r>
        <w:rPr>
          <w:rFonts w:hint="eastAsia"/>
        </w:rPr>
        <w:t>℃改为使用温度,低温冲击吸收能量平均值指标按表1</w:t>
      </w:r>
      <w:r>
        <w:t>3</w:t>
      </w:r>
      <w:r>
        <w:rPr>
          <w:rFonts w:hint="eastAsia"/>
        </w:rPr>
        <w:t>的规定；</w:t>
      </w:r>
    </w:p>
    <w:p>
      <w:pPr>
        <w:pStyle w:val="117"/>
        <w:spacing w:before="120" w:after="120"/>
      </w:pPr>
      <w:r>
        <w:rPr>
          <w:rFonts w:hint="eastAsia"/>
        </w:rPr>
        <w:t>低温螺柱用钢棒的冲击吸收能量指标</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343"/>
        <w:gridCol w:w="2343"/>
        <w:gridCol w:w="2344"/>
        <w:gridCol w:w="23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343" w:type="dxa"/>
            <w:tcBorders>
              <w:top w:val="single" w:color="auto" w:sz="8" w:space="0"/>
              <w:bottom w:val="single" w:color="auto" w:sz="8" w:space="0"/>
            </w:tcBorders>
            <w:shd w:val="clear" w:color="auto" w:fill="auto"/>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牌号</w:t>
            </w:r>
          </w:p>
        </w:tc>
        <w:tc>
          <w:tcPr>
            <w:tcW w:w="2343" w:type="dxa"/>
            <w:tcBorders>
              <w:top w:val="single" w:color="auto" w:sz="8" w:space="0"/>
              <w:bottom w:val="single" w:color="auto" w:sz="8" w:space="0"/>
            </w:tcBorders>
            <w:shd w:val="clear" w:color="auto" w:fill="auto"/>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螺柱规定</w:t>
            </w:r>
          </w:p>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mm</w:t>
            </w:r>
          </w:p>
        </w:tc>
        <w:tc>
          <w:tcPr>
            <w:tcW w:w="2344" w:type="dxa"/>
            <w:tcBorders>
              <w:top w:val="single" w:color="auto" w:sz="8" w:space="0"/>
              <w:bottom w:val="single" w:color="auto" w:sz="8" w:space="0"/>
            </w:tcBorders>
            <w:shd w:val="clear" w:color="auto" w:fill="auto"/>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最低冲击试验温度</w:t>
            </w:r>
          </w:p>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w:t>
            </w:r>
          </w:p>
        </w:tc>
        <w:tc>
          <w:tcPr>
            <w:tcW w:w="2344" w:type="dxa"/>
            <w:tcBorders>
              <w:top w:val="single" w:color="auto" w:sz="8" w:space="0"/>
              <w:bottom w:val="single" w:color="auto" w:sz="8" w:space="0"/>
            </w:tcBorders>
            <w:shd w:val="clear" w:color="auto" w:fill="auto"/>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冲击吸收能量平均值</w:t>
            </w:r>
          </w:p>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Times New Roman"/>
                <w:color w:val="000000" w:themeColor="text1"/>
                <w:kern w:val="0"/>
                <w:sz w:val="18"/>
                <w:szCs w:val="18"/>
                <w14:textFill>
                  <w14:solidFill>
                    <w14:schemeClr w14:val="tx1"/>
                  </w14:solidFill>
                </w14:textFill>
              </w:rPr>
              <w:t>（KV</w:t>
            </w:r>
            <w:r>
              <w:rPr>
                <w:rFonts w:hint="eastAsia" w:ascii="宋体" w:hAnsi="Times New Roman"/>
                <w:color w:val="000000" w:themeColor="text1"/>
                <w:kern w:val="0"/>
                <w:sz w:val="18"/>
                <w:szCs w:val="18"/>
                <w:vertAlign w:val="superscript"/>
                <w14:textFill>
                  <w14:solidFill>
                    <w14:schemeClr w14:val="tx1"/>
                  </w14:solidFill>
                </w14:textFill>
              </w:rPr>
              <w:t>2</w:t>
            </w:r>
            <w:r>
              <w:rPr>
                <w:rFonts w:hint="eastAsia" w:ascii="宋体" w:hAnsi="Times New Roman"/>
                <w:color w:val="000000" w:themeColor="text1"/>
                <w:kern w:val="0"/>
                <w:sz w:val="18"/>
                <w:szCs w:val="18"/>
                <w14:textFill>
                  <w14:solidFill>
                    <w14:schemeClr w14:val="tx1"/>
                  </w14:solidFill>
                </w14:textFill>
              </w:rPr>
              <w:t>）J</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75" w:hRule="exact"/>
          <w:jc w:val="center"/>
        </w:trPr>
        <w:tc>
          <w:tcPr>
            <w:tcW w:w="2343" w:type="dxa"/>
            <w:tcBorders>
              <w:top w:val="single" w:color="auto" w:sz="8" w:space="0"/>
            </w:tcBorders>
            <w:shd w:val="clear" w:color="auto" w:fill="auto"/>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30CrMo</w:t>
            </w:r>
          </w:p>
        </w:tc>
        <w:tc>
          <w:tcPr>
            <w:tcW w:w="2343" w:type="dxa"/>
            <w:tcBorders>
              <w:top w:val="single" w:color="auto" w:sz="8" w:space="0"/>
            </w:tcBorders>
            <w:shd w:val="clear" w:color="auto" w:fill="auto"/>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≤80</w:t>
            </w:r>
          </w:p>
        </w:tc>
        <w:tc>
          <w:tcPr>
            <w:tcW w:w="2344" w:type="dxa"/>
            <w:tcBorders>
              <w:top w:val="single" w:color="auto" w:sz="8" w:space="0"/>
            </w:tcBorders>
            <w:shd w:val="clear" w:color="auto" w:fill="auto"/>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-100</w:t>
            </w:r>
          </w:p>
        </w:tc>
        <w:tc>
          <w:tcPr>
            <w:tcW w:w="2344" w:type="dxa"/>
            <w:tcBorders>
              <w:top w:val="single" w:color="auto" w:sz="8" w:space="0"/>
            </w:tcBorders>
            <w:shd w:val="clear" w:color="auto" w:fill="auto"/>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75" w:hRule="exact"/>
          <w:jc w:val="center"/>
        </w:trPr>
        <w:tc>
          <w:tcPr>
            <w:tcW w:w="2343" w:type="dxa"/>
            <w:shd w:val="clear" w:color="auto" w:fill="auto"/>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35CrMo</w:t>
            </w:r>
          </w:p>
        </w:tc>
        <w:tc>
          <w:tcPr>
            <w:tcW w:w="2343" w:type="dxa"/>
            <w:shd w:val="clear" w:color="auto" w:fill="auto"/>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≤80</w:t>
            </w:r>
          </w:p>
        </w:tc>
        <w:tc>
          <w:tcPr>
            <w:tcW w:w="2344" w:type="dxa"/>
            <w:shd w:val="clear" w:color="auto" w:fill="auto"/>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-70</w:t>
            </w:r>
          </w:p>
        </w:tc>
        <w:tc>
          <w:tcPr>
            <w:tcW w:w="2344" w:type="dxa"/>
            <w:shd w:val="clear" w:color="auto" w:fill="auto"/>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≥54</w:t>
            </w:r>
          </w:p>
        </w:tc>
      </w:tr>
    </w:tbl>
    <w:p>
      <w:pPr>
        <w:pStyle w:val="61"/>
        <w:ind w:firstLine="420"/>
      </w:pPr>
    </w:p>
    <w:p>
      <w:pPr>
        <w:pStyle w:val="179"/>
      </w:pPr>
      <w:r>
        <w:rPr>
          <w:rFonts w:hint="eastAsia"/>
        </w:rPr>
        <w:t>与螺柱用钢组合使用的螺母用钢可按表</w:t>
      </w:r>
      <w:r>
        <w:t>7</w:t>
      </w:r>
      <w:r>
        <w:rPr>
          <w:rFonts w:hint="eastAsia"/>
        </w:rPr>
        <w:t>选取，也可选用有使用经验的其它螺母用钢。调质状态使用的螺母用钢其回火温度应高于组合使用的螺柱用钢的回火温度；</w:t>
      </w:r>
    </w:p>
    <w:p>
      <w:pPr>
        <w:pStyle w:val="117"/>
        <w:spacing w:before="120" w:after="120"/>
      </w:pPr>
      <w:r>
        <w:rPr>
          <w:rFonts w:hint="eastAsia"/>
        </w:rPr>
        <w:t>常用螺母用钢</w:t>
      </w:r>
    </w:p>
    <w:tbl>
      <w:tblPr>
        <w:tblStyle w:val="31"/>
        <w:tblW w:w="93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74"/>
        <w:gridCol w:w="1875"/>
        <w:gridCol w:w="1875"/>
        <w:gridCol w:w="1875"/>
        <w:gridCol w:w="18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874" w:type="dxa"/>
            <w:vMerge w:val="restart"/>
            <w:tcBorders>
              <w:top w:val="single" w:color="auto" w:sz="8" w:space="0"/>
            </w:tcBorders>
            <w:vAlign w:val="center"/>
          </w:tcPr>
          <w:p>
            <w:pPr>
              <w:pStyle w:val="61"/>
              <w:ind w:firstLine="0" w:firstLineChars="0"/>
              <w:jc w:val="center"/>
              <w:rPr>
                <w:rFonts w:hAnsi="宋体"/>
                <w:color w:val="000000" w:themeColor="text1"/>
                <w:sz w:val="18"/>
                <w:szCs w:val="18"/>
                <w14:textFill>
                  <w14:solidFill>
                    <w14:schemeClr w14:val="tx1"/>
                  </w14:solidFill>
                </w14:textFill>
              </w:rPr>
            </w:pPr>
            <w:r>
              <w:rPr>
                <w:rFonts w:hAnsi="宋体"/>
                <w:color w:val="000000" w:themeColor="text1"/>
                <w:sz w:val="18"/>
                <w:szCs w:val="18"/>
                <w14:textFill>
                  <w14:solidFill>
                    <w14:schemeClr w14:val="tx1"/>
                  </w14:solidFill>
                </w14:textFill>
              </w:rPr>
              <w:t>螺柱用钢牌号</w:t>
            </w:r>
          </w:p>
        </w:tc>
        <w:tc>
          <w:tcPr>
            <w:tcW w:w="5625" w:type="dxa"/>
            <w:gridSpan w:val="3"/>
            <w:tcBorders>
              <w:top w:val="single" w:color="auto" w:sz="8" w:space="0"/>
              <w:bottom w:val="single" w:color="auto" w:sz="8" w:space="0"/>
            </w:tcBorders>
            <w:shd w:val="clear" w:color="auto" w:fill="auto"/>
            <w:vAlign w:val="center"/>
          </w:tcPr>
          <w:p>
            <w:pPr>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螺母用钢</w:t>
            </w:r>
          </w:p>
        </w:tc>
        <w:tc>
          <w:tcPr>
            <w:tcW w:w="1875" w:type="dxa"/>
            <w:vMerge w:val="restart"/>
            <w:tcBorders>
              <w:top w:val="single" w:color="auto" w:sz="8" w:space="0"/>
            </w:tcBorders>
            <w:shd w:val="clear" w:color="auto" w:fill="auto"/>
            <w:vAlign w:val="center"/>
          </w:tcPr>
          <w:p>
            <w:pPr>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使用温度范围</w:t>
            </w:r>
          </w:p>
          <w:p>
            <w:pPr>
              <w:jc w:val="center"/>
              <w:rPr>
                <w:rFonts w:hAnsi="宋体"/>
                <w:color w:val="000000" w:themeColor="text1"/>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74" w:type="dxa"/>
            <w:vMerge w:val="continue"/>
            <w:vAlign w:val="center"/>
          </w:tcPr>
          <w:p>
            <w:pPr>
              <w:pStyle w:val="61"/>
              <w:ind w:left="420" w:firstLine="0" w:firstLineChars="0"/>
              <w:jc w:val="center"/>
              <w:rPr>
                <w:rFonts w:hAnsi="宋体"/>
                <w:color w:val="000000" w:themeColor="text1"/>
                <w:sz w:val="18"/>
                <w:szCs w:val="18"/>
                <w14:textFill>
                  <w14:solidFill>
                    <w14:schemeClr w14:val="tx1"/>
                  </w14:solidFill>
                </w14:textFill>
              </w:rPr>
            </w:pPr>
          </w:p>
        </w:tc>
        <w:tc>
          <w:tcPr>
            <w:tcW w:w="1875" w:type="dxa"/>
            <w:tcBorders>
              <w:top w:val="single" w:color="auto" w:sz="8" w:space="0"/>
            </w:tcBorders>
            <w:shd w:val="clear" w:color="auto" w:fill="auto"/>
            <w:vAlign w:val="center"/>
          </w:tcPr>
          <w:p>
            <w:pPr>
              <w:pStyle w:val="183"/>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牌号</w:t>
            </w:r>
          </w:p>
        </w:tc>
        <w:tc>
          <w:tcPr>
            <w:tcW w:w="1875" w:type="dxa"/>
            <w:tcBorders>
              <w:top w:val="single" w:color="auto" w:sz="8" w:space="0"/>
            </w:tcBorders>
            <w:shd w:val="clear" w:color="auto" w:fill="auto"/>
            <w:vAlign w:val="center"/>
          </w:tcPr>
          <w:p>
            <w:pPr>
              <w:pStyle w:val="183"/>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钢材标准</w:t>
            </w:r>
          </w:p>
        </w:tc>
        <w:tc>
          <w:tcPr>
            <w:tcW w:w="1875" w:type="dxa"/>
            <w:tcBorders>
              <w:top w:val="single" w:color="auto" w:sz="8" w:space="0"/>
            </w:tcBorders>
            <w:shd w:val="clear" w:color="auto" w:fill="auto"/>
            <w:vAlign w:val="center"/>
          </w:tcPr>
          <w:p>
            <w:pPr>
              <w:pStyle w:val="183"/>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使用状态</w:t>
            </w:r>
          </w:p>
        </w:tc>
        <w:tc>
          <w:tcPr>
            <w:tcW w:w="1875" w:type="dxa"/>
            <w:vMerge w:val="continue"/>
            <w:shd w:val="clear" w:color="auto" w:fill="auto"/>
            <w:vAlign w:val="center"/>
          </w:tcPr>
          <w:p>
            <w:pPr>
              <w:pStyle w:val="183"/>
              <w:rPr>
                <w:rFonts w:hAnsi="宋体"/>
                <w:color w:val="000000" w:themeColor="text1"/>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75" w:hRule="exact"/>
          <w:jc w:val="center"/>
        </w:trPr>
        <w:tc>
          <w:tcPr>
            <w:tcW w:w="1874" w:type="dxa"/>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30CrMo</w:t>
            </w:r>
          </w:p>
        </w:tc>
        <w:tc>
          <w:tcPr>
            <w:tcW w:w="1875" w:type="dxa"/>
            <w:shd w:val="clear" w:color="auto" w:fill="auto"/>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30CrMo</w:t>
            </w:r>
          </w:p>
        </w:tc>
        <w:tc>
          <w:tcPr>
            <w:tcW w:w="1875" w:type="dxa"/>
            <w:shd w:val="clear" w:color="auto" w:fill="auto"/>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GB/T 3077</w:t>
            </w:r>
          </w:p>
        </w:tc>
        <w:tc>
          <w:tcPr>
            <w:tcW w:w="1875" w:type="dxa"/>
            <w:shd w:val="clear" w:color="auto" w:fill="auto"/>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调质</w:t>
            </w:r>
          </w:p>
        </w:tc>
        <w:tc>
          <w:tcPr>
            <w:tcW w:w="1875" w:type="dxa"/>
            <w:shd w:val="clear" w:color="auto" w:fill="auto"/>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-100～500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75" w:hRule="exact"/>
          <w:jc w:val="center"/>
        </w:trPr>
        <w:tc>
          <w:tcPr>
            <w:tcW w:w="1874" w:type="dxa"/>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35CrMo</w:t>
            </w:r>
          </w:p>
        </w:tc>
        <w:tc>
          <w:tcPr>
            <w:tcW w:w="1875" w:type="dxa"/>
            <w:shd w:val="clear" w:color="auto" w:fill="auto"/>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30CrMo、35CrMo</w:t>
            </w:r>
          </w:p>
        </w:tc>
        <w:tc>
          <w:tcPr>
            <w:tcW w:w="1875" w:type="dxa"/>
            <w:shd w:val="clear" w:color="auto" w:fill="auto"/>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GB/T 3077</w:t>
            </w:r>
          </w:p>
        </w:tc>
        <w:tc>
          <w:tcPr>
            <w:tcW w:w="1875" w:type="dxa"/>
            <w:shd w:val="clear" w:color="auto" w:fill="auto"/>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调质</w:t>
            </w:r>
          </w:p>
        </w:tc>
        <w:tc>
          <w:tcPr>
            <w:tcW w:w="1875" w:type="dxa"/>
            <w:shd w:val="clear" w:color="auto" w:fill="auto"/>
            <w:vAlign w:val="center"/>
          </w:tcPr>
          <w:p>
            <w:pPr>
              <w:widowControl/>
              <w:autoSpaceDE w:val="0"/>
              <w:autoSpaceDN w:val="0"/>
              <w:adjustRightInd/>
              <w:spacing w:line="240" w:lineRule="auto"/>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-100～500</w:t>
            </w:r>
          </w:p>
        </w:tc>
      </w:tr>
    </w:tbl>
    <w:p>
      <w:pPr>
        <w:pStyle w:val="61"/>
        <w:ind w:firstLine="420"/>
      </w:pPr>
    </w:p>
    <w:p>
      <w:pPr>
        <w:pStyle w:val="179"/>
      </w:pPr>
      <w:r>
        <w:rPr>
          <w:rFonts w:hint="eastAsia"/>
        </w:rPr>
        <w:t>螺柱粗加工后（螺纹加工前），对规格大于或等于M36的螺柱应按NB/T 47013.3进行100%的超声检测，同时应按NB/T 47013.4或NB/T 47013.5进行1</w:t>
      </w:r>
      <w:r>
        <w:t>00%</w:t>
      </w:r>
      <w:r>
        <w:rPr>
          <w:rFonts w:hint="eastAsia"/>
        </w:rPr>
        <w:t>磁粉或渗透检测，合格级别均为I级；</w:t>
      </w:r>
    </w:p>
    <w:p>
      <w:pPr>
        <w:pStyle w:val="179"/>
      </w:pPr>
      <w:r>
        <w:rPr>
          <w:rFonts w:hint="eastAsia"/>
        </w:rPr>
        <w:t>螺柱的螺纹宜采用滚制方法加工，螺纹加工后应按NB/T 47013.4或NB/T 47013.5进行表面检测，不应有任何裂纹显示和任何横向缺陷显示。</w:t>
      </w:r>
    </w:p>
    <w:p>
      <w:pPr>
        <w:pStyle w:val="170"/>
      </w:pPr>
      <w:r>
        <w:rPr>
          <w:rFonts w:hint="eastAsia"/>
        </w:rPr>
        <w:t>法兰材料的选择应考虑与管道的可焊性。</w:t>
      </w:r>
    </w:p>
    <w:p>
      <w:pPr>
        <w:pStyle w:val="170"/>
      </w:pPr>
      <w:r>
        <w:rPr>
          <w:rFonts w:hint="eastAsia"/>
        </w:rPr>
        <w:t>氢气工艺管道、掺氢工艺管道法兰应选用带颈对焊法兰，密封面应采用凹凸式、榫槽式或环形接头等防泄漏密封面类型。</w:t>
      </w:r>
    </w:p>
    <w:p>
      <w:pPr>
        <w:pStyle w:val="170"/>
        <w:rPr>
          <w:color w:val="C00000"/>
        </w:rPr>
      </w:pPr>
      <w:r>
        <w:rPr>
          <w:rFonts w:hint="eastAsia"/>
        </w:rPr>
        <w:t>氢气工艺管道、掺氢工艺管道法兰垫片材料应适用于设计压力和温度，并具有氢相容性、防漏性和耐火性能，应选用柔性石墨+不锈钢缠绕式垫片或金属环垫，并应符合下列要求：</w:t>
      </w:r>
      <w:r>
        <w:t xml:space="preserve"> </w:t>
      </w:r>
    </w:p>
    <w:p>
      <w:pPr>
        <w:pStyle w:val="179"/>
        <w:numPr>
          <w:ilvl w:val="0"/>
          <w:numId w:val="43"/>
        </w:numPr>
      </w:pPr>
      <w:r>
        <w:rPr>
          <w:rFonts w:hint="eastAsia"/>
        </w:rPr>
        <w:t>氢气工艺管道、掺氢工艺管道法兰用柔性石墨+不锈钢缠绕式垫片的材料标准和使用温度范围应符合表</w:t>
      </w:r>
      <w:r>
        <w:t>8</w:t>
      </w:r>
      <w:r>
        <w:rPr>
          <w:rFonts w:hint="eastAsia"/>
        </w:rPr>
        <w:t>的规定；</w:t>
      </w:r>
    </w:p>
    <w:p>
      <w:pPr>
        <w:pStyle w:val="117"/>
        <w:spacing w:before="120" w:after="120"/>
      </w:pPr>
      <w:r>
        <w:rPr>
          <w:rFonts w:hint="eastAsia"/>
        </w:rPr>
        <w:t>缠绕垫片的材料和使用温度范围</w:t>
      </w:r>
    </w:p>
    <w:tbl>
      <w:tblPr>
        <w:tblStyle w:val="31"/>
        <w:tblW w:w="93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74"/>
        <w:gridCol w:w="1875"/>
        <w:gridCol w:w="1875"/>
        <w:gridCol w:w="1875"/>
        <w:gridCol w:w="18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blHeader/>
          <w:jc w:val="center"/>
        </w:trPr>
        <w:tc>
          <w:tcPr>
            <w:tcW w:w="3749" w:type="dxa"/>
            <w:gridSpan w:val="2"/>
            <w:tcBorders>
              <w:top w:val="single" w:color="auto" w:sz="8" w:space="0"/>
              <w:bottom w:val="single" w:color="auto" w:sz="8" w:space="0"/>
            </w:tcBorders>
            <w:shd w:val="clear" w:color="auto" w:fill="auto"/>
            <w:vAlign w:val="center"/>
          </w:tcPr>
          <w:p>
            <w:pPr>
              <w:pStyle w:val="183"/>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金属带材料</w:t>
            </w:r>
          </w:p>
        </w:tc>
        <w:tc>
          <w:tcPr>
            <w:tcW w:w="3750" w:type="dxa"/>
            <w:gridSpan w:val="2"/>
            <w:tcBorders>
              <w:top w:val="single" w:color="auto" w:sz="8" w:space="0"/>
              <w:bottom w:val="single" w:color="auto" w:sz="8" w:space="0"/>
            </w:tcBorders>
            <w:shd w:val="clear" w:color="auto" w:fill="auto"/>
            <w:vAlign w:val="center"/>
          </w:tcPr>
          <w:p>
            <w:pPr>
              <w:pStyle w:val="183"/>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填充材料</w:t>
            </w:r>
          </w:p>
        </w:tc>
        <w:tc>
          <w:tcPr>
            <w:tcW w:w="1875" w:type="dxa"/>
            <w:vMerge w:val="restart"/>
            <w:tcBorders>
              <w:top w:val="single" w:color="auto" w:sz="8" w:space="0"/>
            </w:tcBorders>
            <w:shd w:val="clear" w:color="auto" w:fill="auto"/>
            <w:vAlign w:val="center"/>
          </w:tcPr>
          <w:p>
            <w:pPr>
              <w:pStyle w:val="183"/>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使用温度范围</w:t>
            </w:r>
          </w:p>
          <w:p>
            <w:pPr>
              <w:pStyle w:val="183"/>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74" w:type="dxa"/>
            <w:tcBorders>
              <w:top w:val="single" w:color="auto" w:sz="8" w:space="0"/>
            </w:tcBorders>
            <w:shd w:val="clear" w:color="auto" w:fill="auto"/>
            <w:vAlign w:val="center"/>
          </w:tcPr>
          <w:p>
            <w:pPr>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钢号</w:t>
            </w:r>
          </w:p>
        </w:tc>
        <w:tc>
          <w:tcPr>
            <w:tcW w:w="1875" w:type="dxa"/>
            <w:tcBorders>
              <w:top w:val="single" w:color="auto" w:sz="8" w:space="0"/>
            </w:tcBorders>
            <w:shd w:val="clear" w:color="auto" w:fill="auto"/>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标准</w:t>
            </w:r>
          </w:p>
        </w:tc>
        <w:tc>
          <w:tcPr>
            <w:tcW w:w="1875" w:type="dxa"/>
            <w:tcBorders>
              <w:top w:val="single" w:color="auto" w:sz="8" w:space="0"/>
            </w:tcBorders>
            <w:shd w:val="clear" w:color="auto" w:fill="auto"/>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名称</w:t>
            </w:r>
          </w:p>
        </w:tc>
        <w:tc>
          <w:tcPr>
            <w:tcW w:w="1875" w:type="dxa"/>
            <w:tcBorders>
              <w:top w:val="single" w:color="auto" w:sz="8" w:space="0"/>
            </w:tcBorders>
            <w:shd w:val="clear" w:color="auto" w:fill="auto"/>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参考标准</w:t>
            </w:r>
          </w:p>
        </w:tc>
        <w:tc>
          <w:tcPr>
            <w:tcW w:w="1875" w:type="dxa"/>
            <w:vMerge w:val="continue"/>
            <w:shd w:val="clear" w:color="auto" w:fill="auto"/>
            <w:vAlign w:val="center"/>
          </w:tcPr>
          <w:p>
            <w:pPr>
              <w:pStyle w:val="183"/>
              <w:rPr>
                <w:color w:val="000000" w:themeColor="text1"/>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74" w:type="dxa"/>
            <w:shd w:val="clear" w:color="auto" w:fill="auto"/>
            <w:vAlign w:val="center"/>
          </w:tcPr>
          <w:p>
            <w:pPr>
              <w:jc w:val="center"/>
              <w:rPr>
                <w:rFonts w:hAnsi="宋体"/>
                <w:color w:val="000000" w:themeColor="text1"/>
                <w:sz w:val="18"/>
                <w:szCs w:val="18"/>
                <w14:textFill>
                  <w14:solidFill>
                    <w14:schemeClr w14:val="tx1"/>
                  </w14:solidFill>
                </w14:textFill>
              </w:rPr>
            </w:pPr>
            <w:r>
              <w:rPr>
                <w:rFonts w:hAnsi="宋体"/>
                <w:color w:val="000000" w:themeColor="text1"/>
                <w:sz w:val="18"/>
                <w:szCs w:val="18"/>
                <w14:textFill>
                  <w14:solidFill>
                    <w14:schemeClr w14:val="tx1"/>
                  </w14:solidFill>
                </w14:textFill>
              </w:rPr>
              <w:t>0Cr18Ni9(304)</w:t>
            </w:r>
          </w:p>
        </w:tc>
        <w:tc>
          <w:tcPr>
            <w:tcW w:w="1875" w:type="dxa"/>
            <w:vMerge w:val="restart"/>
            <w:vAlign w:val="center"/>
          </w:tcPr>
          <w:p>
            <w:pPr>
              <w:pStyle w:val="170"/>
              <w:numPr>
                <w:ilvl w:val="0"/>
                <w:numId w:val="0"/>
              </w:numPr>
              <w:spacing w:before="156" w:after="156"/>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GB/T 3280</w:t>
            </w:r>
          </w:p>
        </w:tc>
        <w:tc>
          <w:tcPr>
            <w:tcW w:w="1875" w:type="dxa"/>
            <w:vMerge w:val="restart"/>
            <w:vAlign w:val="center"/>
          </w:tcPr>
          <w:p>
            <w:pPr>
              <w:pStyle w:val="170"/>
              <w:numPr>
                <w:ilvl w:val="0"/>
                <w:numId w:val="0"/>
              </w:numPr>
              <w:spacing w:before="156" w:after="156"/>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柔性石墨</w:t>
            </w:r>
          </w:p>
        </w:tc>
        <w:tc>
          <w:tcPr>
            <w:tcW w:w="1875" w:type="dxa"/>
            <w:vMerge w:val="restart"/>
            <w:vAlign w:val="center"/>
          </w:tcPr>
          <w:p>
            <w:pPr>
              <w:pStyle w:val="170"/>
              <w:numPr>
                <w:ilvl w:val="0"/>
                <w:numId w:val="0"/>
              </w:numPr>
              <w:spacing w:before="156" w:after="156"/>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JB/T 7758.2</w:t>
            </w:r>
          </w:p>
        </w:tc>
        <w:tc>
          <w:tcPr>
            <w:tcW w:w="1875" w:type="dxa"/>
            <w:vMerge w:val="restart"/>
            <w:vAlign w:val="center"/>
          </w:tcPr>
          <w:p>
            <w:pPr>
              <w:pStyle w:val="170"/>
              <w:numPr>
                <w:ilvl w:val="0"/>
                <w:numId w:val="0"/>
              </w:numPr>
              <w:spacing w:before="156" w:after="156"/>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-200</w:t>
            </w:r>
            <w:r>
              <w:rPr>
                <w:rFonts w:hint="eastAsia" w:ascii="微软雅黑" w:hAnsi="微软雅黑" w:eastAsia="微软雅黑" w:cs="微软雅黑"/>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+650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74" w:type="dxa"/>
            <w:shd w:val="clear" w:color="auto" w:fill="auto"/>
          </w:tcPr>
          <w:p>
            <w:pPr>
              <w:jc w:val="center"/>
              <w:rPr>
                <w:rFonts w:hAnsi="宋体"/>
                <w:color w:val="000000" w:themeColor="text1"/>
                <w:sz w:val="18"/>
                <w:szCs w:val="18"/>
                <w14:textFill>
                  <w14:solidFill>
                    <w14:schemeClr w14:val="tx1"/>
                  </w14:solidFill>
                </w14:textFill>
              </w:rPr>
            </w:pPr>
            <w:r>
              <w:rPr>
                <w:rFonts w:hAnsi="宋体"/>
                <w:color w:val="000000" w:themeColor="text1"/>
                <w:sz w:val="18"/>
                <w:szCs w:val="18"/>
                <w14:textFill>
                  <w14:solidFill>
                    <w14:schemeClr w14:val="tx1"/>
                  </w14:solidFill>
                </w14:textFill>
              </w:rPr>
              <w:t>00Cr19Ni9(304L)</w:t>
            </w:r>
          </w:p>
        </w:tc>
        <w:tc>
          <w:tcPr>
            <w:tcW w:w="1875" w:type="dxa"/>
            <w:vMerge w:val="continue"/>
            <w:shd w:val="clear" w:color="auto" w:fill="auto"/>
            <w:vAlign w:val="center"/>
          </w:tcPr>
          <w:p>
            <w:pPr>
              <w:pStyle w:val="183"/>
              <w:rPr>
                <w:color w:val="000000" w:themeColor="text1"/>
                <w14:textFill>
                  <w14:solidFill>
                    <w14:schemeClr w14:val="tx1"/>
                  </w14:solidFill>
                </w14:textFill>
              </w:rPr>
            </w:pPr>
          </w:p>
        </w:tc>
        <w:tc>
          <w:tcPr>
            <w:tcW w:w="1875" w:type="dxa"/>
            <w:vMerge w:val="continue"/>
            <w:shd w:val="clear" w:color="auto" w:fill="auto"/>
            <w:vAlign w:val="center"/>
          </w:tcPr>
          <w:p>
            <w:pPr>
              <w:pStyle w:val="183"/>
              <w:rPr>
                <w:color w:val="000000" w:themeColor="text1"/>
                <w14:textFill>
                  <w14:solidFill>
                    <w14:schemeClr w14:val="tx1"/>
                  </w14:solidFill>
                </w14:textFill>
              </w:rPr>
            </w:pPr>
          </w:p>
        </w:tc>
        <w:tc>
          <w:tcPr>
            <w:tcW w:w="1875" w:type="dxa"/>
            <w:vMerge w:val="continue"/>
            <w:shd w:val="clear" w:color="auto" w:fill="auto"/>
            <w:vAlign w:val="center"/>
          </w:tcPr>
          <w:p>
            <w:pPr>
              <w:pStyle w:val="183"/>
              <w:rPr>
                <w:color w:val="000000" w:themeColor="text1"/>
                <w14:textFill>
                  <w14:solidFill>
                    <w14:schemeClr w14:val="tx1"/>
                  </w14:solidFill>
                </w14:textFill>
              </w:rPr>
            </w:pPr>
          </w:p>
        </w:tc>
        <w:tc>
          <w:tcPr>
            <w:tcW w:w="1875" w:type="dxa"/>
            <w:vMerge w:val="continue"/>
            <w:shd w:val="clear" w:color="auto" w:fill="auto"/>
            <w:vAlign w:val="center"/>
          </w:tcPr>
          <w:p>
            <w:pPr>
              <w:pStyle w:val="183"/>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74" w:type="dxa"/>
            <w:shd w:val="clear" w:color="auto" w:fill="auto"/>
          </w:tcPr>
          <w:p>
            <w:pPr>
              <w:jc w:val="center"/>
              <w:rPr>
                <w:rFonts w:hAnsi="宋体"/>
                <w:color w:val="000000" w:themeColor="text1"/>
                <w:sz w:val="18"/>
                <w:szCs w:val="18"/>
                <w14:textFill>
                  <w14:solidFill>
                    <w14:schemeClr w14:val="tx1"/>
                  </w14:solidFill>
                </w14:textFill>
              </w:rPr>
            </w:pPr>
            <w:r>
              <w:rPr>
                <w:rFonts w:hAnsi="宋体"/>
                <w:color w:val="000000" w:themeColor="text1"/>
                <w:sz w:val="18"/>
                <w:szCs w:val="18"/>
                <w14:textFill>
                  <w14:solidFill>
                    <w14:schemeClr w14:val="tx1"/>
                  </w14:solidFill>
                </w14:textFill>
              </w:rPr>
              <w:t>0Cr17Ni12Mo2(316)</w:t>
            </w:r>
          </w:p>
        </w:tc>
        <w:tc>
          <w:tcPr>
            <w:tcW w:w="1875" w:type="dxa"/>
            <w:vMerge w:val="continue"/>
            <w:shd w:val="clear" w:color="auto" w:fill="auto"/>
            <w:vAlign w:val="center"/>
          </w:tcPr>
          <w:p>
            <w:pPr>
              <w:pStyle w:val="183"/>
              <w:rPr>
                <w:color w:val="000000" w:themeColor="text1"/>
                <w14:textFill>
                  <w14:solidFill>
                    <w14:schemeClr w14:val="tx1"/>
                  </w14:solidFill>
                </w14:textFill>
              </w:rPr>
            </w:pPr>
          </w:p>
        </w:tc>
        <w:tc>
          <w:tcPr>
            <w:tcW w:w="1875" w:type="dxa"/>
            <w:vMerge w:val="continue"/>
            <w:shd w:val="clear" w:color="auto" w:fill="auto"/>
            <w:vAlign w:val="center"/>
          </w:tcPr>
          <w:p>
            <w:pPr>
              <w:pStyle w:val="183"/>
              <w:rPr>
                <w:color w:val="000000" w:themeColor="text1"/>
                <w14:textFill>
                  <w14:solidFill>
                    <w14:schemeClr w14:val="tx1"/>
                  </w14:solidFill>
                </w14:textFill>
              </w:rPr>
            </w:pPr>
          </w:p>
        </w:tc>
        <w:tc>
          <w:tcPr>
            <w:tcW w:w="1875" w:type="dxa"/>
            <w:vMerge w:val="continue"/>
            <w:shd w:val="clear" w:color="auto" w:fill="auto"/>
            <w:vAlign w:val="center"/>
          </w:tcPr>
          <w:p>
            <w:pPr>
              <w:pStyle w:val="183"/>
              <w:rPr>
                <w:color w:val="000000" w:themeColor="text1"/>
                <w14:textFill>
                  <w14:solidFill>
                    <w14:schemeClr w14:val="tx1"/>
                  </w14:solidFill>
                </w14:textFill>
              </w:rPr>
            </w:pPr>
          </w:p>
        </w:tc>
        <w:tc>
          <w:tcPr>
            <w:tcW w:w="1875" w:type="dxa"/>
            <w:vMerge w:val="continue"/>
            <w:shd w:val="clear" w:color="auto" w:fill="auto"/>
            <w:vAlign w:val="center"/>
          </w:tcPr>
          <w:p>
            <w:pPr>
              <w:pStyle w:val="183"/>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74" w:type="dxa"/>
            <w:shd w:val="clear" w:color="auto" w:fill="auto"/>
          </w:tcPr>
          <w:p>
            <w:pPr>
              <w:jc w:val="center"/>
              <w:rPr>
                <w:rFonts w:hAnsi="宋体"/>
                <w:color w:val="000000" w:themeColor="text1"/>
                <w:sz w:val="18"/>
                <w:szCs w:val="18"/>
                <w14:textFill>
                  <w14:solidFill>
                    <w14:schemeClr w14:val="tx1"/>
                  </w14:solidFill>
                </w14:textFill>
              </w:rPr>
            </w:pPr>
            <w:r>
              <w:rPr>
                <w:rFonts w:hAnsi="宋体"/>
                <w:color w:val="000000" w:themeColor="text1"/>
                <w:sz w:val="18"/>
                <w:szCs w:val="18"/>
                <w14:textFill>
                  <w14:solidFill>
                    <w14:schemeClr w14:val="tx1"/>
                  </w14:solidFill>
                </w14:textFill>
              </w:rPr>
              <w:t>0Cr17Ni14Mo2(316L)</w:t>
            </w:r>
          </w:p>
        </w:tc>
        <w:tc>
          <w:tcPr>
            <w:tcW w:w="1875" w:type="dxa"/>
            <w:vMerge w:val="continue"/>
            <w:shd w:val="clear" w:color="auto" w:fill="auto"/>
            <w:vAlign w:val="center"/>
          </w:tcPr>
          <w:p>
            <w:pPr>
              <w:pStyle w:val="183"/>
              <w:rPr>
                <w:color w:val="000000" w:themeColor="text1"/>
                <w14:textFill>
                  <w14:solidFill>
                    <w14:schemeClr w14:val="tx1"/>
                  </w14:solidFill>
                </w14:textFill>
              </w:rPr>
            </w:pPr>
          </w:p>
        </w:tc>
        <w:tc>
          <w:tcPr>
            <w:tcW w:w="1875" w:type="dxa"/>
            <w:vMerge w:val="continue"/>
            <w:shd w:val="clear" w:color="auto" w:fill="auto"/>
            <w:vAlign w:val="center"/>
          </w:tcPr>
          <w:p>
            <w:pPr>
              <w:pStyle w:val="183"/>
              <w:rPr>
                <w:color w:val="000000" w:themeColor="text1"/>
                <w14:textFill>
                  <w14:solidFill>
                    <w14:schemeClr w14:val="tx1"/>
                  </w14:solidFill>
                </w14:textFill>
              </w:rPr>
            </w:pPr>
          </w:p>
        </w:tc>
        <w:tc>
          <w:tcPr>
            <w:tcW w:w="1875" w:type="dxa"/>
            <w:vMerge w:val="continue"/>
            <w:shd w:val="clear" w:color="auto" w:fill="auto"/>
            <w:vAlign w:val="center"/>
          </w:tcPr>
          <w:p>
            <w:pPr>
              <w:pStyle w:val="183"/>
              <w:rPr>
                <w:color w:val="000000" w:themeColor="text1"/>
                <w14:textFill>
                  <w14:solidFill>
                    <w14:schemeClr w14:val="tx1"/>
                  </w14:solidFill>
                </w14:textFill>
              </w:rPr>
            </w:pPr>
          </w:p>
        </w:tc>
        <w:tc>
          <w:tcPr>
            <w:tcW w:w="1875" w:type="dxa"/>
            <w:vMerge w:val="continue"/>
            <w:shd w:val="clear" w:color="auto" w:fill="auto"/>
            <w:vAlign w:val="center"/>
          </w:tcPr>
          <w:p>
            <w:pPr>
              <w:pStyle w:val="183"/>
              <w:rPr>
                <w:color w:val="000000" w:themeColor="text1"/>
                <w14:textFill>
                  <w14:solidFill>
                    <w14:schemeClr w14:val="tx1"/>
                  </w14:solidFill>
                </w14:textFill>
              </w:rPr>
            </w:pPr>
          </w:p>
        </w:tc>
      </w:tr>
    </w:tbl>
    <w:p>
      <w:pPr>
        <w:pStyle w:val="61"/>
        <w:ind w:firstLine="420"/>
      </w:pPr>
    </w:p>
    <w:p>
      <w:pPr>
        <w:pStyle w:val="179"/>
        <w:rPr>
          <w:szCs w:val="21"/>
        </w:rPr>
      </w:pPr>
      <w:r>
        <w:rPr>
          <w:rFonts w:hint="eastAsia"/>
        </w:rPr>
        <w:t>金属环垫用材料的材料、代号、硬度和最高使用温度应符合表</w:t>
      </w:r>
      <w:r>
        <w:t>9</w:t>
      </w:r>
      <w:r>
        <w:rPr>
          <w:rFonts w:hint="eastAsia"/>
        </w:rPr>
        <w:t>规定，金属环形垫的材料硬度应低于法兰环槽密封面的硬度</w:t>
      </w:r>
      <w:r>
        <w:rPr>
          <w:rFonts w:hint="eastAsia"/>
          <w:szCs w:val="21"/>
        </w:rPr>
        <w:t>。</w:t>
      </w:r>
    </w:p>
    <w:p>
      <w:pPr>
        <w:pStyle w:val="117"/>
        <w:spacing w:before="120" w:after="120"/>
      </w:pPr>
      <w:r>
        <w:rPr>
          <w:rFonts w:hint="eastAsia"/>
        </w:rPr>
        <w:t>金属环形垫的材料、代号、硬度和最高使用温度</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665"/>
        <w:gridCol w:w="1548"/>
        <w:gridCol w:w="1540"/>
        <w:gridCol w:w="1540"/>
        <w:gridCol w:w="1541"/>
        <w:gridCol w:w="15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2" w:hRule="atLeast"/>
          <w:tblHeader/>
          <w:jc w:val="center"/>
        </w:trPr>
        <w:tc>
          <w:tcPr>
            <w:tcW w:w="3213" w:type="dxa"/>
            <w:gridSpan w:val="2"/>
            <w:vAlign w:val="center"/>
          </w:tcPr>
          <w:p>
            <w:pPr>
              <w:pStyle w:val="170"/>
              <w:numPr>
                <w:ilvl w:val="0"/>
                <w:numId w:val="0"/>
              </w:num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金属环形垫材料</w:t>
            </w:r>
          </w:p>
        </w:tc>
        <w:tc>
          <w:tcPr>
            <w:tcW w:w="3080" w:type="dxa"/>
            <w:gridSpan w:val="2"/>
            <w:vAlign w:val="center"/>
          </w:tcPr>
          <w:p>
            <w:pPr>
              <w:pStyle w:val="170"/>
              <w:numPr>
                <w:ilvl w:val="0"/>
                <w:numId w:val="0"/>
              </w:num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最高硬度</w:t>
            </w:r>
          </w:p>
        </w:tc>
        <w:tc>
          <w:tcPr>
            <w:tcW w:w="1541" w:type="dxa"/>
            <w:vMerge w:val="restart"/>
            <w:vAlign w:val="center"/>
          </w:tcPr>
          <w:p>
            <w:pPr>
              <w:pStyle w:val="170"/>
              <w:numPr>
                <w:ilvl w:val="0"/>
                <w:numId w:val="0"/>
              </w:numPr>
              <w:spacing w:before="156" w:after="156"/>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代号</w:t>
            </w:r>
          </w:p>
        </w:tc>
        <w:tc>
          <w:tcPr>
            <w:tcW w:w="1540" w:type="dxa"/>
            <w:vMerge w:val="restart"/>
            <w:vAlign w:val="center"/>
          </w:tcPr>
          <w:p>
            <w:pPr>
              <w:pStyle w:val="183"/>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最高使用温度</w:t>
            </w:r>
          </w:p>
          <w:p>
            <w:pPr>
              <w:pStyle w:val="183"/>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 w:hRule="atLeast"/>
          <w:jc w:val="center"/>
        </w:trPr>
        <w:tc>
          <w:tcPr>
            <w:tcW w:w="1665" w:type="dxa"/>
            <w:vAlign w:val="center"/>
          </w:tcPr>
          <w:p>
            <w:pPr>
              <w:pStyle w:val="183"/>
              <w:rPr>
                <w:color w:val="000000" w:themeColor="text1"/>
                <w14:textFill>
                  <w14:solidFill>
                    <w14:schemeClr w14:val="tx1"/>
                  </w14:solidFill>
                </w14:textFill>
              </w:rPr>
            </w:pPr>
            <w:r>
              <w:rPr>
                <w:rFonts w:hint="eastAsia"/>
                <w:color w:val="000000" w:themeColor="text1"/>
                <w:szCs w:val="18"/>
                <w14:textFill>
                  <w14:solidFill>
                    <w14:schemeClr w14:val="tx1"/>
                  </w14:solidFill>
                </w14:textFill>
              </w:rPr>
              <w:t>钢号</w:t>
            </w:r>
          </w:p>
        </w:tc>
        <w:tc>
          <w:tcPr>
            <w:tcW w:w="1548" w:type="dxa"/>
            <w:vAlign w:val="center"/>
          </w:tcPr>
          <w:p>
            <w:pPr>
              <w:pStyle w:val="183"/>
              <w:rPr>
                <w:color w:val="000000" w:themeColor="text1"/>
                <w14:textFill>
                  <w14:solidFill>
                    <w14:schemeClr w14:val="tx1"/>
                  </w14:solidFill>
                </w14:textFill>
              </w:rPr>
            </w:pPr>
            <w:r>
              <w:rPr>
                <w:rFonts w:hint="eastAsia"/>
                <w:color w:val="000000" w:themeColor="text1"/>
                <w:szCs w:val="18"/>
                <w14:textFill>
                  <w14:solidFill>
                    <w14:schemeClr w14:val="tx1"/>
                  </w14:solidFill>
                </w14:textFill>
              </w:rPr>
              <w:t>标准</w:t>
            </w:r>
          </w:p>
        </w:tc>
        <w:tc>
          <w:tcPr>
            <w:tcW w:w="1540" w:type="dxa"/>
            <w:vAlign w:val="center"/>
          </w:tcPr>
          <w:p>
            <w:pPr>
              <w:pStyle w:val="183"/>
              <w:rPr>
                <w:color w:val="000000" w:themeColor="text1"/>
                <w14:textFill>
                  <w14:solidFill>
                    <w14:schemeClr w14:val="tx1"/>
                  </w14:solidFill>
                </w14:textFill>
              </w:rPr>
            </w:pPr>
            <w:r>
              <w:rPr>
                <w:rFonts w:hint="eastAsia"/>
                <w:color w:val="000000" w:themeColor="text1"/>
                <w:szCs w:val="18"/>
                <w14:textFill>
                  <w14:solidFill>
                    <w14:schemeClr w14:val="tx1"/>
                  </w14:solidFill>
                </w14:textFill>
              </w:rPr>
              <w:t>HBS</w:t>
            </w:r>
          </w:p>
        </w:tc>
        <w:tc>
          <w:tcPr>
            <w:tcW w:w="1540" w:type="dxa"/>
            <w:vAlign w:val="center"/>
          </w:tcPr>
          <w:p>
            <w:pPr>
              <w:pStyle w:val="183"/>
              <w:rPr>
                <w:color w:val="000000" w:themeColor="text1"/>
                <w14:textFill>
                  <w14:solidFill>
                    <w14:schemeClr w14:val="tx1"/>
                  </w14:solidFill>
                </w14:textFill>
              </w:rPr>
            </w:pPr>
            <w:r>
              <w:rPr>
                <w:rFonts w:hint="eastAsia"/>
                <w:color w:val="000000" w:themeColor="text1"/>
                <w:szCs w:val="18"/>
                <w14:textFill>
                  <w14:solidFill>
                    <w14:schemeClr w14:val="tx1"/>
                  </w14:solidFill>
                </w14:textFill>
              </w:rPr>
              <w:t>HRB</w:t>
            </w:r>
          </w:p>
        </w:tc>
        <w:tc>
          <w:tcPr>
            <w:tcW w:w="1541" w:type="dxa"/>
            <w:vMerge w:val="continue"/>
            <w:vAlign w:val="center"/>
          </w:tcPr>
          <w:p>
            <w:pPr>
              <w:pStyle w:val="183"/>
              <w:rPr>
                <w:color w:val="000000" w:themeColor="text1"/>
                <w14:textFill>
                  <w14:solidFill>
                    <w14:schemeClr w14:val="tx1"/>
                  </w14:solidFill>
                </w14:textFill>
              </w:rPr>
            </w:pPr>
          </w:p>
        </w:tc>
        <w:tc>
          <w:tcPr>
            <w:tcW w:w="1540" w:type="dxa"/>
            <w:vMerge w:val="continue"/>
            <w:vAlign w:val="center"/>
          </w:tcPr>
          <w:p>
            <w:pPr>
              <w:pStyle w:val="183"/>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75" w:hRule="exact"/>
          <w:jc w:val="center"/>
        </w:trPr>
        <w:tc>
          <w:tcPr>
            <w:tcW w:w="1665" w:type="dxa"/>
            <w:vAlign w:val="center"/>
          </w:tcPr>
          <w:p>
            <w:pPr>
              <w:pStyle w:val="183"/>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0Cr18Ni9</w:t>
            </w:r>
          </w:p>
        </w:tc>
        <w:tc>
          <w:tcPr>
            <w:tcW w:w="1548" w:type="dxa"/>
            <w:vMerge w:val="restart"/>
            <w:vAlign w:val="center"/>
          </w:tcPr>
          <w:p>
            <w:pPr>
              <w:pStyle w:val="183"/>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NB/T 47010</w:t>
            </w:r>
          </w:p>
          <w:p>
            <w:pPr>
              <w:pStyle w:val="183"/>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GB/T 1220</w:t>
            </w:r>
          </w:p>
        </w:tc>
        <w:tc>
          <w:tcPr>
            <w:tcW w:w="1540" w:type="dxa"/>
            <w:vAlign w:val="center"/>
          </w:tcPr>
          <w:p>
            <w:pPr>
              <w:pStyle w:val="183"/>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160</w:t>
            </w:r>
          </w:p>
        </w:tc>
        <w:tc>
          <w:tcPr>
            <w:tcW w:w="1540" w:type="dxa"/>
            <w:vAlign w:val="center"/>
          </w:tcPr>
          <w:p>
            <w:pPr>
              <w:pStyle w:val="183"/>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83</w:t>
            </w:r>
          </w:p>
        </w:tc>
        <w:tc>
          <w:tcPr>
            <w:tcW w:w="1541" w:type="dxa"/>
            <w:vAlign w:val="center"/>
          </w:tcPr>
          <w:p>
            <w:pPr>
              <w:pStyle w:val="183"/>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304</w:t>
            </w:r>
          </w:p>
        </w:tc>
        <w:tc>
          <w:tcPr>
            <w:tcW w:w="1540" w:type="dxa"/>
            <w:vAlign w:val="center"/>
          </w:tcPr>
          <w:p>
            <w:pPr>
              <w:pStyle w:val="183"/>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700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75" w:hRule="exact"/>
          <w:jc w:val="center"/>
        </w:trPr>
        <w:tc>
          <w:tcPr>
            <w:tcW w:w="1665" w:type="dxa"/>
            <w:vAlign w:val="center"/>
          </w:tcPr>
          <w:p>
            <w:pPr>
              <w:pStyle w:val="183"/>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00Cr19Ni10</w:t>
            </w:r>
          </w:p>
        </w:tc>
        <w:tc>
          <w:tcPr>
            <w:tcW w:w="1548" w:type="dxa"/>
            <w:vMerge w:val="continue"/>
            <w:vAlign w:val="center"/>
          </w:tcPr>
          <w:p>
            <w:pPr>
              <w:pStyle w:val="183"/>
              <w:rPr>
                <w:color w:val="000000" w:themeColor="text1"/>
                <w:szCs w:val="18"/>
                <w14:textFill>
                  <w14:solidFill>
                    <w14:schemeClr w14:val="tx1"/>
                  </w14:solidFill>
                </w14:textFill>
              </w:rPr>
            </w:pPr>
          </w:p>
        </w:tc>
        <w:tc>
          <w:tcPr>
            <w:tcW w:w="1540" w:type="dxa"/>
            <w:vAlign w:val="center"/>
          </w:tcPr>
          <w:p>
            <w:pPr>
              <w:pStyle w:val="183"/>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150</w:t>
            </w:r>
          </w:p>
        </w:tc>
        <w:tc>
          <w:tcPr>
            <w:tcW w:w="1540" w:type="dxa"/>
            <w:vAlign w:val="center"/>
          </w:tcPr>
          <w:p>
            <w:pPr>
              <w:pStyle w:val="183"/>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80</w:t>
            </w:r>
          </w:p>
        </w:tc>
        <w:tc>
          <w:tcPr>
            <w:tcW w:w="1541" w:type="dxa"/>
            <w:vAlign w:val="center"/>
          </w:tcPr>
          <w:p>
            <w:pPr>
              <w:pStyle w:val="183"/>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304L</w:t>
            </w:r>
          </w:p>
        </w:tc>
        <w:tc>
          <w:tcPr>
            <w:tcW w:w="1540" w:type="dxa"/>
            <w:vAlign w:val="center"/>
          </w:tcPr>
          <w:p>
            <w:pPr>
              <w:pStyle w:val="183"/>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450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75" w:hRule="exact"/>
          <w:jc w:val="center"/>
        </w:trPr>
        <w:tc>
          <w:tcPr>
            <w:tcW w:w="1665" w:type="dxa"/>
            <w:vAlign w:val="center"/>
          </w:tcPr>
          <w:p>
            <w:pPr>
              <w:pStyle w:val="183"/>
              <w:rPr>
                <w:color w:val="000000" w:themeColor="text1"/>
                <w:szCs w:val="18"/>
                <w14:textFill>
                  <w14:solidFill>
                    <w14:schemeClr w14:val="tx1"/>
                  </w14:solidFill>
                </w14:textFill>
              </w:rPr>
            </w:pPr>
            <w:r>
              <w:rPr>
                <w:color w:val="000000" w:themeColor="text1"/>
                <w:szCs w:val="18"/>
                <w14:textFill>
                  <w14:solidFill>
                    <w14:schemeClr w14:val="tx1"/>
                  </w14:solidFill>
                </w14:textFill>
              </w:rPr>
              <w:t>0Cr17Ni12Mo2(316)</w:t>
            </w:r>
          </w:p>
        </w:tc>
        <w:tc>
          <w:tcPr>
            <w:tcW w:w="1548" w:type="dxa"/>
            <w:vMerge w:val="continue"/>
            <w:vAlign w:val="center"/>
          </w:tcPr>
          <w:p>
            <w:pPr>
              <w:pStyle w:val="183"/>
              <w:rPr>
                <w:color w:val="000000" w:themeColor="text1"/>
                <w:szCs w:val="18"/>
                <w14:textFill>
                  <w14:solidFill>
                    <w14:schemeClr w14:val="tx1"/>
                  </w14:solidFill>
                </w14:textFill>
              </w:rPr>
            </w:pPr>
          </w:p>
        </w:tc>
        <w:tc>
          <w:tcPr>
            <w:tcW w:w="1540" w:type="dxa"/>
            <w:vAlign w:val="center"/>
          </w:tcPr>
          <w:p>
            <w:pPr>
              <w:pStyle w:val="183"/>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160</w:t>
            </w:r>
          </w:p>
        </w:tc>
        <w:tc>
          <w:tcPr>
            <w:tcW w:w="1540" w:type="dxa"/>
            <w:vAlign w:val="center"/>
          </w:tcPr>
          <w:p>
            <w:pPr>
              <w:pStyle w:val="183"/>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83</w:t>
            </w:r>
          </w:p>
        </w:tc>
        <w:tc>
          <w:tcPr>
            <w:tcW w:w="1541" w:type="dxa"/>
            <w:vAlign w:val="center"/>
          </w:tcPr>
          <w:p>
            <w:pPr>
              <w:pStyle w:val="183"/>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316</w:t>
            </w:r>
          </w:p>
        </w:tc>
        <w:tc>
          <w:tcPr>
            <w:tcW w:w="1540" w:type="dxa"/>
            <w:vAlign w:val="center"/>
          </w:tcPr>
          <w:p>
            <w:pPr>
              <w:pStyle w:val="183"/>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700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75" w:hRule="exact"/>
          <w:jc w:val="center"/>
        </w:trPr>
        <w:tc>
          <w:tcPr>
            <w:tcW w:w="1665" w:type="dxa"/>
            <w:vAlign w:val="center"/>
          </w:tcPr>
          <w:p>
            <w:pPr>
              <w:pStyle w:val="183"/>
              <w:rPr>
                <w:color w:val="000000" w:themeColor="text1"/>
                <w:szCs w:val="18"/>
                <w14:textFill>
                  <w14:solidFill>
                    <w14:schemeClr w14:val="tx1"/>
                  </w14:solidFill>
                </w14:textFill>
              </w:rPr>
            </w:pPr>
            <w:r>
              <w:rPr>
                <w:color w:val="000000" w:themeColor="text1"/>
                <w:szCs w:val="18"/>
                <w14:textFill>
                  <w14:solidFill>
                    <w14:schemeClr w14:val="tx1"/>
                  </w14:solidFill>
                </w14:textFill>
              </w:rPr>
              <w:t>0Cr17Ni1</w:t>
            </w:r>
            <w:r>
              <w:rPr>
                <w:rFonts w:hint="eastAsia"/>
                <w:color w:val="000000" w:themeColor="text1"/>
                <w:szCs w:val="18"/>
                <w14:textFill>
                  <w14:solidFill>
                    <w14:schemeClr w14:val="tx1"/>
                  </w14:solidFill>
                </w14:textFill>
              </w:rPr>
              <w:t>4</w:t>
            </w:r>
            <w:r>
              <w:rPr>
                <w:color w:val="000000" w:themeColor="text1"/>
                <w:szCs w:val="18"/>
                <w14:textFill>
                  <w14:solidFill>
                    <w14:schemeClr w14:val="tx1"/>
                  </w14:solidFill>
                </w14:textFill>
              </w:rPr>
              <w:t>Mo2(316L)</w:t>
            </w:r>
          </w:p>
        </w:tc>
        <w:tc>
          <w:tcPr>
            <w:tcW w:w="1548" w:type="dxa"/>
            <w:vMerge w:val="continue"/>
            <w:vAlign w:val="center"/>
          </w:tcPr>
          <w:p>
            <w:pPr>
              <w:pStyle w:val="183"/>
              <w:rPr>
                <w:color w:val="000000" w:themeColor="text1"/>
                <w:szCs w:val="18"/>
                <w14:textFill>
                  <w14:solidFill>
                    <w14:schemeClr w14:val="tx1"/>
                  </w14:solidFill>
                </w14:textFill>
              </w:rPr>
            </w:pPr>
          </w:p>
        </w:tc>
        <w:tc>
          <w:tcPr>
            <w:tcW w:w="1540" w:type="dxa"/>
            <w:vAlign w:val="center"/>
          </w:tcPr>
          <w:p>
            <w:pPr>
              <w:pStyle w:val="183"/>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150</w:t>
            </w:r>
          </w:p>
        </w:tc>
        <w:tc>
          <w:tcPr>
            <w:tcW w:w="1540" w:type="dxa"/>
            <w:vAlign w:val="center"/>
          </w:tcPr>
          <w:p>
            <w:pPr>
              <w:pStyle w:val="183"/>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80</w:t>
            </w:r>
          </w:p>
        </w:tc>
        <w:tc>
          <w:tcPr>
            <w:tcW w:w="1541" w:type="dxa"/>
            <w:vAlign w:val="center"/>
          </w:tcPr>
          <w:p>
            <w:pPr>
              <w:pStyle w:val="183"/>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316L</w:t>
            </w:r>
          </w:p>
        </w:tc>
        <w:tc>
          <w:tcPr>
            <w:tcW w:w="1540" w:type="dxa"/>
            <w:vAlign w:val="center"/>
          </w:tcPr>
          <w:p>
            <w:pPr>
              <w:pStyle w:val="183"/>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450</w:t>
            </w:r>
          </w:p>
        </w:tc>
      </w:tr>
    </w:tbl>
    <w:p>
      <w:pPr>
        <w:pStyle w:val="61"/>
        <w:ind w:firstLine="420"/>
      </w:pPr>
    </w:p>
    <w:p>
      <w:pPr>
        <w:pStyle w:val="110"/>
        <w:spacing w:before="120" w:after="120"/>
      </w:pPr>
      <w:bookmarkStart w:id="153" w:name="_Toc209114052"/>
      <w:r>
        <w:rPr>
          <w:rFonts w:hint="eastAsia"/>
        </w:rPr>
        <w:t>过滤器</w:t>
      </w:r>
      <w:bookmarkEnd w:id="153"/>
    </w:p>
    <w:p>
      <w:pPr>
        <w:pStyle w:val="170"/>
      </w:pPr>
      <w:r>
        <w:rPr>
          <w:rFonts w:hint="eastAsia"/>
        </w:rPr>
        <w:t>过滤器的设计、制造、检验应符合TSG 21、GB/T 150、GB/T 36051、SY/T 6883、GB/T 34542（所有部分）、GB 50177等的规定，过滤器壳体材料、滤芯及滤网、密封材料应能适应工作介质。</w:t>
      </w:r>
    </w:p>
    <w:p>
      <w:pPr>
        <w:pStyle w:val="170"/>
      </w:pPr>
      <w:r>
        <w:rPr>
          <w:rFonts w:hint="eastAsia"/>
        </w:rPr>
        <w:t>氢气过滤器的壳体、滤网等临氢金属材料应选用经试验验证具有良好氢相容性的金属材料。临氢金属材料在氢气中的力学性能试验应满足GB/T34542.2的要求，氢脆敏感度试验应满足GB/T34542.3的要求。</w:t>
      </w:r>
    </w:p>
    <w:p>
      <w:pPr>
        <w:pStyle w:val="170"/>
      </w:pPr>
      <w:r>
        <w:rPr>
          <w:rFonts w:hint="eastAsia"/>
        </w:rPr>
        <w:t>氢气过滤器滤芯、密封垫等非金属材料应能与氢气介质相容，并具有良好稳定性。氢气过滤器的滤芯应采用有不锈钢金属骨架的组件，滤材可采用耐氢的不锈钢网、不锈钢烧结毡、PTFE等与氢气相容的材料。</w:t>
      </w:r>
    </w:p>
    <w:p>
      <w:pPr>
        <w:pStyle w:val="170"/>
      </w:pPr>
      <w:r>
        <w:rPr>
          <w:rFonts w:hint="eastAsia"/>
        </w:rPr>
        <w:t>过滤精度不应低于20μm，在公称流量下，其初始压损不应超过10kPa及最高进口压力的1%中的较大值。</w:t>
      </w:r>
    </w:p>
    <w:p>
      <w:pPr>
        <w:pStyle w:val="170"/>
      </w:pPr>
      <w:r>
        <w:rPr>
          <w:rFonts w:hint="eastAsia"/>
        </w:rPr>
        <w:t xml:space="preserve">过滤器宜设监测前后压力或压差的装置或仪表接口。   </w:t>
      </w:r>
    </w:p>
    <w:p>
      <w:pPr>
        <w:pStyle w:val="170"/>
      </w:pPr>
      <w:r>
        <w:rPr>
          <w:rFonts w:hint="eastAsia"/>
        </w:rPr>
        <w:t>过滤器用快开盲板应符合</w:t>
      </w:r>
      <w:r>
        <w:t>NB/T 47053</w:t>
      </w:r>
      <w:r>
        <w:rPr>
          <w:rFonts w:hint="eastAsia"/>
        </w:rPr>
        <w:t>的要求。</w:t>
      </w:r>
    </w:p>
    <w:p>
      <w:pPr>
        <w:pStyle w:val="170"/>
      </w:pPr>
      <w:r>
        <w:rPr>
          <w:rFonts w:hint="eastAsia"/>
        </w:rPr>
        <w:t>过滤器焊接的焊接工艺评定应按NB/T47014的规定进行。氢气过滤器焊接应采用经氢相容性评定合格的焊接工艺。</w:t>
      </w:r>
    </w:p>
    <w:p>
      <w:pPr>
        <w:pStyle w:val="170"/>
      </w:pPr>
      <w:r>
        <w:rPr>
          <w:rFonts w:hint="eastAsia"/>
        </w:rPr>
        <w:t>天然气过滤器性能应符合GB/T 36051的要求，氢气过滤器性能宜符合GB/T 3605</w:t>
      </w:r>
      <w:r>
        <w:t>1</w:t>
      </w:r>
      <w:r>
        <w:rPr>
          <w:rFonts w:hint="eastAsia"/>
        </w:rPr>
        <w:t>的要求。</w:t>
      </w:r>
    </w:p>
    <w:p>
      <w:pPr>
        <w:pStyle w:val="110"/>
        <w:spacing w:before="120" w:after="120"/>
      </w:pPr>
      <w:bookmarkStart w:id="154" w:name="_Toc209114053"/>
      <w:r>
        <w:rPr>
          <w:rFonts w:hint="eastAsia"/>
        </w:rPr>
        <w:t>静态混合器</w:t>
      </w:r>
      <w:bookmarkEnd w:id="154"/>
    </w:p>
    <w:p>
      <w:pPr>
        <w:pStyle w:val="170"/>
      </w:pPr>
      <w:r>
        <w:rPr>
          <w:rFonts w:hint="eastAsia"/>
        </w:rPr>
        <w:t>静态混合器的混合性能在距离静态混合器出口</w:t>
      </w:r>
      <w:r>
        <w:t>10</w:t>
      </w:r>
      <w:r>
        <w:rPr>
          <w:rFonts w:hint="eastAsia"/>
        </w:rPr>
        <w:t>倍管径内的混合气均匀度不应低于95%。</w:t>
      </w:r>
    </w:p>
    <w:p>
      <w:pPr>
        <w:pStyle w:val="170"/>
      </w:pPr>
      <w:r>
        <w:rPr>
          <w:rFonts w:hint="eastAsia"/>
        </w:rPr>
        <w:t>静态混合器宜选用JB/T7660-2016中规定的SK型，选用其它结构形式的静态混合器应经试验验证具有良好混合性能，并应符合JB/T7660-2016的相关规定。</w:t>
      </w:r>
    </w:p>
    <w:p>
      <w:pPr>
        <w:pStyle w:val="170"/>
      </w:pPr>
      <w:r>
        <w:rPr>
          <w:rFonts w:hint="eastAsia"/>
        </w:rPr>
        <w:t>静态混合器应配有差压表、差压变送器和排污阀。</w:t>
      </w:r>
    </w:p>
    <w:p>
      <w:pPr>
        <w:pStyle w:val="170"/>
      </w:pPr>
      <w:r>
        <w:rPr>
          <w:rFonts w:hint="eastAsia"/>
        </w:rPr>
        <w:t>静态混合器的差压应不大于</w:t>
      </w:r>
      <w:r>
        <w:t>100</w:t>
      </w:r>
      <w:r>
        <w:rPr>
          <w:rFonts w:hint="eastAsia"/>
        </w:rPr>
        <w:t>KPa。</w:t>
      </w:r>
    </w:p>
    <w:p>
      <w:pPr>
        <w:pStyle w:val="110"/>
        <w:spacing w:before="120" w:after="120"/>
      </w:pPr>
      <w:bookmarkStart w:id="155" w:name="_Toc209114054"/>
      <w:r>
        <w:rPr>
          <w:rFonts w:hint="eastAsia"/>
        </w:rPr>
        <w:t>阀门</w:t>
      </w:r>
      <w:bookmarkEnd w:id="155"/>
      <w:r>
        <w:rPr>
          <w:rFonts w:hint="eastAsia"/>
        </w:rPr>
        <w:t xml:space="preserve"> </w:t>
      </w:r>
    </w:p>
    <w:p>
      <w:pPr>
        <w:pStyle w:val="170"/>
      </w:pPr>
      <w:r>
        <w:rPr>
          <w:rFonts w:hint="eastAsia"/>
        </w:rPr>
        <w:t>掺氢撬用的球阀、截止阀、闸阀、止回阀、旋塞阀、蝶阀、安全阀等应符合相应产品标准的要求，并应能适应工作介质。阀门的选用应按设计文件要求执行。设计文件无设计要求时，宜按表</w:t>
      </w:r>
      <w:r>
        <w:t>10</w:t>
      </w:r>
      <w:r>
        <w:rPr>
          <w:rFonts w:hint="eastAsia"/>
        </w:rPr>
        <w:t>选用。</w:t>
      </w:r>
    </w:p>
    <w:p>
      <w:pPr>
        <w:pStyle w:val="117"/>
        <w:spacing w:before="120" w:after="0" w:afterLines="0"/>
      </w:pPr>
      <w:r>
        <w:t>阀门</w:t>
      </w:r>
      <w:r>
        <w:rPr>
          <w:rFonts w:hint="eastAsia"/>
        </w:rPr>
        <w:t>遵循的</w:t>
      </w:r>
      <w:r>
        <w:t>标准</w:t>
      </w:r>
    </w:p>
    <w:tbl>
      <w:tblPr>
        <w:tblStyle w:val="3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82"/>
        <w:gridCol w:w="2020"/>
        <w:gridCol w:w="49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138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kern w:val="0"/>
                <w:sz w:val="18"/>
                <w:szCs w:val="18"/>
              </w:rPr>
            </w:pPr>
            <w:r>
              <w:rPr>
                <w:rFonts w:hint="eastAsia" w:ascii="宋体"/>
                <w:kern w:val="0"/>
                <w:sz w:val="18"/>
                <w:szCs w:val="18"/>
              </w:rPr>
              <w:t>阀门类别</w:t>
            </w:r>
          </w:p>
        </w:tc>
        <w:tc>
          <w:tcPr>
            <w:tcW w:w="20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kern w:val="0"/>
                <w:sz w:val="18"/>
                <w:szCs w:val="18"/>
              </w:rPr>
            </w:pPr>
            <w:r>
              <w:rPr>
                <w:rFonts w:hint="eastAsia" w:ascii="宋体"/>
                <w:kern w:val="0"/>
                <w:sz w:val="18"/>
                <w:szCs w:val="18"/>
              </w:rPr>
              <w:t>标准号</w:t>
            </w:r>
          </w:p>
        </w:tc>
        <w:tc>
          <w:tcPr>
            <w:tcW w:w="496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kern w:val="0"/>
                <w:sz w:val="18"/>
                <w:szCs w:val="18"/>
              </w:rPr>
            </w:pPr>
            <w:r>
              <w:rPr>
                <w:rFonts w:hint="eastAsia" w:ascii="宋体"/>
                <w:kern w:val="0"/>
                <w:sz w:val="18"/>
                <w:szCs w:val="18"/>
              </w:rPr>
              <w:t>标准名称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kern w:val="0"/>
                <w:sz w:val="18"/>
                <w:szCs w:val="18"/>
              </w:rPr>
            </w:pPr>
            <w:r>
              <w:rPr>
                <w:rFonts w:hint="eastAsia" w:ascii="宋体"/>
                <w:kern w:val="0"/>
                <w:sz w:val="18"/>
                <w:szCs w:val="18"/>
              </w:rPr>
              <w:t>通用标准</w:t>
            </w:r>
          </w:p>
        </w:tc>
        <w:tc>
          <w:tcPr>
            <w:tcW w:w="20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kern w:val="0"/>
                <w:sz w:val="18"/>
                <w:szCs w:val="18"/>
              </w:rPr>
            </w:pPr>
            <w:r>
              <w:rPr>
                <w:rFonts w:hint="eastAsia" w:ascii="宋体"/>
                <w:kern w:val="0"/>
                <w:sz w:val="18"/>
                <w:szCs w:val="18"/>
              </w:rPr>
              <w:t>G</w:t>
            </w:r>
            <w:r>
              <w:rPr>
                <w:rFonts w:ascii="宋体"/>
                <w:kern w:val="0"/>
                <w:sz w:val="18"/>
                <w:szCs w:val="18"/>
              </w:rPr>
              <w:t>B/T</w:t>
            </w:r>
            <w:r>
              <w:rPr>
                <w:rFonts w:hint="eastAsia" w:ascii="宋体"/>
                <w:kern w:val="0"/>
                <w:sz w:val="18"/>
                <w:szCs w:val="18"/>
              </w:rPr>
              <w:t xml:space="preserve"> </w:t>
            </w:r>
            <w:r>
              <w:rPr>
                <w:rFonts w:ascii="宋体"/>
                <w:kern w:val="0"/>
                <w:sz w:val="18"/>
                <w:szCs w:val="18"/>
              </w:rPr>
              <w:t>12224</w:t>
            </w:r>
          </w:p>
        </w:tc>
        <w:tc>
          <w:tcPr>
            <w:tcW w:w="4961" w:type="dxa"/>
            <w:tcBorders>
              <w:top w:val="single" w:color="000000" w:sz="4" w:space="0"/>
              <w:left w:val="single" w:color="000000" w:sz="4" w:space="0"/>
              <w:bottom w:val="single" w:color="000000" w:sz="4" w:space="0"/>
              <w:right w:val="single" w:color="000000" w:sz="4" w:space="0"/>
            </w:tcBorders>
            <w:vAlign w:val="center"/>
          </w:tcPr>
          <w:p>
            <w:pPr>
              <w:rPr>
                <w:rFonts w:ascii="宋体"/>
                <w:kern w:val="0"/>
                <w:sz w:val="18"/>
                <w:szCs w:val="18"/>
              </w:rPr>
            </w:pPr>
            <w:r>
              <w:rPr>
                <w:rFonts w:hint="eastAsia" w:ascii="宋体"/>
                <w:kern w:val="0"/>
                <w:sz w:val="18"/>
                <w:szCs w:val="18"/>
              </w:rPr>
              <w:t>钢制阀门 一般要求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2" w:type="dxa"/>
            <w:vMerge w:val="restart"/>
            <w:tcBorders>
              <w:top w:val="nil"/>
              <w:left w:val="single" w:color="000000" w:sz="4" w:space="0"/>
              <w:bottom w:val="single" w:color="000000" w:sz="4" w:space="0"/>
              <w:right w:val="single" w:color="000000" w:sz="4" w:space="0"/>
            </w:tcBorders>
            <w:vAlign w:val="center"/>
          </w:tcPr>
          <w:p>
            <w:pPr>
              <w:jc w:val="center"/>
              <w:rPr>
                <w:rFonts w:ascii="宋体"/>
                <w:kern w:val="0"/>
                <w:sz w:val="18"/>
                <w:szCs w:val="18"/>
              </w:rPr>
            </w:pPr>
            <w:r>
              <w:rPr>
                <w:rFonts w:hint="eastAsia" w:ascii="宋体"/>
                <w:kern w:val="0"/>
                <w:sz w:val="18"/>
                <w:szCs w:val="18"/>
              </w:rPr>
              <w:t>球阀</w:t>
            </w:r>
          </w:p>
        </w:tc>
        <w:tc>
          <w:tcPr>
            <w:tcW w:w="20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kern w:val="0"/>
                <w:sz w:val="18"/>
                <w:szCs w:val="18"/>
              </w:rPr>
            </w:pPr>
            <w:r>
              <w:rPr>
                <w:rFonts w:hint="eastAsia" w:ascii="宋体"/>
                <w:kern w:val="0"/>
                <w:sz w:val="18"/>
                <w:szCs w:val="18"/>
              </w:rPr>
              <w:t>GB/T 12237</w:t>
            </w:r>
          </w:p>
        </w:tc>
        <w:tc>
          <w:tcPr>
            <w:tcW w:w="4961" w:type="dxa"/>
            <w:tcBorders>
              <w:top w:val="single" w:color="000000" w:sz="4" w:space="0"/>
              <w:left w:val="single" w:color="000000" w:sz="4" w:space="0"/>
              <w:bottom w:val="single" w:color="000000" w:sz="4" w:space="0"/>
              <w:right w:val="single" w:color="000000" w:sz="4" w:space="0"/>
            </w:tcBorders>
            <w:vAlign w:val="center"/>
          </w:tcPr>
          <w:p>
            <w:pPr>
              <w:rPr>
                <w:rFonts w:ascii="宋体"/>
                <w:kern w:val="0"/>
                <w:sz w:val="18"/>
                <w:szCs w:val="18"/>
              </w:rPr>
            </w:pPr>
            <w:r>
              <w:rPr>
                <w:rFonts w:hint="eastAsia" w:ascii="宋体"/>
                <w:kern w:val="0"/>
                <w:sz w:val="18"/>
                <w:szCs w:val="18"/>
              </w:rPr>
              <w:t>石油、石化及相关工业用的钢制球阀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2" w:type="dxa"/>
            <w:vMerge w:val="continue"/>
            <w:tcBorders>
              <w:top w:val="nil"/>
              <w:left w:val="single" w:color="000000" w:sz="4" w:space="0"/>
              <w:bottom w:val="single" w:color="000000" w:sz="4" w:space="0"/>
              <w:right w:val="single" w:color="000000" w:sz="4" w:space="0"/>
            </w:tcBorders>
            <w:vAlign w:val="center"/>
          </w:tcPr>
          <w:p>
            <w:pPr>
              <w:jc w:val="center"/>
              <w:rPr>
                <w:rFonts w:ascii="宋体"/>
                <w:kern w:val="0"/>
                <w:sz w:val="18"/>
                <w:szCs w:val="18"/>
              </w:rPr>
            </w:pPr>
          </w:p>
        </w:tc>
        <w:tc>
          <w:tcPr>
            <w:tcW w:w="20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kern w:val="0"/>
                <w:sz w:val="18"/>
                <w:szCs w:val="18"/>
              </w:rPr>
            </w:pPr>
            <w:r>
              <w:rPr>
                <w:rFonts w:hint="eastAsia" w:ascii="宋体"/>
                <w:kern w:val="0"/>
                <w:sz w:val="18"/>
                <w:szCs w:val="18"/>
              </w:rPr>
              <w:t>GB/T 8464</w:t>
            </w:r>
          </w:p>
        </w:tc>
        <w:tc>
          <w:tcPr>
            <w:tcW w:w="4961" w:type="dxa"/>
            <w:tcBorders>
              <w:top w:val="single" w:color="000000" w:sz="4" w:space="0"/>
              <w:left w:val="single" w:color="000000" w:sz="4" w:space="0"/>
              <w:bottom w:val="single" w:color="000000" w:sz="4" w:space="0"/>
              <w:right w:val="single" w:color="000000" w:sz="4" w:space="0"/>
            </w:tcBorders>
            <w:vAlign w:val="center"/>
          </w:tcPr>
          <w:p>
            <w:pPr>
              <w:rPr>
                <w:rFonts w:ascii="宋体"/>
                <w:kern w:val="0"/>
                <w:sz w:val="18"/>
                <w:szCs w:val="18"/>
              </w:rPr>
            </w:pPr>
            <w:r>
              <w:rPr>
                <w:rFonts w:hint="eastAsia" w:ascii="宋体"/>
                <w:kern w:val="0"/>
                <w:sz w:val="18"/>
                <w:szCs w:val="18"/>
              </w:rPr>
              <w:t>铁制和铜制螺纹连接阀门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2" w:type="dxa"/>
            <w:vMerge w:val="restart"/>
            <w:tcBorders>
              <w:top w:val="nil"/>
              <w:left w:val="single" w:color="000000" w:sz="4" w:space="0"/>
              <w:bottom w:val="single" w:color="000000" w:sz="4" w:space="0"/>
              <w:right w:val="single" w:color="000000" w:sz="4" w:space="0"/>
            </w:tcBorders>
            <w:vAlign w:val="center"/>
          </w:tcPr>
          <w:p>
            <w:pPr>
              <w:jc w:val="center"/>
              <w:rPr>
                <w:rFonts w:ascii="宋体"/>
                <w:kern w:val="0"/>
                <w:sz w:val="18"/>
                <w:szCs w:val="18"/>
              </w:rPr>
            </w:pPr>
            <w:r>
              <w:rPr>
                <w:rFonts w:hint="eastAsia" w:ascii="宋体"/>
                <w:kern w:val="0"/>
                <w:sz w:val="18"/>
                <w:szCs w:val="18"/>
              </w:rPr>
              <w:t>截止阀</w:t>
            </w:r>
          </w:p>
        </w:tc>
        <w:tc>
          <w:tcPr>
            <w:tcW w:w="20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kern w:val="0"/>
                <w:sz w:val="18"/>
                <w:szCs w:val="18"/>
              </w:rPr>
            </w:pPr>
            <w:r>
              <w:rPr>
                <w:rFonts w:hint="eastAsia" w:ascii="宋体"/>
                <w:kern w:val="0"/>
                <w:sz w:val="18"/>
                <w:szCs w:val="18"/>
              </w:rPr>
              <w:t>GB/T 12235</w:t>
            </w:r>
          </w:p>
        </w:tc>
        <w:tc>
          <w:tcPr>
            <w:tcW w:w="4961" w:type="dxa"/>
            <w:tcBorders>
              <w:top w:val="single" w:color="000000" w:sz="4" w:space="0"/>
              <w:left w:val="single" w:color="000000" w:sz="4" w:space="0"/>
              <w:bottom w:val="single" w:color="000000" w:sz="4" w:space="0"/>
              <w:right w:val="single" w:color="000000" w:sz="4" w:space="0"/>
            </w:tcBorders>
            <w:vAlign w:val="center"/>
          </w:tcPr>
          <w:p>
            <w:pPr>
              <w:rPr>
                <w:rFonts w:ascii="宋体"/>
                <w:kern w:val="0"/>
                <w:sz w:val="18"/>
                <w:szCs w:val="18"/>
              </w:rPr>
            </w:pPr>
            <w:r>
              <w:rPr>
                <w:rFonts w:hint="eastAsia" w:ascii="宋体"/>
                <w:kern w:val="0"/>
                <w:sz w:val="18"/>
                <w:szCs w:val="18"/>
              </w:rPr>
              <w:t>石油、石化及相关工业用钢制截止阀和升降式止回阀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2" w:type="dxa"/>
            <w:vMerge w:val="continue"/>
            <w:tcBorders>
              <w:top w:val="nil"/>
              <w:left w:val="single" w:color="000000" w:sz="4" w:space="0"/>
              <w:bottom w:val="single" w:color="000000" w:sz="4" w:space="0"/>
              <w:right w:val="single" w:color="000000" w:sz="4" w:space="0"/>
            </w:tcBorders>
            <w:vAlign w:val="center"/>
          </w:tcPr>
          <w:p>
            <w:pPr>
              <w:jc w:val="center"/>
              <w:rPr>
                <w:rFonts w:ascii="宋体"/>
                <w:kern w:val="0"/>
                <w:sz w:val="18"/>
                <w:szCs w:val="18"/>
              </w:rPr>
            </w:pPr>
          </w:p>
        </w:tc>
        <w:tc>
          <w:tcPr>
            <w:tcW w:w="20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kern w:val="0"/>
                <w:sz w:val="18"/>
                <w:szCs w:val="18"/>
              </w:rPr>
            </w:pPr>
            <w:r>
              <w:rPr>
                <w:rFonts w:hint="eastAsia" w:ascii="宋体"/>
                <w:kern w:val="0"/>
                <w:sz w:val="18"/>
                <w:szCs w:val="18"/>
              </w:rPr>
              <w:t>JB/T 7747</w:t>
            </w:r>
          </w:p>
        </w:tc>
        <w:tc>
          <w:tcPr>
            <w:tcW w:w="4961" w:type="dxa"/>
            <w:tcBorders>
              <w:top w:val="single" w:color="000000" w:sz="4" w:space="0"/>
              <w:left w:val="single" w:color="000000" w:sz="4" w:space="0"/>
              <w:bottom w:val="single" w:color="000000" w:sz="4" w:space="0"/>
              <w:right w:val="single" w:color="000000" w:sz="4" w:space="0"/>
            </w:tcBorders>
            <w:vAlign w:val="center"/>
          </w:tcPr>
          <w:p>
            <w:pPr>
              <w:rPr>
                <w:rFonts w:ascii="宋体"/>
                <w:kern w:val="0"/>
                <w:sz w:val="18"/>
                <w:szCs w:val="18"/>
              </w:rPr>
            </w:pPr>
            <w:r>
              <w:rPr>
                <w:rFonts w:hint="eastAsia" w:ascii="宋体"/>
                <w:kern w:val="0"/>
                <w:sz w:val="18"/>
                <w:szCs w:val="18"/>
              </w:rPr>
              <w:t>针型截止阀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2" w:type="dxa"/>
            <w:vMerge w:val="continue"/>
            <w:tcBorders>
              <w:top w:val="nil"/>
              <w:left w:val="single" w:color="000000" w:sz="4" w:space="0"/>
              <w:bottom w:val="single" w:color="000000" w:sz="4" w:space="0"/>
              <w:right w:val="single" w:color="000000" w:sz="4" w:space="0"/>
            </w:tcBorders>
            <w:vAlign w:val="center"/>
          </w:tcPr>
          <w:p>
            <w:pPr>
              <w:jc w:val="center"/>
              <w:rPr>
                <w:rFonts w:ascii="宋体"/>
                <w:kern w:val="0"/>
                <w:sz w:val="18"/>
                <w:szCs w:val="18"/>
              </w:rPr>
            </w:pPr>
          </w:p>
        </w:tc>
        <w:tc>
          <w:tcPr>
            <w:tcW w:w="20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kern w:val="0"/>
                <w:sz w:val="18"/>
                <w:szCs w:val="18"/>
              </w:rPr>
            </w:pPr>
            <w:r>
              <w:rPr>
                <w:rFonts w:hint="eastAsia" w:ascii="宋体"/>
                <w:kern w:val="0"/>
                <w:sz w:val="18"/>
                <w:szCs w:val="18"/>
              </w:rPr>
              <w:t>GB/T 12233</w:t>
            </w:r>
          </w:p>
        </w:tc>
        <w:tc>
          <w:tcPr>
            <w:tcW w:w="4961" w:type="dxa"/>
            <w:tcBorders>
              <w:top w:val="single" w:color="000000" w:sz="4" w:space="0"/>
              <w:left w:val="single" w:color="000000" w:sz="4" w:space="0"/>
              <w:bottom w:val="single" w:color="000000" w:sz="4" w:space="0"/>
              <w:right w:val="single" w:color="000000" w:sz="4" w:space="0"/>
            </w:tcBorders>
            <w:vAlign w:val="center"/>
          </w:tcPr>
          <w:p>
            <w:pPr>
              <w:rPr>
                <w:rFonts w:ascii="宋体"/>
                <w:kern w:val="0"/>
                <w:sz w:val="18"/>
                <w:szCs w:val="18"/>
              </w:rPr>
            </w:pPr>
            <w:r>
              <w:rPr>
                <w:rFonts w:hint="eastAsia" w:ascii="宋体"/>
                <w:kern w:val="0"/>
                <w:sz w:val="18"/>
                <w:szCs w:val="18"/>
              </w:rPr>
              <w:t>通用阀门 铁制截止阀和升降式止回阀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2" w:type="dxa"/>
            <w:vMerge w:val="restart"/>
            <w:tcBorders>
              <w:top w:val="nil"/>
              <w:left w:val="single" w:color="000000" w:sz="4" w:space="0"/>
              <w:bottom w:val="single" w:color="000000" w:sz="4" w:space="0"/>
              <w:right w:val="single" w:color="000000" w:sz="4" w:space="0"/>
            </w:tcBorders>
            <w:vAlign w:val="center"/>
          </w:tcPr>
          <w:p>
            <w:pPr>
              <w:jc w:val="center"/>
              <w:rPr>
                <w:rFonts w:ascii="宋体"/>
                <w:kern w:val="0"/>
                <w:sz w:val="18"/>
                <w:szCs w:val="18"/>
              </w:rPr>
            </w:pPr>
            <w:r>
              <w:rPr>
                <w:rFonts w:hint="eastAsia" w:ascii="宋体"/>
                <w:kern w:val="0"/>
                <w:sz w:val="18"/>
                <w:szCs w:val="18"/>
              </w:rPr>
              <w:t>闸阀</w:t>
            </w:r>
          </w:p>
        </w:tc>
        <w:tc>
          <w:tcPr>
            <w:tcW w:w="20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kern w:val="0"/>
                <w:sz w:val="18"/>
                <w:szCs w:val="18"/>
              </w:rPr>
            </w:pPr>
            <w:r>
              <w:rPr>
                <w:rFonts w:hint="eastAsia" w:ascii="宋体"/>
                <w:kern w:val="0"/>
                <w:sz w:val="18"/>
                <w:szCs w:val="18"/>
              </w:rPr>
              <w:t>GB/T 12234</w:t>
            </w:r>
          </w:p>
        </w:tc>
        <w:tc>
          <w:tcPr>
            <w:tcW w:w="4961" w:type="dxa"/>
            <w:tcBorders>
              <w:top w:val="single" w:color="000000" w:sz="4" w:space="0"/>
              <w:left w:val="single" w:color="000000" w:sz="4" w:space="0"/>
              <w:bottom w:val="single" w:color="000000" w:sz="4" w:space="0"/>
              <w:right w:val="single" w:color="000000" w:sz="4" w:space="0"/>
            </w:tcBorders>
            <w:vAlign w:val="center"/>
          </w:tcPr>
          <w:p>
            <w:pPr>
              <w:rPr>
                <w:rFonts w:ascii="宋体"/>
                <w:kern w:val="0"/>
                <w:sz w:val="18"/>
                <w:szCs w:val="18"/>
              </w:rPr>
            </w:pPr>
            <w:r>
              <w:rPr>
                <w:rFonts w:hint="eastAsia" w:ascii="宋体"/>
                <w:kern w:val="0"/>
                <w:sz w:val="18"/>
                <w:szCs w:val="18"/>
              </w:rPr>
              <w:t>石油、天然气工业用螺柱连接阀盖的钢制闸阀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2" w:type="dxa"/>
            <w:vMerge w:val="continue"/>
            <w:tcBorders>
              <w:top w:val="nil"/>
              <w:left w:val="single" w:color="000000" w:sz="4" w:space="0"/>
              <w:bottom w:val="single" w:color="000000" w:sz="4" w:space="0"/>
              <w:right w:val="single" w:color="000000" w:sz="4" w:space="0"/>
            </w:tcBorders>
            <w:vAlign w:val="center"/>
          </w:tcPr>
          <w:p>
            <w:pPr>
              <w:jc w:val="center"/>
              <w:rPr>
                <w:rFonts w:ascii="宋体"/>
                <w:kern w:val="0"/>
                <w:sz w:val="18"/>
                <w:szCs w:val="18"/>
              </w:rPr>
            </w:pPr>
          </w:p>
        </w:tc>
        <w:tc>
          <w:tcPr>
            <w:tcW w:w="20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kern w:val="0"/>
                <w:sz w:val="18"/>
                <w:szCs w:val="18"/>
              </w:rPr>
            </w:pPr>
            <w:r>
              <w:rPr>
                <w:rFonts w:hint="eastAsia" w:ascii="宋体"/>
                <w:kern w:val="0"/>
                <w:sz w:val="18"/>
                <w:szCs w:val="18"/>
              </w:rPr>
              <w:t>GB/T 12232</w:t>
            </w:r>
          </w:p>
        </w:tc>
        <w:tc>
          <w:tcPr>
            <w:tcW w:w="4961" w:type="dxa"/>
            <w:tcBorders>
              <w:top w:val="single" w:color="000000" w:sz="4" w:space="0"/>
              <w:left w:val="single" w:color="000000" w:sz="4" w:space="0"/>
              <w:bottom w:val="single" w:color="000000" w:sz="4" w:space="0"/>
              <w:right w:val="single" w:color="000000" w:sz="4" w:space="0"/>
            </w:tcBorders>
            <w:vAlign w:val="center"/>
          </w:tcPr>
          <w:p>
            <w:pPr>
              <w:rPr>
                <w:rFonts w:ascii="宋体"/>
                <w:kern w:val="0"/>
                <w:sz w:val="18"/>
                <w:szCs w:val="18"/>
              </w:rPr>
            </w:pPr>
            <w:r>
              <w:rPr>
                <w:rFonts w:hint="eastAsia" w:ascii="宋体"/>
                <w:kern w:val="0"/>
                <w:sz w:val="18"/>
                <w:szCs w:val="18"/>
              </w:rPr>
              <w:t>通用阀门 法兰连接铁制闸阀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2" w:type="dxa"/>
            <w:vMerge w:val="restart"/>
            <w:tcBorders>
              <w:top w:val="nil"/>
              <w:left w:val="single" w:color="000000" w:sz="4" w:space="0"/>
              <w:bottom w:val="single" w:color="000000" w:sz="4" w:space="0"/>
              <w:right w:val="single" w:color="000000" w:sz="4" w:space="0"/>
            </w:tcBorders>
            <w:vAlign w:val="center"/>
          </w:tcPr>
          <w:p>
            <w:pPr>
              <w:jc w:val="center"/>
              <w:rPr>
                <w:rFonts w:ascii="宋体"/>
                <w:kern w:val="0"/>
                <w:sz w:val="18"/>
                <w:szCs w:val="18"/>
              </w:rPr>
            </w:pPr>
            <w:r>
              <w:rPr>
                <w:rFonts w:hint="eastAsia" w:ascii="宋体"/>
                <w:kern w:val="0"/>
                <w:sz w:val="18"/>
                <w:szCs w:val="18"/>
              </w:rPr>
              <w:t>止回阀</w:t>
            </w:r>
          </w:p>
        </w:tc>
        <w:tc>
          <w:tcPr>
            <w:tcW w:w="20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kern w:val="0"/>
                <w:sz w:val="18"/>
                <w:szCs w:val="18"/>
              </w:rPr>
            </w:pPr>
            <w:r>
              <w:rPr>
                <w:rFonts w:hint="eastAsia" w:ascii="宋体"/>
                <w:kern w:val="0"/>
                <w:sz w:val="18"/>
                <w:szCs w:val="18"/>
              </w:rPr>
              <w:t>GB/T 12236</w:t>
            </w:r>
          </w:p>
        </w:tc>
        <w:tc>
          <w:tcPr>
            <w:tcW w:w="4961" w:type="dxa"/>
            <w:tcBorders>
              <w:top w:val="single" w:color="000000" w:sz="4" w:space="0"/>
              <w:left w:val="single" w:color="000000" w:sz="4" w:space="0"/>
              <w:bottom w:val="single" w:color="000000" w:sz="4" w:space="0"/>
              <w:right w:val="single" w:color="000000" w:sz="4" w:space="0"/>
            </w:tcBorders>
            <w:vAlign w:val="center"/>
          </w:tcPr>
          <w:p>
            <w:pPr>
              <w:rPr>
                <w:rFonts w:ascii="宋体"/>
                <w:kern w:val="0"/>
                <w:sz w:val="18"/>
                <w:szCs w:val="18"/>
              </w:rPr>
            </w:pPr>
            <w:r>
              <w:rPr>
                <w:rFonts w:hint="eastAsia" w:ascii="宋体"/>
                <w:kern w:val="0"/>
                <w:sz w:val="18"/>
                <w:szCs w:val="18"/>
              </w:rPr>
              <w:t>石油、化工及相关工业用的钢制旋启式止回阀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2" w:type="dxa"/>
            <w:vMerge w:val="continue"/>
            <w:tcBorders>
              <w:top w:val="nil"/>
              <w:left w:val="single" w:color="000000" w:sz="4" w:space="0"/>
              <w:bottom w:val="single" w:color="000000" w:sz="4" w:space="0"/>
              <w:right w:val="single" w:color="000000" w:sz="4" w:space="0"/>
            </w:tcBorders>
            <w:vAlign w:val="center"/>
          </w:tcPr>
          <w:p>
            <w:pPr>
              <w:jc w:val="center"/>
              <w:rPr>
                <w:rFonts w:ascii="宋体"/>
                <w:kern w:val="0"/>
                <w:sz w:val="18"/>
                <w:szCs w:val="18"/>
              </w:rPr>
            </w:pPr>
          </w:p>
        </w:tc>
        <w:tc>
          <w:tcPr>
            <w:tcW w:w="20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kern w:val="0"/>
                <w:sz w:val="18"/>
                <w:szCs w:val="18"/>
              </w:rPr>
            </w:pPr>
            <w:r>
              <w:rPr>
                <w:rFonts w:hint="eastAsia" w:ascii="宋体"/>
                <w:kern w:val="0"/>
                <w:sz w:val="18"/>
                <w:szCs w:val="18"/>
              </w:rPr>
              <w:t>JB/T 8937</w:t>
            </w:r>
          </w:p>
        </w:tc>
        <w:tc>
          <w:tcPr>
            <w:tcW w:w="4961" w:type="dxa"/>
            <w:tcBorders>
              <w:top w:val="single" w:color="000000" w:sz="4" w:space="0"/>
              <w:left w:val="single" w:color="000000" w:sz="4" w:space="0"/>
              <w:bottom w:val="single" w:color="000000" w:sz="4" w:space="0"/>
              <w:right w:val="single" w:color="000000" w:sz="4" w:space="0"/>
            </w:tcBorders>
            <w:vAlign w:val="center"/>
          </w:tcPr>
          <w:p>
            <w:pPr>
              <w:rPr>
                <w:rFonts w:ascii="宋体"/>
                <w:kern w:val="0"/>
                <w:sz w:val="18"/>
                <w:szCs w:val="18"/>
              </w:rPr>
            </w:pPr>
            <w:r>
              <w:rPr>
                <w:rFonts w:hint="eastAsia" w:ascii="宋体"/>
                <w:kern w:val="0"/>
                <w:sz w:val="18"/>
                <w:szCs w:val="18"/>
              </w:rPr>
              <w:t>对夹式止回阀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2" w:type="dxa"/>
            <w:vMerge w:val="continue"/>
            <w:tcBorders>
              <w:top w:val="nil"/>
              <w:left w:val="single" w:color="000000" w:sz="4" w:space="0"/>
              <w:bottom w:val="single" w:color="000000" w:sz="4" w:space="0"/>
              <w:right w:val="single" w:color="000000" w:sz="4" w:space="0"/>
            </w:tcBorders>
            <w:vAlign w:val="center"/>
          </w:tcPr>
          <w:p>
            <w:pPr>
              <w:jc w:val="center"/>
              <w:rPr>
                <w:rFonts w:ascii="宋体"/>
                <w:kern w:val="0"/>
                <w:sz w:val="18"/>
                <w:szCs w:val="18"/>
              </w:rPr>
            </w:pPr>
          </w:p>
        </w:tc>
        <w:tc>
          <w:tcPr>
            <w:tcW w:w="20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kern w:val="0"/>
                <w:sz w:val="18"/>
                <w:szCs w:val="18"/>
              </w:rPr>
            </w:pPr>
            <w:r>
              <w:rPr>
                <w:rFonts w:hint="eastAsia" w:ascii="宋体"/>
                <w:kern w:val="0"/>
                <w:sz w:val="18"/>
                <w:szCs w:val="18"/>
              </w:rPr>
              <w:t>GB/T 13932</w:t>
            </w:r>
          </w:p>
        </w:tc>
        <w:tc>
          <w:tcPr>
            <w:tcW w:w="4961" w:type="dxa"/>
            <w:tcBorders>
              <w:top w:val="single" w:color="000000" w:sz="4" w:space="0"/>
              <w:left w:val="single" w:color="000000" w:sz="4" w:space="0"/>
              <w:bottom w:val="single" w:color="000000" w:sz="4" w:space="0"/>
              <w:right w:val="single" w:color="000000" w:sz="4" w:space="0"/>
            </w:tcBorders>
            <w:vAlign w:val="center"/>
          </w:tcPr>
          <w:p>
            <w:pPr>
              <w:rPr>
                <w:rFonts w:ascii="宋体"/>
                <w:kern w:val="0"/>
                <w:sz w:val="18"/>
                <w:szCs w:val="18"/>
              </w:rPr>
            </w:pPr>
            <w:r>
              <w:rPr>
                <w:rFonts w:hint="eastAsia" w:ascii="宋体"/>
                <w:kern w:val="0"/>
                <w:sz w:val="18"/>
                <w:szCs w:val="18"/>
              </w:rPr>
              <w:t>铁制旋启式止回阀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2" w:type="dxa"/>
            <w:vMerge w:val="restart"/>
            <w:tcBorders>
              <w:top w:val="single" w:color="000000" w:sz="4" w:space="0"/>
              <w:left w:val="single" w:color="000000" w:sz="4" w:space="0"/>
              <w:right w:val="single" w:color="000000" w:sz="4" w:space="0"/>
            </w:tcBorders>
            <w:vAlign w:val="center"/>
          </w:tcPr>
          <w:p>
            <w:pPr>
              <w:jc w:val="center"/>
              <w:rPr>
                <w:rFonts w:ascii="宋体"/>
                <w:kern w:val="0"/>
                <w:sz w:val="18"/>
                <w:szCs w:val="18"/>
              </w:rPr>
            </w:pPr>
            <w:r>
              <w:rPr>
                <w:rFonts w:hint="eastAsia" w:ascii="宋体"/>
                <w:kern w:val="0"/>
                <w:sz w:val="18"/>
                <w:szCs w:val="18"/>
              </w:rPr>
              <w:t>旋塞阀</w:t>
            </w:r>
          </w:p>
        </w:tc>
        <w:tc>
          <w:tcPr>
            <w:tcW w:w="20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kern w:val="0"/>
                <w:sz w:val="18"/>
                <w:szCs w:val="18"/>
              </w:rPr>
            </w:pPr>
            <w:r>
              <w:rPr>
                <w:rFonts w:hint="eastAsia" w:ascii="宋体"/>
                <w:kern w:val="0"/>
                <w:sz w:val="18"/>
                <w:szCs w:val="18"/>
              </w:rPr>
              <w:t>GB/T 12240</w:t>
            </w:r>
          </w:p>
        </w:tc>
        <w:tc>
          <w:tcPr>
            <w:tcW w:w="4961" w:type="dxa"/>
            <w:tcBorders>
              <w:top w:val="single" w:color="000000" w:sz="4" w:space="0"/>
              <w:left w:val="single" w:color="000000" w:sz="4" w:space="0"/>
              <w:bottom w:val="single" w:color="000000" w:sz="4" w:space="0"/>
              <w:right w:val="single" w:color="000000" w:sz="4" w:space="0"/>
            </w:tcBorders>
            <w:vAlign w:val="center"/>
          </w:tcPr>
          <w:p>
            <w:pPr>
              <w:rPr>
                <w:rFonts w:ascii="宋体"/>
                <w:kern w:val="0"/>
                <w:sz w:val="18"/>
                <w:szCs w:val="18"/>
              </w:rPr>
            </w:pPr>
            <w:r>
              <w:rPr>
                <w:rFonts w:hint="eastAsia" w:ascii="宋体"/>
                <w:kern w:val="0"/>
                <w:sz w:val="18"/>
                <w:szCs w:val="18"/>
              </w:rPr>
              <w:t>铁制旋塞阀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2" w:type="dxa"/>
            <w:vMerge w:val="continue"/>
            <w:tcBorders>
              <w:left w:val="single" w:color="000000" w:sz="4" w:space="0"/>
              <w:bottom w:val="single" w:color="000000" w:sz="4" w:space="0"/>
              <w:right w:val="single" w:color="000000" w:sz="4" w:space="0"/>
            </w:tcBorders>
            <w:vAlign w:val="center"/>
          </w:tcPr>
          <w:p>
            <w:pPr>
              <w:jc w:val="center"/>
              <w:rPr>
                <w:rFonts w:ascii="宋体"/>
                <w:kern w:val="0"/>
                <w:sz w:val="18"/>
                <w:szCs w:val="18"/>
              </w:rPr>
            </w:pPr>
          </w:p>
        </w:tc>
        <w:tc>
          <w:tcPr>
            <w:tcW w:w="20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kern w:val="0"/>
                <w:sz w:val="18"/>
                <w:szCs w:val="18"/>
              </w:rPr>
            </w:pPr>
            <w:r>
              <w:rPr>
                <w:rFonts w:hint="eastAsia" w:ascii="宋体"/>
                <w:kern w:val="0"/>
                <w:sz w:val="18"/>
                <w:szCs w:val="18"/>
              </w:rPr>
              <w:t xml:space="preserve">GB/T </w:t>
            </w:r>
            <w:r>
              <w:rPr>
                <w:rFonts w:ascii="宋体"/>
                <w:kern w:val="0"/>
                <w:sz w:val="18"/>
                <w:szCs w:val="18"/>
              </w:rPr>
              <w:t>22130</w:t>
            </w:r>
          </w:p>
        </w:tc>
        <w:tc>
          <w:tcPr>
            <w:tcW w:w="4961" w:type="dxa"/>
            <w:tcBorders>
              <w:top w:val="single" w:color="000000" w:sz="4" w:space="0"/>
              <w:left w:val="single" w:color="000000" w:sz="4" w:space="0"/>
              <w:bottom w:val="single" w:color="000000" w:sz="4" w:space="0"/>
              <w:right w:val="single" w:color="000000" w:sz="4" w:space="0"/>
            </w:tcBorders>
            <w:vAlign w:val="center"/>
          </w:tcPr>
          <w:p>
            <w:pPr>
              <w:rPr>
                <w:rFonts w:ascii="宋体"/>
                <w:kern w:val="0"/>
                <w:sz w:val="18"/>
                <w:szCs w:val="18"/>
              </w:rPr>
            </w:pPr>
            <w:r>
              <w:rPr>
                <w:rFonts w:hint="eastAsia" w:ascii="宋体"/>
                <w:kern w:val="0"/>
                <w:sz w:val="18"/>
                <w:szCs w:val="18"/>
              </w:rPr>
              <w:t>钢制旋塞阀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2" w:type="dxa"/>
            <w:vMerge w:val="restart"/>
            <w:tcBorders>
              <w:top w:val="nil"/>
              <w:left w:val="single" w:color="000000" w:sz="4" w:space="0"/>
              <w:bottom w:val="single" w:color="000000" w:sz="4" w:space="0"/>
              <w:right w:val="single" w:color="000000" w:sz="4" w:space="0"/>
            </w:tcBorders>
            <w:vAlign w:val="center"/>
          </w:tcPr>
          <w:p>
            <w:pPr>
              <w:jc w:val="center"/>
              <w:rPr>
                <w:rFonts w:ascii="宋体"/>
                <w:kern w:val="0"/>
                <w:sz w:val="18"/>
                <w:szCs w:val="18"/>
              </w:rPr>
            </w:pPr>
            <w:r>
              <w:rPr>
                <w:rFonts w:hint="eastAsia" w:ascii="宋体"/>
                <w:kern w:val="0"/>
                <w:sz w:val="18"/>
                <w:szCs w:val="18"/>
              </w:rPr>
              <w:t>蝶阀</w:t>
            </w:r>
          </w:p>
        </w:tc>
        <w:tc>
          <w:tcPr>
            <w:tcW w:w="20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kern w:val="0"/>
                <w:sz w:val="18"/>
                <w:szCs w:val="18"/>
              </w:rPr>
            </w:pPr>
            <w:r>
              <w:rPr>
                <w:rFonts w:hint="eastAsia" w:ascii="宋体"/>
                <w:kern w:val="0"/>
                <w:sz w:val="18"/>
                <w:szCs w:val="18"/>
              </w:rPr>
              <w:t>GB/T 12238</w:t>
            </w:r>
          </w:p>
        </w:tc>
        <w:tc>
          <w:tcPr>
            <w:tcW w:w="4961" w:type="dxa"/>
            <w:tcBorders>
              <w:top w:val="single" w:color="000000" w:sz="4" w:space="0"/>
              <w:left w:val="single" w:color="000000" w:sz="4" w:space="0"/>
              <w:bottom w:val="single" w:color="000000" w:sz="4" w:space="0"/>
              <w:right w:val="single" w:color="000000" w:sz="4" w:space="0"/>
            </w:tcBorders>
            <w:vAlign w:val="center"/>
          </w:tcPr>
          <w:p>
            <w:pPr>
              <w:rPr>
                <w:rFonts w:ascii="宋体"/>
                <w:kern w:val="0"/>
                <w:sz w:val="18"/>
                <w:szCs w:val="18"/>
              </w:rPr>
            </w:pPr>
            <w:r>
              <w:rPr>
                <w:rFonts w:hint="eastAsia" w:ascii="宋体"/>
                <w:kern w:val="0"/>
                <w:sz w:val="18"/>
                <w:szCs w:val="18"/>
              </w:rPr>
              <w:t>法兰和对夹连接弹性密封蝶阀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2" w:type="dxa"/>
            <w:vMerge w:val="continue"/>
            <w:tcBorders>
              <w:top w:val="nil"/>
              <w:left w:val="single" w:color="000000" w:sz="4" w:space="0"/>
              <w:bottom w:val="single" w:color="000000" w:sz="4" w:space="0"/>
              <w:right w:val="single" w:color="000000" w:sz="4" w:space="0"/>
            </w:tcBorders>
            <w:vAlign w:val="center"/>
          </w:tcPr>
          <w:p>
            <w:pPr>
              <w:jc w:val="center"/>
              <w:rPr>
                <w:rFonts w:ascii="宋体"/>
                <w:kern w:val="0"/>
                <w:sz w:val="18"/>
                <w:szCs w:val="18"/>
              </w:rPr>
            </w:pPr>
          </w:p>
        </w:tc>
        <w:tc>
          <w:tcPr>
            <w:tcW w:w="20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kern w:val="0"/>
                <w:sz w:val="18"/>
                <w:szCs w:val="18"/>
              </w:rPr>
            </w:pPr>
            <w:r>
              <w:rPr>
                <w:rFonts w:hint="eastAsia" w:ascii="宋体"/>
                <w:kern w:val="0"/>
                <w:sz w:val="18"/>
                <w:szCs w:val="18"/>
              </w:rPr>
              <w:t>JB/T 8527</w:t>
            </w:r>
          </w:p>
        </w:tc>
        <w:tc>
          <w:tcPr>
            <w:tcW w:w="4961" w:type="dxa"/>
            <w:tcBorders>
              <w:top w:val="single" w:color="000000" w:sz="4" w:space="0"/>
              <w:left w:val="single" w:color="000000" w:sz="4" w:space="0"/>
              <w:bottom w:val="single" w:color="000000" w:sz="4" w:space="0"/>
              <w:right w:val="single" w:color="000000" w:sz="4" w:space="0"/>
            </w:tcBorders>
            <w:vAlign w:val="center"/>
          </w:tcPr>
          <w:p>
            <w:pPr>
              <w:rPr>
                <w:rFonts w:ascii="宋体"/>
                <w:kern w:val="0"/>
                <w:sz w:val="18"/>
                <w:szCs w:val="18"/>
              </w:rPr>
            </w:pPr>
            <w:r>
              <w:rPr>
                <w:rFonts w:hint="eastAsia" w:ascii="宋体"/>
                <w:kern w:val="0"/>
                <w:sz w:val="18"/>
                <w:szCs w:val="18"/>
              </w:rPr>
              <w:t>金属密封蝶阀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2" w:type="dxa"/>
            <w:vMerge w:val="restart"/>
            <w:tcBorders>
              <w:top w:val="nil"/>
              <w:left w:val="single" w:color="000000" w:sz="4" w:space="0"/>
              <w:bottom w:val="single" w:color="000000" w:sz="4" w:space="0"/>
              <w:right w:val="single" w:color="000000" w:sz="4" w:space="0"/>
            </w:tcBorders>
            <w:vAlign w:val="center"/>
          </w:tcPr>
          <w:p>
            <w:pPr>
              <w:jc w:val="center"/>
              <w:rPr>
                <w:rFonts w:ascii="宋体"/>
                <w:kern w:val="0"/>
                <w:sz w:val="18"/>
                <w:szCs w:val="18"/>
              </w:rPr>
            </w:pPr>
            <w:r>
              <w:rPr>
                <w:rFonts w:hint="eastAsia" w:ascii="宋体"/>
                <w:kern w:val="0"/>
                <w:sz w:val="18"/>
                <w:szCs w:val="18"/>
              </w:rPr>
              <w:t>安全阀</w:t>
            </w:r>
          </w:p>
        </w:tc>
        <w:tc>
          <w:tcPr>
            <w:tcW w:w="20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kern w:val="0"/>
                <w:sz w:val="18"/>
                <w:szCs w:val="18"/>
              </w:rPr>
            </w:pPr>
            <w:r>
              <w:rPr>
                <w:rFonts w:hint="eastAsia" w:ascii="宋体"/>
                <w:kern w:val="0"/>
                <w:sz w:val="18"/>
                <w:szCs w:val="18"/>
              </w:rPr>
              <w:t>GB/T 12241</w:t>
            </w:r>
          </w:p>
        </w:tc>
        <w:tc>
          <w:tcPr>
            <w:tcW w:w="4961" w:type="dxa"/>
            <w:tcBorders>
              <w:top w:val="single" w:color="000000" w:sz="4" w:space="0"/>
              <w:left w:val="single" w:color="000000" w:sz="4" w:space="0"/>
              <w:bottom w:val="single" w:color="000000" w:sz="4" w:space="0"/>
              <w:right w:val="single" w:color="000000" w:sz="4" w:space="0"/>
            </w:tcBorders>
            <w:vAlign w:val="center"/>
          </w:tcPr>
          <w:p>
            <w:pPr>
              <w:rPr>
                <w:rFonts w:ascii="宋体"/>
                <w:kern w:val="0"/>
                <w:sz w:val="18"/>
                <w:szCs w:val="18"/>
              </w:rPr>
            </w:pPr>
            <w:r>
              <w:rPr>
                <w:rFonts w:hint="eastAsia" w:ascii="宋体"/>
                <w:kern w:val="0"/>
                <w:sz w:val="18"/>
                <w:szCs w:val="18"/>
              </w:rPr>
              <w:t>安全阀 一般要求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2" w:type="dxa"/>
            <w:vMerge w:val="continue"/>
            <w:tcBorders>
              <w:top w:val="nil"/>
              <w:left w:val="single" w:color="000000" w:sz="4" w:space="0"/>
              <w:bottom w:val="single" w:color="000000" w:sz="4" w:space="0"/>
              <w:right w:val="single" w:color="000000" w:sz="4" w:space="0"/>
            </w:tcBorders>
            <w:vAlign w:val="center"/>
          </w:tcPr>
          <w:p>
            <w:pPr>
              <w:rPr>
                <w:rFonts w:ascii="宋体"/>
                <w:kern w:val="0"/>
                <w:sz w:val="18"/>
                <w:szCs w:val="18"/>
              </w:rPr>
            </w:pPr>
          </w:p>
        </w:tc>
        <w:tc>
          <w:tcPr>
            <w:tcW w:w="20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kern w:val="0"/>
                <w:sz w:val="18"/>
                <w:szCs w:val="18"/>
              </w:rPr>
            </w:pPr>
            <w:r>
              <w:rPr>
                <w:rFonts w:hint="eastAsia" w:ascii="宋体"/>
                <w:kern w:val="0"/>
                <w:sz w:val="18"/>
                <w:szCs w:val="18"/>
              </w:rPr>
              <w:t>GB/T 12243</w:t>
            </w:r>
          </w:p>
        </w:tc>
        <w:tc>
          <w:tcPr>
            <w:tcW w:w="4961" w:type="dxa"/>
            <w:tcBorders>
              <w:top w:val="single" w:color="000000" w:sz="4" w:space="0"/>
              <w:left w:val="single" w:color="000000" w:sz="4" w:space="0"/>
              <w:bottom w:val="single" w:color="000000" w:sz="4" w:space="0"/>
              <w:right w:val="single" w:color="000000" w:sz="4" w:space="0"/>
            </w:tcBorders>
            <w:vAlign w:val="center"/>
          </w:tcPr>
          <w:p>
            <w:pPr>
              <w:rPr>
                <w:rFonts w:ascii="宋体"/>
                <w:kern w:val="0"/>
                <w:sz w:val="18"/>
                <w:szCs w:val="18"/>
              </w:rPr>
            </w:pPr>
            <w:r>
              <w:rPr>
                <w:rFonts w:hint="eastAsia" w:ascii="宋体"/>
                <w:kern w:val="0"/>
                <w:sz w:val="18"/>
                <w:szCs w:val="18"/>
              </w:rPr>
              <w:t>弹簧直接载荷式安全阀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2" w:type="dxa"/>
            <w:vMerge w:val="continue"/>
            <w:tcBorders>
              <w:top w:val="nil"/>
              <w:left w:val="single" w:color="000000" w:sz="4" w:space="0"/>
              <w:bottom w:val="single" w:color="000000" w:sz="4" w:space="0"/>
              <w:right w:val="single" w:color="000000" w:sz="4" w:space="0"/>
            </w:tcBorders>
            <w:vAlign w:val="center"/>
          </w:tcPr>
          <w:p>
            <w:pPr>
              <w:rPr>
                <w:rFonts w:ascii="宋体"/>
                <w:kern w:val="0"/>
                <w:sz w:val="18"/>
                <w:szCs w:val="18"/>
              </w:rPr>
            </w:pPr>
          </w:p>
        </w:tc>
        <w:tc>
          <w:tcPr>
            <w:tcW w:w="202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kern w:val="0"/>
                <w:sz w:val="18"/>
                <w:szCs w:val="18"/>
              </w:rPr>
            </w:pPr>
            <w:r>
              <w:rPr>
                <w:rFonts w:hint="eastAsia" w:ascii="宋体"/>
                <w:kern w:val="0"/>
                <w:sz w:val="18"/>
                <w:szCs w:val="18"/>
              </w:rPr>
              <w:t xml:space="preserve">GB/T </w:t>
            </w:r>
            <w:r>
              <w:rPr>
                <w:rFonts w:ascii="宋体"/>
                <w:kern w:val="0"/>
                <w:sz w:val="18"/>
                <w:szCs w:val="18"/>
              </w:rPr>
              <w:t>28778</w:t>
            </w:r>
          </w:p>
        </w:tc>
        <w:tc>
          <w:tcPr>
            <w:tcW w:w="4961" w:type="dxa"/>
            <w:tcBorders>
              <w:top w:val="single" w:color="000000" w:sz="4" w:space="0"/>
              <w:left w:val="single" w:color="000000" w:sz="4" w:space="0"/>
              <w:bottom w:val="single" w:color="000000" w:sz="4" w:space="0"/>
              <w:right w:val="single" w:color="000000" w:sz="4" w:space="0"/>
            </w:tcBorders>
            <w:vAlign w:val="center"/>
          </w:tcPr>
          <w:p>
            <w:pPr>
              <w:rPr>
                <w:rFonts w:ascii="宋体"/>
                <w:kern w:val="0"/>
                <w:sz w:val="18"/>
                <w:szCs w:val="18"/>
              </w:rPr>
            </w:pPr>
            <w:r>
              <w:rPr>
                <w:rFonts w:hint="eastAsia" w:ascii="宋体"/>
                <w:kern w:val="0"/>
                <w:sz w:val="18"/>
                <w:szCs w:val="18"/>
              </w:rPr>
              <w:t>先导式安全阀</w:t>
            </w:r>
          </w:p>
        </w:tc>
      </w:tr>
    </w:tbl>
    <w:p>
      <w:pPr>
        <w:pStyle w:val="170"/>
      </w:pPr>
      <w:r>
        <w:rPr>
          <w:rFonts w:hint="eastAsia"/>
        </w:rPr>
        <w:t>掺氢撬内的阀门按工作压力选择，但不应低于PN16。</w:t>
      </w:r>
    </w:p>
    <w:p>
      <w:pPr>
        <w:pStyle w:val="170"/>
      </w:pPr>
      <w:r>
        <w:rPr>
          <w:rFonts w:hint="eastAsia"/>
        </w:rPr>
        <w:t>氢气管道、掺氢管道用根部阀门宜采用球阀和截止阀，且应符合下列规定：</w:t>
      </w:r>
    </w:p>
    <w:p>
      <w:pPr>
        <w:pStyle w:val="179"/>
        <w:numPr>
          <w:ilvl w:val="0"/>
          <w:numId w:val="44"/>
        </w:numPr>
      </w:pPr>
      <w:r>
        <w:rPr>
          <w:rFonts w:hint="eastAsia"/>
        </w:rPr>
        <w:t>阀门壳体材料的压力、温度额定值应满足设计条件的要求；</w:t>
      </w:r>
    </w:p>
    <w:p>
      <w:pPr>
        <w:pStyle w:val="179"/>
      </w:pPr>
      <w:r>
        <w:rPr>
          <w:rFonts w:hint="eastAsia"/>
        </w:rPr>
        <w:t>阀门阀杆材料不宜采用马氏体不锈钢；</w:t>
      </w:r>
    </w:p>
    <w:p>
      <w:pPr>
        <w:pStyle w:val="179"/>
      </w:pPr>
      <w:r>
        <w:rPr>
          <w:rFonts w:hint="eastAsia"/>
        </w:rPr>
        <w:t>阀门密封填料宜采用氟橡胶、聚四氟乙烯类材料或其他与氢气具有良好相容性的材料，当</w:t>
      </w:r>
    </w:p>
    <w:p>
      <w:pPr>
        <w:pStyle w:val="179"/>
      </w:pPr>
      <w:r>
        <w:rPr>
          <w:rFonts w:hint="eastAsia"/>
        </w:rPr>
        <w:t>球阀密封材料采用橡胶材料时，应采用防压力爆破橡胶材料；</w:t>
      </w:r>
    </w:p>
    <w:p>
      <w:pPr>
        <w:pStyle w:val="179"/>
      </w:pPr>
      <w:r>
        <w:rPr>
          <w:rFonts w:hint="eastAsia"/>
        </w:rPr>
        <w:t>阀门密封面宜采用堆焊钴基合金或其他等效硬化方式；</w:t>
      </w:r>
    </w:p>
    <w:p>
      <w:pPr>
        <w:pStyle w:val="179"/>
      </w:pPr>
      <w:r>
        <w:rPr>
          <w:rFonts w:hint="eastAsia"/>
        </w:rPr>
        <w:t>球阀的阀体、阀球、阀座等应采用锻钢。</w:t>
      </w:r>
    </w:p>
    <w:p>
      <w:pPr>
        <w:pStyle w:val="170"/>
      </w:pPr>
      <w:r>
        <w:rPr>
          <w:rFonts w:hint="eastAsia"/>
        </w:rPr>
        <w:t>不应使用铸铁材质的阀门。铸铁或球墨铸铁制成的外壳（阀体、阀盖、阀套和/或端部法兰等）部件的阀门不应用于氢气工况。</w:t>
      </w:r>
    </w:p>
    <w:p>
      <w:pPr>
        <w:pStyle w:val="170"/>
      </w:pPr>
      <w:r>
        <w:t>氢气管道、掺氢管道软质密封阀门应有防火、防静电结构。</w:t>
      </w:r>
    </w:p>
    <w:p>
      <w:pPr>
        <w:pStyle w:val="110"/>
        <w:spacing w:before="120" w:after="120"/>
      </w:pPr>
      <w:bookmarkStart w:id="156" w:name="_Toc209114055"/>
      <w:r>
        <w:rPr>
          <w:rFonts w:hint="eastAsia"/>
        </w:rPr>
        <w:t>调节阀</w:t>
      </w:r>
      <w:bookmarkEnd w:id="156"/>
    </w:p>
    <w:p>
      <w:pPr>
        <w:pStyle w:val="170"/>
      </w:pPr>
      <w:r>
        <w:rPr>
          <w:rFonts w:hint="eastAsia"/>
        </w:rPr>
        <w:t>调节阀的选型和尺寸应根据操作和设计的参数计算，选择适于工艺过程的调节阀阀体类型及口径。设计参数包括：压力、温度、允许压降、流量、流体的成份、允许的流速、渗漏量要求和最大噪音等级等。所有的计算应符合 ISA75.01 标准。</w:t>
      </w:r>
    </w:p>
    <w:p>
      <w:pPr>
        <w:pStyle w:val="170"/>
      </w:pPr>
      <w:r>
        <w:rPr>
          <w:rFonts w:hint="eastAsia"/>
        </w:rPr>
        <w:t>掺氢内用于调压的调节阀应选用高可靠性的自力式调压阀或电动调节阀；用于调流量的调节阀应选用电动调节阀。</w:t>
      </w:r>
    </w:p>
    <w:p>
      <w:pPr>
        <w:pStyle w:val="170"/>
      </w:pPr>
      <w:r>
        <w:rPr>
          <w:rFonts w:hint="eastAsia"/>
        </w:rPr>
        <w:t>自力式调压阀应为带有指挥器的调压阀。调压阀的指挥器应是带有负载级和控制级两级作用的指挥器，其中，第一级为压力可调的负载级，能够为控制级提供合适、稳定的压力；第二级为控制级，负责调压阀出口压力的调节。</w:t>
      </w:r>
    </w:p>
    <w:p>
      <w:pPr>
        <w:pStyle w:val="170"/>
      </w:pPr>
      <w:r>
        <w:rPr>
          <w:rFonts w:hint="eastAsia"/>
        </w:rPr>
        <w:t>阀体上应清楚地标出介质的流动方向，并且阀体上应设有吊装用吊环。调节阀上应带有就地机械或电子式指示装置，可就地指示阀门的开度。</w:t>
      </w:r>
    </w:p>
    <w:p>
      <w:pPr>
        <w:pStyle w:val="170"/>
      </w:pPr>
      <w:r>
        <w:rPr>
          <w:rFonts w:hint="eastAsia"/>
        </w:rPr>
        <w:t xml:space="preserve">调节阀和执行机构的选型应考虑所有操作条件并应提供详细的计算书。 </w:t>
      </w:r>
    </w:p>
    <w:p>
      <w:pPr>
        <w:pStyle w:val="179"/>
        <w:numPr>
          <w:ilvl w:val="0"/>
          <w:numId w:val="45"/>
        </w:numPr>
      </w:pPr>
      <w:r>
        <w:rPr>
          <w:rFonts w:hint="eastAsia"/>
        </w:rPr>
        <w:t xml:space="preserve">计算书至少包括空化、闪蒸、流速以及噪音等内容。若计算过程中产生气蚀、闪蒸应采取相应的措施； </w:t>
      </w:r>
    </w:p>
    <w:p>
      <w:pPr>
        <w:pStyle w:val="179"/>
      </w:pPr>
      <w:r>
        <w:rPr>
          <w:rFonts w:hint="eastAsia"/>
        </w:rPr>
        <w:t>执行机构的计算书至少包括执行机构最小的负荷参数，在最大关断压差下阀门所需的推力以及执行机构所能提供的推力；</w:t>
      </w:r>
    </w:p>
    <w:p>
      <w:pPr>
        <w:pStyle w:val="170"/>
      </w:pPr>
      <w:r>
        <w:rPr>
          <w:rFonts w:hint="eastAsia"/>
        </w:rPr>
        <w:t xml:space="preserve">在最恶劣的工况下，距离阀门 1m 处的噪音必须小于 85dB。噪音计算应符合 ISA SP75.17 </w:t>
      </w:r>
    </w:p>
    <w:p>
      <w:pPr>
        <w:pStyle w:val="170"/>
        <w:numPr>
          <w:ilvl w:val="0"/>
          <w:numId w:val="0"/>
        </w:numPr>
      </w:pPr>
      <w:r>
        <w:rPr>
          <w:rFonts w:hint="eastAsia"/>
        </w:rPr>
        <w:t>标准；</w:t>
      </w:r>
    </w:p>
    <w:p>
      <w:pPr>
        <w:pStyle w:val="170"/>
      </w:pPr>
      <w:r>
        <w:rPr>
          <w:rFonts w:hint="eastAsia"/>
        </w:rPr>
        <w:t>所有电气部分都应能满足现场防爆等级和防护等级的要求；</w:t>
      </w:r>
    </w:p>
    <w:p>
      <w:pPr>
        <w:pStyle w:val="170"/>
      </w:pPr>
      <w:r>
        <w:rPr>
          <w:rFonts w:hint="eastAsia"/>
        </w:rPr>
        <w:t>流量调节阀应满足在最小最大流量条件下阀的开度在 15%～90%之间。在最小压差最大流量（设计流量的1.1倍）条件下，阀的开度不大于 90%，最大压差最小流量条件下，阀的开度不低于 15%。整体调节精度应优于±1.0%；</w:t>
      </w:r>
    </w:p>
    <w:p>
      <w:pPr>
        <w:pStyle w:val="170"/>
      </w:pPr>
      <w:r>
        <w:rPr>
          <w:rFonts w:hint="eastAsia"/>
        </w:rPr>
        <w:t>自力式调压阀其调节范围应在最大流通能力的5%～85%之间，其调节精度应优于±1.5%；</w:t>
      </w:r>
    </w:p>
    <w:p>
      <w:pPr>
        <w:pStyle w:val="170"/>
      </w:pPr>
      <w:r>
        <w:rPr>
          <w:rFonts w:hint="eastAsia"/>
        </w:rPr>
        <w:t>电动调压阀的尺寸应按照在最小最大流量条件下，阀的开度在5%～90%之间进行计算，调节精度应优于±1.0%；</w:t>
      </w:r>
    </w:p>
    <w:p>
      <w:pPr>
        <w:pStyle w:val="170"/>
      </w:pPr>
      <w:r>
        <w:rPr>
          <w:rFonts w:hint="eastAsia"/>
        </w:rPr>
        <w:t>自力式调压阀应附带位置变送器，可以将阀门的开度转换为4～20mADC的标准模拟信号，输出至控制系统进行显示并参与控制。该位置变送器的配置应合理，能够正确反映阀门的开度；</w:t>
      </w:r>
    </w:p>
    <w:p>
      <w:pPr>
        <w:pStyle w:val="170"/>
      </w:pPr>
      <w:r>
        <w:rPr>
          <w:rFonts w:hint="eastAsia"/>
        </w:rPr>
        <w:t>自力式调压阀应能通过调整单元或更换弹簧及其它部件（不必拆卸阀体），快捷、方便地改变调压阀的设定值，以保证今后压力改变时，仍能满足工艺要求。用于现场改变设定值的调整单元应具有保护措施，设定值设定后应能锁定，以免由于人为误操作造成压力控制系统异常工作。</w:t>
      </w:r>
    </w:p>
    <w:p>
      <w:pPr>
        <w:pStyle w:val="170"/>
      </w:pPr>
      <w:r>
        <w:rPr>
          <w:rFonts w:hint="eastAsia"/>
        </w:rPr>
        <w:t>调节阀内件需有足够的阻力通道或减压级，以保证天然气在最恶劣的工况下连续流过阀内件时，其速度头低于 480kPa，阀芯出口流速不应超过 0.2 马赫（Mach）， 调压阀出口不扩径时阀门出口法兰处流速不超过 40m/s，调压阀出口扩径时应保证出口法兰处流速不超过 20m/s。调节阀下游直管段口径应按 15m/s 流速设计。</w:t>
      </w:r>
    </w:p>
    <w:p>
      <w:pPr>
        <w:pStyle w:val="170"/>
      </w:pPr>
      <w:r>
        <w:rPr>
          <w:rFonts w:hint="eastAsia"/>
        </w:rPr>
        <w:t>对于压比（阀前压力与阀后压力的比值）大于等于1.6 或压差大于等于1.6MPa 的应用场合，调节阀应优先选用适合大压差的轴流式多级减压结构，也可选用迷宫式结构。压比小于 1.6 或压差小于 1.6MPa 的应用场合，调节阀宜选用轴流式或迷宫式结构。</w:t>
      </w:r>
    </w:p>
    <w:p>
      <w:pPr>
        <w:pStyle w:val="170"/>
      </w:pPr>
      <w:r>
        <w:rPr>
          <w:rFonts w:hint="eastAsia"/>
        </w:rPr>
        <w:t>应根据工艺要求选择调节阀的流量特性，宜选用等百分比或近似等百分比特性的调节阀。若调节阀的流量特性为其它类型，应予以保证其流量特性能够满足工艺要求。</w:t>
      </w:r>
    </w:p>
    <w:p>
      <w:pPr>
        <w:pStyle w:val="170"/>
      </w:pPr>
      <w:r>
        <w:rPr>
          <w:rFonts w:hint="eastAsia"/>
        </w:rPr>
        <w:t>调节阀的阀体、阀内件及密封件的材质及耐压等级应符合其安装处的工艺条件及现场的环境要求。阀内件材料应选用抗冲蚀能力强且耐腐蚀的不锈钢或者抗冲蚀能力更好的材料。</w:t>
      </w:r>
    </w:p>
    <w:p>
      <w:pPr>
        <w:pStyle w:val="170"/>
      </w:pPr>
      <w:r>
        <w:rPr>
          <w:rFonts w:hint="eastAsia"/>
        </w:rPr>
        <w:t>选择阀内件时，应考虑振动和阀内件磨损 调节阀所产生的最大磨损。阀内件应为易于维修的快速更换类型。不应有以螺纹或焊接方式固定在阀体或阀盖上的内部元件。</w:t>
      </w:r>
    </w:p>
    <w:p>
      <w:pPr>
        <w:pStyle w:val="170"/>
      </w:pPr>
      <w:r>
        <w:rPr>
          <w:rFonts w:hint="eastAsia"/>
        </w:rPr>
        <w:t>调节阀泄露等级至少为FCI-70-2 标准中的IV级。</w:t>
      </w:r>
    </w:p>
    <w:p>
      <w:pPr>
        <w:pStyle w:val="170"/>
      </w:pPr>
      <w:r>
        <w:rPr>
          <w:rFonts w:hint="eastAsia"/>
        </w:rPr>
        <w:t>调节阀的执行机构应满足以下要求：</w:t>
      </w:r>
    </w:p>
    <w:p>
      <w:pPr>
        <w:pStyle w:val="179"/>
        <w:numPr>
          <w:ilvl w:val="0"/>
          <w:numId w:val="46"/>
        </w:numPr>
      </w:pPr>
      <w:r>
        <w:rPr>
          <w:rFonts w:hint="eastAsia"/>
        </w:rPr>
        <w:t>调节阀的电动执行机构应按调节阀开启和关断时最大压差所需推力或力矩进行计算和选型，在调节阀计算书中应提供执行机构的负荷计算。同时，计算书中要求说明应选执行机构最小的负荷参数，以满足阀座与阀芯的装配及关断的技术要求；</w:t>
      </w:r>
    </w:p>
    <w:p>
      <w:pPr>
        <w:pStyle w:val="179"/>
      </w:pPr>
      <w:r>
        <w:rPr>
          <w:rFonts w:hint="eastAsia"/>
        </w:rPr>
        <w:t>执行机构内部之间的配管、管件和阀门的材料应采用 316 不锈钢。所有连接处不得有泄漏；</w:t>
      </w:r>
    </w:p>
    <w:p>
      <w:pPr>
        <w:pStyle w:val="179"/>
      </w:pPr>
      <w:r>
        <w:rPr>
          <w:rFonts w:hint="eastAsia"/>
        </w:rPr>
        <w:t>执行机构应与所选用的控制阀类型、尺寸等相配套，根据控制阀的类型，执行机构可以是直行程也可以是角行程；</w:t>
      </w:r>
    </w:p>
    <w:p>
      <w:pPr>
        <w:pStyle w:val="179"/>
      </w:pPr>
      <w:r>
        <w:rPr>
          <w:rFonts w:hint="eastAsia"/>
        </w:rPr>
        <w:t>执行机构的接线端子板应密封在单独的防爆盒（箱）内，端子应有标号，同时应有接地端子或接地螺栓。电源电缆的电气接口应与控制电缆的电气接口分开，未使用的接口应用金属接头密封。接线盒应做为执行机构的一部分；</w:t>
      </w:r>
    </w:p>
    <w:p>
      <w:pPr>
        <w:pStyle w:val="179"/>
      </w:pPr>
      <w:r>
        <w:rPr>
          <w:rFonts w:hint="eastAsia"/>
        </w:rPr>
        <w:t>执行机构的每个信号回路应在设备端配有防电涌保护器，电涌保护器标称放电电流不应小于 5kA(8/20μs）；</w:t>
      </w:r>
    </w:p>
    <w:p>
      <w:pPr>
        <w:pStyle w:val="179"/>
      </w:pPr>
      <w:r>
        <w:rPr>
          <w:rFonts w:hint="eastAsia"/>
        </w:rPr>
        <w:t>执行机构应选用智能、调节型的电动执行机构。执行机构应与所选用的调节阀类型、尺寸等相配套；</w:t>
      </w:r>
    </w:p>
    <w:p>
      <w:pPr>
        <w:pStyle w:val="179"/>
      </w:pPr>
      <w:r>
        <w:rPr>
          <w:rFonts w:hint="eastAsia"/>
        </w:rPr>
        <w:t>执行机构应按照阀门在最恶劣的操作条件下工作进行选择。执行机构整体组装应该是密封的，适合于户外操作；</w:t>
      </w:r>
    </w:p>
    <w:p>
      <w:pPr>
        <w:pStyle w:val="179"/>
      </w:pPr>
      <w:r>
        <w:rPr>
          <w:rFonts w:hint="eastAsia"/>
        </w:rPr>
        <w:t>执行机构的输出力矩、行程、响应速度等技术指标应与控制阀所需的力矩、行程、响应速度等技术指标相匹配。电动执行机构输出力矩应能保证可靠地驱动实际工作条件下的阀门，应保证在最大设计压差下启闭阀门而不需任何辅助设施。电动执行机构的输出力矩应由阀门生产厂家根据阀门和阀杆尺寸、类型、管道的压力、温度、最大差压（见数据单）以及流体类型选取确定，并应留有1.25 倍的安全系数；</w:t>
      </w:r>
    </w:p>
    <w:p>
      <w:pPr>
        <w:pStyle w:val="179"/>
      </w:pPr>
      <w:r>
        <w:rPr>
          <w:rFonts w:hint="eastAsia"/>
        </w:rPr>
        <w:t>执行机构的动力电源应优先选用 380VAC，50Hz 交流电源，其内部电气元件及组件的耐压等级不应低于 450VAC。执行机构内部控制电路电源为直流 24V，该电源可由电动执行机构本身提供。当阀门推力≤22KN 时，也可选用 220VAC，50Hz交流电源供电；</w:t>
      </w:r>
    </w:p>
    <w:p>
      <w:pPr>
        <w:pStyle w:val="179"/>
      </w:pPr>
      <w:r>
        <w:rPr>
          <w:rFonts w:hint="eastAsia"/>
        </w:rPr>
        <w:t>执行机构内部控制电路电源为单相直流 24V，该电源可由电动执行机构本身提供; 执行机构应能接收来自控制系统的 4mA～20mADC 的模拟控制信号，并能输出4mA～20mADC 的阀门开度反馈信号；</w:t>
      </w:r>
    </w:p>
    <w:p>
      <w:pPr>
        <w:pStyle w:val="179"/>
      </w:pPr>
      <w:r>
        <w:rPr>
          <w:rFonts w:hint="eastAsia"/>
        </w:rPr>
        <w:t>电动执行机构内部控制器的精度应≤±1%，在相同方向要使电动执行机构动作需要的最大信号变化量为±1.0%；</w:t>
      </w:r>
    </w:p>
    <w:p>
      <w:pPr>
        <w:pStyle w:val="179"/>
      </w:pPr>
      <w:r>
        <w:rPr>
          <w:rFonts w:hint="eastAsia"/>
        </w:rPr>
        <w:t>电动执行机构本身应有状态指示和开度指示。执行机构应带有限位开关，当阀位处于全开或全关位置时，限位开关应能输出 SPDT 类型的无源接点信号；</w:t>
      </w:r>
    </w:p>
    <w:p>
      <w:pPr>
        <w:pStyle w:val="179"/>
      </w:pPr>
      <w:r>
        <w:rPr>
          <w:rFonts w:hint="eastAsia"/>
        </w:rPr>
        <w:t>执行机构的电机应能够在线直接操作，其绝缘等级不应低于 F 级。执行机构的电机应能承受最不利条件下产生的机械和热应力，并能保持连续调节，而且执行机构最少应满足每小时动作 1200 次；</w:t>
      </w:r>
    </w:p>
    <w:p>
      <w:pPr>
        <w:pStyle w:val="179"/>
      </w:pPr>
      <w:r>
        <w:rPr>
          <w:rFonts w:hint="eastAsia"/>
        </w:rPr>
        <w:t>执行机构电机的任何部分都不能超过其允许的温度，在定子或线圈上应安装有温度开关，当电机内的温度超过允许值时，应能自动断开绕组电源，以防止电机过热或烧毁，同时发出故障报警信号；</w:t>
      </w:r>
    </w:p>
    <w:p>
      <w:pPr>
        <w:pStyle w:val="179"/>
      </w:pPr>
      <w:r>
        <w:rPr>
          <w:rFonts w:hint="eastAsia"/>
        </w:rPr>
        <w:t>执行机构的电机应具有过载保护功能，当阀门卡死或过负荷等造成电机电流过大时，过载保护单元应切断电机电源，以保护电机不受损害；</w:t>
      </w:r>
    </w:p>
    <w:p>
      <w:pPr>
        <w:pStyle w:val="179"/>
      </w:pPr>
      <w:r>
        <w:rPr>
          <w:rFonts w:hint="eastAsia"/>
        </w:rPr>
        <w:t>电动执行机构应具有限位保护、过力矩保护、正反向联锁保护，电机过载、过热、断相、错相保护，防冷凝的加热保护和控制回路过载与短路保护。同时应能检测断相并具有相位自动校正能力。当电动执行机构出现任何故障时，应能输出 SPDT 类型的故障报警触点信号；</w:t>
      </w:r>
    </w:p>
    <w:p>
      <w:pPr>
        <w:pStyle w:val="179"/>
      </w:pPr>
      <w:r>
        <w:rPr>
          <w:rFonts w:hint="eastAsia"/>
        </w:rPr>
        <w:t>在执行机构上便于人工操作的位置应配有手轮装置，并应保证最大差压时仍易于进行手轮操作。手轮的旋转应是顺时针关闭。在操作过程中以及在开启点，所需手轮最大操作力不应超过 250N；</w:t>
      </w:r>
    </w:p>
    <w:p>
      <w:pPr>
        <w:pStyle w:val="179"/>
      </w:pPr>
      <w:r>
        <w:rPr>
          <w:rFonts w:hint="eastAsia"/>
        </w:rPr>
        <w:t>电动执行机构具有就地手动、就地自动和远程控制选择开关。就地手动位时，由执行器手轮操作；就地自动位时，由就地按钮操作；远程控制位时，由远方控制按钮或站控制系统程序自动控制操作。就地自动控制或远方控制时，手轮应能自动脱离操作位置，不应随电机的转动而动作。</w:t>
      </w:r>
    </w:p>
    <w:p>
      <w:pPr>
        <w:pStyle w:val="110"/>
        <w:spacing w:before="120" w:after="120"/>
      </w:pPr>
      <w:bookmarkStart w:id="157" w:name="_Toc209114056"/>
      <w:r>
        <w:rPr>
          <w:rFonts w:hint="eastAsia"/>
        </w:rPr>
        <w:t>流量计</w:t>
      </w:r>
      <w:bookmarkEnd w:id="157"/>
    </w:p>
    <w:p>
      <w:pPr>
        <w:pStyle w:val="170"/>
      </w:pPr>
      <w:r>
        <w:rPr>
          <w:rFonts w:hint="eastAsia"/>
        </w:rPr>
        <w:t xml:space="preserve">流量计应符合相应产品标准的要求。 </w:t>
      </w:r>
    </w:p>
    <w:p>
      <w:pPr>
        <w:pStyle w:val="170"/>
      </w:pPr>
      <w:r>
        <w:rPr>
          <w:rFonts w:hint="eastAsia"/>
        </w:rPr>
        <w:t>流量计应能适应工作介质，氢气流量计、掺氢天然气流量计与氢气接触的金属材料、非金属材料应能适应氢气与氢气能相容。</w:t>
      </w:r>
    </w:p>
    <w:p>
      <w:pPr>
        <w:pStyle w:val="170"/>
      </w:pPr>
      <w:r>
        <w:rPr>
          <w:rFonts w:hint="eastAsia"/>
        </w:rPr>
        <w:t>流量计应根据工作压力、气体介质和工作流量范围选择，应计量准确、工作稳定，并应符合相关标准和法规的要求，进行贸易结算计量的流量计应取得国家的型式批准。</w:t>
      </w:r>
    </w:p>
    <w:p>
      <w:pPr>
        <w:pStyle w:val="170"/>
      </w:pPr>
      <w:r>
        <w:rPr>
          <w:rFonts w:hint="eastAsia"/>
        </w:rPr>
        <w:t>天然气流量计宜选用精度等级为 1.0 级的进口超声波流量计，超声波流量计的设计、制造、性能应满足 GB/T 18604 的要求。压力等级满足管道温压，并配套温压补偿计算模块，前后直管段需满足使用要求。超声波流量计应选用多声道气体超声流量计，至少具有 4 个声道（声道数量为探头的对数）。要求流量计探头具有较强的抗冲蚀能力，应选用全金属探头。多声道流量计中单一声道故障，流量测量准确度等级不低于 1.0 级要求。</w:t>
      </w:r>
    </w:p>
    <w:p>
      <w:pPr>
        <w:pStyle w:val="170"/>
      </w:pPr>
      <w:r>
        <w:rPr>
          <w:rFonts w:hint="eastAsia"/>
        </w:rPr>
        <w:t>氢气管道流量计宜采用质量流量计。掺氢天然气宜采用科里奥利质量流量计、涡轮流量计、腰轮流量计、超声流量计等计量。流量计的准确度等级不应低于1.5级。质量流量计的信号处理单元（流量变送器）可将被测介质的流量准确、稳定、可靠的转换为标准的高频脉冲信号、数字信号（RS-485）、模拟信号(4～20mA)。传感器、信号处理单元的供电电源应优先采用24VDC。</w:t>
      </w:r>
    </w:p>
    <w:p>
      <w:pPr>
        <w:pStyle w:val="170"/>
      </w:pPr>
      <w:r>
        <w:rPr>
          <w:rFonts w:hint="eastAsia"/>
        </w:rPr>
        <w:t>流量计计量的流量应转换成参比状态下的标准流量，流量计量仪表应进行温度、压力和压缩系数的修正补偿。</w:t>
      </w:r>
    </w:p>
    <w:p>
      <w:pPr>
        <w:pStyle w:val="170"/>
      </w:pPr>
      <w:r>
        <w:rPr>
          <w:rFonts w:hint="eastAsia"/>
        </w:rPr>
        <w:t>流量计的安装及使用应符合相关标准的要求。</w:t>
      </w:r>
    </w:p>
    <w:p>
      <w:pPr>
        <w:pStyle w:val="110"/>
        <w:spacing w:before="120" w:after="120"/>
      </w:pPr>
      <w:bookmarkStart w:id="158" w:name="_Toc209114057"/>
      <w:r>
        <w:rPr>
          <w:rFonts w:hint="eastAsia"/>
        </w:rPr>
        <w:t>气体组分分析仪/浓度分析仪</w:t>
      </w:r>
      <w:bookmarkEnd w:id="158"/>
      <w:r>
        <w:rPr>
          <w:rFonts w:hint="eastAsia"/>
        </w:rPr>
        <w:t xml:space="preserve"> </w:t>
      </w:r>
    </w:p>
    <w:p>
      <w:pPr>
        <w:pStyle w:val="170"/>
      </w:pPr>
      <w:r>
        <w:rPr>
          <w:rFonts w:hint="eastAsia"/>
        </w:rPr>
        <w:t>氢气组分/浓度分析仪、甲烷组分/浓度分析仪的精确度、灵敏度、分辨率、重复性、线性度、死区及响应时间等技术指标，应满足工艺要求，并应技术先进，性能稳定可靠，操作维护简便。</w:t>
      </w:r>
    </w:p>
    <w:p>
      <w:pPr>
        <w:pStyle w:val="170"/>
      </w:pPr>
      <w:r>
        <w:rPr>
          <w:rFonts w:hint="eastAsia"/>
        </w:rPr>
        <w:t>气相色谱仪的检测器可选用热导检测器(TCD)、氢焰检测器（FID）和火焰光度检测器(FPD)等类型，分析浓度下限不宜低于1×10-4。</w:t>
      </w:r>
    </w:p>
    <w:p>
      <w:pPr>
        <w:pStyle w:val="170"/>
      </w:pPr>
      <w:r>
        <w:rPr>
          <w:rFonts w:hint="eastAsia"/>
        </w:rPr>
        <w:t>气相色谱仪应采用防爆设计。</w:t>
      </w:r>
    </w:p>
    <w:p>
      <w:pPr>
        <w:pStyle w:val="170"/>
      </w:pPr>
      <w:r>
        <w:rPr>
          <w:rFonts w:hint="eastAsia"/>
        </w:rPr>
        <w:t>气相色谱仪的计量性能应符合JJG 700的要求，并符合下列要求：</w:t>
      </w:r>
    </w:p>
    <w:p>
      <w:pPr>
        <w:pStyle w:val="179"/>
        <w:numPr>
          <w:ilvl w:val="0"/>
          <w:numId w:val="47"/>
        </w:numPr>
      </w:pPr>
      <w:r>
        <w:rPr>
          <w:rFonts w:hint="eastAsia"/>
        </w:rPr>
        <w:t>测量范围：0～100 %VOL；</w:t>
      </w:r>
    </w:p>
    <w:p>
      <w:pPr>
        <w:pStyle w:val="179"/>
      </w:pPr>
      <w:r>
        <w:rPr>
          <w:rFonts w:hint="eastAsia"/>
        </w:rPr>
        <w:t xml:space="preserve">精度：≤±2 %FS（普通精度）； </w:t>
      </w:r>
    </w:p>
    <w:p>
      <w:pPr>
        <w:pStyle w:val="179"/>
      </w:pPr>
      <w:r>
        <w:rPr>
          <w:rFonts w:hint="eastAsia"/>
        </w:rPr>
        <w:t>灵敏度：≥800 mV.ml/mg（热导检测器(TCD)）；</w:t>
      </w:r>
    </w:p>
    <w:p>
      <w:pPr>
        <w:pStyle w:val="179"/>
      </w:pPr>
      <w:r>
        <w:rPr>
          <w:rFonts w:hint="eastAsia"/>
        </w:rPr>
        <w:t>定性重复性≤1%；</w:t>
      </w:r>
    </w:p>
    <w:p>
      <w:pPr>
        <w:pStyle w:val="179"/>
      </w:pPr>
      <w:r>
        <w:rPr>
          <w:rFonts w:hint="eastAsia"/>
        </w:rPr>
        <w:t xml:space="preserve">定量重复性≤3%； </w:t>
      </w:r>
    </w:p>
    <w:p>
      <w:pPr>
        <w:pStyle w:val="179"/>
      </w:pPr>
      <w:r>
        <w:rPr>
          <w:rFonts w:hint="eastAsia"/>
        </w:rPr>
        <w:t>防爆等级不应低于IICT4 ，防护等级不应低于IP 65。</w:t>
      </w:r>
    </w:p>
    <w:p>
      <w:pPr>
        <w:pStyle w:val="110"/>
        <w:spacing w:before="120" w:after="120"/>
      </w:pPr>
      <w:bookmarkStart w:id="159" w:name="_Toc209114058"/>
      <w:r>
        <w:rPr>
          <w:rFonts w:hint="eastAsia"/>
        </w:rPr>
        <w:t>电气仪表</w:t>
      </w:r>
      <w:bookmarkEnd w:id="159"/>
    </w:p>
    <w:p>
      <w:pPr>
        <w:pStyle w:val="170"/>
      </w:pPr>
      <w:r>
        <w:rPr>
          <w:rFonts w:hint="eastAsia"/>
        </w:rPr>
        <w:t>自控系统设备选型、安装应符合GB 50257和GB 50058的有关规定。</w:t>
      </w:r>
    </w:p>
    <w:p>
      <w:pPr>
        <w:pStyle w:val="170"/>
      </w:pPr>
      <w:r>
        <w:rPr>
          <w:rFonts w:hint="eastAsia"/>
        </w:rPr>
        <w:t>自控设备和仪表选型应满足使用环境的防爆要求，爆炸危险环境场所内安装的电气仪表应具备防爆性能，电气仪表的防爆等级应符合GB 50058 的规定。</w:t>
      </w:r>
    </w:p>
    <w:p>
      <w:pPr>
        <w:pStyle w:val="170"/>
      </w:pPr>
      <w:r>
        <w:rPr>
          <w:rFonts w:hint="eastAsia"/>
        </w:rPr>
        <w:t>掺氢撬内所有电气设备应符合GB/T 3836.1的要求，防爆等级不应低于IICT4，防护等级不应低于GB/T 4208规定的IP 65。</w:t>
      </w:r>
    </w:p>
    <w:p>
      <w:pPr>
        <w:pStyle w:val="170"/>
      </w:pPr>
      <w:r>
        <w:rPr>
          <w:rFonts w:hint="eastAsia"/>
        </w:rPr>
        <w:t>掺混撬内的测量仪表精度等级不应低于1.0级。</w:t>
      </w:r>
    </w:p>
    <w:p>
      <w:pPr>
        <w:pStyle w:val="170"/>
      </w:pPr>
      <w:r>
        <w:rPr>
          <w:rFonts w:hint="eastAsia"/>
        </w:rPr>
        <w:t>掺混撬压力表应选用不锈钢弹簧管，表盘直径不小于100mm，外壳应采用不锈钢材质。且压力表应设根部阀和仪表阀。</w:t>
      </w:r>
    </w:p>
    <w:p>
      <w:pPr>
        <w:pStyle w:val="170"/>
      </w:pPr>
      <w:r>
        <w:rPr>
          <w:rFonts w:hint="eastAsia"/>
        </w:rPr>
        <w:t>掺混撬温度计应选用径向型或万向型双金属温度计，表盘不小于 Ø100mm，外壳应采用不锈钢材质。双金属温度计的准确度等级不低于 1.0 级（1℃），仪表盘单位为℃。</w:t>
      </w:r>
    </w:p>
    <w:p>
      <w:pPr>
        <w:pStyle w:val="170"/>
      </w:pPr>
      <w:r>
        <w:rPr>
          <w:rFonts w:hint="eastAsia"/>
        </w:rPr>
        <w:t>掺混撬内压力变送器/差压变送器应选用智能型变送器，其测量原理宜为单晶硅谐振式/电容式变送器，选用灵敏度高的变送器，准确度应不低于 0.075%，带就地显示，测量精度要优于满量程的±0.075%，具备HART协议，输出信号为4～20mADC（二线制），供电电源应为24VDC。</w:t>
      </w:r>
    </w:p>
    <w:p>
      <w:pPr>
        <w:pStyle w:val="170"/>
      </w:pPr>
      <w:r>
        <w:rPr>
          <w:rFonts w:hint="eastAsia"/>
        </w:rPr>
        <w:t>掺混撬内远传温度测量应选用智能型一体化温度变送器，其测量准确度应优于±0.2℃，应带就地显示功能。测量元件宜为Pt100，应带不锈钢保护套管。</w:t>
      </w:r>
    </w:p>
    <w:p>
      <w:pPr>
        <w:pStyle w:val="170"/>
      </w:pPr>
      <w:r>
        <w:rPr>
          <w:rFonts w:hint="eastAsia"/>
        </w:rPr>
        <w:t>双金属温度计和温度变送器保护套管需根据最高流速对其进行振动频率计算，满足计算标准执行 AMSEPTC19.3TW-2016。</w:t>
      </w:r>
    </w:p>
    <w:p>
      <w:pPr>
        <w:pStyle w:val="110"/>
        <w:spacing w:before="120" w:after="120"/>
      </w:pPr>
      <w:bookmarkStart w:id="160" w:name="_Toc209114059"/>
      <w:r>
        <w:rPr>
          <w:rFonts w:hint="eastAsia"/>
        </w:rPr>
        <w:t>氢气火焰报警探测器</w:t>
      </w:r>
      <w:bookmarkEnd w:id="160"/>
    </w:p>
    <w:p>
      <w:pPr>
        <w:pStyle w:val="170"/>
        <w:numPr>
          <w:ilvl w:val="0"/>
          <w:numId w:val="0"/>
        </w:numPr>
      </w:pPr>
      <w:r>
        <w:rPr>
          <w:rFonts w:hint="eastAsia"/>
        </w:rPr>
        <w:t>氢气火焰探测器应符合GB 15631、GB 12791的要求，并应取得防爆产品证书。</w:t>
      </w:r>
    </w:p>
    <w:p>
      <w:pPr>
        <w:pStyle w:val="110"/>
        <w:spacing w:before="120" w:after="120"/>
      </w:pPr>
      <w:bookmarkStart w:id="161" w:name="_Toc209114060"/>
      <w:r>
        <w:rPr>
          <w:rFonts w:hint="eastAsia"/>
        </w:rPr>
        <w:t>可燃气体检测器</w:t>
      </w:r>
      <w:bookmarkEnd w:id="161"/>
    </w:p>
    <w:p>
      <w:pPr>
        <w:pStyle w:val="170"/>
        <w:numPr>
          <w:ilvl w:val="0"/>
          <w:numId w:val="0"/>
        </w:numPr>
      </w:pPr>
      <w:r>
        <w:rPr>
          <w:rFonts w:hint="eastAsia"/>
        </w:rPr>
        <w:t>氢气检测器响应时间T90≤20s。天然气检测器响应时间T90≤10s。</w:t>
      </w:r>
    </w:p>
    <w:p>
      <w:pPr>
        <w:pStyle w:val="110"/>
        <w:spacing w:before="120" w:after="120"/>
      </w:pPr>
      <w:bookmarkStart w:id="162" w:name="_Toc209114061"/>
      <w:r>
        <w:rPr>
          <w:rFonts w:hint="eastAsia"/>
        </w:rPr>
        <w:t>绝缘接头</w:t>
      </w:r>
      <w:bookmarkEnd w:id="162"/>
    </w:p>
    <w:p>
      <w:pPr>
        <w:pStyle w:val="170"/>
        <w:numPr>
          <w:ilvl w:val="0"/>
          <w:numId w:val="0"/>
        </w:numPr>
      </w:pPr>
      <w:r>
        <w:rPr>
          <w:rFonts w:hint="eastAsia"/>
        </w:rPr>
        <w:t>掺混撬使用的绝缘法兰或绝缘接头应符合SY/T 0516的规定。</w:t>
      </w:r>
    </w:p>
    <w:p>
      <w:pPr>
        <w:pStyle w:val="110"/>
        <w:spacing w:before="120" w:after="120"/>
      </w:pPr>
      <w:bookmarkStart w:id="163" w:name="_Toc209114062"/>
      <w:r>
        <w:rPr>
          <w:rFonts w:hint="eastAsia"/>
        </w:rPr>
        <w:t>焊材</w:t>
      </w:r>
      <w:bookmarkEnd w:id="163"/>
    </w:p>
    <w:p>
      <w:pPr>
        <w:pStyle w:val="170"/>
        <w:numPr>
          <w:ilvl w:val="0"/>
          <w:numId w:val="0"/>
        </w:numPr>
      </w:pPr>
      <w:r>
        <w:rPr>
          <w:rFonts w:hint="eastAsia"/>
        </w:rPr>
        <w:t>焊条、焊丝、焊剂、保护气体等应满足设计和焊接工艺规程要求。</w:t>
      </w:r>
    </w:p>
    <w:p>
      <w:pPr>
        <w:pStyle w:val="109"/>
        <w:spacing w:before="240" w:after="240"/>
      </w:pPr>
      <w:bookmarkStart w:id="164" w:name="_Toc209114063"/>
      <w:r>
        <w:rPr>
          <w:rFonts w:hint="eastAsia"/>
        </w:rPr>
        <w:t>设计</w:t>
      </w:r>
      <w:bookmarkEnd w:id="164"/>
    </w:p>
    <w:p>
      <w:pPr>
        <w:pStyle w:val="110"/>
        <w:spacing w:before="120" w:after="120"/>
      </w:pPr>
      <w:bookmarkStart w:id="165" w:name="_Toc209114064"/>
      <w:r>
        <w:rPr>
          <w:rFonts w:hint="eastAsia"/>
        </w:rPr>
        <w:t>一般规定</w:t>
      </w:r>
      <w:bookmarkEnd w:id="165"/>
    </w:p>
    <w:p>
      <w:pPr>
        <w:pStyle w:val="170"/>
      </w:pPr>
      <w:r>
        <w:rPr>
          <w:rFonts w:hint="eastAsia"/>
        </w:rPr>
        <w:t>掺氢撬与外部管道的连接界面为：</w:t>
      </w:r>
    </w:p>
    <w:p>
      <w:pPr>
        <w:pStyle w:val="179"/>
        <w:numPr>
          <w:ilvl w:val="0"/>
          <w:numId w:val="48"/>
        </w:numPr>
      </w:pPr>
      <w:r>
        <w:rPr>
          <w:rFonts w:hint="eastAsia"/>
        </w:rPr>
        <w:t>焊接连接的第一道环向接头坡口端面；</w:t>
      </w:r>
    </w:p>
    <w:p>
      <w:pPr>
        <w:pStyle w:val="179"/>
      </w:pPr>
      <w:r>
        <w:rPr>
          <w:rFonts w:hint="eastAsia"/>
        </w:rPr>
        <w:t>法兰连接的第一个法兰密封面；</w:t>
      </w:r>
    </w:p>
    <w:p>
      <w:pPr>
        <w:pStyle w:val="179"/>
      </w:pPr>
      <w:r>
        <w:rPr>
          <w:rFonts w:hint="eastAsia"/>
        </w:rPr>
        <w:t>专用连接件或管件连接的第一个密封面。</w:t>
      </w:r>
    </w:p>
    <w:p>
      <w:pPr>
        <w:pStyle w:val="170"/>
      </w:pPr>
      <w:r>
        <w:rPr>
          <w:rFonts w:hint="eastAsia"/>
        </w:rPr>
        <w:t>掺氢撬内工艺管道的设计应符合GB/T20801和GB50316的有关规定。</w:t>
      </w:r>
    </w:p>
    <w:p>
      <w:pPr>
        <w:pStyle w:val="170"/>
      </w:pPr>
      <w:r>
        <w:rPr>
          <w:rFonts w:hint="eastAsia"/>
        </w:rPr>
        <w:t>掺氢撬在设计、制造、安装和运行时应考虑安全和环境的要求，并满足GB/T 29729、GB/T 34542（所有部分）、GB 50516、GB 50316、GB 50235、GB 50236、GB/T 20801等相关标准的规定。</w:t>
      </w:r>
    </w:p>
    <w:p>
      <w:pPr>
        <w:pStyle w:val="170"/>
      </w:pPr>
      <w:r>
        <w:rPr>
          <w:rFonts w:hint="eastAsia"/>
        </w:rPr>
        <w:t>掺氢撬工艺管道组成件的材料选用、设计、制造和检验应符合TSG D0001、GB/T 20801、 GB 50177、GB 50516、GB 50235、GB 50236、GB/T 14976、GB/T 9711等的要求。</w:t>
      </w:r>
    </w:p>
    <w:p>
      <w:pPr>
        <w:pStyle w:val="170"/>
      </w:pPr>
      <w:r>
        <w:rPr>
          <w:rFonts w:hint="eastAsia"/>
        </w:rPr>
        <w:t>掺氢撬内所有管道、阀门、管件的设计压力应为最大工作压力的1.10倍以上，且不应低于安全装置的动作压力。</w:t>
      </w:r>
    </w:p>
    <w:p>
      <w:pPr>
        <w:pStyle w:val="170"/>
      </w:pPr>
      <w:r>
        <w:rPr>
          <w:rFonts w:hint="eastAsia"/>
        </w:rPr>
        <w:t>掺混撬内接管法兰螺栓应按要求做静电跨接，远传仪表做接地，天然气管线和氢气管线对接点应采用法兰形式连接。</w:t>
      </w:r>
    </w:p>
    <w:p>
      <w:pPr>
        <w:pStyle w:val="170"/>
      </w:pPr>
      <w:r>
        <w:rPr>
          <w:rFonts w:hint="eastAsia"/>
        </w:rPr>
        <w:t>带远程仪表或电动装置的掺氢撬，应把动力电缆、信号电缆等线路分别接入防爆接线装置内。</w:t>
      </w:r>
    </w:p>
    <w:p>
      <w:pPr>
        <w:pStyle w:val="170"/>
      </w:pPr>
      <w:r>
        <w:rPr>
          <w:rFonts w:hint="eastAsia"/>
        </w:rPr>
        <w:t>掺混撬内电气设计和设备选型、设备安装应符合GB 50058 和GB 3836等相关标准的要求，电气设备防爆等级不应低于GB 3836规定的IICT4，防护等级不应低于GB/T 4208规定的IP65。</w:t>
      </w:r>
    </w:p>
    <w:p>
      <w:pPr>
        <w:pStyle w:val="170"/>
      </w:pPr>
      <w:r>
        <w:rPr>
          <w:rFonts w:hint="eastAsia"/>
        </w:rPr>
        <w:t>掺氢撬的内钢质工艺管道应采用防腐层进行外保护,防腐设计应符合GB/T21447的有关规定。</w:t>
      </w:r>
    </w:p>
    <w:p>
      <w:pPr>
        <w:pStyle w:val="170"/>
      </w:pPr>
      <w:r>
        <w:rPr>
          <w:rFonts w:hint="eastAsia"/>
        </w:rPr>
        <w:t>设备和管道的布置应做到结构合理、布线规范、检修方便、便于操作和观测，管道阻力损失小。</w:t>
      </w:r>
    </w:p>
    <w:p>
      <w:pPr>
        <w:pStyle w:val="110"/>
        <w:spacing w:before="120" w:after="120"/>
      </w:pPr>
      <w:bookmarkStart w:id="166" w:name="_Toc209114065"/>
      <w:r>
        <w:rPr>
          <w:rFonts w:hint="eastAsia"/>
        </w:rPr>
        <w:t>荷载条件</w:t>
      </w:r>
      <w:bookmarkEnd w:id="166"/>
    </w:p>
    <w:p>
      <w:pPr>
        <w:pStyle w:val="170"/>
      </w:pPr>
      <w:r>
        <w:rPr>
          <w:rFonts w:hint="eastAsia"/>
        </w:rPr>
        <w:t>设计时应考虑以下载荷:</w:t>
      </w:r>
    </w:p>
    <w:p>
      <w:pPr>
        <w:pStyle w:val="179"/>
        <w:numPr>
          <w:ilvl w:val="0"/>
          <w:numId w:val="49"/>
        </w:numPr>
      </w:pPr>
      <w:r>
        <w:rPr>
          <w:rFonts w:hint="eastAsia"/>
        </w:rPr>
        <w:t>管道内压、外压或最大压差;</w:t>
      </w:r>
    </w:p>
    <w:p>
      <w:pPr>
        <w:pStyle w:val="179"/>
      </w:pPr>
      <w:r>
        <w:rPr>
          <w:rFonts w:hint="eastAsia"/>
        </w:rPr>
        <w:t>重力荷载：</w:t>
      </w:r>
    </w:p>
    <w:p>
      <w:pPr>
        <w:pStyle w:val="114"/>
        <w:numPr>
          <w:ilvl w:val="1"/>
          <w:numId w:val="50"/>
        </w:numPr>
      </w:pPr>
      <w:r>
        <w:rPr>
          <w:rFonts w:hint="eastAsia"/>
        </w:rPr>
        <w:t>静荷载：管道组成件、隔热材料重量以及施加在管道上由管道支承的其他永久性荷载；</w:t>
      </w:r>
    </w:p>
    <w:p>
      <w:pPr>
        <w:pStyle w:val="114"/>
      </w:pPr>
      <w:r>
        <w:rPr>
          <w:rFonts w:hint="eastAsia"/>
        </w:rPr>
        <w:t>活荷载：输送介质的重量或液压试验介质的重量以及由于环境和操作条件造成的冰、雪的重量。</w:t>
      </w:r>
    </w:p>
    <w:p>
      <w:pPr>
        <w:pStyle w:val="170"/>
      </w:pPr>
      <w:r>
        <w:rPr>
          <w:rFonts w:hint="eastAsia"/>
        </w:rPr>
        <w:t>需要时,还要考虑下列载荷:</w:t>
      </w:r>
    </w:p>
    <w:p>
      <w:pPr>
        <w:pStyle w:val="179"/>
        <w:numPr>
          <w:ilvl w:val="0"/>
          <w:numId w:val="51"/>
        </w:numPr>
      </w:pPr>
      <w:r>
        <w:rPr>
          <w:rFonts w:hint="eastAsia"/>
        </w:rPr>
        <w:t>风载荷、地震载荷、雪载荷;</w:t>
      </w:r>
    </w:p>
    <w:p>
      <w:pPr>
        <w:pStyle w:val="179"/>
      </w:pPr>
      <w:r>
        <w:rPr>
          <w:rFonts w:hint="eastAsia"/>
        </w:rPr>
        <w:t>连接管道和其他部件的作用力;</w:t>
      </w:r>
    </w:p>
    <w:p>
      <w:pPr>
        <w:pStyle w:val="179"/>
      </w:pPr>
      <w:r>
        <w:rPr>
          <w:rFonts w:hint="eastAsia"/>
        </w:rPr>
        <w:t>温度梯度或热膨胀量不同引起的作用力;</w:t>
      </w:r>
    </w:p>
    <w:p>
      <w:pPr>
        <w:pStyle w:val="179"/>
      </w:pPr>
      <w:r>
        <w:rPr>
          <w:rFonts w:hint="eastAsia"/>
        </w:rPr>
        <w:t>冲击载荷,如压力急剧波动引起的冲击载荷、流体冲击引起的反力等；</w:t>
      </w:r>
    </w:p>
    <w:p>
      <w:pPr>
        <w:pStyle w:val="179"/>
      </w:pPr>
      <w:r>
        <w:rPr>
          <w:rFonts w:hint="eastAsia"/>
        </w:rPr>
        <w:t>循环载荷，如压力循环、热循环以及其他循环引起的疲劳的荷载；</w:t>
      </w:r>
    </w:p>
    <w:p>
      <w:pPr>
        <w:pStyle w:val="179"/>
      </w:pPr>
      <w:r>
        <w:rPr>
          <w:rFonts w:hint="eastAsia"/>
        </w:rPr>
        <w:t>振动载荷，如由冲击、压力脉动、紊流涡流、压缩机共振以及风荷载引起的载荷；</w:t>
      </w:r>
    </w:p>
    <w:p>
      <w:pPr>
        <w:pStyle w:val="179"/>
      </w:pPr>
      <w:r>
        <w:rPr>
          <w:rFonts w:hint="eastAsia"/>
        </w:rPr>
        <w:t>运输或吊装时的作用力。</w:t>
      </w:r>
    </w:p>
    <w:p>
      <w:pPr>
        <w:pStyle w:val="110"/>
        <w:spacing w:before="120" w:after="120"/>
      </w:pPr>
      <w:bookmarkStart w:id="167" w:name="_Toc209114066"/>
      <w:r>
        <w:rPr>
          <w:rFonts w:hint="eastAsia"/>
        </w:rPr>
        <w:t>腐蚀裕量</w:t>
      </w:r>
      <w:bookmarkEnd w:id="167"/>
    </w:p>
    <w:p>
      <w:pPr>
        <w:pStyle w:val="170"/>
      </w:pPr>
      <w:r>
        <w:rPr>
          <w:rFonts w:hint="eastAsia"/>
        </w:rPr>
        <w:t>管道设计应有足够的腐蚀裕量，腐蚀裕量应根据预期的使用寿命和介质对材料的腐蚀速率确定，还应考虑冲蚀和局部腐蚀等因素。</w:t>
      </w:r>
    </w:p>
    <w:p>
      <w:pPr>
        <w:pStyle w:val="170"/>
      </w:pPr>
      <w:r>
        <w:rPr>
          <w:rFonts w:hint="eastAsia"/>
        </w:rPr>
        <w:t>确定管道组成件最小厚度时，应包括腐蚀、冲蚀、螺纹深度或沟槽深度所需的裕量。为防止因支承、结冰、回填、运输和装卸等引起的超载应力和变形，从而可能产生的损坏、跨塌或失稳等现象，应考虑增加管壁厚度。</w:t>
      </w:r>
    </w:p>
    <w:p>
      <w:pPr>
        <w:pStyle w:val="170"/>
      </w:pPr>
      <w:r>
        <w:rPr>
          <w:rFonts w:hint="eastAsia"/>
        </w:rPr>
        <w:t>各元件受到的腐蚀程度不同时，可采用不同的腐蚀裕量。</w:t>
      </w:r>
    </w:p>
    <w:p>
      <w:pPr>
        <w:pStyle w:val="170"/>
      </w:pPr>
      <w:r>
        <w:rPr>
          <w:rFonts w:hint="eastAsia"/>
        </w:rPr>
        <w:t>有腐蚀的碳素钢或低合金钢元件，腐蚀裕量应不小于1mm，不锈钢元件可不考虑腐蚀裕量。</w:t>
      </w:r>
    </w:p>
    <w:p>
      <w:pPr>
        <w:pStyle w:val="110"/>
        <w:spacing w:before="120" w:after="120"/>
      </w:pPr>
      <w:bookmarkStart w:id="168" w:name="_Toc209114067"/>
      <w:r>
        <w:rPr>
          <w:rFonts w:hint="eastAsia"/>
        </w:rPr>
        <w:t>过滤器</w:t>
      </w:r>
      <w:bookmarkEnd w:id="168"/>
    </w:p>
    <w:p>
      <w:pPr>
        <w:pStyle w:val="170"/>
        <w:numPr>
          <w:ilvl w:val="0"/>
          <w:numId w:val="0"/>
        </w:numPr>
      </w:pPr>
      <w:r>
        <w:rPr>
          <w:rFonts w:hint="eastAsia"/>
        </w:rPr>
        <w:t>过滤器的设计、制造、检验应符合TSG 21、GB/T 150、GB/T 36051的规定。</w:t>
      </w:r>
    </w:p>
    <w:p>
      <w:pPr>
        <w:pStyle w:val="110"/>
        <w:spacing w:before="120" w:after="120"/>
      </w:pPr>
      <w:bookmarkStart w:id="169" w:name="_Toc209114068"/>
      <w:r>
        <w:rPr>
          <w:rFonts w:hint="eastAsia"/>
        </w:rPr>
        <w:t>撬内管道</w:t>
      </w:r>
      <w:bookmarkEnd w:id="169"/>
    </w:p>
    <w:p>
      <w:pPr>
        <w:pStyle w:val="170"/>
      </w:pPr>
      <w:r>
        <w:rPr>
          <w:rFonts w:hint="eastAsia"/>
        </w:rPr>
        <w:t>工艺计算</w:t>
      </w:r>
    </w:p>
    <w:p>
      <w:pPr>
        <w:pStyle w:val="169"/>
      </w:pPr>
      <w:r>
        <w:rPr>
          <w:rFonts w:hint="eastAsia"/>
        </w:rPr>
        <w:t>掺氢撬的工艺管道的管径可按公式（</w:t>
      </w:r>
      <w:r>
        <w:t>2</w:t>
      </w:r>
      <w:r>
        <w:rPr>
          <w:rFonts w:hint="eastAsia"/>
        </w:rPr>
        <w:t>）确定管径。</w:t>
      </w:r>
      <w:r>
        <w:t>设定平均流速并按</w:t>
      </w:r>
      <w:r>
        <w:rPr>
          <w:rFonts w:hint="eastAsia"/>
        </w:rPr>
        <w:t>公</w:t>
      </w:r>
      <w:r>
        <w:t>式</w:t>
      </w:r>
      <w:r>
        <w:rPr>
          <w:rFonts w:hint="eastAsia"/>
        </w:rPr>
        <w:t>（</w:t>
      </w:r>
      <w:r>
        <w:t>2</w:t>
      </w:r>
      <w:r>
        <w:rPr>
          <w:rFonts w:hint="eastAsia"/>
        </w:rPr>
        <w:t>）</w:t>
      </w:r>
      <w:r>
        <w:t>初算内径，再根据工程设计规定的管子系列调整为实际内径。最后复核实际平均流速。</w:t>
      </w:r>
    </w:p>
    <w:p>
      <w:pPr>
        <w:pStyle w:val="118"/>
      </w:pPr>
      <w:r>
        <w:tab/>
      </w:r>
    </w:p>
    <w:p>
      <w:pPr>
        <w:pStyle w:val="118"/>
      </w:pPr>
      <w:r>
        <w:tab/>
      </w:r>
      <m:oMath>
        <m:sSub>
          <m:sSubPr>
            <m:ctrlPr>
              <w:rPr>
                <w:rFonts w:ascii="Cambria Math" w:hAnsi="Cambria Math"/>
              </w:rPr>
            </m:ctrlPr>
          </m:sSubPr>
          <m:e>
            <m:r>
              <m:rPr/>
              <w:rPr>
                <w:rFonts w:ascii="Cambria Math" w:hAnsi="Cambria Math"/>
              </w:rPr>
              <m:t>D</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=0.0188</m:t>
        </m:r>
        <m:rad>
          <m:radPr>
            <m:degHide m:val="1"/>
            <m:ctrlPr>
              <w:rPr>
                <w:rFonts w:ascii="Cambria Math" w:hAnsi="Cambria Math"/>
                <w:i/>
              </w:rPr>
            </m:ctrlPr>
          </m:radPr>
          <m:deg>
            <m:ctrlPr>
              <w:rPr>
                <w:rFonts w:ascii="Cambria Math" w:hAnsi="Cambria Math"/>
                <w:i/>
              </w:rPr>
            </m:ctrlPr>
          </m:deg>
          <m:e>
            <m:f>
              <m:fPr>
                <m:ctrlPr>
                  <w:rPr>
                    <w:rFonts w:ascii="Cambria Math" w:hAnsi="Cambria Math"/>
                    <w:i/>
                  </w:rPr>
                </m:ctrlPr>
              </m:fPr>
              <m:num>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o</m:t>
                    </m:r>
                    <m:ctrlPr>
                      <w:rPr>
                        <w:rFonts w:ascii="Cambria Math" w:hAnsi="Cambria Math"/>
                        <w:i/>
                      </w:rPr>
                    </m:ctrlPr>
                  </m:sub>
                </m:sSub>
                <m:ctrlPr>
                  <w:rPr>
                    <w:rFonts w:ascii="Cambria Math" w:hAnsi="Cambria Math"/>
                    <w:i/>
                  </w:rPr>
                </m:ctrlPr>
              </m:num>
              <m:den>
                <m:r>
                  <m:rPr/>
                  <w:rPr>
                    <w:rFonts w:ascii="Cambria Math" w:hAnsi="Cambria Math"/>
                  </w:rPr>
                  <m:t>vρ</m:t>
                </m:r>
                <m:ctrlPr>
                  <w:rPr>
                    <w:rFonts w:ascii="Cambria Math" w:hAnsi="Cambria Math"/>
                    <w:i/>
                  </w:rPr>
                </m:ctrlPr>
              </m:den>
            </m:f>
            <m:ctrlPr>
              <w:rPr>
                <w:rFonts w:ascii="Cambria Math" w:hAnsi="Cambria Math"/>
                <w:i/>
              </w:rPr>
            </m:ctrlPr>
          </m:e>
        </m:rad>
      </m:oMath>
      <w:r>
        <w:rPr>
          <w:rFonts w:ascii="微软雅黑" w:hAnsi="微软雅黑" w:eastAsia="微软雅黑"/>
        </w:rPr>
        <w:tab/>
      </w:r>
      <w:r>
        <w:t>(</w:t>
      </w:r>
      <w:r>
        <w:fldChar w:fldCharType="begin"/>
      </w:r>
      <w:r>
        <w:instrText xml:space="preserve"> AUTONUM </w:instrText>
      </w:r>
      <w:r>
        <w:fldChar w:fldCharType="end"/>
      </w:r>
      <w:r>
        <w:t>)</w:t>
      </w:r>
    </w:p>
    <w:p>
      <w:pPr>
        <w:pStyle w:val="60"/>
        <w:ind w:firstLine="420"/>
      </w:pPr>
      <w:r>
        <w:rPr>
          <w:rFonts w:hint="eastAsia"/>
        </w:rPr>
        <w:t>式中：</w:t>
      </w:r>
    </w:p>
    <w:p>
      <w:pPr>
        <w:pStyle w:val="61"/>
        <w:ind w:firstLine="420"/>
      </w:pPr>
      <w:r>
        <w:tab/>
      </w:r>
      <m:oMath>
        <m:sSub>
          <m:sSubPr>
            <m:ctrlPr>
              <w:rPr>
                <w:rFonts w:ascii="Cambria Math" w:hAnsi="Cambria Math"/>
                <w:kern w:val="2"/>
                <w:szCs w:val="21"/>
              </w:rPr>
            </m:ctrlPr>
          </m:sSubPr>
          <m:e>
            <m:r>
              <m:rPr/>
              <w:rPr>
                <w:rFonts w:ascii="Cambria Math" w:hAnsi="Cambria Math"/>
              </w:rPr>
              <m:t>D</m:t>
            </m:r>
            <m:ctrlPr>
              <w:rPr>
                <w:rFonts w:ascii="Cambria Math" w:hAnsi="Cambria Math"/>
                <w:kern w:val="2"/>
                <w:szCs w:val="21"/>
              </w:rPr>
            </m:ctrlPr>
          </m:e>
          <m:sub>
            <m:r>
              <m:rPr/>
              <w:rPr>
                <w:rFonts w:ascii="Cambria Math" w:hAnsi="Cambria Math"/>
              </w:rPr>
              <m:t>i</m:t>
            </m:r>
            <m:ctrlPr>
              <w:rPr>
                <w:rFonts w:ascii="Cambria Math" w:hAnsi="Cambria Math"/>
                <w:kern w:val="2"/>
                <w:szCs w:val="21"/>
              </w:rPr>
            </m:ctrlPr>
          </m:sub>
        </m:sSub>
      </m:oMath>
      <w:r>
        <w:rPr>
          <w:rFonts w:hint="eastAsia"/>
        </w:rPr>
        <w:t>——管道内径，单位为米（m）；</w:t>
      </w:r>
    </w:p>
    <w:p>
      <w:pPr>
        <w:pStyle w:val="61"/>
        <w:ind w:firstLine="420"/>
      </w:pPr>
      <w:r>
        <w:tab/>
      </w:r>
      <m:oMath>
        <m:sSub>
          <m:sSubPr>
            <m:ctrlPr>
              <w:rPr>
                <w:rFonts w:ascii="Cambria Math" w:hAnsi="Cambria Math"/>
                <w:kern w:val="2"/>
                <w:szCs w:val="21"/>
              </w:rPr>
            </m:ctrlPr>
          </m:sSubPr>
          <m:e>
            <m:r>
              <m:rPr/>
              <w:rPr>
                <w:rFonts w:ascii="Cambria Math" w:hAnsi="Cambria Math"/>
              </w:rPr>
              <m:t>W</m:t>
            </m:r>
            <m:ctrlPr>
              <w:rPr>
                <w:rFonts w:ascii="Cambria Math" w:hAnsi="Cambria Math"/>
                <w:kern w:val="2"/>
                <w:szCs w:val="21"/>
              </w:rPr>
            </m:ctrlPr>
          </m:e>
          <m:sub>
            <m:r>
              <m:rPr/>
              <w:rPr>
                <w:rFonts w:ascii="Cambria Math" w:hAnsi="Cambria Math"/>
              </w:rPr>
              <m:t>o</m:t>
            </m:r>
            <m:ctrlPr>
              <w:rPr>
                <w:rFonts w:ascii="Cambria Math" w:hAnsi="Cambria Math"/>
                <w:kern w:val="2"/>
                <w:szCs w:val="21"/>
              </w:rPr>
            </m:ctrlPr>
          </m:sub>
        </m:sSub>
      </m:oMath>
      <w:r>
        <w:rPr>
          <w:rFonts w:hint="eastAsia"/>
        </w:rPr>
        <w:t>——质量流量，单位为千克每小时（kg/h）；</w:t>
      </w:r>
    </w:p>
    <w:p>
      <w:pPr>
        <w:pStyle w:val="61"/>
        <w:ind w:firstLine="420"/>
      </w:pPr>
      <w:r>
        <w:tab/>
      </w:r>
      <m:oMath>
        <m:r>
          <m:rPr/>
          <w:rPr>
            <w:rFonts w:ascii="Cambria Math" w:hAnsi="Cambria Math"/>
          </w:rPr>
          <m:t>v</m:t>
        </m:r>
      </m:oMath>
      <w:r>
        <w:rPr>
          <w:rFonts w:hint="eastAsia"/>
        </w:rPr>
        <w:t>——平均流速，单位为米每秒（m/s）；</w:t>
      </w:r>
    </w:p>
    <w:p>
      <w:pPr>
        <w:pStyle w:val="61"/>
        <w:ind w:firstLine="420"/>
      </w:pPr>
      <w:r>
        <w:tab/>
      </w:r>
      <m:oMath>
        <m:r>
          <m:rPr/>
          <w:rPr>
            <w:rFonts w:ascii="Cambria Math" w:hAnsi="Cambria Math"/>
          </w:rPr>
          <m:t>ρ</m:t>
        </m:r>
      </m:oMath>
      <w:r>
        <w:rPr>
          <w:rFonts w:hint="eastAsia"/>
        </w:rPr>
        <w:t>——流体密度，单位为千克每立方米（kg/m3）。</w:t>
      </w:r>
    </w:p>
    <w:p>
      <w:pPr>
        <w:pStyle w:val="169"/>
      </w:pPr>
      <w:r>
        <w:fldChar w:fldCharType="begin"/>
      </w:r>
      <w:r>
        <w:instrText xml:space="preserve"> QUOTE </w:instrText>
      </w:r>
      <m:oMath>
        <m:r>
          <m:rPr>
            <m:sty m:val="p"/>
          </m:rPr>
          <w:rPr>
            <w:rFonts w:ascii="Cambria Math" w:hAnsi="Cambria Math"/>
          </w:rPr>
          <m:t xml:space="preserve">Di=0.0188</m:t>
        </m:r>
        <m:rad>
          <m:radPr>
            <m:degHide m:val="1"/>
            <m:ctrlPr>
              <w:rPr>
                <w:rFonts w:ascii="Cambria Math" w:hAnsi="Cambria Math"/>
              </w:rPr>
            </m:ctrlPr>
          </m:radPr>
          <m:deg>
            <m:ctrlPr>
              <w:rPr>
                <w:rFonts w:ascii="Cambria Math" w:hAnsi="Cambria Math"/>
              </w:rPr>
            </m:ctrlPr>
          </m:deg>
          <m:e>
            <m:f>
              <m:fPr>
                <m:ctrlPr>
                  <w:rPr>
                    <w:rFonts w:ascii="Cambria Math" w:hAnsi="Cambria Math"/>
                    <w:i/>
                  </w:rPr>
                </m:ctrlPr>
              </m:fPr>
              <m:num>
                <m:sSub>
                  <m:sSubPr>
                    <m:ctrlPr>
                      <w:rPr>
                        <w:rFonts w:ascii="Cambria Math" w:hAnsi="Cambria Math"/>
                        <w:i/>
                      </w:rPr>
                    </m:ctrlPr>
                  </m:sSubPr>
                  <m:e>
                    <m:r>
                      <m:rPr>
                        <m:sty m:val="p"/>
                      </m:rPr>
                      <w:rPr>
                        <w:rFonts w:ascii="Cambria Math" w:hAnsi="Cambria Math"/>
                      </w:rPr>
                      <m:t xml:space="preserve">W</m:t>
                    </m:r>
                    <m:ctrlPr>
                      <w:rPr>
                        <w:rFonts w:ascii="Cambria Math" w:hAnsi="Cambria Math"/>
                        <w:i/>
                      </w:rPr>
                    </m:ctrlPr>
                  </m:e>
                  <m:sub>
                    <m:r>
                      <m:rPr>
                        <m:sty m:val="p"/>
                      </m:rPr>
                      <w:rPr>
                        <w:rFonts w:ascii="Cambria Math" w:hAnsi="Cambria Math"/>
                      </w:rPr>
                      <m:t xml:space="preserve">0</m:t>
                    </m:r>
                    <m:ctrlPr>
                      <w:rPr>
                        <w:rFonts w:ascii="Cambria Math" w:hAnsi="Cambria Math"/>
                        <w:i/>
                      </w:rPr>
                    </m:ctrlPr>
                  </m:sub>
                </m:sSub>
                <m:ctrlPr>
                  <w:rPr>
                    <w:rFonts w:ascii="Cambria Math" w:hAnsi="Cambria Math"/>
                    <w:i/>
                  </w:rPr>
                </m:ctrlPr>
              </m:num>
              <m:den>
                <m:r>
                  <m:rPr>
                    <m:sty m:val="p"/>
                  </m:rPr>
                  <w:rPr>
                    <w:rFonts w:ascii="Cambria Math" w:hAnsi="Cambria Math"/>
                  </w:rPr>
                  <m:t xml:space="preserve">vρ</m:t>
                </m:r>
                <m:ctrlPr>
                  <w:rPr>
                    <w:rFonts w:ascii="Cambria Math" w:hAnsi="Cambria Math"/>
                    <w:i/>
                  </w:rPr>
                </m:ctrlPr>
              </m:den>
            </m:f>
            <m:ctrlPr>
              <w:rPr>
                <w:rFonts w:ascii="Cambria Math" w:hAnsi="Cambria Math"/>
              </w:rPr>
            </m:ctrlPr>
          </m:e>
        </m:rad>
      </m:oMath>
      <w:r>
        <w:instrText xml:space="preserve"> </w:instrText>
      </w:r>
      <w:r>
        <w:fldChar w:fldCharType="end"/>
      </w:r>
      <w:r>
        <w:t>管道平均流速的选择，应符合下列规定：</w:t>
      </w:r>
    </w:p>
    <w:p>
      <w:pPr>
        <w:pStyle w:val="179"/>
        <w:numPr>
          <w:ilvl w:val="0"/>
          <w:numId w:val="52"/>
        </w:numPr>
      </w:pPr>
      <w:r>
        <w:t>平均流速应根据流体的性质、状态和管道允许的压力损失选用</w:t>
      </w:r>
      <w:r>
        <w:rPr>
          <w:rFonts w:hint="eastAsia"/>
        </w:rPr>
        <w:t>，天然气管道内流速不宜超过20m/s</w:t>
      </w:r>
      <w:r>
        <w:t>选取</w:t>
      </w:r>
      <w:r>
        <w:rPr>
          <w:rFonts w:hint="eastAsia"/>
        </w:rPr>
        <w:t>，氢气管道内流速不宜超过15m/s，掺氢天然气管道内流速不宜超过20m/s。</w:t>
      </w:r>
    </w:p>
    <w:p>
      <w:pPr>
        <w:pStyle w:val="179"/>
      </w:pPr>
      <w:r>
        <w:t>放空管道的阀后管道流速，不应大于</w:t>
      </w:r>
      <w:r>
        <w:rPr>
          <w:rFonts w:hint="eastAsia"/>
        </w:rPr>
        <w:t>公式（3）</w:t>
      </w:r>
      <w:r>
        <w:t>计算的气体声速。</w:t>
      </w:r>
    </w:p>
    <w:p>
      <w:pPr>
        <w:pStyle w:val="118"/>
      </w:pPr>
      <w:r>
        <w:tab/>
      </w:r>
      <m:oMath>
        <m:sSub>
          <m:sSubPr>
            <m:ctrlPr>
              <w:rPr>
                <w:rFonts w:ascii="Cambria Math" w:hAnsi="Cambria Math"/>
                <w:i/>
              </w:rPr>
            </m:ctrlPr>
          </m:sSubPr>
          <m:e>
            <m:r>
              <m:rPr/>
              <w:rPr>
                <w:rFonts w:ascii="Cambria Math" w:hAnsi="Cambria Math"/>
              </w:rPr>
              <m:t>v</m:t>
            </m:r>
            <m:ctrlPr>
              <w:rPr>
                <w:rFonts w:ascii="Cambria Math" w:hAnsi="Cambria Math"/>
                <w:i/>
              </w:rPr>
            </m:ctrlPr>
          </m:e>
          <m:sub>
            <m:r>
              <m:rPr/>
              <w:rPr>
                <w:rFonts w:ascii="Cambria Math" w:hAnsi="Cambria Math"/>
              </w:rPr>
              <m:t>c</m:t>
            </m:r>
            <m:ctrlPr>
              <w:rPr>
                <w:rFonts w:ascii="Cambria Math" w:hAnsi="Cambria Math"/>
                <w:i/>
              </w:rPr>
            </m:ctrlPr>
          </m:sub>
        </m:sSub>
        <m:r>
          <m:rPr/>
          <w:rPr>
            <w:rFonts w:ascii="Cambria Math" w:hAnsi="Cambria Math"/>
          </w:rPr>
          <m:t>=91.20</m:t>
        </m:r>
        <m:rad>
          <m:radPr>
            <m:degHide m:val="1"/>
            <m:ctrlPr>
              <w:rPr>
                <w:rFonts w:ascii="Cambria Math" w:hAnsi="Cambria Math"/>
                <w:i/>
              </w:rPr>
            </m:ctrlPr>
          </m:radPr>
          <m:deg>
            <m:ctrlPr>
              <w:rPr>
                <w:rFonts w:ascii="Cambria Math" w:hAnsi="Cambria Math"/>
                <w:i/>
              </w:rPr>
            </m:ctrlPr>
          </m:deg>
          <m:e>
            <m:f>
              <m:fPr>
                <m:ctrlPr>
                  <w:rPr>
                    <w:rFonts w:ascii="Cambria Math" w:hAnsi="Cambria Math"/>
                    <w:i/>
                  </w:rPr>
                </m:ctrlPr>
              </m:fPr>
              <m:num>
                <m:r>
                  <m:rPr/>
                  <w:rPr>
                    <w:rFonts w:ascii="Cambria Math" w:hAnsi="Cambria Math"/>
                  </w:rPr>
                  <m:t>kT</m:t>
                </m:r>
                <m:ctrlPr>
                  <w:rPr>
                    <w:rFonts w:ascii="Cambria Math" w:hAnsi="Cambria Math"/>
                    <w:i/>
                  </w:rPr>
                </m:ctrlPr>
              </m:num>
              <m:den>
                <m:r>
                  <m:rPr/>
                  <w:rPr>
                    <w:rFonts w:ascii="Cambria Math" w:hAnsi="Cambria Math"/>
                  </w:rPr>
                  <m:t>M</m:t>
                </m:r>
                <m:ctrlPr>
                  <w:rPr>
                    <w:rFonts w:ascii="Cambria Math" w:hAnsi="Cambria Math"/>
                    <w:i/>
                  </w:rPr>
                </m:ctrlPr>
              </m:den>
            </m:f>
            <m:ctrlPr>
              <w:rPr>
                <w:rFonts w:ascii="Cambria Math" w:hAnsi="Cambria Math"/>
                <w:i/>
              </w:rPr>
            </m:ctrlPr>
          </m:e>
        </m:rad>
        <m:r>
          <m:rPr>
            <m:sty m:val="p"/>
          </m:rPr>
          <w:rPr>
            <w:rFonts w:ascii="Cambria Math" w:hAnsi="Cambria Math"/>
          </w:rPr>
          <m:t xml:space="preserve"> </m:t>
        </m:r>
      </m:oMath>
      <w:r>
        <w:rPr>
          <w:rFonts w:ascii="微软雅黑" w:hAnsi="微软雅黑" w:eastAsia="微软雅黑"/>
        </w:rPr>
        <w:tab/>
      </w:r>
      <w:r>
        <w:t>(3)</w:t>
      </w:r>
    </w:p>
    <w:p>
      <w:pPr>
        <w:pStyle w:val="60"/>
        <w:ind w:firstLine="420"/>
      </w:pPr>
    </w:p>
    <w:p>
      <w:pPr>
        <w:pStyle w:val="118"/>
      </w:pPr>
      <w:r>
        <w:tab/>
      </w:r>
      <m:oMath>
        <m:r>
          <m:rPr/>
          <w:rPr>
            <w:rFonts w:ascii="Cambria Math" w:hAnsi="Cambria Math"/>
          </w:rPr>
          <m:t>k=</m:t>
        </m:r>
        <m:f>
          <m:fPr>
            <m:ctrlPr>
              <w:rPr>
                <w:rFonts w:ascii="Cambria Math" w:hAnsi="Cambria Math"/>
                <w:i/>
              </w:rPr>
            </m:ctrlPr>
          </m:fPr>
          <m:num>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p</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v</m:t>
                </m:r>
                <m:ctrlPr>
                  <w:rPr>
                    <w:rFonts w:ascii="Cambria Math" w:hAnsi="Cambria Math"/>
                    <w:i/>
                  </w:rPr>
                </m:ctrlPr>
              </m:sub>
            </m:sSub>
            <m:ctrlPr>
              <w:rPr>
                <w:rFonts w:ascii="Cambria Math" w:hAnsi="Cambria Math"/>
                <w:i/>
              </w:rPr>
            </m:ctrlPr>
          </m:den>
        </m:f>
        <m:r>
          <m:rPr>
            <m:sty m:val="p"/>
          </m:rPr>
          <w:rPr>
            <w:rFonts w:ascii="Cambria Math" w:hAnsi="Cambria Math"/>
          </w:rPr>
          <m:t xml:space="preserve"> </m:t>
        </m:r>
      </m:oMath>
      <w:r>
        <w:rPr>
          <w:rFonts w:ascii="微软雅黑" w:hAnsi="微软雅黑" w:eastAsia="微软雅黑"/>
        </w:rPr>
        <w:tab/>
      </w:r>
      <w:r>
        <w:t>(4)</w:t>
      </w:r>
    </w:p>
    <w:p>
      <w:pPr>
        <w:pStyle w:val="61"/>
        <w:ind w:firstLine="420"/>
      </w:pPr>
      <w:r>
        <w:rPr>
          <w:rFonts w:hint="eastAsia"/>
        </w:rPr>
        <w:t>式中：</w:t>
      </w:r>
    </w:p>
    <w:p>
      <w:pPr>
        <w:pStyle w:val="61"/>
        <w:ind w:firstLine="420"/>
      </w:pPr>
      <w:r>
        <w:tab/>
      </w:r>
      <m:oMath>
        <m:sSub>
          <m:sSubPr>
            <m:ctrlPr>
              <w:rPr>
                <w:rFonts w:ascii="Cambria Math" w:hAnsi="Cambria Math"/>
              </w:rPr>
            </m:ctrlPr>
          </m:sSubPr>
          <m:e>
            <m:r>
              <m:rPr/>
              <w:rPr>
                <w:rFonts w:ascii="Cambria Math" w:hAnsi="Cambria Math"/>
              </w:rPr>
              <m:t>v</m:t>
            </m:r>
            <m:ctrlPr>
              <w:rPr>
                <w:rFonts w:ascii="Cambria Math" w:hAnsi="Cambria Math"/>
              </w:rPr>
            </m:ctrlPr>
          </m:e>
          <m:sub>
            <m:r>
              <m:rPr/>
              <w:rPr>
                <w:rFonts w:ascii="Cambria Math" w:hAnsi="Cambria Math"/>
              </w:rPr>
              <m:t>c</m:t>
            </m:r>
            <m:ctrlPr>
              <w:rPr>
                <w:rFonts w:ascii="Cambria Math" w:hAnsi="Cambria Math"/>
              </w:rPr>
            </m:ctrlPr>
          </m:sub>
        </m:sSub>
      </m:oMath>
      <w:r>
        <w:rPr>
          <w:rFonts w:hint="eastAsia"/>
        </w:rPr>
        <w:t>气体的声速或临界流速，单位为米每秒（m/s）；</w:t>
      </w:r>
    </w:p>
    <w:p>
      <w:pPr>
        <w:pStyle w:val="61"/>
        <w:ind w:firstLine="420"/>
      </w:pPr>
      <w:r>
        <w:tab/>
      </w:r>
      <m:oMath>
        <m:r>
          <m:rPr/>
          <w:rPr>
            <w:rFonts w:ascii="Cambria Math" w:hAnsi="Cambria Math"/>
          </w:rPr>
          <m:t>k</m:t>
        </m:r>
      </m:oMath>
      <w:r>
        <w:rPr>
          <w:rFonts w:hint="eastAsia"/>
        </w:rPr>
        <w:t>——气体的绝热指数；</w:t>
      </w:r>
    </w:p>
    <w:p>
      <w:pPr>
        <w:pStyle w:val="61"/>
        <w:ind w:firstLine="420"/>
      </w:pPr>
      <w:r>
        <w:tab/>
      </w:r>
      <m:oMath>
        <m:sSub>
          <m:sSubPr>
            <m:ctrlPr>
              <w:rPr>
                <w:rFonts w:ascii="Cambria Math" w:hAnsi="Cambria Math"/>
              </w:rPr>
            </m:ctrlPr>
          </m:sSubPr>
          <m:e>
            <m:r>
              <m:rPr/>
              <w:rPr>
                <w:rFonts w:ascii="Cambria Math" w:hAnsi="Cambria Math"/>
              </w:rPr>
              <m:t>C</m:t>
            </m:r>
            <m:ctrlPr>
              <w:rPr>
                <w:rFonts w:ascii="Cambria Math" w:hAnsi="Cambria Math"/>
              </w:rPr>
            </m:ctrlPr>
          </m:e>
          <m:sub>
            <m:r>
              <m:rPr/>
              <w:rPr>
                <w:rFonts w:ascii="Cambria Math" w:hAnsi="Cambria Math"/>
              </w:rPr>
              <m:t>p</m:t>
            </m:r>
            <m:ctrlPr>
              <w:rPr>
                <w:rFonts w:ascii="Cambria Math" w:hAnsi="Cambria Math"/>
              </w:rPr>
            </m:ctrlPr>
          </m:sub>
        </m:sSub>
      </m:oMath>
      <w:r>
        <w:rPr>
          <w:rFonts w:hint="eastAsia"/>
        </w:rPr>
        <w:t>、</w:t>
      </w:r>
      <m:oMath>
        <m:sSub>
          <m:sSubPr>
            <m:ctrlPr>
              <w:rPr>
                <w:rFonts w:ascii="Cambria Math" w:hAnsi="Cambria Math"/>
              </w:rPr>
            </m:ctrlPr>
          </m:sSubPr>
          <m:e>
            <m:r>
              <m:rPr/>
              <w:rPr>
                <w:rFonts w:ascii="Cambria Math" w:hAnsi="Cambria Math"/>
              </w:rPr>
              <m:t>C</m:t>
            </m:r>
            <m:ctrlPr>
              <w:rPr>
                <w:rFonts w:ascii="Cambria Math" w:hAnsi="Cambria Math"/>
              </w:rPr>
            </m:ctrlPr>
          </m:e>
          <m:sub>
            <m:r>
              <m:rPr/>
              <w:rPr>
                <w:rFonts w:ascii="Cambria Math" w:hAnsi="Cambria Math"/>
              </w:rPr>
              <m:t>v</m:t>
            </m:r>
            <m:ctrlPr>
              <w:rPr>
                <w:rFonts w:ascii="Cambria Math" w:hAnsi="Cambria Math"/>
              </w:rPr>
            </m:ctrlPr>
          </m:sub>
        </m:sSub>
      </m:oMath>
      <w:r>
        <w:rPr>
          <w:rFonts w:hint="eastAsia"/>
        </w:rPr>
        <w:t>——定压热容，定容热容，单位为焦每克开尔文[J/（g·K）</w:t>
      </w:r>
      <w:r>
        <w:t>]</w:t>
      </w:r>
      <w:r>
        <w:rPr>
          <w:rFonts w:hint="eastAsia"/>
        </w:rPr>
        <w:t>；</w:t>
      </w:r>
    </w:p>
    <w:p>
      <w:pPr>
        <w:pStyle w:val="61"/>
        <w:ind w:firstLine="420"/>
      </w:pPr>
      <w:r>
        <w:tab/>
      </w:r>
      <m:oMath>
        <m:r>
          <m:rPr/>
          <w:rPr>
            <w:rFonts w:ascii="Cambria Math" w:hAnsi="Cambria Math"/>
          </w:rPr>
          <m:t>T</m:t>
        </m:r>
      </m:oMath>
      <w:r>
        <w:rPr>
          <w:rFonts w:hint="eastAsia"/>
        </w:rPr>
        <w:t>——气体温度，单位为开尔文（K）；</w:t>
      </w:r>
    </w:p>
    <w:p>
      <w:pPr>
        <w:pStyle w:val="61"/>
        <w:ind w:firstLine="420"/>
      </w:pPr>
      <w:r>
        <w:tab/>
      </w:r>
      <m:oMath>
        <m:r>
          <m:rPr/>
          <w:rPr>
            <w:rFonts w:ascii="Cambria Math" w:hAnsi="Cambria Math"/>
          </w:rPr>
          <m:t>M</m:t>
        </m:r>
      </m:oMath>
      <w:r>
        <w:rPr>
          <w:rFonts w:hint="eastAsia"/>
        </w:rPr>
        <w:t>——气体分子量。</w:t>
      </w:r>
    </w:p>
    <w:p>
      <w:pPr>
        <w:pStyle w:val="170"/>
        <w:rPr>
          <w:sz w:val="19"/>
        </w:rPr>
      </w:pPr>
      <w:r>
        <w:rPr>
          <w:rFonts w:hint="eastAsia"/>
        </w:rPr>
        <w:t>强度计算</w:t>
      </w:r>
    </w:p>
    <w:p>
      <w:pPr>
        <w:pStyle w:val="169"/>
      </w:pPr>
      <w:r>
        <w:rPr>
          <w:rFonts w:hint="eastAsia"/>
        </w:rPr>
        <w:t>直管、弯头、支管壁厚及开孔补强按G</w:t>
      </w:r>
      <w:r>
        <w:t>B/T34275</w:t>
      </w:r>
      <w:r>
        <w:rPr>
          <w:rFonts w:hint="eastAsia"/>
        </w:rPr>
        <w:t>、GB</w:t>
      </w:r>
      <w:r>
        <w:t>/T20801</w:t>
      </w:r>
      <w:r>
        <w:rPr>
          <w:rFonts w:hint="eastAsia"/>
        </w:rPr>
        <w:t>计算；氢气管道、掺氢管道壁厚计算中的焊接接头高温强度降低系数W应按表</w:t>
      </w:r>
      <w:r>
        <w:t>11</w:t>
      </w:r>
      <w:r>
        <w:rPr>
          <w:rFonts w:hint="eastAsia"/>
        </w:rPr>
        <w:t>、表</w:t>
      </w:r>
      <w:r>
        <w:t>12</w:t>
      </w:r>
      <w:r>
        <w:rPr>
          <w:rFonts w:hint="eastAsia"/>
        </w:rPr>
        <w:t>选取。</w:t>
      </w:r>
    </w:p>
    <w:p>
      <w:pPr>
        <w:pStyle w:val="117"/>
        <w:spacing w:before="120" w:after="120"/>
      </w:pPr>
      <w:r>
        <w:rPr>
          <w:rFonts w:hint="eastAsia"/>
        </w:rPr>
        <w:t>碳钢材料焊接接头高温强度降低系数W</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4"/>
        <w:gridCol w:w="1242"/>
        <w:gridCol w:w="1009"/>
        <w:gridCol w:w="1279"/>
        <w:gridCol w:w="1118"/>
        <w:gridCol w:w="1288"/>
        <w:gridCol w:w="1280"/>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4" w:type="pct"/>
            <w:gridSpan w:val="2"/>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规定的最小强度/MPa</w:t>
            </w:r>
          </w:p>
        </w:tc>
        <w:tc>
          <w:tcPr>
            <w:tcW w:w="3706" w:type="pct"/>
            <w:gridSpan w:val="6"/>
            <w:vAlign w:val="center"/>
          </w:tcPr>
          <w:p>
            <w:pPr>
              <w:widowControl/>
              <w:tabs>
                <w:tab w:val="center" w:pos="4201"/>
                <w:tab w:val="right" w:leader="dot" w:pos="9298"/>
              </w:tabs>
              <w:autoSpaceDE w:val="0"/>
              <w:autoSpaceDN w:val="0"/>
              <w:adjustRightInd/>
              <w:spacing w:line="240" w:lineRule="auto"/>
              <w:ind w:firstLine="360" w:firstLineChars="200"/>
              <w:jc w:val="center"/>
              <w:rPr>
                <w:rFonts w:ascii="宋体" w:hAnsi="宋体" w:cs="宋体"/>
                <w:sz w:val="18"/>
                <w:szCs w:val="18"/>
              </w:rPr>
            </w:pPr>
            <w:r>
              <w:rPr>
                <w:rFonts w:hint="eastAsia" w:ascii="宋体" w:hAnsi="宋体" w:cs="宋体"/>
                <w:sz w:val="18"/>
                <w:szCs w:val="18"/>
              </w:rPr>
              <w:t>设计压力/MPa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45"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拉伸强度</w:t>
            </w:r>
          </w:p>
        </w:tc>
        <w:tc>
          <w:tcPr>
            <w:tcW w:w="649"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屈服强度</w:t>
            </w:r>
          </w:p>
        </w:tc>
        <w:tc>
          <w:tcPr>
            <w:tcW w:w="527"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≤6.9</w:t>
            </w:r>
          </w:p>
        </w:tc>
        <w:tc>
          <w:tcPr>
            <w:tcW w:w="668" w:type="pct"/>
            <w:vAlign w:val="center"/>
          </w:tcPr>
          <w:p>
            <w:pPr>
              <w:widowControl/>
              <w:tabs>
                <w:tab w:val="center" w:pos="4201"/>
                <w:tab w:val="right" w:leader="dot" w:pos="9298"/>
              </w:tabs>
              <w:autoSpaceDE w:val="0"/>
              <w:autoSpaceDN w:val="0"/>
              <w:adjustRightInd/>
              <w:spacing w:line="240" w:lineRule="auto"/>
              <w:ind w:firstLine="360" w:firstLineChars="200"/>
              <w:jc w:val="center"/>
              <w:rPr>
                <w:rFonts w:ascii="宋体" w:hAnsi="宋体" w:cs="宋体"/>
                <w:sz w:val="18"/>
                <w:szCs w:val="18"/>
              </w:rPr>
            </w:pPr>
            <w:r>
              <w:rPr>
                <w:rFonts w:hint="eastAsia" w:ascii="宋体" w:hAnsi="宋体" w:cs="宋体"/>
                <w:sz w:val="18"/>
                <w:szCs w:val="18"/>
              </w:rPr>
              <w:t>13.8</w:t>
            </w:r>
          </w:p>
        </w:tc>
        <w:tc>
          <w:tcPr>
            <w:tcW w:w="584" w:type="pct"/>
            <w:vAlign w:val="center"/>
          </w:tcPr>
          <w:p>
            <w:pPr>
              <w:widowControl/>
              <w:tabs>
                <w:tab w:val="center" w:pos="4201"/>
                <w:tab w:val="right" w:leader="dot" w:pos="9298"/>
              </w:tabs>
              <w:autoSpaceDE w:val="0"/>
              <w:autoSpaceDN w:val="0"/>
              <w:adjustRightInd/>
              <w:spacing w:line="240" w:lineRule="auto"/>
              <w:ind w:firstLine="360" w:firstLineChars="200"/>
              <w:jc w:val="center"/>
              <w:rPr>
                <w:rFonts w:ascii="宋体" w:hAnsi="宋体" w:cs="宋体"/>
                <w:sz w:val="18"/>
                <w:szCs w:val="18"/>
              </w:rPr>
            </w:pPr>
            <w:r>
              <w:rPr>
                <w:rFonts w:hint="eastAsia" w:ascii="宋体" w:hAnsi="宋体" w:cs="宋体"/>
                <w:sz w:val="18"/>
                <w:szCs w:val="18"/>
              </w:rPr>
              <w:t>20.7</w:t>
            </w:r>
          </w:p>
        </w:tc>
        <w:tc>
          <w:tcPr>
            <w:tcW w:w="673" w:type="pct"/>
            <w:vAlign w:val="center"/>
          </w:tcPr>
          <w:p>
            <w:pPr>
              <w:widowControl/>
              <w:tabs>
                <w:tab w:val="center" w:pos="4201"/>
                <w:tab w:val="right" w:leader="dot" w:pos="9298"/>
              </w:tabs>
              <w:autoSpaceDE w:val="0"/>
              <w:autoSpaceDN w:val="0"/>
              <w:adjustRightInd/>
              <w:spacing w:line="240" w:lineRule="auto"/>
              <w:ind w:firstLine="360" w:firstLineChars="200"/>
              <w:jc w:val="center"/>
              <w:rPr>
                <w:rFonts w:ascii="宋体" w:hAnsi="宋体" w:cs="宋体"/>
                <w:sz w:val="18"/>
                <w:szCs w:val="18"/>
              </w:rPr>
            </w:pPr>
            <w:r>
              <w:rPr>
                <w:rFonts w:hint="eastAsia" w:ascii="宋体" w:hAnsi="宋体" w:cs="宋体"/>
                <w:sz w:val="18"/>
                <w:szCs w:val="18"/>
              </w:rPr>
              <w:t>27.6</w:t>
            </w:r>
          </w:p>
        </w:tc>
        <w:tc>
          <w:tcPr>
            <w:tcW w:w="669" w:type="pct"/>
            <w:vAlign w:val="center"/>
          </w:tcPr>
          <w:p>
            <w:pPr>
              <w:widowControl/>
              <w:tabs>
                <w:tab w:val="center" w:pos="4201"/>
                <w:tab w:val="right" w:leader="dot" w:pos="9298"/>
              </w:tabs>
              <w:autoSpaceDE w:val="0"/>
              <w:autoSpaceDN w:val="0"/>
              <w:adjustRightInd/>
              <w:spacing w:line="240" w:lineRule="auto"/>
              <w:ind w:firstLine="360" w:firstLineChars="200"/>
              <w:jc w:val="center"/>
              <w:rPr>
                <w:rFonts w:ascii="宋体" w:hAnsi="宋体" w:cs="宋体"/>
                <w:sz w:val="18"/>
                <w:szCs w:val="18"/>
              </w:rPr>
            </w:pPr>
            <w:r>
              <w:rPr>
                <w:rFonts w:hint="eastAsia" w:ascii="宋体" w:hAnsi="宋体" w:cs="宋体"/>
                <w:sz w:val="18"/>
                <w:szCs w:val="18"/>
              </w:rPr>
              <w:t>34.5</w:t>
            </w:r>
          </w:p>
        </w:tc>
        <w:tc>
          <w:tcPr>
            <w:tcW w:w="585" w:type="pct"/>
            <w:vAlign w:val="center"/>
          </w:tcPr>
          <w:p>
            <w:pPr>
              <w:widowControl/>
              <w:tabs>
                <w:tab w:val="center" w:pos="4201"/>
                <w:tab w:val="right" w:leader="dot" w:pos="9298"/>
              </w:tabs>
              <w:autoSpaceDE w:val="0"/>
              <w:autoSpaceDN w:val="0"/>
              <w:adjustRightInd/>
              <w:spacing w:line="240" w:lineRule="auto"/>
              <w:ind w:firstLine="360" w:firstLineChars="200"/>
              <w:jc w:val="center"/>
              <w:rPr>
                <w:rFonts w:ascii="宋体" w:hAnsi="宋体" w:cs="宋体"/>
                <w:sz w:val="18"/>
                <w:szCs w:val="18"/>
              </w:rPr>
            </w:pPr>
            <w:r>
              <w:rPr>
                <w:rFonts w:hint="eastAsia" w:ascii="宋体" w:hAnsi="宋体" w:cs="宋体"/>
                <w:sz w:val="18"/>
                <w:szCs w:val="18"/>
              </w:rPr>
              <w:t>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45" w:type="pct"/>
            <w:vAlign w:val="center"/>
          </w:tcPr>
          <w:p>
            <w:pPr>
              <w:widowControl/>
              <w:tabs>
                <w:tab w:val="center" w:pos="4201"/>
                <w:tab w:val="right" w:leader="dot" w:pos="9298"/>
              </w:tabs>
              <w:autoSpaceDE w:val="0"/>
              <w:autoSpaceDN w:val="0"/>
              <w:adjustRightInd/>
              <w:spacing w:line="240" w:lineRule="auto"/>
              <w:ind w:firstLine="360" w:firstLineChars="200"/>
              <w:jc w:val="center"/>
              <w:rPr>
                <w:rFonts w:ascii="宋体" w:hAnsi="宋体" w:cs="宋体"/>
                <w:sz w:val="18"/>
                <w:szCs w:val="18"/>
              </w:rPr>
            </w:pPr>
            <w:r>
              <w:rPr>
                <w:rFonts w:hint="eastAsia" w:ascii="宋体" w:hAnsi="宋体" w:cs="宋体"/>
                <w:sz w:val="18"/>
                <w:szCs w:val="18"/>
              </w:rPr>
              <w:t>≤483</w:t>
            </w:r>
          </w:p>
        </w:tc>
        <w:tc>
          <w:tcPr>
            <w:tcW w:w="649" w:type="pct"/>
            <w:vAlign w:val="center"/>
          </w:tcPr>
          <w:p>
            <w:pPr>
              <w:widowControl/>
              <w:tabs>
                <w:tab w:val="center" w:pos="4201"/>
                <w:tab w:val="right" w:leader="dot" w:pos="9298"/>
              </w:tabs>
              <w:autoSpaceDE w:val="0"/>
              <w:autoSpaceDN w:val="0"/>
              <w:adjustRightInd/>
              <w:spacing w:line="240" w:lineRule="auto"/>
              <w:ind w:firstLine="360" w:firstLineChars="200"/>
              <w:jc w:val="center"/>
              <w:rPr>
                <w:rFonts w:ascii="宋体" w:hAnsi="宋体" w:cs="宋体"/>
                <w:sz w:val="18"/>
                <w:szCs w:val="18"/>
              </w:rPr>
            </w:pPr>
            <w:r>
              <w:rPr>
                <w:rFonts w:hint="eastAsia" w:ascii="宋体" w:hAnsi="宋体" w:cs="宋体"/>
                <w:sz w:val="18"/>
                <w:szCs w:val="18"/>
              </w:rPr>
              <w:t>≤359</w:t>
            </w:r>
          </w:p>
        </w:tc>
        <w:tc>
          <w:tcPr>
            <w:tcW w:w="527"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1.0</w:t>
            </w:r>
          </w:p>
        </w:tc>
        <w:tc>
          <w:tcPr>
            <w:tcW w:w="668" w:type="pct"/>
            <w:vAlign w:val="center"/>
          </w:tcPr>
          <w:p>
            <w:pPr>
              <w:widowControl/>
              <w:tabs>
                <w:tab w:val="center" w:pos="4201"/>
                <w:tab w:val="right" w:leader="dot" w:pos="9298"/>
              </w:tabs>
              <w:autoSpaceDE w:val="0"/>
              <w:autoSpaceDN w:val="0"/>
              <w:adjustRightInd/>
              <w:spacing w:line="240" w:lineRule="auto"/>
              <w:ind w:firstLine="360" w:firstLineChars="200"/>
              <w:jc w:val="center"/>
              <w:rPr>
                <w:rFonts w:ascii="宋体" w:hAnsi="宋体" w:cs="宋体"/>
                <w:sz w:val="18"/>
                <w:szCs w:val="18"/>
              </w:rPr>
            </w:pPr>
            <w:r>
              <w:rPr>
                <w:rFonts w:hint="eastAsia" w:ascii="宋体" w:hAnsi="宋体" w:cs="宋体"/>
                <w:sz w:val="18"/>
                <w:szCs w:val="18"/>
              </w:rPr>
              <w:t>0.948</w:t>
            </w:r>
          </w:p>
        </w:tc>
        <w:tc>
          <w:tcPr>
            <w:tcW w:w="584"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0.912</w:t>
            </w:r>
          </w:p>
        </w:tc>
        <w:tc>
          <w:tcPr>
            <w:tcW w:w="673"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0.884</w:t>
            </w:r>
          </w:p>
        </w:tc>
        <w:tc>
          <w:tcPr>
            <w:tcW w:w="669"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0.860</w:t>
            </w:r>
          </w:p>
        </w:tc>
        <w:tc>
          <w:tcPr>
            <w:tcW w:w="585"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45"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≤483～517</w:t>
            </w:r>
          </w:p>
        </w:tc>
        <w:tc>
          <w:tcPr>
            <w:tcW w:w="649" w:type="pct"/>
            <w:vAlign w:val="center"/>
          </w:tcPr>
          <w:p>
            <w:pPr>
              <w:widowControl/>
              <w:tabs>
                <w:tab w:val="center" w:pos="4201"/>
                <w:tab w:val="right" w:leader="dot" w:pos="9298"/>
              </w:tabs>
              <w:autoSpaceDE w:val="0"/>
              <w:autoSpaceDN w:val="0"/>
              <w:adjustRightInd/>
              <w:spacing w:line="240" w:lineRule="auto"/>
              <w:ind w:firstLine="360" w:firstLineChars="200"/>
              <w:jc w:val="center"/>
              <w:rPr>
                <w:rFonts w:ascii="宋体" w:hAnsi="宋体" w:cs="宋体"/>
                <w:sz w:val="18"/>
                <w:szCs w:val="18"/>
              </w:rPr>
            </w:pPr>
            <w:r>
              <w:rPr>
                <w:rFonts w:hint="eastAsia" w:ascii="宋体" w:hAnsi="宋体" w:cs="宋体"/>
                <w:sz w:val="18"/>
                <w:szCs w:val="18"/>
              </w:rPr>
              <w:t>≤386</w:t>
            </w:r>
          </w:p>
        </w:tc>
        <w:tc>
          <w:tcPr>
            <w:tcW w:w="527"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0.930</w:t>
            </w:r>
          </w:p>
        </w:tc>
        <w:tc>
          <w:tcPr>
            <w:tcW w:w="668" w:type="pct"/>
            <w:vAlign w:val="center"/>
          </w:tcPr>
          <w:p>
            <w:pPr>
              <w:widowControl/>
              <w:tabs>
                <w:tab w:val="center" w:pos="4201"/>
                <w:tab w:val="right" w:leader="dot" w:pos="9298"/>
              </w:tabs>
              <w:autoSpaceDE w:val="0"/>
              <w:autoSpaceDN w:val="0"/>
              <w:adjustRightInd/>
              <w:spacing w:line="240" w:lineRule="auto"/>
              <w:ind w:firstLine="360" w:firstLineChars="200"/>
              <w:jc w:val="center"/>
              <w:rPr>
                <w:rFonts w:ascii="宋体" w:hAnsi="宋体" w:cs="宋体"/>
                <w:sz w:val="18"/>
                <w:szCs w:val="18"/>
              </w:rPr>
            </w:pPr>
            <w:r>
              <w:rPr>
                <w:rFonts w:hint="eastAsia" w:ascii="宋体" w:hAnsi="宋体" w:cs="宋体"/>
                <w:sz w:val="18"/>
                <w:szCs w:val="18"/>
              </w:rPr>
              <w:t>0.881</w:t>
            </w:r>
          </w:p>
        </w:tc>
        <w:tc>
          <w:tcPr>
            <w:tcW w:w="584"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0.848</w:t>
            </w:r>
          </w:p>
        </w:tc>
        <w:tc>
          <w:tcPr>
            <w:tcW w:w="673"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0.824</w:t>
            </w:r>
          </w:p>
        </w:tc>
        <w:tc>
          <w:tcPr>
            <w:tcW w:w="669"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0.800</w:t>
            </w:r>
          </w:p>
        </w:tc>
        <w:tc>
          <w:tcPr>
            <w:tcW w:w="585"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45"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≤517～552</w:t>
            </w:r>
          </w:p>
        </w:tc>
        <w:tc>
          <w:tcPr>
            <w:tcW w:w="649" w:type="pct"/>
            <w:vAlign w:val="center"/>
          </w:tcPr>
          <w:p>
            <w:pPr>
              <w:widowControl/>
              <w:tabs>
                <w:tab w:val="center" w:pos="4201"/>
                <w:tab w:val="right" w:leader="dot" w:pos="9298"/>
              </w:tabs>
              <w:autoSpaceDE w:val="0"/>
              <w:autoSpaceDN w:val="0"/>
              <w:adjustRightInd/>
              <w:spacing w:line="240" w:lineRule="auto"/>
              <w:ind w:firstLine="360" w:firstLineChars="200"/>
              <w:jc w:val="center"/>
              <w:rPr>
                <w:rFonts w:ascii="宋体" w:hAnsi="宋体" w:cs="宋体"/>
                <w:sz w:val="18"/>
                <w:szCs w:val="18"/>
              </w:rPr>
            </w:pPr>
            <w:r>
              <w:rPr>
                <w:rFonts w:hint="eastAsia" w:ascii="宋体" w:hAnsi="宋体" w:cs="宋体"/>
                <w:sz w:val="18"/>
                <w:szCs w:val="18"/>
              </w:rPr>
              <w:t>≤448</w:t>
            </w:r>
          </w:p>
        </w:tc>
        <w:tc>
          <w:tcPr>
            <w:tcW w:w="527"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0.839</w:t>
            </w:r>
          </w:p>
        </w:tc>
        <w:tc>
          <w:tcPr>
            <w:tcW w:w="668" w:type="pct"/>
            <w:vAlign w:val="center"/>
          </w:tcPr>
          <w:p>
            <w:pPr>
              <w:widowControl/>
              <w:tabs>
                <w:tab w:val="center" w:pos="4201"/>
                <w:tab w:val="right" w:leader="dot" w:pos="9298"/>
              </w:tabs>
              <w:autoSpaceDE w:val="0"/>
              <w:autoSpaceDN w:val="0"/>
              <w:adjustRightInd/>
              <w:spacing w:line="240" w:lineRule="auto"/>
              <w:ind w:firstLine="360" w:firstLineChars="200"/>
              <w:jc w:val="center"/>
              <w:rPr>
                <w:rFonts w:ascii="宋体" w:hAnsi="宋体" w:cs="宋体"/>
                <w:sz w:val="18"/>
                <w:szCs w:val="18"/>
              </w:rPr>
            </w:pPr>
            <w:r>
              <w:rPr>
                <w:rFonts w:hint="eastAsia" w:ascii="宋体" w:hAnsi="宋体" w:cs="宋体"/>
                <w:sz w:val="18"/>
                <w:szCs w:val="18"/>
              </w:rPr>
              <w:t>0.796</w:t>
            </w:r>
          </w:p>
        </w:tc>
        <w:tc>
          <w:tcPr>
            <w:tcW w:w="584"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0.766</w:t>
            </w:r>
          </w:p>
        </w:tc>
        <w:tc>
          <w:tcPr>
            <w:tcW w:w="673"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0.745</w:t>
            </w:r>
          </w:p>
        </w:tc>
        <w:tc>
          <w:tcPr>
            <w:tcW w:w="669"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0.724</w:t>
            </w:r>
          </w:p>
        </w:tc>
        <w:tc>
          <w:tcPr>
            <w:tcW w:w="585"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45"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≤552～621</w:t>
            </w:r>
          </w:p>
        </w:tc>
        <w:tc>
          <w:tcPr>
            <w:tcW w:w="649" w:type="pct"/>
            <w:vAlign w:val="center"/>
          </w:tcPr>
          <w:p>
            <w:pPr>
              <w:widowControl/>
              <w:tabs>
                <w:tab w:val="center" w:pos="4201"/>
                <w:tab w:val="right" w:leader="dot" w:pos="9298"/>
              </w:tabs>
              <w:autoSpaceDE w:val="0"/>
              <w:autoSpaceDN w:val="0"/>
              <w:adjustRightInd/>
              <w:spacing w:line="240" w:lineRule="auto"/>
              <w:ind w:firstLine="360" w:firstLineChars="200"/>
              <w:jc w:val="center"/>
              <w:rPr>
                <w:rFonts w:ascii="宋体" w:hAnsi="宋体" w:cs="宋体"/>
                <w:sz w:val="18"/>
                <w:szCs w:val="18"/>
              </w:rPr>
            </w:pPr>
            <w:r>
              <w:rPr>
                <w:rFonts w:hint="eastAsia" w:ascii="宋体" w:hAnsi="宋体" w:cs="宋体"/>
                <w:sz w:val="18"/>
                <w:szCs w:val="18"/>
              </w:rPr>
              <w:t>≤552</w:t>
            </w:r>
          </w:p>
        </w:tc>
        <w:tc>
          <w:tcPr>
            <w:tcW w:w="527"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0.715</w:t>
            </w:r>
          </w:p>
        </w:tc>
        <w:tc>
          <w:tcPr>
            <w:tcW w:w="668" w:type="pct"/>
            <w:vAlign w:val="center"/>
          </w:tcPr>
          <w:p>
            <w:pPr>
              <w:widowControl/>
              <w:tabs>
                <w:tab w:val="center" w:pos="4201"/>
                <w:tab w:val="right" w:leader="dot" w:pos="9298"/>
              </w:tabs>
              <w:autoSpaceDE w:val="0"/>
              <w:autoSpaceDN w:val="0"/>
              <w:adjustRightInd/>
              <w:spacing w:line="240" w:lineRule="auto"/>
              <w:ind w:firstLine="360" w:firstLineChars="200"/>
              <w:jc w:val="center"/>
              <w:rPr>
                <w:rFonts w:ascii="宋体" w:hAnsi="宋体" w:cs="宋体"/>
                <w:sz w:val="18"/>
                <w:szCs w:val="18"/>
              </w:rPr>
            </w:pPr>
            <w:r>
              <w:rPr>
                <w:rFonts w:hint="eastAsia" w:ascii="宋体" w:hAnsi="宋体" w:cs="宋体"/>
                <w:sz w:val="18"/>
                <w:szCs w:val="18"/>
              </w:rPr>
              <w:t>0.678</w:t>
            </w:r>
          </w:p>
        </w:tc>
        <w:tc>
          <w:tcPr>
            <w:tcW w:w="584"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0.645</w:t>
            </w:r>
          </w:p>
        </w:tc>
        <w:tc>
          <w:tcPr>
            <w:tcW w:w="673"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0.633</w:t>
            </w:r>
          </w:p>
        </w:tc>
        <w:tc>
          <w:tcPr>
            <w:tcW w:w="669"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0.618</w:t>
            </w:r>
          </w:p>
        </w:tc>
        <w:tc>
          <w:tcPr>
            <w:tcW w:w="585"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0.600</w:t>
            </w:r>
          </w:p>
        </w:tc>
      </w:tr>
    </w:tbl>
    <w:p>
      <w:pPr>
        <w:pStyle w:val="117"/>
        <w:spacing w:before="120" w:after="120"/>
      </w:pPr>
      <w:bookmarkStart w:id="170" w:name="OLE_LINK6"/>
      <w:r>
        <w:rPr>
          <w:rFonts w:hint="eastAsia"/>
        </w:rPr>
        <w:t>中低合金钢材料焊接接头高温强度降低系数W</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3"/>
        <w:gridCol w:w="1173"/>
        <w:gridCol w:w="871"/>
        <w:gridCol w:w="1018"/>
        <w:gridCol w:w="1020"/>
        <w:gridCol w:w="1022"/>
        <w:gridCol w:w="1018"/>
        <w:gridCol w:w="1018"/>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trPr>
        <w:tc>
          <w:tcPr>
            <w:tcW w:w="1278" w:type="pct"/>
            <w:gridSpan w:val="2"/>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规定的最小强度/MPa</w:t>
            </w:r>
          </w:p>
        </w:tc>
        <w:tc>
          <w:tcPr>
            <w:tcW w:w="3722" w:type="pct"/>
            <w:gridSpan w:val="7"/>
            <w:vAlign w:val="center"/>
          </w:tcPr>
          <w:p>
            <w:pPr>
              <w:widowControl/>
              <w:tabs>
                <w:tab w:val="center" w:pos="4201"/>
                <w:tab w:val="right" w:leader="dot" w:pos="9298"/>
              </w:tabs>
              <w:autoSpaceDE w:val="0"/>
              <w:autoSpaceDN w:val="0"/>
              <w:adjustRightInd/>
              <w:spacing w:line="240" w:lineRule="auto"/>
              <w:ind w:firstLine="360" w:firstLineChars="200"/>
              <w:jc w:val="center"/>
              <w:rPr>
                <w:rFonts w:ascii="宋体" w:hAnsi="宋体" w:cs="宋体"/>
                <w:sz w:val="18"/>
                <w:szCs w:val="18"/>
              </w:rPr>
            </w:pPr>
            <w:r>
              <w:rPr>
                <w:rFonts w:hint="eastAsia" w:ascii="宋体" w:hAnsi="宋体" w:cs="宋体"/>
                <w:sz w:val="18"/>
                <w:szCs w:val="18"/>
              </w:rPr>
              <w:t>设计压力/MPa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65"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拉伸强度</w:t>
            </w:r>
          </w:p>
        </w:tc>
        <w:tc>
          <w:tcPr>
            <w:tcW w:w="612"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屈服强度</w:t>
            </w:r>
          </w:p>
        </w:tc>
        <w:tc>
          <w:tcPr>
            <w:tcW w:w="455" w:type="pct"/>
            <w:vAlign w:val="center"/>
          </w:tcPr>
          <w:p>
            <w:pPr>
              <w:widowControl/>
              <w:tabs>
                <w:tab w:val="center" w:pos="4201"/>
                <w:tab w:val="right" w:leader="dot" w:pos="9298"/>
              </w:tabs>
              <w:autoSpaceDE w:val="0"/>
              <w:autoSpaceDN w:val="0"/>
              <w:adjustRightInd/>
              <w:spacing w:line="240" w:lineRule="auto"/>
              <w:rPr>
                <w:rFonts w:ascii="宋体" w:hAnsi="宋体" w:cs="宋体"/>
                <w:sz w:val="18"/>
                <w:szCs w:val="18"/>
              </w:rPr>
            </w:pPr>
            <w:r>
              <w:rPr>
                <w:rFonts w:hint="eastAsia" w:ascii="宋体" w:hAnsi="宋体" w:cs="宋体"/>
                <w:sz w:val="18"/>
                <w:szCs w:val="18"/>
              </w:rPr>
              <w:t>0.00</w:t>
            </w:r>
          </w:p>
        </w:tc>
        <w:tc>
          <w:tcPr>
            <w:tcW w:w="532"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6.9</w:t>
            </w:r>
          </w:p>
        </w:tc>
        <w:tc>
          <w:tcPr>
            <w:tcW w:w="533"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13.8</w:t>
            </w:r>
          </w:p>
        </w:tc>
        <w:tc>
          <w:tcPr>
            <w:tcW w:w="534"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20.7</w:t>
            </w:r>
          </w:p>
        </w:tc>
        <w:tc>
          <w:tcPr>
            <w:tcW w:w="532"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27.6</w:t>
            </w:r>
          </w:p>
        </w:tc>
        <w:tc>
          <w:tcPr>
            <w:tcW w:w="532"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34.5</w:t>
            </w:r>
          </w:p>
        </w:tc>
        <w:tc>
          <w:tcPr>
            <w:tcW w:w="605"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65"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≤414</w:t>
            </w:r>
          </w:p>
        </w:tc>
        <w:tc>
          <w:tcPr>
            <w:tcW w:w="612"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≤241</w:t>
            </w:r>
          </w:p>
        </w:tc>
        <w:tc>
          <w:tcPr>
            <w:tcW w:w="455"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1.0</w:t>
            </w:r>
          </w:p>
        </w:tc>
        <w:tc>
          <w:tcPr>
            <w:tcW w:w="532"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0.918</w:t>
            </w:r>
          </w:p>
        </w:tc>
        <w:tc>
          <w:tcPr>
            <w:tcW w:w="533"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0.881</w:t>
            </w:r>
          </w:p>
        </w:tc>
        <w:tc>
          <w:tcPr>
            <w:tcW w:w="534"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0.875</w:t>
            </w:r>
          </w:p>
        </w:tc>
        <w:tc>
          <w:tcPr>
            <w:tcW w:w="532"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0.836</w:t>
            </w:r>
          </w:p>
        </w:tc>
        <w:tc>
          <w:tcPr>
            <w:tcW w:w="532"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0.815</w:t>
            </w:r>
          </w:p>
        </w:tc>
        <w:tc>
          <w:tcPr>
            <w:tcW w:w="605"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65"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＞414～517</w:t>
            </w:r>
          </w:p>
        </w:tc>
        <w:tc>
          <w:tcPr>
            <w:tcW w:w="612"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≤310</w:t>
            </w:r>
          </w:p>
        </w:tc>
        <w:tc>
          <w:tcPr>
            <w:tcW w:w="455"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0.791</w:t>
            </w:r>
          </w:p>
        </w:tc>
        <w:tc>
          <w:tcPr>
            <w:tcW w:w="532"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0.724</w:t>
            </w:r>
          </w:p>
        </w:tc>
        <w:tc>
          <w:tcPr>
            <w:tcW w:w="533"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0.696</w:t>
            </w:r>
          </w:p>
        </w:tc>
        <w:tc>
          <w:tcPr>
            <w:tcW w:w="534"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0.675</w:t>
            </w:r>
          </w:p>
        </w:tc>
        <w:tc>
          <w:tcPr>
            <w:tcW w:w="532"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0.660</w:t>
            </w:r>
          </w:p>
        </w:tc>
        <w:tc>
          <w:tcPr>
            <w:tcW w:w="532"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0.642</w:t>
            </w:r>
          </w:p>
        </w:tc>
        <w:tc>
          <w:tcPr>
            <w:tcW w:w="605"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65"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＞517～586</w:t>
            </w:r>
          </w:p>
        </w:tc>
        <w:tc>
          <w:tcPr>
            <w:tcW w:w="612"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≤414</w:t>
            </w:r>
          </w:p>
        </w:tc>
        <w:tc>
          <w:tcPr>
            <w:tcW w:w="455"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0.655</w:t>
            </w:r>
          </w:p>
        </w:tc>
        <w:tc>
          <w:tcPr>
            <w:tcW w:w="532"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0.601</w:t>
            </w:r>
          </w:p>
        </w:tc>
        <w:tc>
          <w:tcPr>
            <w:tcW w:w="533"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0.577</w:t>
            </w:r>
          </w:p>
        </w:tc>
        <w:tc>
          <w:tcPr>
            <w:tcW w:w="534"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0.561</w:t>
            </w:r>
          </w:p>
        </w:tc>
        <w:tc>
          <w:tcPr>
            <w:tcW w:w="532"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0.547</w:t>
            </w:r>
          </w:p>
        </w:tc>
        <w:tc>
          <w:tcPr>
            <w:tcW w:w="532"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0.533</w:t>
            </w:r>
          </w:p>
        </w:tc>
        <w:tc>
          <w:tcPr>
            <w:tcW w:w="605"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65"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＞586～621</w:t>
            </w:r>
          </w:p>
        </w:tc>
        <w:tc>
          <w:tcPr>
            <w:tcW w:w="612"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≤448</w:t>
            </w:r>
          </w:p>
        </w:tc>
        <w:tc>
          <w:tcPr>
            <w:tcW w:w="455"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0.580</w:t>
            </w:r>
          </w:p>
        </w:tc>
        <w:tc>
          <w:tcPr>
            <w:tcW w:w="532"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0.532</w:t>
            </w:r>
          </w:p>
        </w:tc>
        <w:tc>
          <w:tcPr>
            <w:tcW w:w="533"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0.511</w:t>
            </w:r>
          </w:p>
        </w:tc>
        <w:tc>
          <w:tcPr>
            <w:tcW w:w="534"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0.497</w:t>
            </w:r>
          </w:p>
        </w:tc>
        <w:tc>
          <w:tcPr>
            <w:tcW w:w="532"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0.485</w:t>
            </w:r>
          </w:p>
        </w:tc>
        <w:tc>
          <w:tcPr>
            <w:tcW w:w="532"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0.472</w:t>
            </w:r>
          </w:p>
        </w:tc>
        <w:tc>
          <w:tcPr>
            <w:tcW w:w="605" w:type="pct"/>
            <w:vAlign w:val="center"/>
          </w:tcPr>
          <w:p>
            <w:pPr>
              <w:widowControl/>
              <w:tabs>
                <w:tab w:val="center" w:pos="4201"/>
                <w:tab w:val="right" w:leader="dot" w:pos="9298"/>
              </w:tabs>
              <w:autoSpaceDE w:val="0"/>
              <w:autoSpaceDN w:val="0"/>
              <w:adjustRightInd/>
              <w:spacing w:line="240" w:lineRule="auto"/>
              <w:jc w:val="center"/>
              <w:rPr>
                <w:rFonts w:ascii="宋体" w:hAnsi="宋体" w:cs="宋体"/>
                <w:sz w:val="18"/>
                <w:szCs w:val="18"/>
              </w:rPr>
            </w:pPr>
            <w:r>
              <w:rPr>
                <w:rFonts w:hint="eastAsia" w:ascii="宋体" w:hAnsi="宋体" w:cs="宋体"/>
                <w:sz w:val="18"/>
                <w:szCs w:val="18"/>
              </w:rPr>
              <w:t>0.464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000" w:type="pct"/>
            <w:gridSpan w:val="9"/>
            <w:vAlign w:val="center"/>
          </w:tcPr>
          <w:p>
            <w:pPr>
              <w:pStyle w:val="184"/>
              <w:rPr>
                <w:rFonts w:hAnsi="宋体" w:cs="宋体"/>
              </w:rPr>
            </w:pPr>
            <w:r>
              <w:rPr>
                <w:rFonts w:hint="eastAsia"/>
              </w:rPr>
              <w:t>表中所示压力之间的压力下材料性能系数可采用内插来计算得出。</w:t>
            </w:r>
          </w:p>
        </w:tc>
      </w:tr>
      <w:bookmarkEnd w:id="170"/>
    </w:tbl>
    <w:p>
      <w:pPr>
        <w:pStyle w:val="169"/>
        <w:numPr>
          <w:ilvl w:val="0"/>
          <w:numId w:val="0"/>
        </w:numPr>
      </w:pPr>
    </w:p>
    <w:p>
      <w:pPr>
        <w:pStyle w:val="169"/>
      </w:pPr>
      <w:r>
        <w:rPr>
          <w:rFonts w:hint="eastAsia"/>
        </w:rPr>
        <w:t>异径接头、管帽的计算应按G</w:t>
      </w:r>
      <w:r>
        <w:t>B/T150</w:t>
      </w:r>
      <w:r>
        <w:rPr>
          <w:rFonts w:hint="eastAsia"/>
        </w:rPr>
        <w:t>的要求。</w:t>
      </w:r>
    </w:p>
    <w:p>
      <w:pPr>
        <w:pStyle w:val="170"/>
      </w:pPr>
      <w:r>
        <w:rPr>
          <w:rFonts w:hint="eastAsia"/>
        </w:rPr>
        <w:t>应力分析</w:t>
      </w:r>
    </w:p>
    <w:p>
      <w:pPr>
        <w:pStyle w:val="169"/>
      </w:pPr>
      <w:r>
        <w:rPr>
          <w:rFonts w:hint="eastAsia"/>
        </w:rPr>
        <w:t>天然气管道系统应按G</w:t>
      </w:r>
      <w:r>
        <w:t>B/T 34275</w:t>
      </w:r>
      <w:r>
        <w:rPr>
          <w:rFonts w:hint="eastAsia"/>
        </w:rPr>
        <w:t>中关于应力分析的要求判定管道是否需要进行应力计算。氢气管道、掺氢天然气管道系统应按GB/T 20801.3中关于应力分析的要求判定管道是否需要进行应力计算。</w:t>
      </w:r>
    </w:p>
    <w:p>
      <w:pPr>
        <w:pStyle w:val="169"/>
      </w:pPr>
      <w:r>
        <w:rPr>
          <w:rFonts w:hint="eastAsia"/>
        </w:rPr>
        <w:t>应力分析的主要内容包括：一次应力、二次应力、管口作用力、支吊架的受力和管道位移的计算及评定。</w:t>
      </w:r>
    </w:p>
    <w:p>
      <w:pPr>
        <w:pStyle w:val="169"/>
      </w:pPr>
      <w:r>
        <w:rPr>
          <w:rFonts w:hint="eastAsia"/>
        </w:rPr>
        <w:t>天然气管道系统的应力评定准则、位移评定、设备管口载荷评定应按GB/</w:t>
      </w:r>
      <w:r>
        <w:t>T 34275</w:t>
      </w:r>
      <w:r>
        <w:rPr>
          <w:rFonts w:hint="eastAsia"/>
        </w:rPr>
        <w:t>的规定执行，氢气管道、掺氢天然气管道系统应力评定准则、位移评定、设备管口载荷评定应按GB/T 20801.3的规定执行，撬内设备的应力评定准则应按GB/T 150或</w:t>
      </w:r>
      <w:r>
        <w:t>GB/T</w:t>
      </w:r>
      <w:r>
        <w:rPr>
          <w:rFonts w:hint="eastAsia"/>
        </w:rPr>
        <w:t xml:space="preserve"> 4732的标准执行。</w:t>
      </w:r>
    </w:p>
    <w:p>
      <w:pPr>
        <w:pStyle w:val="169"/>
      </w:pPr>
      <w:r>
        <w:t>应力分析报告</w:t>
      </w:r>
      <w:r>
        <w:rPr>
          <w:rFonts w:hint="eastAsia"/>
        </w:rPr>
        <w:t>内容应包括</w:t>
      </w:r>
      <w:r>
        <w:t>7.5.3.2</w:t>
      </w:r>
      <w:r>
        <w:rPr>
          <w:rFonts w:hint="eastAsia"/>
        </w:rPr>
        <w:t>和</w:t>
      </w:r>
      <w:r>
        <w:t>7.8.3.3</w:t>
      </w:r>
      <w:r>
        <w:rPr>
          <w:rFonts w:hint="eastAsia"/>
        </w:rPr>
        <w:t>条规定的内容，模版参见附录B。</w:t>
      </w:r>
    </w:p>
    <w:p>
      <w:pPr>
        <w:pStyle w:val="170"/>
      </w:pPr>
      <w:r>
        <w:rPr>
          <w:rFonts w:hint="eastAsia"/>
        </w:rPr>
        <w:t>管道连接</w:t>
      </w:r>
    </w:p>
    <w:p>
      <w:pPr>
        <w:pStyle w:val="169"/>
      </w:pPr>
      <w:r>
        <w:rPr>
          <w:rFonts w:hint="eastAsia"/>
        </w:rPr>
        <w:t>掺氢撬与其上、下游管道的连接型式应符合下列要求：</w:t>
      </w:r>
    </w:p>
    <w:p>
      <w:pPr>
        <w:pStyle w:val="179"/>
        <w:numPr>
          <w:ilvl w:val="0"/>
          <w:numId w:val="53"/>
        </w:numPr>
      </w:pPr>
      <w:r>
        <w:rPr>
          <w:rFonts w:hint="eastAsia"/>
        </w:rPr>
        <w:t>法兰端：法兰结构尺寸及密封面型式应符合HG/T 20592～HG/T 20635的要求；</w:t>
      </w:r>
    </w:p>
    <w:p>
      <w:pPr>
        <w:pStyle w:val="179"/>
      </w:pPr>
      <w:r>
        <w:rPr>
          <w:rFonts w:hint="eastAsia"/>
        </w:rPr>
        <w:t>焊接端：管道焊接应符合GB/T 50177、GB/T 20801、GB 50236、TSG D0001等的要求；</w:t>
      </w:r>
    </w:p>
    <w:p>
      <w:pPr>
        <w:pStyle w:val="179"/>
      </w:pPr>
      <w:r>
        <w:rPr>
          <w:rFonts w:hint="eastAsia"/>
        </w:rPr>
        <w:t>卡套端：双卡套接头应符合GB/T 3765的要求。</w:t>
      </w:r>
    </w:p>
    <w:p>
      <w:pPr>
        <w:pStyle w:val="169"/>
      </w:pPr>
      <w:r>
        <w:rPr>
          <w:rFonts w:hint="eastAsia"/>
        </w:rPr>
        <w:t>氢气管道的连接应符合下列规定：</w:t>
      </w:r>
    </w:p>
    <w:p>
      <w:pPr>
        <w:pStyle w:val="179"/>
        <w:numPr>
          <w:ilvl w:val="0"/>
          <w:numId w:val="54"/>
        </w:numPr>
      </w:pPr>
      <w:r>
        <w:rPr>
          <w:rFonts w:hint="eastAsia"/>
        </w:rPr>
        <w:t>外径小于或等于25.4mm，且设计压力大于或等于20MPa的高压氢气管道应采用经氢相容性评定合格的CT螺纹连接，且应考虑管路扰度，需做有效固定；</w:t>
      </w:r>
    </w:p>
    <w:p>
      <w:pPr>
        <w:pStyle w:val="179"/>
      </w:pPr>
      <w:r>
        <w:rPr>
          <w:rFonts w:hint="eastAsia"/>
        </w:rPr>
        <w:t>外径小于或等于25.4mm，且设计压力小于20MPa的高压氢气管道宜采用经氢相容性评定合格的焊接接头或卡套接头。卡套连接管及接头应符合GB50156附录D的相关规定；</w:t>
      </w:r>
    </w:p>
    <w:p>
      <w:pPr>
        <w:pStyle w:val="179"/>
      </w:pPr>
      <w:r>
        <w:rPr>
          <w:rFonts w:hint="eastAsia"/>
        </w:rPr>
        <w:t>外径大于或等于25.4mm，且设计压力小于20MPa的氢气管道的连接应采用焊接连接，焊材应与氢气具有良好的相容性；</w:t>
      </w:r>
    </w:p>
    <w:p>
      <w:pPr>
        <w:pStyle w:val="179"/>
      </w:pPr>
      <w:r>
        <w:rPr>
          <w:rFonts w:hint="eastAsia"/>
        </w:rPr>
        <w:t>管道与储氢容器、设备及阀门等可采用法兰连接。</w:t>
      </w:r>
    </w:p>
    <w:p>
      <w:pPr>
        <w:pStyle w:val="169"/>
      </w:pPr>
      <w:r>
        <w:rPr>
          <w:rFonts w:hint="eastAsia"/>
        </w:rPr>
        <w:t>采用焊接连接时，应符合下列规定：</w:t>
      </w:r>
    </w:p>
    <w:p>
      <w:pPr>
        <w:pStyle w:val="179"/>
        <w:numPr>
          <w:ilvl w:val="0"/>
          <w:numId w:val="55"/>
        </w:numPr>
      </w:pPr>
      <w:r>
        <w:rPr>
          <w:rFonts w:hint="eastAsia"/>
        </w:rPr>
        <w:t>a</w:t>
      </w:r>
      <w:r>
        <w:t>)</w:t>
      </w:r>
      <w:r>
        <w:rPr>
          <w:rFonts w:hint="eastAsia"/>
        </w:rPr>
        <w:t>公称尺寸小于DN50 的宜采用对焊连接，公称尺寸大于等于DN50 的应采用对焊连接；</w:t>
      </w:r>
    </w:p>
    <w:p>
      <w:pPr>
        <w:pStyle w:val="179"/>
      </w:pPr>
      <w:r>
        <w:t>b)</w:t>
      </w:r>
      <w:r>
        <w:rPr>
          <w:rFonts w:hint="eastAsia"/>
        </w:rPr>
        <w:t>材料应与氢气具有良好的相容性和可焊性，焊接应采用经氢相容性评定合格的焊接工艺；</w:t>
      </w:r>
    </w:p>
    <w:p>
      <w:pPr>
        <w:pStyle w:val="179"/>
      </w:pPr>
      <w:r>
        <w:t>c)</w:t>
      </w:r>
      <w:r>
        <w:rPr>
          <w:rFonts w:hint="eastAsia"/>
        </w:rPr>
        <w:t>碳钢管的焊接宜采用氩弧焊作底焊，不锈钢管的焊接应采用氩弧焊。</w:t>
      </w:r>
    </w:p>
    <w:p>
      <w:pPr>
        <w:pStyle w:val="169"/>
      </w:pPr>
      <w:r>
        <w:rPr>
          <w:rFonts w:hint="eastAsia"/>
        </w:rPr>
        <w:t>用螺纹连接时，应符合下列规定：</w:t>
      </w:r>
    </w:p>
    <w:p>
      <w:pPr>
        <w:pStyle w:val="169"/>
        <w:numPr>
          <w:ilvl w:val="0"/>
          <w:numId w:val="0"/>
        </w:numPr>
      </w:pPr>
      <w:r>
        <w:t>a)</w:t>
      </w:r>
      <w:r>
        <w:rPr>
          <w:rFonts w:hint="eastAsia"/>
        </w:rPr>
        <w:t>应采用CT螺纹或锥管螺纹的配合型式，螺纹连接处可使用密封剂或密封带；</w:t>
      </w:r>
    </w:p>
    <w:p>
      <w:pPr>
        <w:pStyle w:val="169"/>
        <w:numPr>
          <w:ilvl w:val="0"/>
          <w:numId w:val="0"/>
        </w:numPr>
      </w:pPr>
      <w:r>
        <w:t>b)</w:t>
      </w:r>
      <w:r>
        <w:rPr>
          <w:rFonts w:hint="eastAsia"/>
        </w:rPr>
        <w:t>外螺纹组成件的壁厚不应小于Sch160，公称尺寸小于DN15时，螺纹部分的最小壁厚应满足其受到的应力小于管道材料屈服应力50%的要求；</w:t>
      </w:r>
    </w:p>
    <w:p>
      <w:pPr>
        <w:pStyle w:val="169"/>
        <w:numPr>
          <w:ilvl w:val="0"/>
          <w:numId w:val="0"/>
        </w:numPr>
      </w:pPr>
      <w:r>
        <w:rPr>
          <w:rFonts w:hint="eastAsia"/>
        </w:rPr>
        <w:t>c)振动、压力脉动及温度变化等可能产生交变荷载的部位不宜采用螺纹连接；</w:t>
      </w:r>
    </w:p>
    <w:p>
      <w:pPr>
        <w:pStyle w:val="170"/>
      </w:pPr>
      <w:r>
        <w:rPr>
          <w:rFonts w:hint="eastAsia"/>
        </w:rPr>
        <w:t>放空管应引至集中排放装置，并应高出屋面或操作平台 2m 以上，且应高出所在地面 5m 以上；放空管应设置阻火器；应采取防止雨水侵入和杂物堵塞的措施。</w:t>
      </w:r>
    </w:p>
    <w:p>
      <w:pPr>
        <w:pStyle w:val="110"/>
        <w:spacing w:before="120" w:after="120"/>
      </w:pPr>
      <w:bookmarkStart w:id="171" w:name="_Toc209114069"/>
      <w:r>
        <w:rPr>
          <w:rFonts w:hint="eastAsia"/>
        </w:rPr>
        <w:t>阀门</w:t>
      </w:r>
      <w:bookmarkEnd w:id="171"/>
    </w:p>
    <w:p>
      <w:pPr>
        <w:pStyle w:val="170"/>
      </w:pPr>
      <w:r>
        <w:rPr>
          <w:rFonts w:hint="eastAsia"/>
        </w:rPr>
        <w:t>掺混撬出口压力的设定值应满足用户的要求，设定误差应不大于设定值的±5%。两路及两路以上调压、带监控调压器等的掺混装置，各调压器的出口压力应合理设置，氢气出口压力的设定值应比天然气出口压力设定值高0.1MPa以上。</w:t>
      </w:r>
    </w:p>
    <w:p>
      <w:pPr>
        <w:pStyle w:val="170"/>
      </w:pPr>
      <w:r>
        <w:rPr>
          <w:rFonts w:hint="eastAsia"/>
        </w:rPr>
        <w:t>调节阀出口管路应考虑增加壁厚、管径，以减小振动和噪音；出口管路长度应大于 6D，压力检测点距调压阀出口法兰的距离不小于 5D。</w:t>
      </w:r>
    </w:p>
    <w:p>
      <w:pPr>
        <w:pStyle w:val="170"/>
      </w:pPr>
      <w:r>
        <w:rPr>
          <w:rFonts w:hint="eastAsia"/>
        </w:rPr>
        <w:t>氢气调节阀宜采用根据天然气和氢气流量值进行对比一级粗调节，根据天然气和氢气气体含量分析仪反馈数据进行二级精调节。</w:t>
      </w:r>
    </w:p>
    <w:p>
      <w:pPr>
        <w:pStyle w:val="170"/>
      </w:pPr>
      <w:r>
        <w:rPr>
          <w:rFonts w:hint="eastAsia"/>
        </w:rPr>
        <w:t>氢气管道应设置适用于高压氢气介质的安全阀，安全阀应采用全启封闭式安全阀，安全阀的开启压力应根据管道系统的最高工作压力确定，且不应大于管道系统设计压力。</w:t>
      </w:r>
    </w:p>
    <w:p>
      <w:pPr>
        <w:pStyle w:val="170"/>
      </w:pPr>
      <w:r>
        <w:rPr>
          <w:rFonts w:hint="eastAsia"/>
        </w:rPr>
        <w:t>掺氢撬的安全阀启动压力当用户无特殊要求时应符合下列要求：</w:t>
      </w:r>
    </w:p>
    <w:p>
      <w:pPr>
        <w:pStyle w:val="179"/>
        <w:numPr>
          <w:ilvl w:val="0"/>
          <w:numId w:val="56"/>
        </w:numPr>
      </w:pPr>
      <w:r>
        <w:rPr>
          <w:rFonts w:hint="eastAsia"/>
        </w:rPr>
        <w:t>当调压阀出口为低压时，启动压力应使与其相连管道处于允许的工作压力范围内；</w:t>
      </w:r>
    </w:p>
    <w:p>
      <w:pPr>
        <w:pStyle w:val="179"/>
      </w:pPr>
      <w:r>
        <w:rPr>
          <w:rFonts w:hint="eastAsia"/>
        </w:rPr>
        <w:t>当调压阀出口压力大于0.4MPa，但不大于4.0MPa 时，启动压力不应超过出口工作压力上限的 10%；</w:t>
      </w:r>
    </w:p>
    <w:p>
      <w:pPr>
        <w:pStyle w:val="179"/>
      </w:pPr>
      <w:r>
        <w:rPr>
          <w:rFonts w:hint="eastAsia"/>
        </w:rPr>
        <w:t>当调压阀出口压力大于4.0MPa 时，启动压力不应超过出口工作压力上限的5%；</w:t>
      </w:r>
    </w:p>
    <w:p>
      <w:pPr>
        <w:pStyle w:val="170"/>
      </w:pPr>
      <w:r>
        <w:rPr>
          <w:rFonts w:hint="eastAsia"/>
        </w:rPr>
        <w:t>掺混装置安全装置启动压力设定误差应不大于设定值的±5%。</w:t>
      </w:r>
    </w:p>
    <w:p>
      <w:pPr>
        <w:pStyle w:val="170"/>
      </w:pPr>
      <w:r>
        <w:rPr>
          <w:rFonts w:hint="eastAsia"/>
        </w:rPr>
        <w:t>全启式放散装置的放散管应接至集中放散。</w:t>
      </w:r>
    </w:p>
    <w:p>
      <w:pPr>
        <w:pStyle w:val="170"/>
      </w:pPr>
      <w:r>
        <w:rPr>
          <w:rFonts w:hint="eastAsia"/>
        </w:rPr>
        <w:t>掺氢撬调压阀前的安全阀整定压力应小于等于管道的设计压力，整定压力偏差不超过以下数值的较大者：</w:t>
      </w:r>
    </w:p>
    <w:p>
      <w:pPr>
        <w:pStyle w:val="137"/>
      </w:pPr>
      <w:r>
        <w:rPr>
          <w:rFonts w:hint="eastAsia"/>
        </w:rPr>
        <w:t>整定压力的±3 % ；</w:t>
      </w:r>
    </w:p>
    <w:p>
      <w:pPr>
        <w:pStyle w:val="137"/>
      </w:pPr>
      <w:r>
        <w:rPr>
          <w:rFonts w:hint="eastAsia"/>
        </w:rPr>
        <w:t>±0.015 MPa 。</w:t>
      </w:r>
    </w:p>
    <w:p>
      <w:pPr>
        <w:pStyle w:val="170"/>
      </w:pPr>
      <w:r>
        <w:rPr>
          <w:rFonts w:hint="eastAsia"/>
        </w:rPr>
        <w:t>掺混撬混合器前的天然气应设置止回阀，氢气管道入口宜设止回阀。</w:t>
      </w:r>
    </w:p>
    <w:p>
      <w:pPr>
        <w:pStyle w:val="110"/>
        <w:spacing w:before="120" w:after="120"/>
      </w:pPr>
      <w:bookmarkStart w:id="172" w:name="_Toc209114070"/>
      <w:r>
        <w:rPr>
          <w:rFonts w:hint="eastAsia"/>
        </w:rPr>
        <w:t>流量计</w:t>
      </w:r>
      <w:bookmarkEnd w:id="172"/>
    </w:p>
    <w:p>
      <w:pPr>
        <w:pStyle w:val="61"/>
        <w:ind w:firstLine="420"/>
      </w:pPr>
      <w:r>
        <w:rPr>
          <w:rFonts w:hint="eastAsia"/>
        </w:rPr>
        <w:t>流量计应确保在设计全量程范围内计量精度不大于±1.5％。</w:t>
      </w:r>
    </w:p>
    <w:p>
      <w:pPr>
        <w:pStyle w:val="110"/>
        <w:spacing w:before="120" w:after="120"/>
      </w:pPr>
      <w:bookmarkStart w:id="173" w:name="_Toc209114071"/>
      <w:r>
        <w:rPr>
          <w:rFonts w:hint="eastAsia"/>
        </w:rPr>
        <w:t>气体组分分析仪/浓度分析仪</w:t>
      </w:r>
      <w:bookmarkEnd w:id="173"/>
    </w:p>
    <w:p>
      <w:pPr>
        <w:pStyle w:val="170"/>
      </w:pPr>
      <w:r>
        <w:rPr>
          <w:rFonts w:hint="eastAsia"/>
        </w:rPr>
        <w:t>每台气相色谱仪分析的流路数不宜超过3个，每个流路组分数量不宜超过6个。</w:t>
      </w:r>
    </w:p>
    <w:p>
      <w:pPr>
        <w:pStyle w:val="170"/>
      </w:pPr>
      <w:r>
        <w:rPr>
          <w:rFonts w:hint="eastAsia"/>
        </w:rPr>
        <w:t>氢气组分/浓度分析仪输出信号应符合下列要求：</w:t>
      </w:r>
    </w:p>
    <w:p>
      <w:pPr>
        <w:pStyle w:val="179"/>
        <w:numPr>
          <w:ilvl w:val="0"/>
          <w:numId w:val="57"/>
        </w:numPr>
      </w:pPr>
      <w:r>
        <w:rPr>
          <w:rFonts w:hint="eastAsia"/>
        </w:rPr>
        <w:t>用于安全联锁的分析仪输出信号应为4mA～20mA DC 或干接点；</w:t>
      </w:r>
    </w:p>
    <w:p>
      <w:pPr>
        <w:pStyle w:val="179"/>
      </w:pPr>
      <w:r>
        <w:rPr>
          <w:rFonts w:hint="eastAsia"/>
        </w:rPr>
        <w:t>用于过程控制的分析仪输出信号应为4mA～20mA DC；</w:t>
      </w:r>
    </w:p>
    <w:p>
      <w:pPr>
        <w:pStyle w:val="179"/>
      </w:pPr>
      <w:r>
        <w:rPr>
          <w:rFonts w:hint="eastAsia"/>
        </w:rPr>
        <w:t>用于过程监测的分析仪输出作信号宜为4mA～20mA DC或MODBUS RTU、以太网 TCP/IP 等通信接口；</w:t>
      </w:r>
    </w:p>
    <w:p>
      <w:pPr>
        <w:pStyle w:val="179"/>
      </w:pPr>
      <w:r>
        <w:rPr>
          <w:rFonts w:hint="eastAsia"/>
        </w:rPr>
        <w:t>气相色谱仪宜带 4mA～20mA DC 和干接点输出，以及 MODBUS RTU、以太网TCP/IP 等通信接口。</w:t>
      </w:r>
    </w:p>
    <w:p>
      <w:pPr>
        <w:pStyle w:val="110"/>
        <w:spacing w:before="120" w:after="120"/>
      </w:pPr>
      <w:bookmarkStart w:id="174" w:name="_Toc209114072"/>
      <w:r>
        <w:rPr>
          <w:rFonts w:hint="eastAsia"/>
        </w:rPr>
        <w:t>电气、仪表</w:t>
      </w:r>
      <w:bookmarkEnd w:id="174"/>
    </w:p>
    <w:p>
      <w:pPr>
        <w:pStyle w:val="170"/>
      </w:pPr>
      <w:r>
        <w:rPr>
          <w:rFonts w:hint="eastAsia"/>
        </w:rPr>
        <w:t>电气仪表应满足工艺系统的动作和控制的要求。</w:t>
      </w:r>
    </w:p>
    <w:p>
      <w:pPr>
        <w:pStyle w:val="170"/>
      </w:pPr>
      <w:r>
        <w:rPr>
          <w:rFonts w:hint="eastAsia"/>
        </w:rPr>
        <w:t>自控系统所采集的远传信号应设定范围，并应实现超限报警和超限保护。</w:t>
      </w:r>
    </w:p>
    <w:p>
      <w:pPr>
        <w:pStyle w:val="170"/>
      </w:pPr>
      <w:r>
        <w:rPr>
          <w:rFonts w:hint="eastAsia"/>
        </w:rPr>
        <w:t>掺氢撬应设静电接地装置，接地电阻不应大于100 Ω。</w:t>
      </w:r>
    </w:p>
    <w:p>
      <w:pPr>
        <w:pStyle w:val="170"/>
      </w:pPr>
      <w:r>
        <w:rPr>
          <w:rFonts w:hint="eastAsia"/>
        </w:rPr>
        <w:t>表应满足安装环境要求，暴露在潮湿、含盐空气中的仪表外壳，防护等级不应低于GB/T 4208中IP 67。</w:t>
      </w:r>
    </w:p>
    <w:p>
      <w:pPr>
        <w:pStyle w:val="170"/>
      </w:pPr>
      <w:r>
        <w:rPr>
          <w:rFonts w:hint="eastAsia"/>
        </w:rPr>
        <w:t>仪表柜、仪表箱、仪表外壳、电缆桥架等应作保护接地，其接地电阻不应大于4 Ω。</w:t>
      </w:r>
    </w:p>
    <w:p>
      <w:pPr>
        <w:pStyle w:val="170"/>
      </w:pPr>
      <w:r>
        <w:rPr>
          <w:rFonts w:hint="eastAsia"/>
        </w:rPr>
        <w:t>掺氢撬内的电气防爆等级不应低于GB 50058标准“1区”的要求，箱体外的电气防爆等级应不低于“2区”的要求。</w:t>
      </w:r>
    </w:p>
    <w:p>
      <w:pPr>
        <w:pStyle w:val="170"/>
      </w:pPr>
      <w:r>
        <w:rPr>
          <w:rFonts w:hint="eastAsia"/>
        </w:rPr>
        <w:t>压力表和温度表大小应与安装处的管道、设备协调并便于观察。</w:t>
      </w:r>
    </w:p>
    <w:p>
      <w:pPr>
        <w:pStyle w:val="170"/>
      </w:pPr>
      <w:r>
        <w:rPr>
          <w:rFonts w:hint="eastAsia"/>
        </w:rPr>
        <w:t>掺氢撬应设接地端子，接地应符合GB 50169的规定。</w:t>
      </w:r>
    </w:p>
    <w:p>
      <w:pPr>
        <w:pStyle w:val="170"/>
      </w:pPr>
      <w:r>
        <w:rPr>
          <w:rFonts w:hint="eastAsia"/>
        </w:rPr>
        <w:t>掺氢撬的法兰、阀门连接处，应设金属跨接线，其截面积不应小于6mm</w:t>
      </w:r>
      <w:r>
        <w:rPr>
          <w:rFonts w:hint="eastAsia"/>
          <w:vertAlign w:val="superscript"/>
        </w:rPr>
        <w:t>2</w:t>
      </w:r>
      <w:r>
        <w:rPr>
          <w:rFonts w:hint="eastAsia"/>
        </w:rPr>
        <w:t xml:space="preserve">，跨接的电阻值不应超过0.03Ω。  </w:t>
      </w:r>
    </w:p>
    <w:p>
      <w:pPr>
        <w:pStyle w:val="170"/>
      </w:pPr>
      <w:r>
        <w:rPr>
          <w:rFonts w:hint="eastAsia"/>
        </w:rPr>
        <w:t>掺氢撬应配备带远传的电子压力或温度或流量等参数记录的仪表，并应配备远程压力、流量调节功能。</w:t>
      </w:r>
    </w:p>
    <w:p>
      <w:pPr>
        <w:pStyle w:val="170"/>
      </w:pPr>
      <w:r>
        <w:rPr>
          <w:rFonts w:hint="eastAsia"/>
        </w:rPr>
        <w:t>掺混撬电气仪表应采用防爆设计，防爆性能应符合GB/T 3836.1、GB/T 3836.2、GB/T 3836.3、GB/T 3836.4、GB/T 3836.5、GB/T 3836.9、GB/T 3836.14、GB/T 3836.15和GB 50058中的防爆等级要求，并应取得防爆合格证。</w:t>
      </w:r>
    </w:p>
    <w:p>
      <w:pPr>
        <w:pStyle w:val="110"/>
        <w:spacing w:before="120" w:after="120"/>
      </w:pPr>
      <w:bookmarkStart w:id="175" w:name="_Toc209114073"/>
      <w:r>
        <w:rPr>
          <w:rFonts w:hint="eastAsia"/>
        </w:rPr>
        <w:t>电气装置</w:t>
      </w:r>
      <w:bookmarkEnd w:id="175"/>
    </w:p>
    <w:p>
      <w:pPr>
        <w:pStyle w:val="170"/>
      </w:pPr>
      <w:r>
        <w:rPr>
          <w:rFonts w:hint="eastAsia"/>
        </w:rPr>
        <w:t>掺氢撬宜设置照明设施。掺混装置的供电电源应使用电压为380/220V的外接电源。</w:t>
      </w:r>
    </w:p>
    <w:p>
      <w:pPr>
        <w:pStyle w:val="170"/>
      </w:pPr>
      <w:r>
        <w:rPr>
          <w:rFonts w:hint="eastAsia"/>
        </w:rPr>
        <w:t>掺氢撬置的爆炸危险区域的等级范围划分应符合GB 50516、GB 50058的要求。</w:t>
      </w:r>
    </w:p>
    <w:p>
      <w:pPr>
        <w:pStyle w:val="170"/>
      </w:pPr>
      <w:r>
        <w:rPr>
          <w:rFonts w:hint="eastAsia"/>
        </w:rPr>
        <w:t>爆炸危险区域内的电气设备选型、安装、电力线路敷设等，应符合现行国家标准GB 50058有关易燃物质相对密度小于空气的有关条款的规定。</w:t>
      </w:r>
    </w:p>
    <w:p>
      <w:pPr>
        <w:pStyle w:val="170"/>
      </w:pPr>
      <w:r>
        <w:rPr>
          <w:rFonts w:hint="eastAsia"/>
        </w:rPr>
        <w:t>底座上设备的防雷接地、防静电接地、电气设备的工作接地、保护接地及自控系统的接地等，宜共用接地装置，静电接地设计应符合GB 50169的规定。</w:t>
      </w:r>
    </w:p>
    <w:p>
      <w:pPr>
        <w:pStyle w:val="170"/>
      </w:pPr>
      <w:r>
        <w:rPr>
          <w:rFonts w:hint="eastAsia"/>
        </w:rPr>
        <w:t>掺混撬对地泄漏电流应符合GB 4943.1-2022中表4的规定,不应超过3.5 mA。</w:t>
      </w:r>
    </w:p>
    <w:p>
      <w:pPr>
        <w:pStyle w:val="170"/>
      </w:pPr>
      <w:r>
        <w:rPr>
          <w:rFonts w:hint="eastAsia"/>
        </w:rPr>
        <w:t>漏电保护应符合GB/T 13955 的规定，当漏电电流大于30 mA时，保护开关应能瞬间断开。</w:t>
      </w:r>
    </w:p>
    <w:p>
      <w:pPr>
        <w:pStyle w:val="170"/>
      </w:pPr>
      <w:r>
        <w:rPr>
          <w:rFonts w:hint="eastAsia"/>
        </w:rPr>
        <w:t>掺混撬应有足够的抗电强度，在一次电路与机身之间或一次电路与二次电路之间施加有效值为1.5 kV、频率为50 Hz的交流试验电压，保持60 s，试验期间绝缘不应被击穿。</w:t>
      </w:r>
    </w:p>
    <w:p>
      <w:pPr>
        <w:pStyle w:val="170"/>
      </w:pPr>
      <w:r>
        <w:rPr>
          <w:rFonts w:hint="eastAsia"/>
        </w:rPr>
        <w:t xml:space="preserve">掺混撬的接地端子或接地接触件与需要接地的零部件之间的连接电阻应符合GB 4943.1 </w:t>
      </w:r>
      <w:r>
        <w:t>-</w:t>
      </w:r>
      <w:r>
        <w:rPr>
          <w:rFonts w:hint="eastAsia"/>
        </w:rPr>
        <w:t>2022中5.6.6的规定,不应超过0.1 Ω。</w:t>
      </w:r>
    </w:p>
    <w:p>
      <w:pPr>
        <w:pStyle w:val="170"/>
      </w:pPr>
      <w:r>
        <w:rPr>
          <w:rFonts w:hint="eastAsia"/>
        </w:rPr>
        <w:t>掺混撬静电接地应符合下列要求；</w:t>
      </w:r>
    </w:p>
    <w:p>
      <w:pPr>
        <w:pStyle w:val="179"/>
        <w:numPr>
          <w:ilvl w:val="0"/>
          <w:numId w:val="58"/>
        </w:numPr>
      </w:pPr>
      <w:r>
        <w:rPr>
          <w:rFonts w:hint="eastAsia"/>
        </w:rPr>
        <w:t>有静电要求的管道，各段间应导电良好，法兰或螺纹接头间电阻值大于0.03Ω时，应设导线跨接；</w:t>
      </w:r>
    </w:p>
    <w:p>
      <w:pPr>
        <w:pStyle w:val="179"/>
      </w:pPr>
      <w:r>
        <w:rPr>
          <w:rFonts w:hint="eastAsia"/>
        </w:rPr>
        <w:t>有静电要求的不锈钢和有色金属管道，其跨接线或接地引线不应与管道直接连接，应采用同材质连接板过渡；</w:t>
      </w:r>
    </w:p>
    <w:p>
      <w:pPr>
        <w:pStyle w:val="179"/>
      </w:pPr>
      <w:r>
        <w:rPr>
          <w:rFonts w:hint="eastAsia"/>
        </w:rPr>
        <w:t>防静电接地、电气设备工作接地、保护接地等宜共用接地装置，其接地电阻不应大于4 Ω。各自单独设置接地装置时，接地电阻不应大于10 Ω，保护接地不应大于4 Ω，工艺管线接地装置的接地电阻不应大于30 Ω，防静电接地装置的接地电阻不应大于100 Ω。</w:t>
      </w:r>
    </w:p>
    <w:p>
      <w:pPr>
        <w:pStyle w:val="170"/>
      </w:pPr>
      <w:r>
        <w:rPr>
          <w:rFonts w:hint="eastAsia"/>
        </w:rPr>
        <w:t>在常温下，电气设备的电气回路之间，电气回路与金属壳体之间的绝缘电阻不应小于20 MΩ。</w:t>
      </w:r>
    </w:p>
    <w:p>
      <w:pPr>
        <w:pStyle w:val="170"/>
      </w:pPr>
      <w:r>
        <w:rPr>
          <w:rFonts w:hint="eastAsia"/>
        </w:rPr>
        <w:t>掺混撬电气保护及连锁装置应能正常运行，性能可靠。</w:t>
      </w:r>
    </w:p>
    <w:p>
      <w:pPr>
        <w:pStyle w:val="170"/>
      </w:pPr>
      <w:r>
        <w:rPr>
          <w:rFonts w:hint="eastAsia"/>
        </w:rPr>
        <w:t>掺混撬电气装置应采用防爆设计，防爆性能应符合GB/T 3836.1、GB/T 3836.2、GB/T 3836.3、GB/T 3836.4、GB/T 3836.5、GB/T 3836.9、GB/T 3836.14、GB/T 3836.15和GB 50058中的防爆等级要求，并应取得防爆合格证。</w:t>
      </w:r>
    </w:p>
    <w:p>
      <w:pPr>
        <w:pStyle w:val="110"/>
        <w:spacing w:before="120" w:after="120"/>
      </w:pPr>
      <w:bookmarkStart w:id="176" w:name="_Toc209114074"/>
      <w:r>
        <w:rPr>
          <w:rFonts w:hint="eastAsia"/>
        </w:rPr>
        <w:t>监测和控制系统</w:t>
      </w:r>
      <w:bookmarkEnd w:id="176"/>
    </w:p>
    <w:p>
      <w:pPr>
        <w:pStyle w:val="170"/>
      </w:pPr>
      <w:r>
        <w:rPr>
          <w:rFonts w:hint="eastAsia"/>
        </w:rPr>
        <w:t>掺氢撬内氢气进出口管线、调压、混合、掺氢天然气出口管线等处，均应设有压力检测仪表和温度监测仪表，并应根据安全运行的要求设置超限报警装置。</w:t>
      </w:r>
    </w:p>
    <w:p>
      <w:pPr>
        <w:pStyle w:val="170"/>
      </w:pPr>
      <w:r>
        <w:rPr>
          <w:rFonts w:hint="eastAsia"/>
        </w:rPr>
        <w:t>掺氢撬监测和控制系统应符合下列要求：</w:t>
      </w:r>
    </w:p>
    <w:p>
      <w:pPr>
        <w:pStyle w:val="179"/>
        <w:numPr>
          <w:ilvl w:val="0"/>
          <w:numId w:val="59"/>
        </w:numPr>
      </w:pPr>
      <w:r>
        <w:rPr>
          <w:rFonts w:hint="eastAsia"/>
        </w:rPr>
        <w:t>应具有监测功能、动态调节功能、报警功能和联锁控制切断功能；</w:t>
      </w:r>
    </w:p>
    <w:p>
      <w:pPr>
        <w:pStyle w:val="179"/>
      </w:pPr>
      <w:r>
        <w:rPr>
          <w:rFonts w:hint="eastAsia"/>
        </w:rPr>
        <w:t>应实时监测系统设备中的压力、温度、流量、氢气含量等参数，并根据工艺设定报警值和连锁值，确保混气系统安全。系统切断后应手动复位；</w:t>
      </w:r>
    </w:p>
    <w:p>
      <w:pPr>
        <w:pStyle w:val="179"/>
      </w:pPr>
      <w:r>
        <w:rPr>
          <w:rFonts w:hint="eastAsia"/>
        </w:rPr>
        <w:t>掺氢撬的出口总管道应设置组分分析仪或氢气浓度分析仪，并应能根据流量、精度、混合均匀度等工艺要求，与掺混装置连锁自动调节混气比；</w:t>
      </w:r>
    </w:p>
    <w:p>
      <w:pPr>
        <w:pStyle w:val="179"/>
      </w:pPr>
      <w:r>
        <w:rPr>
          <w:rFonts w:hint="eastAsia"/>
        </w:rPr>
        <w:t>掺氢撬应设置切断气源的安全联锁装置，当氢气或天然气气源压力、温度剧烈波动，或当掺混气体中氢气体积分数超过设定掺氢比例5%或设定报警极限值，或当氢气或天然气泄漏检测装置数值达到高位报警设定值时，应能自动报警停机。</w:t>
      </w:r>
    </w:p>
    <w:p>
      <w:pPr>
        <w:pStyle w:val="170"/>
      </w:pPr>
      <w:r>
        <w:rPr>
          <w:rFonts w:hint="eastAsia"/>
        </w:rPr>
        <w:t>监测和控制系统应设置不间断电源,供电时间不宜小于1h。</w:t>
      </w:r>
    </w:p>
    <w:p>
      <w:pPr>
        <w:pStyle w:val="110"/>
        <w:spacing w:before="120" w:after="120"/>
      </w:pPr>
      <w:bookmarkStart w:id="177" w:name="_Toc209114075"/>
      <w:r>
        <w:rPr>
          <w:rFonts w:hint="eastAsia"/>
        </w:rPr>
        <w:t>可燃气体报警系统</w:t>
      </w:r>
      <w:bookmarkEnd w:id="177"/>
      <w:r>
        <w:rPr>
          <w:rFonts w:hint="eastAsia"/>
        </w:rPr>
        <w:t xml:space="preserve"> </w:t>
      </w:r>
    </w:p>
    <w:p>
      <w:pPr>
        <w:pStyle w:val="170"/>
      </w:pPr>
      <w:r>
        <w:rPr>
          <w:rFonts w:hint="eastAsia"/>
        </w:rPr>
        <w:t>可燃气体浓度检测报警装置</w:t>
      </w:r>
    </w:p>
    <w:p>
      <w:pPr>
        <w:pStyle w:val="169"/>
      </w:pPr>
      <w:r>
        <w:rPr>
          <w:rFonts w:hint="eastAsia"/>
        </w:rPr>
        <w:t>掺氢撬应设置固定式氢气和甲烷可燃气体浓度检测报警装置。可燃气体报警器的设置、选用和安装应符合GB/T 50493的要求，氢气浓度报警探测器应安装在监测空间最高处，。</w:t>
      </w:r>
    </w:p>
    <w:p>
      <w:pPr>
        <w:pStyle w:val="169"/>
      </w:pPr>
      <w:r>
        <w:rPr>
          <w:rFonts w:hint="eastAsia"/>
        </w:rPr>
        <w:t>可燃气体浓度检测报警装置应设置多级报警设定值，并应符合下列要求：</w:t>
      </w:r>
    </w:p>
    <w:p>
      <w:pPr>
        <w:pStyle w:val="169"/>
      </w:pPr>
      <w:r>
        <w:rPr>
          <w:rFonts w:hint="eastAsia"/>
        </w:rPr>
        <w:t>当空气中氢气含量达到0.4%（体积分数）时应报警，当空气中氢气含量达到1%（体积分数）时应报警并关闭紧急切断阀；</w:t>
      </w:r>
    </w:p>
    <w:p>
      <w:pPr>
        <w:pStyle w:val="179"/>
        <w:numPr>
          <w:ilvl w:val="0"/>
          <w:numId w:val="60"/>
        </w:numPr>
      </w:pPr>
      <w:r>
        <w:rPr>
          <w:rFonts w:hint="eastAsia"/>
        </w:rPr>
        <w:t>当空气中甲烷含量达到可燃气体检测器低位时应报警（低位报警设定值为≤20%LEL）；当空气中甲烷含量达到可燃气体检测器高位时应报警并关闭紧急切断阀（高位报警设定值为≤40%LEL）；</w:t>
      </w:r>
    </w:p>
    <w:p>
      <w:pPr>
        <w:pStyle w:val="179"/>
      </w:pPr>
      <w:r>
        <w:rPr>
          <w:rFonts w:hint="eastAsia"/>
        </w:rPr>
        <w:t>掺氢撬内设置火焰报警探测器时，氢气火焰报警探测器信号应与可燃气体报警控制系统联锁。</w:t>
      </w:r>
    </w:p>
    <w:p>
      <w:pPr>
        <w:pStyle w:val="169"/>
      </w:pPr>
      <w:r>
        <w:rPr>
          <w:rFonts w:hint="eastAsia"/>
        </w:rPr>
        <w:t>8.12.1.4可燃气体浓度检测报警系统应配有不间断电源装置，不间断工作时间不应小于1h。</w:t>
      </w:r>
    </w:p>
    <w:p>
      <w:pPr>
        <w:pStyle w:val="170"/>
      </w:pPr>
      <w:r>
        <w:rPr>
          <w:rFonts w:hint="eastAsia"/>
        </w:rPr>
        <w:t>氢气火焰报警探测器</w:t>
      </w:r>
    </w:p>
    <w:p>
      <w:pPr>
        <w:pStyle w:val="169"/>
      </w:pPr>
      <w:r>
        <w:rPr>
          <w:rFonts w:hint="eastAsia"/>
        </w:rPr>
        <w:t>氢气火焰探测器应根据响应时间、检测距离、覆盖范围、灵敏度等因素选用,并应符合GB 50058 的规定。</w:t>
      </w:r>
    </w:p>
    <w:p>
      <w:pPr>
        <w:pStyle w:val="169"/>
      </w:pPr>
      <w:r>
        <w:rPr>
          <w:rFonts w:hint="eastAsia"/>
        </w:rPr>
        <w:t>氢气火焰探测器宜安装在易发生氢气泄漏和氢气积聚的位置，设置应符合GB 50116的有关规定。探测器信号应与自控报警系统联锁控制。</w:t>
      </w:r>
    </w:p>
    <w:p>
      <w:pPr>
        <w:pStyle w:val="110"/>
        <w:spacing w:before="120" w:after="120"/>
      </w:pPr>
      <w:bookmarkStart w:id="178" w:name="_Toc209114076"/>
      <w:r>
        <w:rPr>
          <w:rFonts w:hint="eastAsia"/>
        </w:rPr>
        <w:t>紧急关断单元（ESD）</w:t>
      </w:r>
      <w:bookmarkEnd w:id="178"/>
    </w:p>
    <w:p>
      <w:pPr>
        <w:pStyle w:val="170"/>
      </w:pPr>
      <w:r>
        <w:rPr>
          <w:rFonts w:hint="eastAsia"/>
        </w:rPr>
        <w:t>掺混装置应设紧急关断单元，应能在事故状态下实现紧急停车和关闭紧急关断或切断关键设备的电源和阀门的保护功能。</w:t>
      </w:r>
    </w:p>
    <w:p>
      <w:pPr>
        <w:pStyle w:val="170"/>
      </w:pPr>
      <w:r>
        <w:rPr>
          <w:rFonts w:hint="eastAsia"/>
        </w:rPr>
        <w:t>关键设备的电源和管道上的紧急关断阀，应能由手动启动的远程控制关断单元操作关闭。</w:t>
      </w:r>
    </w:p>
    <w:p>
      <w:pPr>
        <w:pStyle w:val="170"/>
      </w:pPr>
      <w:r>
        <w:rPr>
          <w:rFonts w:hint="eastAsia"/>
        </w:rPr>
        <w:t>掺混装置应设置紧急停车装置，并应设置紧急关断开关。</w:t>
      </w:r>
    </w:p>
    <w:p>
      <w:pPr>
        <w:pStyle w:val="170"/>
      </w:pPr>
      <w:r>
        <w:rPr>
          <w:rFonts w:hint="eastAsia"/>
        </w:rPr>
        <w:t>紧急关断单元应具有失效保护功能，宜采用故障安全型设计。</w:t>
      </w:r>
    </w:p>
    <w:p>
      <w:pPr>
        <w:pStyle w:val="170"/>
      </w:pPr>
      <w:r>
        <w:rPr>
          <w:rFonts w:hint="eastAsia"/>
        </w:rPr>
        <w:t>紧急关断单元应至少在下列位置设置紧急关断开关：</w:t>
      </w:r>
    </w:p>
    <w:p>
      <w:pPr>
        <w:pStyle w:val="179"/>
        <w:numPr>
          <w:ilvl w:val="0"/>
          <w:numId w:val="61"/>
        </w:numPr>
      </w:pPr>
      <w:r>
        <w:rPr>
          <w:rFonts w:hint="eastAsia"/>
        </w:rPr>
        <w:t>现场人员容易接近且较为安全的位置；</w:t>
      </w:r>
    </w:p>
    <w:p>
      <w:pPr>
        <w:pStyle w:val="179"/>
      </w:pPr>
      <w:r>
        <w:rPr>
          <w:rFonts w:hint="eastAsia"/>
        </w:rPr>
        <w:t>监控室控制台。</w:t>
      </w:r>
    </w:p>
    <w:p>
      <w:pPr>
        <w:pStyle w:val="110"/>
        <w:spacing w:before="120" w:after="120"/>
      </w:pPr>
      <w:bookmarkStart w:id="179" w:name="_Toc209114077"/>
      <w:r>
        <w:rPr>
          <w:rFonts w:hint="eastAsia"/>
        </w:rPr>
        <w:t>撬座</w:t>
      </w:r>
      <w:bookmarkEnd w:id="179"/>
    </w:p>
    <w:p>
      <w:pPr>
        <w:pStyle w:val="170"/>
      </w:pPr>
      <w:r>
        <w:rPr>
          <w:rFonts w:hint="eastAsia"/>
        </w:rPr>
        <w:t>掺氢撬内撬座按GB50017进行设计。</w:t>
      </w:r>
    </w:p>
    <w:p>
      <w:pPr>
        <w:pStyle w:val="170"/>
      </w:pPr>
      <w:r>
        <w:rPr>
          <w:rFonts w:hint="eastAsia"/>
        </w:rPr>
        <w:t>撬座的强度计算应考虑撬上设备及管道产生的集中载荷。</w:t>
      </w:r>
    </w:p>
    <w:p>
      <w:pPr>
        <w:pStyle w:val="170"/>
      </w:pPr>
      <w:r>
        <w:rPr>
          <w:rFonts w:hint="eastAsia"/>
        </w:rPr>
        <w:t>撬座的强度校核应考虑掺氢撬整体吊装工况。</w:t>
      </w:r>
    </w:p>
    <w:p>
      <w:pPr>
        <w:pStyle w:val="170"/>
      </w:pPr>
      <w:r>
        <w:rPr>
          <w:rFonts w:hint="eastAsia"/>
        </w:rPr>
        <w:t>撬座上检修处应铺设钢格栅板，钢格栅板应符合YB/T 4001.1的相关规定。钢格栅板应采用热浸锌表面处理，钢格栅板与撬座之间采用安装夹固定。</w:t>
      </w:r>
    </w:p>
    <w:p>
      <w:pPr>
        <w:pStyle w:val="170"/>
      </w:pPr>
      <w:r>
        <w:rPr>
          <w:rFonts w:hint="eastAsia"/>
        </w:rPr>
        <w:t>地脚螺栓孔可设置在撬座本体上，也可设置在固定附件上。当地脚螺栓孔设置在固定附件上时，装置就位后，应将固定附件与撬座焊接固定。</w:t>
      </w:r>
    </w:p>
    <w:p>
      <w:pPr>
        <w:pStyle w:val="110"/>
        <w:spacing w:before="120" w:after="120"/>
      </w:pPr>
      <w:bookmarkStart w:id="180" w:name="_Toc209114078"/>
      <w:r>
        <w:rPr>
          <w:rFonts w:hint="eastAsia"/>
        </w:rPr>
        <w:t>结构布置</w:t>
      </w:r>
      <w:bookmarkEnd w:id="180"/>
    </w:p>
    <w:p>
      <w:pPr>
        <w:pStyle w:val="170"/>
      </w:pPr>
      <w:r>
        <w:rPr>
          <w:rFonts w:hint="eastAsia"/>
        </w:rPr>
        <w:t>管道布置</w:t>
      </w:r>
    </w:p>
    <w:p>
      <w:pPr>
        <w:pStyle w:val="169"/>
      </w:pPr>
      <w:r>
        <w:rPr>
          <w:rFonts w:hint="eastAsia"/>
        </w:rPr>
        <w:t>掺氢撬的布置应结构紧凑，操作方便，结构布置参考附录A。</w:t>
      </w:r>
    </w:p>
    <w:p>
      <w:pPr>
        <w:pStyle w:val="169"/>
      </w:pPr>
      <w:r>
        <w:rPr>
          <w:rFonts w:hint="eastAsia"/>
        </w:rPr>
        <w:t>管道布置应减少死区，气体支管宜从主管的顶部接出。</w:t>
      </w:r>
    </w:p>
    <w:p>
      <w:pPr>
        <w:pStyle w:val="169"/>
      </w:pPr>
      <w:r>
        <w:rPr>
          <w:rFonts w:hint="eastAsia"/>
        </w:rPr>
        <w:t>管道布置应考虑管道内流场分布，避免引起偏流及管道振动。</w:t>
      </w:r>
    </w:p>
    <w:p>
      <w:pPr>
        <w:pStyle w:val="169"/>
      </w:pPr>
      <w:r>
        <w:rPr>
          <w:rFonts w:hint="eastAsia"/>
        </w:rPr>
        <w:t>振动管道上的分支管不应从弯矩大的部位引出。</w:t>
      </w:r>
    </w:p>
    <w:p>
      <w:pPr>
        <w:pStyle w:val="169"/>
      </w:pPr>
      <w:r>
        <w:rPr>
          <w:rFonts w:hint="eastAsia"/>
        </w:rPr>
        <w:t>当产生振动的管道上引出公称直径不大于DN40的支管时，不论支管上有无阀门，连接处均应采取加强防振措施。</w:t>
      </w:r>
    </w:p>
    <w:p>
      <w:pPr>
        <w:pStyle w:val="169"/>
      </w:pPr>
      <w:r>
        <w:rPr>
          <w:rFonts w:hint="eastAsia"/>
        </w:rPr>
        <w:t>管道应采用焊接连接，下列情况宜采用法兰、螺纹或其它可拆卸连接：</w:t>
      </w:r>
    </w:p>
    <w:p>
      <w:pPr>
        <w:pStyle w:val="179"/>
        <w:numPr>
          <w:ilvl w:val="0"/>
          <w:numId w:val="62"/>
        </w:numPr>
      </w:pPr>
      <w:r>
        <w:rPr>
          <w:rFonts w:hint="eastAsia"/>
        </w:rPr>
        <w:t>当管道与阀门、仪表、设备连接时；</w:t>
      </w:r>
    </w:p>
    <w:p>
      <w:pPr>
        <w:pStyle w:val="179"/>
      </w:pPr>
      <w:r>
        <w:rPr>
          <w:rFonts w:hint="eastAsia"/>
        </w:rPr>
        <w:t>检修、清洗或吹扫需拆卸的场合；</w:t>
      </w:r>
    </w:p>
    <w:p>
      <w:pPr>
        <w:pStyle w:val="179"/>
      </w:pPr>
      <w:r>
        <w:rPr>
          <w:rFonts w:hint="eastAsia"/>
        </w:rPr>
        <w:t>异种钢材连接时；</w:t>
      </w:r>
    </w:p>
    <w:p>
      <w:pPr>
        <w:pStyle w:val="179"/>
      </w:pPr>
      <w:r>
        <w:rPr>
          <w:rFonts w:hint="eastAsia"/>
        </w:rPr>
        <w:t>设置法兰盖的位置。</w:t>
      </w:r>
    </w:p>
    <w:p>
      <w:pPr>
        <w:pStyle w:val="169"/>
      </w:pPr>
      <w:r>
        <w:rPr>
          <w:rFonts w:hint="eastAsia"/>
        </w:rPr>
        <w:t>管道焊缝的设置应符合下列规定：</w:t>
      </w:r>
    </w:p>
    <w:p>
      <w:pPr>
        <w:pStyle w:val="179"/>
        <w:numPr>
          <w:ilvl w:val="0"/>
          <w:numId w:val="63"/>
        </w:numPr>
      </w:pPr>
      <w:r>
        <w:rPr>
          <w:rFonts w:hint="eastAsia"/>
        </w:rPr>
        <w:t>当公称直径应不小于150mm时，同一管道上相邻两个对接环焊缝的距离不应小于150mm；当公称直径小于150mm时，该距离不应小于管道的外径，且不应小于100mm；</w:t>
      </w:r>
    </w:p>
    <w:p>
      <w:pPr>
        <w:pStyle w:val="179"/>
      </w:pPr>
      <w:r>
        <w:rPr>
          <w:rFonts w:hint="eastAsia"/>
        </w:rPr>
        <w:t>管道对接焊缝距离支吊架的距离应大于50mm，需要热处理的焊缝距离支吊架的距离应大于300mm；</w:t>
      </w:r>
    </w:p>
    <w:p>
      <w:pPr>
        <w:pStyle w:val="179"/>
      </w:pPr>
      <w:r>
        <w:rPr>
          <w:rFonts w:hint="eastAsia"/>
        </w:rPr>
        <w:t>焊接钢管对接时，制管焊缝之间应错开100mm以上。</w:t>
      </w:r>
    </w:p>
    <w:p>
      <w:pPr>
        <w:pStyle w:val="169"/>
      </w:pPr>
      <w:r>
        <w:rPr>
          <w:rFonts w:hint="eastAsia"/>
        </w:rPr>
        <w:t>管道布置间距应符合下列规定：</w:t>
      </w:r>
    </w:p>
    <w:p>
      <w:pPr>
        <w:pStyle w:val="179"/>
        <w:numPr>
          <w:ilvl w:val="0"/>
          <w:numId w:val="64"/>
        </w:numPr>
      </w:pPr>
      <w:r>
        <w:rPr>
          <w:rFonts w:hint="eastAsia"/>
        </w:rPr>
        <w:t>管道之间的间距应充分考虑施工的影响、管道元件的安装空间要求和支承位置的要求；</w:t>
      </w:r>
    </w:p>
    <w:p>
      <w:pPr>
        <w:pStyle w:val="179"/>
      </w:pPr>
      <w:r>
        <w:rPr>
          <w:rFonts w:hint="eastAsia"/>
        </w:rPr>
        <w:t>管道（或保温层）外表面管壁之间的净距应不小于200mm，法兰外缘与相邻的净距应不小于100mm；</w:t>
      </w:r>
    </w:p>
    <w:p>
      <w:pPr>
        <w:pStyle w:val="179"/>
      </w:pPr>
      <w:r>
        <w:rPr>
          <w:rFonts w:hint="eastAsia"/>
        </w:rPr>
        <w:t>管道（或保温层）外表面管壁最突出部分，距离框架、支架之间的净距应不小于100mm；</w:t>
      </w:r>
    </w:p>
    <w:p>
      <w:pPr>
        <w:pStyle w:val="179"/>
      </w:pPr>
      <w:r>
        <w:rPr>
          <w:rFonts w:hint="eastAsia"/>
        </w:rPr>
        <w:t>平行布置的管道需维修、人员通过处管壁之间的净距应不小于500mm。</w:t>
      </w:r>
    </w:p>
    <w:p>
      <w:pPr>
        <w:pStyle w:val="170"/>
      </w:pPr>
      <w:r>
        <w:rPr>
          <w:rFonts w:hint="eastAsia"/>
        </w:rPr>
        <w:t>撬内设备布置</w:t>
      </w:r>
    </w:p>
    <w:p>
      <w:pPr>
        <w:pStyle w:val="169"/>
      </w:pPr>
      <w:r>
        <w:rPr>
          <w:rFonts w:hint="eastAsia"/>
        </w:rPr>
        <w:t>撬内设备宜布置在撬座上。</w:t>
      </w:r>
    </w:p>
    <w:p>
      <w:pPr>
        <w:pStyle w:val="169"/>
      </w:pPr>
      <w:r>
        <w:rPr>
          <w:rFonts w:hint="eastAsia"/>
        </w:rPr>
        <w:t>检修频繁的设备宜布置在撬座周边，留出检修空间。</w:t>
      </w:r>
    </w:p>
    <w:p>
      <w:pPr>
        <w:pStyle w:val="169"/>
      </w:pPr>
      <w:r>
        <w:rPr>
          <w:rFonts w:hint="eastAsia"/>
        </w:rPr>
        <w:t>立式过滤器安装高度应满足其底部管道安装和操作所需要的最小净空间。</w:t>
      </w:r>
    </w:p>
    <w:p>
      <w:pPr>
        <w:pStyle w:val="169"/>
      </w:pPr>
      <w:r>
        <w:rPr>
          <w:rFonts w:hint="eastAsia"/>
        </w:rPr>
        <w:t>带有快开盲板的过滤器，快开盲板打开一侧应留有快开盲板打开所需尺寸和滤芯（如果有）长度尺寸中较大值加0.5m的净空。</w:t>
      </w:r>
    </w:p>
    <w:p>
      <w:pPr>
        <w:pStyle w:val="170"/>
      </w:pPr>
      <w:r>
        <w:rPr>
          <w:rFonts w:hint="eastAsia"/>
        </w:rPr>
        <w:t>阀门布置</w:t>
      </w:r>
    </w:p>
    <w:p>
      <w:pPr>
        <w:pStyle w:val="169"/>
      </w:pPr>
      <w:r>
        <w:rPr>
          <w:rFonts w:hint="eastAsia"/>
        </w:rPr>
        <w:t>阀门应设在热位移小的地方。</w:t>
      </w:r>
    </w:p>
    <w:p>
      <w:pPr>
        <w:pStyle w:val="169"/>
      </w:pPr>
      <w:r>
        <w:rPr>
          <w:rFonts w:hint="eastAsia"/>
        </w:rPr>
        <w:t>成排管道上的阀门应集中布置，并根据高度需求设置操作梯子。</w:t>
      </w:r>
    </w:p>
    <w:p>
      <w:pPr>
        <w:pStyle w:val="169"/>
      </w:pPr>
      <w:r>
        <w:rPr>
          <w:rFonts w:hint="eastAsia"/>
        </w:rPr>
        <w:t>并排安装的排污阀应相互错开便于操作，并减少间距，操作点应集中设置。</w:t>
      </w:r>
    </w:p>
    <w:p>
      <w:pPr>
        <w:pStyle w:val="169"/>
      </w:pPr>
      <w:r>
        <w:rPr>
          <w:rFonts w:hint="eastAsia"/>
        </w:rPr>
        <w:t>设备系统内阀门手轮中心距离操作面的距离宜为1.1～1.6m。</w:t>
      </w:r>
    </w:p>
    <w:p>
      <w:pPr>
        <w:pStyle w:val="169"/>
      </w:pPr>
      <w:r>
        <w:rPr>
          <w:rFonts w:hint="eastAsia"/>
        </w:rPr>
        <w:t>当阀门手轮中心的高度超过操作面2m时，应采取下列措施：</w:t>
      </w:r>
    </w:p>
    <w:p>
      <w:pPr>
        <w:pStyle w:val="179"/>
        <w:numPr>
          <w:ilvl w:val="0"/>
          <w:numId w:val="65"/>
        </w:numPr>
      </w:pPr>
      <w:r>
        <w:rPr>
          <w:rFonts w:hint="eastAsia"/>
        </w:rPr>
        <w:t>操作频率低的阀门可设置梯子、活动平台或链轮等；</w:t>
      </w:r>
    </w:p>
    <w:p>
      <w:pPr>
        <w:pStyle w:val="179"/>
      </w:pPr>
      <w:r>
        <w:rPr>
          <w:rFonts w:hint="eastAsia"/>
        </w:rPr>
        <w:t>操作频率高的阀门或集中布置的成组阀门应设操作平台。</w:t>
      </w:r>
    </w:p>
    <w:p>
      <w:pPr>
        <w:pStyle w:val="169"/>
      </w:pPr>
      <w:r>
        <w:rPr>
          <w:rFonts w:hint="eastAsia"/>
        </w:rPr>
        <w:t>布置在操作平台周围的阀门手轮中心距操作平台边缘宜不小于450mm，当阀杆和手轮伸入平台上方且高度小于2m时，不应妨碍操作人员的操作和通行。</w:t>
      </w:r>
    </w:p>
    <w:p>
      <w:pPr>
        <w:pStyle w:val="169"/>
      </w:pPr>
      <w:r>
        <w:rPr>
          <w:rFonts w:hint="eastAsia"/>
        </w:rPr>
        <w:t>阀杆水平安装的明杆式阀门开启时，阀杆不应妨碍人员的通行。</w:t>
      </w:r>
    </w:p>
    <w:p>
      <w:pPr>
        <w:pStyle w:val="169"/>
      </w:pPr>
      <w:r>
        <w:rPr>
          <w:rFonts w:hint="eastAsia"/>
        </w:rPr>
        <w:t>阀门相邻布置时，手轮间的净距应不小于100mm。</w:t>
      </w:r>
    </w:p>
    <w:p>
      <w:pPr>
        <w:pStyle w:val="169"/>
      </w:pPr>
      <w:r>
        <w:rPr>
          <w:rFonts w:hint="eastAsia"/>
        </w:rPr>
        <w:t>水平管道上阀门的阀杆方向不宜垂直向下，阀杆方向可按下列顺序确定：</w:t>
      </w:r>
    </w:p>
    <w:p>
      <w:pPr>
        <w:pStyle w:val="179"/>
        <w:numPr>
          <w:ilvl w:val="0"/>
          <w:numId w:val="66"/>
        </w:numPr>
      </w:pPr>
      <w:r>
        <w:rPr>
          <w:rFonts w:hint="eastAsia"/>
        </w:rPr>
        <w:t>垂直向上；</w:t>
      </w:r>
    </w:p>
    <w:p>
      <w:pPr>
        <w:pStyle w:val="179"/>
      </w:pPr>
      <w:r>
        <w:rPr>
          <w:rFonts w:hint="eastAsia"/>
        </w:rPr>
        <w:t>向上倾斜45°；</w:t>
      </w:r>
    </w:p>
    <w:p>
      <w:pPr>
        <w:pStyle w:val="179"/>
      </w:pPr>
      <w:r>
        <w:rPr>
          <w:rFonts w:hint="eastAsia"/>
        </w:rPr>
        <w:t>向下倾斜45°（宜在45°～90°范围内）。</w:t>
      </w:r>
    </w:p>
    <w:p>
      <w:pPr>
        <w:pStyle w:val="169"/>
      </w:pPr>
      <w:r>
        <w:rPr>
          <w:rFonts w:hint="eastAsia"/>
        </w:rPr>
        <w:t>除工艺有特殊要求外，立式设备底部管道上的阀门，不应布置在裙座内。</w:t>
      </w:r>
    </w:p>
    <w:p>
      <w:pPr>
        <w:pStyle w:val="169"/>
      </w:pPr>
      <w:r>
        <w:rPr>
          <w:rFonts w:hint="eastAsia"/>
        </w:rPr>
        <w:t>需根据就地仪表的指示操作的手动阀门，其位置应靠近就地仪表。</w:t>
      </w:r>
    </w:p>
    <w:p>
      <w:pPr>
        <w:pStyle w:val="169"/>
      </w:pPr>
      <w:r>
        <w:rPr>
          <w:rFonts w:hint="eastAsia"/>
        </w:rPr>
        <w:t>隔断设备用的阀门宜与设备管口直接相接。</w:t>
      </w:r>
    </w:p>
    <w:p>
      <w:pPr>
        <w:pStyle w:val="169"/>
      </w:pPr>
      <w:r>
        <w:rPr>
          <w:rFonts w:hint="eastAsia"/>
        </w:rPr>
        <w:t>主管上连接的水平支管的切断阀，宜设在靠近主管的水平管段上。</w:t>
      </w:r>
    </w:p>
    <w:p>
      <w:pPr>
        <w:pStyle w:val="169"/>
      </w:pPr>
      <w:r>
        <w:rPr>
          <w:rFonts w:hint="eastAsia"/>
        </w:rPr>
        <w:t>调节阀和安全阀应布置在便于维修与调试处。调节阀执行机构上方留有人工操作空间。</w:t>
      </w:r>
    </w:p>
    <w:p>
      <w:pPr>
        <w:pStyle w:val="169"/>
      </w:pPr>
      <w:r>
        <w:rPr>
          <w:rFonts w:hint="eastAsia"/>
        </w:rPr>
        <w:t>撬座排气阀应设置在管道的最高点，排污阀应设置在管道的最低点。</w:t>
      </w:r>
    </w:p>
    <w:p>
      <w:pPr>
        <w:pStyle w:val="170"/>
      </w:pPr>
      <w:r>
        <w:rPr>
          <w:rFonts w:hint="eastAsia"/>
        </w:rPr>
        <w:t>管件布置</w:t>
      </w:r>
    </w:p>
    <w:p>
      <w:pPr>
        <w:pStyle w:val="169"/>
      </w:pPr>
      <w:r>
        <w:rPr>
          <w:rFonts w:hint="eastAsia"/>
        </w:rPr>
        <w:t>平焊法兰不应与弯头、三通直接连接。</w:t>
      </w:r>
    </w:p>
    <w:p>
      <w:pPr>
        <w:pStyle w:val="169"/>
      </w:pPr>
      <w:r>
        <w:rPr>
          <w:rFonts w:hint="eastAsia"/>
        </w:rPr>
        <w:t>管道变径连接，无特殊要求时，水平管道宜选用偏心异径管；垂直管道上宜选用同心异径管。</w:t>
      </w:r>
    </w:p>
    <w:p>
      <w:pPr>
        <w:pStyle w:val="169"/>
      </w:pPr>
      <w:r>
        <w:rPr>
          <w:rFonts w:hint="eastAsia"/>
        </w:rPr>
        <w:t>调节阀两侧管道上的异径管宜靠近调节阀布置。</w:t>
      </w:r>
    </w:p>
    <w:p>
      <w:pPr>
        <w:pStyle w:val="170"/>
      </w:pPr>
      <w:r>
        <w:rPr>
          <w:rFonts w:hint="eastAsia"/>
        </w:rPr>
        <w:t>电气仪表及测量元件的布置</w:t>
      </w:r>
    </w:p>
    <w:p>
      <w:pPr>
        <w:pStyle w:val="169"/>
      </w:pPr>
      <w:r>
        <w:rPr>
          <w:rFonts w:hint="eastAsia"/>
        </w:rPr>
        <w:t>仪表管口的长度应根据管道的绝热层厚度确定，安装的取源部件应露出绝热层外。</w:t>
      </w:r>
    </w:p>
    <w:p>
      <w:pPr>
        <w:pStyle w:val="169"/>
      </w:pPr>
      <w:r>
        <w:rPr>
          <w:rFonts w:hint="eastAsia"/>
        </w:rPr>
        <w:t>机械振动较强的场合，宜选用耐震压力表。</w:t>
      </w:r>
    </w:p>
    <w:p>
      <w:pPr>
        <w:pStyle w:val="169"/>
      </w:pPr>
      <w:r>
        <w:rPr>
          <w:rFonts w:hint="eastAsia"/>
        </w:rPr>
        <w:t>温度仪表应安装在保护套管内。</w:t>
      </w:r>
    </w:p>
    <w:p>
      <w:pPr>
        <w:pStyle w:val="169"/>
      </w:pPr>
      <w:r>
        <w:rPr>
          <w:rFonts w:hint="eastAsia"/>
        </w:rPr>
        <w:t>仪表安装需在管道上开口取源的宜选用对焊支管座安装。</w:t>
      </w:r>
    </w:p>
    <w:p>
      <w:pPr>
        <w:pStyle w:val="169"/>
      </w:pPr>
      <w:r>
        <w:rPr>
          <w:rFonts w:hint="eastAsia"/>
        </w:rPr>
        <w:t>温度取源部件应符合以下要求：</w:t>
      </w:r>
    </w:p>
    <w:p>
      <w:pPr>
        <w:pStyle w:val="179"/>
        <w:numPr>
          <w:ilvl w:val="0"/>
          <w:numId w:val="67"/>
        </w:numPr>
      </w:pPr>
      <w:r>
        <w:rPr>
          <w:rFonts w:hint="eastAsia"/>
        </w:rPr>
        <w:t>与管道相互垂直安装时，取源部件轴线应与管道轴线垂直相交；</w:t>
      </w:r>
    </w:p>
    <w:p>
      <w:pPr>
        <w:pStyle w:val="179"/>
      </w:pPr>
      <w:r>
        <w:rPr>
          <w:rFonts w:hint="eastAsia"/>
        </w:rPr>
        <w:t>与管道呈倾斜角度安装时，宜逆着物料流向，取源部件轴线应与管道轴线相交；</w:t>
      </w:r>
    </w:p>
    <w:p>
      <w:pPr>
        <w:pStyle w:val="179"/>
      </w:pPr>
      <w:r>
        <w:rPr>
          <w:rFonts w:hint="eastAsia"/>
        </w:rPr>
        <w:t>在管道的拐弯处安装时，宜逆着物料流向，取源部件轴线应与工艺管道轴线相重合。</w:t>
      </w:r>
    </w:p>
    <w:p>
      <w:pPr>
        <w:pStyle w:val="169"/>
      </w:pPr>
      <w:r>
        <w:rPr>
          <w:rFonts w:hint="eastAsia"/>
        </w:rPr>
        <w:t>压力取源部件应符合以下要求：</w:t>
      </w:r>
    </w:p>
    <w:p>
      <w:pPr>
        <w:pStyle w:val="179"/>
        <w:numPr>
          <w:ilvl w:val="0"/>
          <w:numId w:val="68"/>
        </w:numPr>
      </w:pPr>
      <w:r>
        <w:rPr>
          <w:rFonts w:hint="eastAsia"/>
        </w:rPr>
        <w:t>压力取源部件的安装位置应选在被测物料流束稳定的位置；</w:t>
      </w:r>
    </w:p>
    <w:p>
      <w:pPr>
        <w:pStyle w:val="179"/>
      </w:pPr>
      <w:r>
        <w:rPr>
          <w:rFonts w:hint="eastAsia"/>
        </w:rPr>
        <w:t>压力取源部件与温度取源部件在同一管段上时，应安装在温度取源部件的上游侧；</w:t>
      </w:r>
    </w:p>
    <w:p>
      <w:pPr>
        <w:pStyle w:val="179"/>
      </w:pPr>
      <w:r>
        <w:rPr>
          <w:rFonts w:hint="eastAsia"/>
        </w:rPr>
        <w:t>压力取源部件的端部不应超出设备或管道的内壁；</w:t>
      </w:r>
    </w:p>
    <w:p>
      <w:pPr>
        <w:pStyle w:val="179"/>
      </w:pPr>
      <w:r>
        <w:rPr>
          <w:rFonts w:hint="eastAsia"/>
        </w:rPr>
        <w:t>在水平的管道上安装压力取源部件时，测量气体压力取压点的方位应在管道的上半部。</w:t>
      </w:r>
    </w:p>
    <w:p>
      <w:pPr>
        <w:pStyle w:val="169"/>
      </w:pPr>
      <w:r>
        <w:rPr>
          <w:rFonts w:hint="eastAsia"/>
        </w:rPr>
        <w:t>流量取源部件应符合以下要求：</w:t>
      </w:r>
    </w:p>
    <w:p>
      <w:pPr>
        <w:pStyle w:val="179"/>
        <w:numPr>
          <w:ilvl w:val="0"/>
          <w:numId w:val="69"/>
        </w:numPr>
      </w:pPr>
      <w:r>
        <w:rPr>
          <w:rFonts w:hint="eastAsia"/>
        </w:rPr>
        <w:t>流量取源部件上、下游直管段的最小长度应设计文件的要求；</w:t>
      </w:r>
    </w:p>
    <w:p>
      <w:pPr>
        <w:pStyle w:val="179"/>
      </w:pPr>
      <w:r>
        <w:rPr>
          <w:rFonts w:hint="eastAsia"/>
        </w:rPr>
        <w:t>在规定的直管段最小长度范围内，不应设置其他取源部件或检测元件，直管段管子采用厚壁管并应进行精镗加工至规定管径，内表面粗糙度Ra3.2。直管段的直线度和圆度公差应符合GB/T 1184的D级要求。</w:t>
      </w:r>
    </w:p>
    <w:p>
      <w:pPr>
        <w:pStyle w:val="170"/>
      </w:pPr>
      <w:r>
        <w:rPr>
          <w:rFonts w:hint="eastAsia"/>
        </w:rPr>
        <w:t>静态混合器布置</w:t>
      </w:r>
    </w:p>
    <w:p>
      <w:pPr>
        <w:pStyle w:val="169"/>
      </w:pPr>
      <w:r>
        <w:rPr>
          <w:rFonts w:hint="eastAsia"/>
        </w:rPr>
        <w:t>静态混合器应采用法兰与天然气和混合气管路连接。</w:t>
      </w:r>
    </w:p>
    <w:p>
      <w:pPr>
        <w:pStyle w:val="169"/>
      </w:pPr>
      <w:r>
        <w:rPr>
          <w:rFonts w:hint="eastAsia"/>
        </w:rPr>
        <w:t>多个静态混合器宜采用串联布置，工艺要求增加流体的流动路径的可采用并联布置。</w:t>
      </w:r>
    </w:p>
    <w:p>
      <w:pPr>
        <w:pStyle w:val="170"/>
      </w:pPr>
      <w:r>
        <w:rPr>
          <w:rFonts w:hint="eastAsia"/>
        </w:rPr>
        <w:t>电气控制</w:t>
      </w:r>
    </w:p>
    <w:p>
      <w:pPr>
        <w:pStyle w:val="61"/>
        <w:ind w:firstLine="420"/>
      </w:pPr>
      <w:r>
        <w:rPr>
          <w:rFonts w:hint="eastAsia"/>
        </w:rPr>
        <w:t>电气控制系统包括氢气组分浓度信号传输线路、氢气流量信号传输线路、天然气流量信号传输线路、流量调节信号传输线路、PID控制器。PID控制器分为一级粗调和二级精调,一级粗调根据天然气流量设定掺氢比例，粗调氢气管路上流量调节阀的开度。二级精调是指根据混气管路上不同截面位置或同一截面位置不同半径处氢气组分浓度在线检测信息，精细调控氢气流量调节阀的开度。</w:t>
      </w:r>
    </w:p>
    <w:p>
      <w:pPr>
        <w:pStyle w:val="61"/>
        <w:ind w:firstLine="420"/>
      </w:pPr>
      <w:r>
        <w:rPr>
          <w:rFonts w:hint="eastAsia"/>
        </w:rPr>
        <w:t>PLC控制系统采集混气管路中的氢组分浓度信号，与天然气的当前流量信号及设定掺氢比例一起进行PID控制运算，将控制运算结果通过流量调节信号传输线路输出给氢气管路的流量调节阀，调节氢气管路上的流量调节阀的开度来实时响应天然气管路的流量变化，从而精细化调控掺氢比例，获得高精度的掺氢比。</w:t>
      </w:r>
    </w:p>
    <w:p>
      <w:pPr>
        <w:pStyle w:val="109"/>
        <w:spacing w:before="240" w:after="240"/>
      </w:pPr>
      <w:bookmarkStart w:id="181" w:name="_Toc209114079"/>
      <w:r>
        <w:rPr>
          <w:rFonts w:hint="eastAsia"/>
        </w:rPr>
        <w:t>制造</w:t>
      </w:r>
      <w:bookmarkEnd w:id="181"/>
    </w:p>
    <w:p>
      <w:pPr>
        <w:pStyle w:val="110"/>
        <w:spacing w:before="120" w:after="120"/>
      </w:pPr>
      <w:bookmarkStart w:id="182" w:name="_Toc209114080"/>
      <w:r>
        <w:rPr>
          <w:rFonts w:hint="eastAsia"/>
        </w:rPr>
        <w:t>入厂检验</w:t>
      </w:r>
      <w:bookmarkEnd w:id="182"/>
    </w:p>
    <w:p>
      <w:pPr>
        <w:pStyle w:val="170"/>
      </w:pPr>
      <w:r>
        <w:rPr>
          <w:rFonts w:hint="eastAsia"/>
        </w:rPr>
        <w:t>撬内设备入厂时应有质量合格证明文件。</w:t>
      </w:r>
    </w:p>
    <w:p>
      <w:pPr>
        <w:pStyle w:val="170"/>
      </w:pPr>
      <w:r>
        <w:rPr>
          <w:rFonts w:hint="eastAsia"/>
        </w:rPr>
        <w:t>材料的检验除应符合产品相应标准外还应符合本文件的要求。</w:t>
      </w:r>
    </w:p>
    <w:p>
      <w:pPr>
        <w:pStyle w:val="170"/>
      </w:pPr>
      <w:r>
        <w:rPr>
          <w:rFonts w:hint="eastAsia"/>
        </w:rPr>
        <w:t>材料的检查和验收应满足下列要求：</w:t>
      </w:r>
    </w:p>
    <w:p>
      <w:pPr>
        <w:pStyle w:val="179"/>
        <w:numPr>
          <w:ilvl w:val="0"/>
          <w:numId w:val="70"/>
        </w:numPr>
      </w:pPr>
      <w:r>
        <w:rPr>
          <w:rFonts w:hint="eastAsia"/>
        </w:rPr>
        <w:t>钢管内、外表面不得有裂纹、折叠、发纹、轧折、离层、结疤等；</w:t>
      </w:r>
    </w:p>
    <w:p>
      <w:pPr>
        <w:pStyle w:val="179"/>
      </w:pPr>
      <w:r>
        <w:rPr>
          <w:rFonts w:hint="eastAsia"/>
        </w:rPr>
        <w:t>钢管表面的锈蚀、凹陷、划痕、机械损伤及其他缺陷的深度，不应超过相应产品标准允许的壁厚负偏差；</w:t>
      </w:r>
    </w:p>
    <w:p>
      <w:pPr>
        <w:pStyle w:val="179"/>
      </w:pPr>
      <w:r>
        <w:rPr>
          <w:rFonts w:hint="eastAsia"/>
        </w:rPr>
        <w:t>合金钢管及其管道组成件宜采用光谱分析仪分析合金钢中合金元素的成分。每批应抽查5％，且不少于一件。不合格时，应加倍抽查，仍有不合格时，该批材料不应使用；</w:t>
      </w:r>
    </w:p>
    <w:p>
      <w:pPr>
        <w:pStyle w:val="179"/>
      </w:pPr>
      <w:r>
        <w:rPr>
          <w:rFonts w:hint="eastAsia"/>
        </w:rPr>
        <w:t>焊接材料（包括焊条、焊丝、焊剂及焊接用气体）使用前应按设计文件和相关标准的规定进行检查和验收，且应具有质量证明文件和包装标记；</w:t>
      </w:r>
    </w:p>
    <w:p>
      <w:pPr>
        <w:pStyle w:val="179"/>
      </w:pPr>
      <w:r>
        <w:rPr>
          <w:rFonts w:hint="eastAsia"/>
        </w:rPr>
        <w:t>防腐保温材料型号、规格应满足设计文件要求。防腐保温材料性能应符合产品质量检验标准；</w:t>
      </w:r>
    </w:p>
    <w:p>
      <w:pPr>
        <w:pStyle w:val="179"/>
      </w:pPr>
      <w:r>
        <w:rPr>
          <w:rFonts w:hint="eastAsia"/>
        </w:rPr>
        <w:t>防腐保温管端预留长度应满足设计文件要求，外观完好无损伤，标识完整、清晰，标识内容与实际相符，管内应清洁，管口应予以封闭。</w:t>
      </w:r>
    </w:p>
    <w:p>
      <w:pPr>
        <w:pStyle w:val="170"/>
      </w:pPr>
      <w:r>
        <w:rPr>
          <w:rFonts w:hint="eastAsia"/>
        </w:rPr>
        <w:t>紧固件应满足设计文件要求，当设计文件无要求时，用于设计压力不小于10MPa的螺栓、螺柱和螺母应进行硬度检查，每批中应各抽取两个，不合格时应加倍检查；仍有不合格时，逐个检查，不合格者不应使用。硬度值应符合HG/T 20613和HG/T 20634的有关紧固件的硬度规定。</w:t>
      </w:r>
    </w:p>
    <w:p>
      <w:pPr>
        <w:pStyle w:val="170"/>
      </w:pPr>
      <w:r>
        <w:rPr>
          <w:rFonts w:hint="eastAsia"/>
        </w:rPr>
        <w:t>管件应满足下列要求：</w:t>
      </w:r>
    </w:p>
    <w:p>
      <w:pPr>
        <w:pStyle w:val="179"/>
        <w:numPr>
          <w:ilvl w:val="0"/>
          <w:numId w:val="71"/>
        </w:numPr>
      </w:pPr>
      <w:r>
        <w:rPr>
          <w:rFonts w:hint="eastAsia"/>
        </w:rPr>
        <w:t>管件外观应无裂纹、重皮、皱纹、过烧等缺陷；</w:t>
      </w:r>
    </w:p>
    <w:p>
      <w:pPr>
        <w:pStyle w:val="179"/>
      </w:pPr>
      <w:r>
        <w:rPr>
          <w:rFonts w:hint="eastAsia"/>
        </w:rPr>
        <w:t>管件允许偏差应符合相应标准的规定。</w:t>
      </w:r>
    </w:p>
    <w:p>
      <w:pPr>
        <w:pStyle w:val="170"/>
      </w:pPr>
      <w:r>
        <w:rPr>
          <w:rFonts w:hint="eastAsia"/>
        </w:rPr>
        <w:t>法兰应满足下列要求：</w:t>
      </w:r>
    </w:p>
    <w:p>
      <w:pPr>
        <w:pStyle w:val="179"/>
        <w:numPr>
          <w:ilvl w:val="0"/>
          <w:numId w:val="72"/>
        </w:numPr>
      </w:pPr>
      <w:r>
        <w:rPr>
          <w:rFonts w:hint="eastAsia"/>
        </w:rPr>
        <w:t>法兰密封面应光滑、平整，无毛刺、径向划痕、砂眼及气孔；</w:t>
      </w:r>
    </w:p>
    <w:p>
      <w:pPr>
        <w:pStyle w:val="179"/>
      </w:pPr>
      <w:r>
        <w:rPr>
          <w:rFonts w:hint="eastAsia"/>
        </w:rPr>
        <w:t>对焊法兰尾部坡口处应无碰伤；</w:t>
      </w:r>
    </w:p>
    <w:p>
      <w:pPr>
        <w:pStyle w:val="179"/>
      </w:pPr>
      <w:r>
        <w:rPr>
          <w:rFonts w:hint="eastAsia"/>
        </w:rPr>
        <w:t>螺纹法兰的螺纹应完好；</w:t>
      </w:r>
    </w:p>
    <w:p>
      <w:pPr>
        <w:pStyle w:val="179"/>
      </w:pPr>
      <w:r>
        <w:rPr>
          <w:rFonts w:hint="eastAsia"/>
        </w:rPr>
        <w:t>法兰连接件螺栓、螺母、垫片等应满足装配要求，不应有影响装配的划痕、毛刺、翘边等。</w:t>
      </w:r>
    </w:p>
    <w:p>
      <w:pPr>
        <w:pStyle w:val="170"/>
      </w:pPr>
      <w:r>
        <w:rPr>
          <w:rFonts w:hint="eastAsia"/>
        </w:rPr>
        <w:t>支管座应满足下列要求：</w:t>
      </w:r>
    </w:p>
    <w:p>
      <w:pPr>
        <w:pStyle w:val="179"/>
        <w:numPr>
          <w:ilvl w:val="0"/>
          <w:numId w:val="73"/>
        </w:numPr>
      </w:pPr>
      <w:r>
        <w:rPr>
          <w:rFonts w:hint="eastAsia"/>
        </w:rPr>
        <w:t>支管座的外观应无裂纹、过烧、重皮、结疤、夹渣等缺陷。焊接坡口应光滑过渡。坡口周围应清洁、无锈斑；</w:t>
      </w:r>
    </w:p>
    <w:p>
      <w:pPr>
        <w:pStyle w:val="179"/>
      </w:pPr>
      <w:r>
        <w:rPr>
          <w:rFonts w:hint="eastAsia"/>
        </w:rPr>
        <w:t>支管座的壁厚等级、无损检测等应符合相关标准的规定；</w:t>
      </w:r>
    </w:p>
    <w:p>
      <w:pPr>
        <w:pStyle w:val="179"/>
      </w:pPr>
      <w:r>
        <w:rPr>
          <w:rFonts w:hint="eastAsia"/>
        </w:rPr>
        <w:t>支管座尺寸允许偏差应符合GB/T19326的规定。</w:t>
      </w:r>
    </w:p>
    <w:p>
      <w:pPr>
        <w:pStyle w:val="170"/>
      </w:pPr>
      <w:r>
        <w:rPr>
          <w:rFonts w:hint="eastAsia"/>
        </w:rPr>
        <w:t>绝缘接头应满足下列要求：</w:t>
      </w:r>
    </w:p>
    <w:p>
      <w:pPr>
        <w:pStyle w:val="179"/>
        <w:numPr>
          <w:ilvl w:val="0"/>
          <w:numId w:val="74"/>
        </w:numPr>
      </w:pPr>
      <w:r>
        <w:rPr>
          <w:rFonts w:hint="eastAsia"/>
        </w:rPr>
        <w:t>绝缘接头应符合SY/T 0516的规定。外观无裂纹、重皮、伤痕、毛刺、砂眼及气孔；端部垂直，坡口后端部内径与连接管内径一致，其端部直径偏差应按表2执行；在满足设计条件下，绝缘接头本体内径应不大于连接管内径的2%。出厂时端部应配备防尘管帽；</w:t>
      </w:r>
    </w:p>
    <w:p>
      <w:pPr>
        <w:pStyle w:val="179"/>
      </w:pPr>
      <w:r>
        <w:rPr>
          <w:rFonts w:hint="eastAsia"/>
        </w:rPr>
        <w:t>绝缘接头，应按SY/T 0516进行强度试验、严密性试验、水压加弯矩试验、水压循环试验、绝缘电阻测试、电绝缘强度试验、内外涂层性能和厚度测试、外观质量检测。出厂时应标注出厂编号、生产厂家、公称直径、压力等级和材质，并有试验合格报告；</w:t>
      </w:r>
    </w:p>
    <w:p>
      <w:pPr>
        <w:pStyle w:val="170"/>
      </w:pPr>
      <w:r>
        <w:rPr>
          <w:rFonts w:hint="eastAsia"/>
        </w:rPr>
        <w:t>汇管的的尺寸和几何形状公差应满足CPI团标的要求。</w:t>
      </w:r>
    </w:p>
    <w:p>
      <w:pPr>
        <w:pStyle w:val="170"/>
      </w:pPr>
      <w:r>
        <w:rPr>
          <w:rFonts w:hint="eastAsia"/>
        </w:rPr>
        <w:t>支吊架应满足下列要求：</w:t>
      </w:r>
    </w:p>
    <w:p>
      <w:pPr>
        <w:pStyle w:val="179"/>
        <w:numPr>
          <w:ilvl w:val="0"/>
          <w:numId w:val="75"/>
        </w:numPr>
      </w:pPr>
      <w:r>
        <w:rPr>
          <w:rFonts w:hint="eastAsia"/>
        </w:rPr>
        <w:t>支吊架表面应无毛刺、铁锈、裂纹、漏焊、表面气孔等；</w:t>
      </w:r>
    </w:p>
    <w:p>
      <w:pPr>
        <w:pStyle w:val="179"/>
      </w:pPr>
      <w:r>
        <w:rPr>
          <w:rFonts w:hint="eastAsia"/>
        </w:rPr>
        <w:t>支吊架用的弹簧表面应无裂纹、折叠、分层、锈蚀等缺陷，工作圈数偏差应不超过半圈；</w:t>
      </w:r>
    </w:p>
    <w:p>
      <w:pPr>
        <w:pStyle w:val="179"/>
      </w:pPr>
      <w:r>
        <w:rPr>
          <w:rFonts w:hint="eastAsia"/>
        </w:rPr>
        <w:t>自由状态时，弹簧各圈节距应均匀，其节距允许偏差应不大于平均节距的10%；</w:t>
      </w:r>
    </w:p>
    <w:p>
      <w:pPr>
        <w:pStyle w:val="170"/>
      </w:pPr>
      <w:r>
        <w:rPr>
          <w:rFonts w:hint="eastAsia"/>
        </w:rPr>
        <w:t>阀门应满足下列要求：</w:t>
      </w:r>
    </w:p>
    <w:p>
      <w:pPr>
        <w:pStyle w:val="179"/>
        <w:numPr>
          <w:ilvl w:val="0"/>
          <w:numId w:val="76"/>
        </w:numPr>
      </w:pPr>
      <w:r>
        <w:rPr>
          <w:rFonts w:hint="eastAsia"/>
        </w:rPr>
        <w:t>阀门安装前应逐个进行外观检查，其外观质量应满足下列要求：</w:t>
      </w:r>
    </w:p>
    <w:p>
      <w:pPr>
        <w:pStyle w:val="114"/>
      </w:pPr>
      <w:r>
        <w:rPr>
          <w:rFonts w:hint="eastAsia"/>
        </w:rPr>
        <w:t>阀体、阀盖、阀外表面应无气孔、砂眼、裂纹等；</w:t>
      </w:r>
    </w:p>
    <w:p>
      <w:pPr>
        <w:pStyle w:val="114"/>
      </w:pPr>
      <w:r>
        <w:rPr>
          <w:rFonts w:hint="eastAsia"/>
        </w:rPr>
        <w:t>垫片、填料应满足介质要求，安装应正确；</w:t>
      </w:r>
    </w:p>
    <w:p>
      <w:pPr>
        <w:pStyle w:val="114"/>
      </w:pPr>
      <w:r>
        <w:rPr>
          <w:rFonts w:hint="eastAsia"/>
        </w:rPr>
        <w:t>丝杆、手轮、手柄应无毛刺、划痕，且传动机构操作灵活、指示正确；</w:t>
      </w:r>
    </w:p>
    <w:p>
      <w:pPr>
        <w:pStyle w:val="114"/>
      </w:pPr>
      <w:r>
        <w:rPr>
          <w:rFonts w:hint="eastAsia"/>
        </w:rPr>
        <w:t>铭牌应完好无缺，标识清晰完整；</w:t>
      </w:r>
    </w:p>
    <w:p>
      <w:pPr>
        <w:pStyle w:val="114"/>
      </w:pPr>
      <w:r>
        <w:rPr>
          <w:rFonts w:hint="eastAsia"/>
        </w:rPr>
        <w:t>备品备件应数量齐全、完好无损。</w:t>
      </w:r>
    </w:p>
    <w:p>
      <w:pPr>
        <w:pStyle w:val="179"/>
      </w:pPr>
      <w:r>
        <w:rPr>
          <w:rFonts w:hint="eastAsia"/>
        </w:rPr>
        <w:t>阀门的压力试验方法、程序与试验结果应符合设计文件和供货合同的规定。当无规定时，应符</w:t>
      </w:r>
    </w:p>
    <w:p>
      <w:pPr>
        <w:pStyle w:val="179"/>
        <w:numPr>
          <w:ilvl w:val="0"/>
          <w:numId w:val="0"/>
        </w:numPr>
        <w:ind w:left="425" w:firstLine="420" w:firstLineChars="200"/>
      </w:pPr>
      <w:r>
        <w:rPr>
          <w:rFonts w:hint="eastAsia"/>
        </w:rPr>
        <w:t>合GB/T 26480的规定；</w:t>
      </w:r>
    </w:p>
    <w:p>
      <w:pPr>
        <w:pStyle w:val="179"/>
      </w:pPr>
      <w:r>
        <w:rPr>
          <w:rFonts w:hint="eastAsia"/>
        </w:rPr>
        <w:t>安全阀安装前应由取得资质的机构进行校验，检验合格后应铅封，现场安装前应检查其铅封处于完好状态，并应有合格标识，安装后应保留铅封；</w:t>
      </w:r>
    </w:p>
    <w:p>
      <w:pPr>
        <w:pStyle w:val="179"/>
      </w:pPr>
      <w:r>
        <w:rPr>
          <w:rFonts w:hint="eastAsia"/>
        </w:rPr>
        <w:t>电、气、驱动阀应按使用说明书检查其驱动装置，传动装置应灵活，电动机的密封应有效、润滑管路应无杂质和泄漏，液压油和润滑油应足量，并调试好限位开关。</w:t>
      </w:r>
    </w:p>
    <w:p>
      <w:pPr>
        <w:pStyle w:val="170"/>
      </w:pPr>
      <w:r>
        <w:rPr>
          <w:rFonts w:hint="eastAsia"/>
        </w:rPr>
        <w:t>焊接材料应满足下列要求：</w:t>
      </w:r>
    </w:p>
    <w:p>
      <w:pPr>
        <w:pStyle w:val="179"/>
        <w:numPr>
          <w:ilvl w:val="0"/>
          <w:numId w:val="77"/>
        </w:numPr>
      </w:pPr>
      <w:r>
        <w:rPr>
          <w:rFonts w:hint="eastAsia"/>
        </w:rPr>
        <w:t>所用的焊条、焊丝、保护气体等应满足设计文件和焊接工艺规程要求；</w:t>
      </w:r>
    </w:p>
    <w:p>
      <w:pPr>
        <w:pStyle w:val="179"/>
      </w:pPr>
      <w:r>
        <w:rPr>
          <w:rFonts w:hint="eastAsia"/>
        </w:rPr>
        <w:t>焊条外观应满足下列要求：</w:t>
      </w:r>
    </w:p>
    <w:p>
      <w:pPr>
        <w:pStyle w:val="114"/>
        <w:numPr>
          <w:ilvl w:val="1"/>
          <w:numId w:val="78"/>
        </w:numPr>
      </w:pPr>
      <w:r>
        <w:rPr>
          <w:rFonts w:hint="eastAsia"/>
        </w:rPr>
        <w:t>药皮应均匀紧密包覆在药芯周围，不应有超出相关标准规定的偏心度。药皮应无影响焊接质量的裂缝、气泡、杂质、剥落、凸节、破头等缺陷；</w:t>
      </w:r>
    </w:p>
    <w:p>
      <w:pPr>
        <w:pStyle w:val="114"/>
      </w:pPr>
      <w:r>
        <w:rPr>
          <w:rFonts w:hint="eastAsia"/>
        </w:rPr>
        <w:t>焊芯端面应露出，露芯部分应无明显锈蚀，引弧端药皮应倒角；</w:t>
      </w:r>
    </w:p>
    <w:p>
      <w:pPr>
        <w:pStyle w:val="114"/>
      </w:pPr>
      <w:r>
        <w:rPr>
          <w:rFonts w:hint="eastAsia"/>
        </w:rPr>
        <w:t>焊条夹持端应无药皮，且焊芯的伸出长度约20mm左右；</w:t>
      </w:r>
    </w:p>
    <w:p>
      <w:pPr>
        <w:pStyle w:val="114"/>
      </w:pPr>
      <w:r>
        <w:rPr>
          <w:rFonts w:hint="eastAsia"/>
        </w:rPr>
        <w:t>焊条药皮应具有耐潮性；</w:t>
      </w:r>
    </w:p>
    <w:p>
      <w:pPr>
        <w:pStyle w:val="114"/>
      </w:pPr>
      <w:r>
        <w:rPr>
          <w:rFonts w:hint="eastAsia"/>
        </w:rPr>
        <w:t>焊条端部的引弧剂不应开裂或脱落。</w:t>
      </w:r>
    </w:p>
    <w:p>
      <w:pPr>
        <w:pStyle w:val="179"/>
      </w:pPr>
      <w:r>
        <w:rPr>
          <w:rFonts w:hint="eastAsia"/>
        </w:rPr>
        <w:t>焊丝的外观应满足下列要求：</w:t>
      </w:r>
    </w:p>
    <w:p>
      <w:pPr>
        <w:pStyle w:val="114"/>
        <w:numPr>
          <w:ilvl w:val="1"/>
          <w:numId w:val="79"/>
        </w:numPr>
      </w:pPr>
      <w:r>
        <w:rPr>
          <w:rFonts w:hint="eastAsia"/>
        </w:rPr>
        <w:t>焊丝表面应光滑、清洁，无毛刺、划痕、锈蚀和氧化皮等；</w:t>
      </w:r>
    </w:p>
    <w:p>
      <w:pPr>
        <w:pStyle w:val="114"/>
      </w:pPr>
      <w:r>
        <w:rPr>
          <w:rFonts w:hint="eastAsia"/>
        </w:rPr>
        <w:t>焊丝表面的镀铜层应均匀牢固，无起麟、剥离现象；</w:t>
      </w:r>
    </w:p>
    <w:p>
      <w:pPr>
        <w:pStyle w:val="114"/>
      </w:pPr>
      <w:r>
        <w:rPr>
          <w:rFonts w:hint="eastAsia"/>
        </w:rPr>
        <w:t>焊丝盘采用层绕时，不应影响焊丝在送丝机构中的顺利送进。</w:t>
      </w:r>
    </w:p>
    <w:p>
      <w:pPr>
        <w:pStyle w:val="179"/>
      </w:pPr>
      <w:r>
        <w:rPr>
          <w:rFonts w:hint="eastAsia"/>
        </w:rPr>
        <w:t>焊接用气体应符合下列规定：</w:t>
      </w:r>
    </w:p>
    <w:p>
      <w:pPr>
        <w:pStyle w:val="114"/>
        <w:numPr>
          <w:ilvl w:val="1"/>
          <w:numId w:val="80"/>
        </w:numPr>
      </w:pPr>
      <w:r>
        <w:rPr>
          <w:rFonts w:hint="eastAsia"/>
        </w:rPr>
        <w:t>氩气应满足焊接要求，碳钢和低合金钢氩弧焊时氩气纯度应不低于99.96%，不锈钢氩弧焊时氩气纯度应不低于99.99%，氩气含水量体积分数应不大于40×10－6。气瓶中的剩余压力应不低于0.5MPa；</w:t>
      </w:r>
    </w:p>
    <w:p>
      <w:pPr>
        <w:pStyle w:val="114"/>
      </w:pPr>
      <w:r>
        <w:rPr>
          <w:rFonts w:hint="eastAsia"/>
        </w:rPr>
        <w:t>二氧化碳气体保护焊采用的二氧化碳气体纯度应不低于99.5%，含水量体积分数应不大于120×10－6。气瓶中的剩余压力应不低于0.5MPa；</w:t>
      </w:r>
    </w:p>
    <w:p>
      <w:pPr>
        <w:pStyle w:val="114"/>
      </w:pPr>
      <w:r>
        <w:rPr>
          <w:rFonts w:hint="eastAsia"/>
        </w:rPr>
        <w:t>氧气纯度应不低于99.5%，氧气含水量体积分数应不大于40×10－6。气瓶中的剩余压力应不低于0.5MPa。</w:t>
      </w:r>
    </w:p>
    <w:p>
      <w:pPr>
        <w:pStyle w:val="110"/>
        <w:spacing w:before="120" w:after="120"/>
      </w:pPr>
      <w:bookmarkStart w:id="183" w:name="_Toc209114081"/>
      <w:r>
        <w:rPr>
          <w:rFonts w:hint="eastAsia"/>
        </w:rPr>
        <w:t>材料贮存</w:t>
      </w:r>
      <w:bookmarkEnd w:id="183"/>
    </w:p>
    <w:p>
      <w:pPr>
        <w:pStyle w:val="170"/>
      </w:pPr>
      <w:r>
        <w:rPr>
          <w:rFonts w:hint="eastAsia"/>
        </w:rPr>
        <w:t>材料的储存应满足下列要求：</w:t>
      </w:r>
    </w:p>
    <w:p>
      <w:pPr>
        <w:pStyle w:val="179"/>
        <w:numPr>
          <w:ilvl w:val="0"/>
          <w:numId w:val="81"/>
        </w:numPr>
      </w:pPr>
      <w:r>
        <w:rPr>
          <w:rFonts w:hint="eastAsia"/>
        </w:rPr>
        <w:t>钢管和防腐管应分规格、材质分层同向码垛，分开堆放，最高不应超过3m。底层钢管应垫有软质材料，并应有防变形措施和防滑措施。垫起高度宜为堆放高度应保证钢管不失稳变形，且200mm以上；</w:t>
      </w:r>
    </w:p>
    <w:p>
      <w:pPr>
        <w:pStyle w:val="179"/>
      </w:pPr>
      <w:r>
        <w:rPr>
          <w:rFonts w:hint="eastAsia"/>
        </w:rPr>
        <w:t>焊条、焊丝、焊剂应储存在清洁干燥的库房内，距墙面及地面不应小于300mm，储存环境的温度应不低于5℃，相对湿度应不大于60%。施工现场的焊接材料贮存场所及烘干、去污设施，应符合JB/T 3223的规定，并应建立保管、烘干、发放制度；</w:t>
      </w:r>
    </w:p>
    <w:p>
      <w:pPr>
        <w:pStyle w:val="179"/>
      </w:pPr>
      <w:r>
        <w:rPr>
          <w:rFonts w:hint="eastAsia"/>
        </w:rPr>
        <w:t>各类防腐、保温材料应在规定的储存温度条件下，采用分区和标识等方法对不同组别、有效期等分类存放，易挥发的材料密闭存放，库房应保持干燥、通风。防止明火和静电产生，应防止曝晒和雨淋。</w:t>
      </w:r>
    </w:p>
    <w:p>
      <w:pPr>
        <w:pStyle w:val="179"/>
      </w:pPr>
      <w:r>
        <w:rPr>
          <w:rFonts w:hint="eastAsia"/>
        </w:rPr>
        <w:t>温材料不应在露天堆放，应防止水浸泡。</w:t>
      </w:r>
    </w:p>
    <w:p>
      <w:pPr>
        <w:pStyle w:val="170"/>
      </w:pPr>
      <w:r>
        <w:rPr>
          <w:rFonts w:hint="eastAsia"/>
        </w:rPr>
        <w:t>管道组成件及管道支撑件在施工过程中应妥善保管，不应混淆或损坏。不锈钢、有色金属的管道组成件及管道支撑件在储存期间不应与碳钢、低合金钢接触。</w:t>
      </w:r>
    </w:p>
    <w:p>
      <w:pPr>
        <w:pStyle w:val="170"/>
      </w:pPr>
      <w:r>
        <w:rPr>
          <w:rFonts w:hint="eastAsia"/>
        </w:rPr>
        <w:t>管道及管道元件的储存应满足下列要求：</w:t>
      </w:r>
    </w:p>
    <w:p>
      <w:pPr>
        <w:pStyle w:val="179"/>
        <w:numPr>
          <w:ilvl w:val="0"/>
          <w:numId w:val="82"/>
        </w:numPr>
      </w:pPr>
      <w:r>
        <w:rPr>
          <w:rFonts w:hint="eastAsia"/>
        </w:rPr>
        <w:t>管件应分类存放，应防止管件的坡口损伤；</w:t>
      </w:r>
    </w:p>
    <w:p>
      <w:pPr>
        <w:pStyle w:val="179"/>
      </w:pPr>
      <w:r>
        <w:rPr>
          <w:rFonts w:hint="eastAsia"/>
        </w:rPr>
        <w:t>弯头、弯管、异径管、三通应采取防锈措施；</w:t>
      </w:r>
    </w:p>
    <w:p>
      <w:pPr>
        <w:pStyle w:val="179"/>
      </w:pPr>
      <w:r>
        <w:rPr>
          <w:rFonts w:hint="eastAsia"/>
        </w:rPr>
        <w:t>绝缘接头、绝缘法兰、法兰、垫片、盲板等应存放在库房中并加以保护，并使法兰的密封面不受损伤。</w:t>
      </w:r>
    </w:p>
    <w:p>
      <w:pPr>
        <w:pStyle w:val="170"/>
      </w:pPr>
      <w:r>
        <w:rPr>
          <w:rFonts w:hint="eastAsia"/>
        </w:rPr>
        <w:t>阀门宜原包装存放。撬内设备存放地点宜在适宜吊装的安装现场。安装前端口应处于封闭状态，随机工具、备件、资料应妥善保存。</w:t>
      </w:r>
    </w:p>
    <w:p>
      <w:pPr>
        <w:pStyle w:val="110"/>
        <w:spacing w:before="120" w:after="120"/>
      </w:pPr>
      <w:bookmarkStart w:id="184" w:name="_Toc209114082"/>
      <w:r>
        <w:rPr>
          <w:rFonts w:hint="eastAsia"/>
        </w:rPr>
        <w:t>下料与加工</w:t>
      </w:r>
      <w:bookmarkEnd w:id="184"/>
    </w:p>
    <w:p>
      <w:pPr>
        <w:pStyle w:val="170"/>
      </w:pPr>
      <w:r>
        <w:rPr>
          <w:rFonts w:hint="eastAsia"/>
        </w:rPr>
        <w:t>下料</w:t>
      </w:r>
    </w:p>
    <w:p>
      <w:pPr>
        <w:pStyle w:val="169"/>
      </w:pPr>
      <w:r>
        <w:rPr>
          <w:rFonts w:hint="eastAsia"/>
        </w:rPr>
        <w:t>管道元件及材料的切割加工可采用冷切割或热切割方法。如采用热切割方法，切割后应采用机械加工或打磨方法清除表面熔渣和影响管道焊接质量的表面层。</w:t>
      </w:r>
    </w:p>
    <w:p>
      <w:pPr>
        <w:pStyle w:val="169"/>
      </w:pPr>
      <w:r>
        <w:rPr>
          <w:rFonts w:hint="eastAsia"/>
        </w:rPr>
        <w:t>非合金钢、低合金钢可采用机械加工方法或火焰切割方法切割和制备坡口。</w:t>
      </w:r>
    </w:p>
    <w:p>
      <w:pPr>
        <w:pStyle w:val="169"/>
      </w:pPr>
      <w:r>
        <w:rPr>
          <w:rFonts w:hint="eastAsia"/>
        </w:rPr>
        <w:t>不锈钢应采用机械加工或等离子切割方法切割和制备坡口。不锈钢、镍及镍合金采用砂轮切割或修磨时，应使用专用砂轮片。</w:t>
      </w:r>
    </w:p>
    <w:p>
      <w:pPr>
        <w:pStyle w:val="169"/>
      </w:pPr>
      <w:r>
        <w:rPr>
          <w:rFonts w:hint="eastAsia"/>
        </w:rPr>
        <w:t>钢管切口质量应满足下列要求：</w:t>
      </w:r>
    </w:p>
    <w:p>
      <w:pPr>
        <w:pStyle w:val="179"/>
        <w:numPr>
          <w:ilvl w:val="0"/>
          <w:numId w:val="83"/>
        </w:numPr>
      </w:pPr>
      <w:r>
        <w:rPr>
          <w:rFonts w:hint="eastAsia"/>
        </w:rPr>
        <w:t>切口表面应平整，无裂纹、重皮、毛刺、凹凸、缩口、熔渣、氧化物、铁屑等；</w:t>
      </w:r>
    </w:p>
    <w:p>
      <w:pPr>
        <w:pStyle w:val="179"/>
      </w:pPr>
      <w:r>
        <w:rPr>
          <w:rFonts w:hint="eastAsia"/>
        </w:rPr>
        <w:t>切口端面倾斜偏差△（图</w:t>
      </w:r>
      <w:r>
        <w:t>3</w:t>
      </w:r>
      <w:r>
        <w:rPr>
          <w:rFonts w:hint="eastAsia"/>
        </w:rPr>
        <w:t>）应不大于钢管外径的1%，且最大不超过3mm。</w:t>
      </w:r>
    </w:p>
    <w:p>
      <w:pPr>
        <w:pStyle w:val="169"/>
        <w:numPr>
          <w:ilvl w:val="0"/>
          <w:numId w:val="0"/>
        </w:numPr>
        <w:jc w:val="center"/>
      </w:pPr>
      <w:r>
        <w:drawing>
          <wp:inline distT="0" distB="0" distL="0" distR="0">
            <wp:extent cx="1933575" cy="132397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933575" cy="1323975"/>
                    </a:xfrm>
                    <a:prstGeom prst="rect">
                      <a:avLst/>
                    </a:prstGeom>
                    <a:noFill/>
                  </pic:spPr>
                </pic:pic>
              </a:graphicData>
            </a:graphic>
          </wp:inline>
        </w:drawing>
      </w:r>
    </w:p>
    <w:p>
      <w:pPr>
        <w:pStyle w:val="119"/>
        <w:spacing w:before="120" w:after="120"/>
      </w:pPr>
      <w:r>
        <w:rPr>
          <w:rFonts w:hint="eastAsia"/>
        </w:rPr>
        <w:t>切口端面倾斜偏差</w:t>
      </w:r>
    </w:p>
    <w:p>
      <w:pPr>
        <w:pStyle w:val="169"/>
      </w:pPr>
      <w:r>
        <w:rPr>
          <w:rFonts w:hint="eastAsia"/>
        </w:rPr>
        <w:t>钢管弯曲时，使用前应校直，其直线度每米允许偏差1.5mm，全长允许偏差5mm；</w:t>
      </w:r>
    </w:p>
    <w:p>
      <w:pPr>
        <w:pStyle w:val="169"/>
      </w:pPr>
      <w:r>
        <w:rPr>
          <w:rFonts w:hint="eastAsia"/>
        </w:rPr>
        <w:t>管端的坡口型式及组对尺寸应满足设计要求和焊接工艺规程的规定，无要求时宜符合附录C的规定；</w:t>
      </w:r>
    </w:p>
    <w:p>
      <w:pPr>
        <w:pStyle w:val="170"/>
      </w:pPr>
      <w:r>
        <w:rPr>
          <w:rFonts w:hint="eastAsia"/>
        </w:rPr>
        <w:t>管件加工</w:t>
      </w:r>
    </w:p>
    <w:p>
      <w:pPr>
        <w:pStyle w:val="169"/>
      </w:pPr>
      <w:r>
        <w:rPr>
          <w:rFonts w:hint="eastAsia"/>
        </w:rPr>
        <w:t>Π形管件的平面度允许偏差△（图</w:t>
      </w:r>
      <w:r>
        <w:t>4</w:t>
      </w:r>
      <w:r>
        <w:rPr>
          <w:rFonts w:hint="eastAsia"/>
        </w:rPr>
        <w:t>）应符合表</w:t>
      </w:r>
      <w:r>
        <w:t>13</w:t>
      </w:r>
      <w:r>
        <w:rPr>
          <w:rFonts w:hint="eastAsia"/>
        </w:rPr>
        <w:t>的要求。</w:t>
      </w:r>
    </w:p>
    <w:p>
      <w:pPr>
        <w:pStyle w:val="170"/>
        <w:numPr>
          <w:ilvl w:val="0"/>
          <w:numId w:val="0"/>
        </w:numPr>
        <w:ind w:left="142"/>
        <w:jc w:val="center"/>
      </w:pPr>
      <w:r>
        <w:drawing>
          <wp:inline distT="0" distB="0" distL="0" distR="0">
            <wp:extent cx="3323590" cy="15716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323590" cy="1571625"/>
                    </a:xfrm>
                    <a:prstGeom prst="rect">
                      <a:avLst/>
                    </a:prstGeom>
                    <a:noFill/>
                  </pic:spPr>
                </pic:pic>
              </a:graphicData>
            </a:graphic>
          </wp:inline>
        </w:drawing>
      </w:r>
    </w:p>
    <w:p>
      <w:pPr>
        <w:pStyle w:val="119"/>
        <w:spacing w:before="120" w:after="120"/>
      </w:pPr>
      <w:r>
        <w:rPr>
          <w:rFonts w:hint="eastAsia"/>
        </w:rPr>
        <w:t>Π形弯管平面度允许偏差Δ</w:t>
      </w:r>
    </w:p>
    <w:p>
      <w:pPr>
        <w:pStyle w:val="117"/>
        <w:spacing w:before="120" w:after="120"/>
      </w:pPr>
      <w:r>
        <w:rPr>
          <w:rFonts w:hint="eastAsia"/>
        </w:rPr>
        <w:t>Π形弯管的平面度Δ允许偏差             单位为毫米</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701"/>
        <w:gridCol w:w="1951"/>
        <w:gridCol w:w="1734"/>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55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hint="eastAsia" w:ascii="宋体" w:hAnsi="宋体"/>
                <w:sz w:val="18"/>
                <w:szCs w:val="18"/>
              </w:rPr>
              <w:t>长度</w:t>
            </w: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hint="eastAsia" w:ascii="宋体" w:hAnsi="宋体"/>
                <w:sz w:val="18"/>
                <w:szCs w:val="18"/>
              </w:rPr>
              <w:t>＜500</w:t>
            </w:r>
          </w:p>
        </w:tc>
        <w:tc>
          <w:tcPr>
            <w:tcW w:w="195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hint="eastAsia" w:ascii="宋体" w:hAnsi="宋体"/>
                <w:sz w:val="18"/>
                <w:szCs w:val="18"/>
              </w:rPr>
              <w:t>500～1000</w:t>
            </w:r>
          </w:p>
        </w:tc>
        <w:tc>
          <w:tcPr>
            <w:tcW w:w="173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hint="eastAsia" w:ascii="宋体" w:hAnsi="宋体"/>
                <w:sz w:val="18"/>
                <w:szCs w:val="18"/>
              </w:rPr>
              <w:t>＞1000～1500</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hint="eastAsia" w:ascii="宋体" w:hAnsi="宋体"/>
                <w:sz w:val="18"/>
                <w:szCs w:val="18"/>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hint="eastAsia" w:ascii="宋体" w:hAnsi="宋体"/>
                <w:sz w:val="18"/>
                <w:szCs w:val="18"/>
              </w:rPr>
              <w:t>平面度</w:t>
            </w: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hint="eastAsia" w:ascii="宋体" w:hAnsi="宋体"/>
                <w:sz w:val="18"/>
                <w:szCs w:val="18"/>
              </w:rPr>
              <w:t>≤3</w:t>
            </w:r>
          </w:p>
        </w:tc>
        <w:tc>
          <w:tcPr>
            <w:tcW w:w="195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hint="eastAsia" w:ascii="宋体" w:hAnsi="宋体"/>
                <w:sz w:val="18"/>
                <w:szCs w:val="18"/>
              </w:rPr>
              <w:t>≤4</w:t>
            </w:r>
          </w:p>
        </w:tc>
        <w:tc>
          <w:tcPr>
            <w:tcW w:w="173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hint="eastAsia" w:ascii="宋体" w:hAnsi="宋体"/>
                <w:sz w:val="18"/>
                <w:szCs w:val="18"/>
              </w:rPr>
              <w:t>≤6</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18"/>
                <w:szCs w:val="18"/>
              </w:rPr>
            </w:pPr>
            <w:r>
              <w:rPr>
                <w:rFonts w:hint="eastAsia" w:ascii="宋体" w:hAnsi="宋体"/>
                <w:sz w:val="18"/>
                <w:szCs w:val="18"/>
              </w:rPr>
              <w:t>≤10</w:t>
            </w:r>
          </w:p>
        </w:tc>
      </w:tr>
    </w:tbl>
    <w:p>
      <w:pPr>
        <w:pStyle w:val="61"/>
        <w:ind w:firstLine="420"/>
      </w:pPr>
    </w:p>
    <w:p>
      <w:pPr>
        <w:pStyle w:val="169"/>
      </w:pPr>
      <w:r>
        <w:rPr>
          <w:rFonts w:hint="eastAsia"/>
        </w:rPr>
        <w:t>汇管的制作及其质量应满足CPI汇管团标中的要求。</w:t>
      </w:r>
    </w:p>
    <w:p>
      <w:pPr>
        <w:pStyle w:val="170"/>
      </w:pPr>
      <w:r>
        <w:rPr>
          <w:rFonts w:hint="eastAsia"/>
        </w:rPr>
        <w:t>预制管段</w:t>
      </w:r>
    </w:p>
    <w:p>
      <w:pPr>
        <w:pStyle w:val="169"/>
      </w:pPr>
      <w:r>
        <w:rPr>
          <w:rFonts w:hint="eastAsia"/>
        </w:rPr>
        <w:t>预制管段应设立预制区，宜采用具有钢管切割、坡口加工、组对、机动焊工艺的设备进行预制作业。管道单元组对宜在清洁的钢制平台上进行。平台尺寸应大于管道预制件的最大尺寸。管道焊接宜采用机动焊工艺。</w:t>
      </w:r>
    </w:p>
    <w:p>
      <w:pPr>
        <w:pStyle w:val="169"/>
      </w:pPr>
      <w:r>
        <w:rPr>
          <w:rFonts w:hint="eastAsia"/>
        </w:rPr>
        <w:t>管道单元预制应按设计文件的单线图或三维图规定的数量、规格、材质选配管道附件，并应按单线图或三维图标明管道系统号和按预制顺序标明各组成件的顺序号。</w:t>
      </w:r>
    </w:p>
    <w:p>
      <w:pPr>
        <w:pStyle w:val="169"/>
      </w:pPr>
      <w:r>
        <w:rPr>
          <w:rFonts w:hint="eastAsia"/>
        </w:rPr>
        <w:t>当采用管道单元预制时，应符合下列规定：</w:t>
      </w:r>
    </w:p>
    <w:p>
      <w:pPr>
        <w:pStyle w:val="179"/>
        <w:numPr>
          <w:ilvl w:val="0"/>
          <w:numId w:val="84"/>
        </w:numPr>
      </w:pPr>
      <w:r>
        <w:rPr>
          <w:rFonts w:hint="eastAsia"/>
        </w:rPr>
        <w:t>自由管段和封闭管段的选择应满足现场运输吊装和安装的条件，封闭管段应按现场实测后的安装长度加工；</w:t>
      </w:r>
    </w:p>
    <w:p>
      <w:pPr>
        <w:pStyle w:val="179"/>
      </w:pPr>
      <w:r>
        <w:rPr>
          <w:rFonts w:hint="eastAsia"/>
        </w:rPr>
        <w:t>自由管段的长度加工尺寸允许偏差应为±10mm；</w:t>
      </w:r>
    </w:p>
    <w:p>
      <w:pPr>
        <w:pStyle w:val="179"/>
      </w:pPr>
      <w:r>
        <w:rPr>
          <w:rFonts w:hint="eastAsia"/>
        </w:rPr>
        <w:t>封闭管段的长度加工尺寸允许偏差应为±1.5mm。</w:t>
      </w:r>
    </w:p>
    <w:p>
      <w:pPr>
        <w:pStyle w:val="169"/>
      </w:pPr>
      <w:r>
        <w:rPr>
          <w:rFonts w:hint="eastAsia"/>
        </w:rPr>
        <w:t>当采用组合件预制时，应符合下列规定：</w:t>
      </w:r>
    </w:p>
    <w:p>
      <w:pPr>
        <w:pStyle w:val="179"/>
        <w:numPr>
          <w:ilvl w:val="0"/>
          <w:numId w:val="85"/>
        </w:numPr>
      </w:pPr>
      <w:r>
        <w:rPr>
          <w:rFonts w:hint="eastAsia"/>
        </w:rPr>
        <w:t>管件组合的每个方向总长度尺寸允许偏差应为±5mm；</w:t>
      </w:r>
    </w:p>
    <w:p>
      <w:pPr>
        <w:pStyle w:val="179"/>
      </w:pPr>
      <w:r>
        <w:rPr>
          <w:rFonts w:hint="eastAsia"/>
        </w:rPr>
        <w:t>管件组合的间距尺寸允许偏差应为±3mm；</w:t>
      </w:r>
    </w:p>
    <w:p>
      <w:pPr>
        <w:pStyle w:val="179"/>
      </w:pPr>
      <w:r>
        <w:rPr>
          <w:rFonts w:hint="eastAsia"/>
        </w:rPr>
        <w:t>管件组合的角度尺寸允许偏差每米应为±3mm，管端尺寸最大允许偏差应为±10mm；</w:t>
      </w:r>
    </w:p>
    <w:p>
      <w:pPr>
        <w:pStyle w:val="179"/>
      </w:pPr>
      <w:r>
        <w:rPr>
          <w:rFonts w:hint="eastAsia"/>
        </w:rPr>
        <w:t>管件组合的支管和主管横向的中心尺寸允许偏差应为±1.5mm。</w:t>
      </w:r>
    </w:p>
    <w:p>
      <w:pPr>
        <w:pStyle w:val="169"/>
      </w:pPr>
      <w:r>
        <w:rPr>
          <w:rFonts w:hint="eastAsia"/>
        </w:rPr>
        <w:t>预制完毕的管段，应使用压缩空气将内部清理干净，并应及时封闭管口。</w:t>
      </w:r>
    </w:p>
    <w:p>
      <w:pPr>
        <w:pStyle w:val="170"/>
      </w:pPr>
      <w:r>
        <w:rPr>
          <w:rFonts w:hint="eastAsia"/>
        </w:rPr>
        <w:t>钢结构制造</w:t>
      </w:r>
    </w:p>
    <w:p>
      <w:pPr>
        <w:pStyle w:val="169"/>
      </w:pPr>
      <w:r>
        <w:rPr>
          <w:rFonts w:hint="eastAsia"/>
        </w:rPr>
        <w:t>撬座的制造应符合下列要求：</w:t>
      </w:r>
    </w:p>
    <w:p>
      <w:pPr>
        <w:pStyle w:val="179"/>
        <w:numPr>
          <w:ilvl w:val="0"/>
          <w:numId w:val="86"/>
        </w:numPr>
      </w:pPr>
      <w:r>
        <w:rPr>
          <w:rFonts w:hint="eastAsia"/>
        </w:rPr>
        <w:t>撬座应按GB 50205进行制造、检验和验收；</w:t>
      </w:r>
    </w:p>
    <w:p>
      <w:pPr>
        <w:pStyle w:val="179"/>
      </w:pPr>
      <w:r>
        <w:rPr>
          <w:rFonts w:hint="eastAsia"/>
        </w:rPr>
        <w:t>撬座应为结构钢焊接结构，对接梁应双面焊接。正交钢板构件之间的焊接接头至少应为最小构件深度的1/3；</w:t>
      </w:r>
    </w:p>
    <w:p>
      <w:pPr>
        <w:pStyle w:val="179"/>
      </w:pPr>
      <w:r>
        <w:rPr>
          <w:rFonts w:hint="eastAsia"/>
        </w:rPr>
        <w:t>结构钢制造的撬座应有足够的强度；</w:t>
      </w:r>
    </w:p>
    <w:p>
      <w:pPr>
        <w:pStyle w:val="179"/>
      </w:pPr>
      <w:r>
        <w:rPr>
          <w:rFonts w:hint="eastAsia"/>
        </w:rPr>
        <w:t>撬座上应设置若干吊耳。每个吊耳的孔眼直径最小为50mm，且能承受全部机组重量；</w:t>
      </w:r>
    </w:p>
    <w:p>
      <w:pPr>
        <w:pStyle w:val="179"/>
      </w:pPr>
      <w:r>
        <w:rPr>
          <w:rFonts w:hint="eastAsia"/>
        </w:rPr>
        <w:t>吊耳与撬座相焊应采用双面连续焊缝。</w:t>
      </w:r>
    </w:p>
    <w:p>
      <w:pPr>
        <w:pStyle w:val="169"/>
      </w:pPr>
      <w:r>
        <w:rPr>
          <w:rFonts w:hint="eastAsia"/>
        </w:rPr>
        <w:t>梯子平台的制造应符合下列要求：</w:t>
      </w:r>
    </w:p>
    <w:p>
      <w:pPr>
        <w:pStyle w:val="179"/>
        <w:numPr>
          <w:ilvl w:val="0"/>
          <w:numId w:val="87"/>
        </w:numPr>
      </w:pPr>
      <w:r>
        <w:rPr>
          <w:rFonts w:hint="eastAsia"/>
        </w:rPr>
        <w:t>梯子平台按GB 50205进行制造、检验和验收；</w:t>
      </w:r>
    </w:p>
    <w:p>
      <w:pPr>
        <w:pStyle w:val="179"/>
      </w:pPr>
      <w:r>
        <w:rPr>
          <w:rFonts w:hint="eastAsia"/>
        </w:rPr>
        <w:t>梯子平台支撑应采用型钢、钢板或钢板组焊成T型钢制作，焊接时必须牢固可靠；</w:t>
      </w:r>
    </w:p>
    <w:p>
      <w:pPr>
        <w:pStyle w:val="179"/>
      </w:pPr>
      <w:r>
        <w:rPr>
          <w:rFonts w:hint="eastAsia"/>
        </w:rPr>
        <w:t>钢直梯、斜梯、平台宜采用焊接连接，所有构件表面应光滑无毛刺。安装后不应有歪斜、扭曲、变形及其他缺陷。</w:t>
      </w:r>
    </w:p>
    <w:p>
      <w:pPr>
        <w:pStyle w:val="110"/>
        <w:spacing w:before="120" w:after="120"/>
      </w:pPr>
      <w:bookmarkStart w:id="185" w:name="_Toc209114083"/>
      <w:r>
        <w:rPr>
          <w:rFonts w:hint="eastAsia"/>
        </w:rPr>
        <w:t>组装</w:t>
      </w:r>
      <w:bookmarkEnd w:id="185"/>
    </w:p>
    <w:p>
      <w:pPr>
        <w:pStyle w:val="170"/>
      </w:pPr>
      <w:r>
        <w:rPr>
          <w:rFonts w:hint="eastAsia"/>
        </w:rPr>
        <w:t>一般规定</w:t>
      </w:r>
    </w:p>
    <w:p>
      <w:pPr>
        <w:pStyle w:val="169"/>
      </w:pPr>
      <w:r>
        <w:rPr>
          <w:rFonts w:hint="eastAsia"/>
        </w:rPr>
        <w:t>撬装设备内管道、阀门和管件的安装应符合GB/T 50540的规定。</w:t>
      </w:r>
    </w:p>
    <w:p>
      <w:pPr>
        <w:pStyle w:val="169"/>
      </w:pPr>
      <w:r>
        <w:rPr>
          <w:rFonts w:hint="eastAsia"/>
        </w:rPr>
        <w:t>设备、阀门、流量计、预制管段、撬座、支吊架、电气仪表制作和检验合格后，进行集成撬装；</w:t>
      </w:r>
    </w:p>
    <w:p>
      <w:pPr>
        <w:pStyle w:val="169"/>
      </w:pPr>
      <w:r>
        <w:rPr>
          <w:rFonts w:hint="eastAsia"/>
        </w:rPr>
        <w:t>撬装设备组对时，主设备在撬座上完成安装后，再安装管道、管道附件及电气仪表等。</w:t>
      </w:r>
    </w:p>
    <w:p>
      <w:pPr>
        <w:pStyle w:val="170"/>
      </w:pPr>
      <w:r>
        <w:rPr>
          <w:rFonts w:hint="eastAsia"/>
        </w:rPr>
        <w:t>管道组装</w:t>
      </w:r>
    </w:p>
    <w:p>
      <w:pPr>
        <w:pStyle w:val="169"/>
      </w:pPr>
      <w:r>
        <w:rPr>
          <w:rFonts w:hint="eastAsia"/>
        </w:rPr>
        <w:t>应避免管道在组装过程中产生附加应力和减少内应力。</w:t>
      </w:r>
    </w:p>
    <w:p>
      <w:pPr>
        <w:pStyle w:val="169"/>
      </w:pPr>
      <w:r>
        <w:rPr>
          <w:rFonts w:hint="eastAsia"/>
        </w:rPr>
        <w:t>不同内径的法兰与钢管对口要有过渡段。管件应具有垂直的端口，允许两个无缝管件可直接对焊，不允许与平焊法兰对焊。如有缝管焊接，焊缝要求错开100mm。</w:t>
      </w:r>
    </w:p>
    <w:p>
      <w:pPr>
        <w:pStyle w:val="169"/>
      </w:pPr>
      <w:r>
        <w:rPr>
          <w:rFonts w:hint="eastAsia"/>
        </w:rPr>
        <w:t>在钢管组对中，要注意均匀错边，不允许单边错边。</w:t>
      </w:r>
    </w:p>
    <w:p>
      <w:pPr>
        <w:pStyle w:val="169"/>
      </w:pPr>
      <w:r>
        <w:rPr>
          <w:rFonts w:hint="eastAsia"/>
        </w:rPr>
        <w:t>异径管直径应与其相连接管段一致，错边量不应大于1.5mm。</w:t>
      </w:r>
    </w:p>
    <w:p>
      <w:pPr>
        <w:pStyle w:val="169"/>
      </w:pPr>
      <w:r>
        <w:rPr>
          <w:rFonts w:hint="eastAsia"/>
        </w:rPr>
        <w:t>钢管端口圆度超标时应进行校圆。校圆时宜采用整形器调整，不应用锤击方法进行调整。</w:t>
      </w:r>
    </w:p>
    <w:p>
      <w:pPr>
        <w:pStyle w:val="169"/>
      </w:pPr>
      <w:r>
        <w:rPr>
          <w:rFonts w:hint="eastAsia"/>
        </w:rPr>
        <w:t>管子组对管子对口时应在距接口中心200mm处测量平直度，当管子公称尺寸小于100mm时，允许偏差为1mm；当管子公称尺寸大于或等于100mm时，允许偏差为2mm，且全长允许偏差均为10mm。</w:t>
      </w:r>
    </w:p>
    <w:p>
      <w:pPr>
        <w:pStyle w:val="169"/>
      </w:pPr>
      <w:r>
        <w:rPr>
          <w:rFonts w:hint="eastAsia"/>
        </w:rPr>
        <w:t>法兰与管道连接时，应同心，螺栓能自由穿入。法兰螺栓孔应跨中布置。法兰平面之间应保持平行，其偏差不得大于法兰外径的0.15%，且不得大于2mm。法兰接头的歪斜不得用强紧螺栓的方法消除。</w:t>
      </w:r>
    </w:p>
    <w:p>
      <w:pPr>
        <w:pStyle w:val="170"/>
      </w:pPr>
      <w:r>
        <w:rPr>
          <w:rFonts w:hint="eastAsia"/>
        </w:rPr>
        <w:t>阀门安装</w:t>
      </w:r>
    </w:p>
    <w:p>
      <w:pPr>
        <w:pStyle w:val="169"/>
      </w:pPr>
      <w:r>
        <w:rPr>
          <w:rFonts w:hint="eastAsia"/>
        </w:rPr>
        <w:t>阀门吊装时，应在阀体吊耳上吊装，不应以手柄或其它附件作为吊点。</w:t>
      </w:r>
    </w:p>
    <w:p>
      <w:pPr>
        <w:pStyle w:val="169"/>
      </w:pPr>
      <w:r>
        <w:rPr>
          <w:rFonts w:hint="eastAsia"/>
        </w:rPr>
        <w:t>阀门与管道以焊接方式连接时，阀门不应关闭，根焊宜采用氩弧焊。</w:t>
      </w:r>
    </w:p>
    <w:p>
      <w:pPr>
        <w:pStyle w:val="169"/>
      </w:pPr>
      <w:r>
        <w:rPr>
          <w:rFonts w:hint="eastAsia"/>
        </w:rPr>
        <w:t>阀门安装时，按介质流向确定阀门的安装方向，避免强力安装。</w:t>
      </w:r>
    </w:p>
    <w:p>
      <w:pPr>
        <w:pStyle w:val="169"/>
      </w:pPr>
      <w:r>
        <w:rPr>
          <w:rFonts w:hint="eastAsia"/>
        </w:rPr>
        <w:t>阀门手轮或手柄不应向下安装，阀板通常不宜水平安装。</w:t>
      </w:r>
    </w:p>
    <w:p>
      <w:pPr>
        <w:pStyle w:val="169"/>
      </w:pPr>
      <w:r>
        <w:rPr>
          <w:rFonts w:hint="eastAsia"/>
        </w:rPr>
        <w:t>避免在安装过程中损坏阀门操作机构和传动装置，及时进行检查，消除隐患。</w:t>
      </w:r>
    </w:p>
    <w:p>
      <w:pPr>
        <w:pStyle w:val="169"/>
      </w:pPr>
      <w:r>
        <w:rPr>
          <w:rFonts w:hint="eastAsia"/>
        </w:rPr>
        <w:t>调节阀的安装应符合下列要求：</w:t>
      </w:r>
    </w:p>
    <w:p>
      <w:pPr>
        <w:pStyle w:val="179"/>
        <w:numPr>
          <w:ilvl w:val="0"/>
          <w:numId w:val="88"/>
        </w:numPr>
      </w:pPr>
      <w:r>
        <w:rPr>
          <w:rFonts w:hint="eastAsia"/>
        </w:rPr>
        <w:t>调节阀的安装位置应满足技术文件的要求，并宜靠近与其相关的一次指示仪表；</w:t>
      </w:r>
    </w:p>
    <w:p>
      <w:pPr>
        <w:pStyle w:val="179"/>
      </w:pPr>
      <w:r>
        <w:rPr>
          <w:rFonts w:hint="eastAsia"/>
        </w:rPr>
        <w:t>调节阀应正立垂直安装于水平管道上，特殊情况下方可水平或倾斜安装，必要时需要设置支撑；</w:t>
      </w:r>
    </w:p>
    <w:p>
      <w:pPr>
        <w:pStyle w:val="179"/>
      </w:pPr>
      <w:r>
        <w:rPr>
          <w:rFonts w:hint="eastAsia"/>
        </w:rPr>
        <w:t>对于反装阀芯的单双座调节阀，在阀体下方留出不小于250mm抽阀芯的空间；</w:t>
      </w:r>
    </w:p>
    <w:p>
      <w:pPr>
        <w:pStyle w:val="179"/>
      </w:pPr>
      <w:r>
        <w:rPr>
          <w:rFonts w:hint="eastAsia"/>
        </w:rPr>
        <w:t>调节阀膜头顶部上方的净空不应小于200mm，调节阀与旁路阀上下布置时应错开位置；</w:t>
      </w:r>
    </w:p>
    <w:p>
      <w:pPr>
        <w:pStyle w:val="179"/>
      </w:pPr>
      <w:r>
        <w:rPr>
          <w:rFonts w:hint="eastAsia"/>
        </w:rPr>
        <w:t>调节阀应安装在环境温度大于-40℃和小于60℃的地方，并远离振动源；</w:t>
      </w:r>
    </w:p>
    <w:p>
      <w:pPr>
        <w:pStyle w:val="179"/>
      </w:pPr>
      <w:r>
        <w:rPr>
          <w:rFonts w:hint="eastAsia"/>
        </w:rPr>
        <w:t>调压阀引压管水平安装时，宜有1:20～1:100的坡度。</w:t>
      </w:r>
    </w:p>
    <w:p>
      <w:pPr>
        <w:pStyle w:val="169"/>
      </w:pPr>
      <w:r>
        <w:rPr>
          <w:rFonts w:hint="eastAsia"/>
        </w:rPr>
        <w:t>安全阀的安装应符合下列要求：</w:t>
      </w:r>
    </w:p>
    <w:p>
      <w:pPr>
        <w:pStyle w:val="179"/>
        <w:numPr>
          <w:ilvl w:val="0"/>
          <w:numId w:val="89"/>
        </w:numPr>
      </w:pPr>
      <w:r>
        <w:rPr>
          <w:rFonts w:hint="eastAsia"/>
        </w:rPr>
        <w:t>安全阀应垂直安装并靠近被保护的设备或管道，如不能靠近布置，则从被保护的设备或管道到安全阀进口的管道总压降，不应超过安全阀定压值的3%；</w:t>
      </w:r>
    </w:p>
    <w:p>
      <w:pPr>
        <w:pStyle w:val="179"/>
      </w:pPr>
      <w:r>
        <w:rPr>
          <w:rFonts w:hint="eastAsia"/>
        </w:rPr>
        <w:t>安全阀应安装在压力比较稳定，且应距振动源有一定距离的地方；</w:t>
      </w:r>
    </w:p>
    <w:p>
      <w:pPr>
        <w:pStyle w:val="179"/>
      </w:pPr>
      <w:r>
        <w:rPr>
          <w:rFonts w:hint="eastAsia"/>
        </w:rPr>
        <w:t>安全阀进口管道采用弯头时应选用长半径弯头；</w:t>
      </w:r>
    </w:p>
    <w:p>
      <w:pPr>
        <w:pStyle w:val="179"/>
      </w:pPr>
      <w:r>
        <w:rPr>
          <w:rFonts w:hint="eastAsia"/>
        </w:rPr>
        <w:t>当几个安全阀并联操作时，总管的截面积不应小于各支管截面积之和；</w:t>
      </w:r>
    </w:p>
    <w:p>
      <w:pPr>
        <w:pStyle w:val="179"/>
      </w:pPr>
      <w:r>
        <w:rPr>
          <w:rFonts w:hint="eastAsia"/>
        </w:rPr>
        <w:t>安全阀出口管道的压降应满足工艺要求；</w:t>
      </w:r>
    </w:p>
    <w:p>
      <w:pPr>
        <w:pStyle w:val="179"/>
      </w:pPr>
      <w:r>
        <w:rPr>
          <w:rFonts w:hint="eastAsia"/>
        </w:rPr>
        <w:t>直接向上排至大气的安全阀出口管道，应在出口管道的下端弯头附近开一个φ6～φ10mm的排液孔；</w:t>
      </w:r>
    </w:p>
    <w:p>
      <w:pPr>
        <w:pStyle w:val="179"/>
      </w:pPr>
      <w:r>
        <w:rPr>
          <w:rFonts w:hint="eastAsia"/>
        </w:rPr>
        <w:t>安全阀安装时应检查垂直度，发现倾斜时应进行校正。安全阀前后设置截断阀时，应加铅封并锁定在全开状态。</w:t>
      </w:r>
    </w:p>
    <w:p>
      <w:pPr>
        <w:pStyle w:val="170"/>
      </w:pPr>
      <w:r>
        <w:rPr>
          <w:rFonts w:hint="eastAsia"/>
        </w:rPr>
        <w:t>流量计安装</w:t>
      </w:r>
    </w:p>
    <w:p>
      <w:pPr>
        <w:pStyle w:val="169"/>
      </w:pPr>
      <w:r>
        <w:rPr>
          <w:rFonts w:hint="eastAsia"/>
        </w:rPr>
        <w:t>流量计在管道上的安装应避免对管道产生附加的安装应力。必要时，设计支架（座）。流量计安装应易于拆卸更换。在一般情况下临时使用的过滤器、筛网安装于流量计所要求上游直管段外的管道上。</w:t>
      </w:r>
    </w:p>
    <w:p>
      <w:pPr>
        <w:pStyle w:val="169"/>
      </w:pPr>
      <w:r>
        <w:rPr>
          <w:rFonts w:hint="eastAsia"/>
        </w:rPr>
        <w:t>流量计安装位置应选择到平稳流态的管段上。</w:t>
      </w:r>
    </w:p>
    <w:p>
      <w:pPr>
        <w:pStyle w:val="169"/>
      </w:pPr>
      <w:r>
        <w:rPr>
          <w:rFonts w:hint="eastAsia"/>
        </w:rPr>
        <w:t>流量计上、下游的截断阀和旁通阀宜采用位置指示器，标出操作方向。</w:t>
      </w:r>
    </w:p>
    <w:p>
      <w:pPr>
        <w:pStyle w:val="170"/>
      </w:pPr>
      <w:r>
        <w:rPr>
          <w:rFonts w:hint="eastAsia"/>
        </w:rPr>
        <w:t>支吊架安装</w:t>
      </w:r>
    </w:p>
    <w:p>
      <w:pPr>
        <w:pStyle w:val="169"/>
      </w:pPr>
      <w:r>
        <w:rPr>
          <w:rFonts w:hint="eastAsia"/>
        </w:rPr>
        <w:t>管道安装时，应及时进行支吊架的固定和调整工作。支吊架位置应正确，管道和支承面接触应良好。</w:t>
      </w:r>
    </w:p>
    <w:p>
      <w:pPr>
        <w:pStyle w:val="169"/>
      </w:pPr>
      <w:r>
        <w:rPr>
          <w:rFonts w:hint="eastAsia"/>
        </w:rPr>
        <w:t>固定支架应按设计文件的规定安装，并应在补偿装置预拉伸或预压缩前固定。没有补偿装置的冷、热管道直管段上，不得同时安置两个或两个以上的固定支架。</w:t>
      </w:r>
    </w:p>
    <w:p>
      <w:pPr>
        <w:pStyle w:val="169"/>
      </w:pPr>
      <w:r>
        <w:rPr>
          <w:rFonts w:hint="eastAsia"/>
        </w:rPr>
        <w:t>支吊架的焊接应由合格焊工施焊，并不得有漏焊、欠焊或焊接裂纹等缺陷。管道与支架焊接时，管道不得有咬边、烧穿等现象。</w:t>
      </w:r>
    </w:p>
    <w:p>
      <w:pPr>
        <w:pStyle w:val="169"/>
      </w:pPr>
      <w:r>
        <w:rPr>
          <w:rFonts w:hint="eastAsia"/>
        </w:rPr>
        <w:t>从有热位移的主管引出小直径的支管时，支管的支架类型和结构应符合设计要求，并不应限制主管的位移。</w:t>
      </w:r>
    </w:p>
    <w:p>
      <w:pPr>
        <w:pStyle w:val="169"/>
      </w:pPr>
      <w:r>
        <w:rPr>
          <w:rFonts w:hint="eastAsia"/>
        </w:rPr>
        <w:t>导向支架或滑动支架的滑动面应洁净平整，不得有歪斜和卡涩现象。不得在滑动支架底板处临时点焊定位。仪表及电气的支撑件不得焊在滑动支架上。</w:t>
      </w:r>
    </w:p>
    <w:p>
      <w:pPr>
        <w:pStyle w:val="110"/>
        <w:spacing w:before="120" w:after="120"/>
      </w:pPr>
      <w:bookmarkStart w:id="186" w:name="_Toc209114084"/>
      <w:r>
        <w:rPr>
          <w:rFonts w:hint="eastAsia"/>
        </w:rPr>
        <w:t>管道组成件焊接</w:t>
      </w:r>
      <w:bookmarkEnd w:id="186"/>
    </w:p>
    <w:p>
      <w:pPr>
        <w:pStyle w:val="170"/>
      </w:pPr>
      <w:r>
        <w:rPr>
          <w:rFonts w:hint="eastAsia"/>
        </w:rPr>
        <w:t>一般规定</w:t>
      </w:r>
    </w:p>
    <w:p>
      <w:pPr>
        <w:pStyle w:val="169"/>
      </w:pPr>
      <w:r>
        <w:rPr>
          <w:rFonts w:hint="eastAsia"/>
        </w:rPr>
        <w:t>撬内工艺管道焊接操作的方式可采用手工焊、半自动焊、自动焊、机动焊，宜优先选用机动焊进行撬内管道的焊接，根焊焊接宜选用氩弧焊。</w:t>
      </w:r>
    </w:p>
    <w:p>
      <w:pPr>
        <w:pStyle w:val="169"/>
      </w:pPr>
      <w:r>
        <w:rPr>
          <w:rFonts w:hint="eastAsia"/>
        </w:rPr>
        <w:t>焊接设备的性能应满足焊接工艺要求，并应具有良好的工作和安全性能。</w:t>
      </w:r>
    </w:p>
    <w:p>
      <w:pPr>
        <w:pStyle w:val="169"/>
      </w:pPr>
      <w:r>
        <w:rPr>
          <w:rFonts w:hint="eastAsia"/>
        </w:rPr>
        <w:t>管道组成件焊接前应进行焊接工艺评定，焊接工艺评定应符合标准NB/T 47014的规定。应根据合格的焊接工艺评定报告编制焊接工艺规程。氢气管道焊接应采用经氢相容性评定合格的焊接工艺。</w:t>
      </w:r>
    </w:p>
    <w:p>
      <w:pPr>
        <w:pStyle w:val="169"/>
      </w:pPr>
      <w:r>
        <w:rPr>
          <w:rFonts w:hint="eastAsia"/>
        </w:rPr>
        <w:t>焊接作业应按批准的焊接工艺规程执行。</w:t>
      </w:r>
    </w:p>
    <w:p>
      <w:pPr>
        <w:pStyle w:val="169"/>
      </w:pPr>
      <w:r>
        <w:rPr>
          <w:rFonts w:hint="eastAsia"/>
        </w:rPr>
        <w:t>氢气管道焊接支管接头不应使用鞍座式接头、翻边接头；螺纹连接接头不应采用密封焊。</w:t>
      </w:r>
    </w:p>
    <w:p>
      <w:pPr>
        <w:pStyle w:val="169"/>
      </w:pPr>
      <w:r>
        <w:rPr>
          <w:rFonts w:hint="eastAsia"/>
        </w:rPr>
        <w:t>焊工上岗前应复核相关焊接技能方能实施作业。</w:t>
      </w:r>
    </w:p>
    <w:p>
      <w:pPr>
        <w:pStyle w:val="169"/>
      </w:pPr>
      <w:r>
        <w:rPr>
          <w:rFonts w:hint="eastAsia"/>
        </w:rPr>
        <w:t>在以下气候环境中，如无有效防护措施时，不应进行焊接作业：</w:t>
      </w:r>
    </w:p>
    <w:p>
      <w:pPr>
        <w:pStyle w:val="179"/>
        <w:numPr>
          <w:ilvl w:val="0"/>
          <w:numId w:val="90"/>
        </w:numPr>
      </w:pPr>
      <w:r>
        <w:rPr>
          <w:rFonts w:hint="eastAsia"/>
        </w:rPr>
        <w:t>大气相对湿度超过90%；</w:t>
      </w:r>
    </w:p>
    <w:p>
      <w:pPr>
        <w:pStyle w:val="179"/>
      </w:pPr>
      <w:r>
        <w:rPr>
          <w:rFonts w:hint="eastAsia"/>
        </w:rPr>
        <w:t>气体保护焊风速大于2m/s，其他焊接方法风速大于10m/s；</w:t>
      </w:r>
    </w:p>
    <w:p>
      <w:pPr>
        <w:pStyle w:val="179"/>
      </w:pPr>
      <w:r>
        <w:rPr>
          <w:rFonts w:hint="eastAsia"/>
        </w:rPr>
        <w:t>环境温度低于焊接工艺规程中规定的温度。</w:t>
      </w:r>
    </w:p>
    <w:p>
      <w:pPr>
        <w:pStyle w:val="169"/>
      </w:pPr>
      <w:r>
        <w:rPr>
          <w:rFonts w:hint="eastAsia"/>
        </w:rPr>
        <w:t>对不合格焊缝的返修，应制定返修工艺；同一部位的返修次数不宜超过2次。返修焊缝的焊接应按返修工艺规程执行。</w:t>
      </w:r>
    </w:p>
    <w:p>
      <w:pPr>
        <w:pStyle w:val="170"/>
      </w:pPr>
      <w:r>
        <w:rPr>
          <w:rFonts w:hint="eastAsia"/>
        </w:rPr>
        <w:t>焊接作业</w:t>
      </w:r>
    </w:p>
    <w:p>
      <w:pPr>
        <w:pStyle w:val="169"/>
      </w:pPr>
      <w:r>
        <w:rPr>
          <w:rFonts w:hint="eastAsia"/>
        </w:rPr>
        <w:t>焊件组对前应将坡口及其内外侧表面不小于20mm范围内的油、漆、垢、锈蚀、毛刺及镀锌层等清除干净，且不应有裂纹、夹层等缺陷。</w:t>
      </w:r>
    </w:p>
    <w:p>
      <w:pPr>
        <w:pStyle w:val="169"/>
      </w:pPr>
      <w:r>
        <w:rPr>
          <w:rFonts w:hint="eastAsia"/>
        </w:rPr>
        <w:t>焊前预热应符合下列要求：</w:t>
      </w:r>
    </w:p>
    <w:p>
      <w:pPr>
        <w:pStyle w:val="179"/>
        <w:numPr>
          <w:ilvl w:val="0"/>
          <w:numId w:val="91"/>
        </w:numPr>
      </w:pPr>
      <w:r>
        <w:rPr>
          <w:rFonts w:hint="eastAsia"/>
        </w:rPr>
        <w:t>有预热要求时，根据焊接工艺规程规定的温度应进行焊前预热。当无预热要求时，焊件温度低于0℃时，应在始焊处100mm范围内预热至15℃以上；</w:t>
      </w:r>
    </w:p>
    <w:p>
      <w:pPr>
        <w:pStyle w:val="179"/>
      </w:pPr>
      <w:r>
        <w:rPr>
          <w:rFonts w:hint="eastAsia"/>
        </w:rPr>
        <w:t>当焊接两种具有不同预热要求的材料时，应以预热温度要求高的材料为准；</w:t>
      </w:r>
    </w:p>
    <w:p>
      <w:pPr>
        <w:pStyle w:val="179"/>
      </w:pPr>
      <w:r>
        <w:rPr>
          <w:rFonts w:hint="eastAsia"/>
        </w:rPr>
        <w:t>管口应均匀加热，防止局部过热，应保持焊件内外壁温度均匀；</w:t>
      </w:r>
    </w:p>
    <w:p>
      <w:pPr>
        <w:pStyle w:val="179"/>
      </w:pPr>
      <w:r>
        <w:rPr>
          <w:rFonts w:hint="eastAsia"/>
        </w:rPr>
        <w:t>焊道层间温度应符合焊接工艺规程的规定，奥氏体不锈钢的层间温度不应大于150℃；</w:t>
      </w:r>
    </w:p>
    <w:p>
      <w:pPr>
        <w:pStyle w:val="179"/>
      </w:pPr>
      <w:r>
        <w:rPr>
          <w:rFonts w:hint="eastAsia"/>
        </w:rPr>
        <w:t>常用管材的焊前预热温度可参照表</w:t>
      </w:r>
      <w:r>
        <w:t>14</w:t>
      </w:r>
      <w:r>
        <w:rPr>
          <w:rFonts w:hint="eastAsia"/>
        </w:rPr>
        <w:t>的要求。</w:t>
      </w:r>
    </w:p>
    <w:p>
      <w:pPr>
        <w:pStyle w:val="117"/>
        <w:spacing w:before="120" w:after="120"/>
      </w:pPr>
      <w:r>
        <w:rPr>
          <w:rFonts w:hint="eastAsia"/>
        </w:rPr>
        <w:t>常用管材焊前预热温度</w:t>
      </w:r>
    </w:p>
    <w:tbl>
      <w:tblPr>
        <w:tblStyle w:val="31"/>
        <w:tblW w:w="4400" w:type="pct"/>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3"/>
        <w:gridCol w:w="1809"/>
        <w:gridCol w:w="3397"/>
        <w:gridCol w:w="1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82"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sz w:val="18"/>
                <w:szCs w:val="18"/>
              </w:rPr>
              <w:t>母材类别</w:t>
            </w:r>
          </w:p>
          <w:p>
            <w:pPr>
              <w:pStyle w:val="257"/>
              <w:rPr>
                <w:sz w:val="18"/>
                <w:szCs w:val="18"/>
              </w:rPr>
            </w:pPr>
            <w:r>
              <w:rPr>
                <w:rFonts w:hint="eastAsia" w:cs="Courier New"/>
                <w:sz w:val="18"/>
                <w:szCs w:val="18"/>
              </w:rPr>
              <w:t>（公称成分）</w:t>
            </w:r>
          </w:p>
        </w:tc>
        <w:tc>
          <w:tcPr>
            <w:tcW w:w="1074"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cs="Courier New"/>
                <w:sz w:val="18"/>
                <w:szCs w:val="18"/>
              </w:rPr>
              <w:t>焊件接头母材厚度</w:t>
            </w:r>
          </w:p>
          <w:p>
            <w:pPr>
              <w:pStyle w:val="257"/>
              <w:rPr>
                <w:sz w:val="18"/>
                <w:szCs w:val="18"/>
              </w:rPr>
            </w:pPr>
            <w:r>
              <w:rPr>
                <w:rFonts w:hint="eastAsia" w:cs="Courier New"/>
                <w:sz w:val="18"/>
                <w:szCs w:val="18"/>
              </w:rPr>
              <w:t>（mm）</w:t>
            </w:r>
          </w:p>
        </w:tc>
        <w:tc>
          <w:tcPr>
            <w:tcW w:w="2017"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sz w:val="18"/>
                <w:szCs w:val="18"/>
              </w:rPr>
              <w:t>附加限制条件</w:t>
            </w:r>
          </w:p>
        </w:tc>
        <w:tc>
          <w:tcPr>
            <w:tcW w:w="827"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cs="Courier New"/>
                <w:sz w:val="18"/>
                <w:szCs w:val="18"/>
              </w:rPr>
              <w:t>最低预热温度</w:t>
            </w:r>
          </w:p>
          <w:p>
            <w:pPr>
              <w:pStyle w:val="257"/>
              <w:rPr>
                <w:sz w:val="18"/>
                <w:szCs w:val="18"/>
              </w:rPr>
            </w:pPr>
            <w:r>
              <w:rPr>
                <w:rFonts w:hint="eastAsia" w:cs="Courier New"/>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82" w:type="pct"/>
            <w:vMerge w:val="restar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cs="Courier New"/>
                <w:sz w:val="18"/>
                <w:szCs w:val="18"/>
              </w:rPr>
              <w:t>碳钢（C）</w:t>
            </w:r>
          </w:p>
          <w:p>
            <w:pPr>
              <w:pStyle w:val="257"/>
              <w:rPr>
                <w:rFonts w:cs="Courier New"/>
                <w:sz w:val="18"/>
                <w:szCs w:val="18"/>
              </w:rPr>
            </w:pPr>
            <w:r>
              <w:rPr>
                <w:rFonts w:hint="eastAsia" w:cs="Courier New"/>
                <w:sz w:val="18"/>
                <w:szCs w:val="18"/>
              </w:rPr>
              <w:t>碳锰钢（C-Mn）</w:t>
            </w:r>
          </w:p>
        </w:tc>
        <w:tc>
          <w:tcPr>
            <w:tcW w:w="1074"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sz w:val="18"/>
                <w:szCs w:val="18"/>
              </w:rPr>
              <w:t>≤</w:t>
            </w:r>
            <w:r>
              <w:rPr>
                <w:rFonts w:hint="eastAsia" w:cs="Courier New"/>
                <w:sz w:val="18"/>
                <w:szCs w:val="18"/>
              </w:rPr>
              <w:t>25</w:t>
            </w:r>
          </w:p>
        </w:tc>
        <w:tc>
          <w:tcPr>
            <w:tcW w:w="2017"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cs="Courier New"/>
                <w:sz w:val="18"/>
                <w:szCs w:val="18"/>
              </w:rPr>
              <w:t>母材最小规定抗拉强度</w:t>
            </w:r>
            <w:r>
              <w:rPr>
                <w:rFonts w:hint="eastAsia"/>
                <w:sz w:val="18"/>
                <w:szCs w:val="18"/>
              </w:rPr>
              <w:t>≤490</w:t>
            </w:r>
            <w:r>
              <w:rPr>
                <w:rFonts w:hint="eastAsia" w:cs="Courier New"/>
                <w:sz w:val="18"/>
                <w:szCs w:val="18"/>
              </w:rPr>
              <w:t>MPa</w:t>
            </w:r>
          </w:p>
        </w:tc>
        <w:tc>
          <w:tcPr>
            <w:tcW w:w="827"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82" w:type="pct"/>
            <w:vMerge w:val="continue"/>
            <w:tcBorders>
              <w:top w:val="single" w:color="auto" w:sz="4" w:space="0"/>
              <w:left w:val="single" w:color="auto" w:sz="4" w:space="0"/>
              <w:bottom w:val="single" w:color="auto" w:sz="4" w:space="0"/>
              <w:right w:val="single" w:color="auto" w:sz="4" w:space="0"/>
            </w:tcBorders>
            <w:vAlign w:val="center"/>
          </w:tcPr>
          <w:p>
            <w:pPr>
              <w:pStyle w:val="257"/>
              <w:rPr>
                <w:sz w:val="18"/>
                <w:szCs w:val="18"/>
              </w:rPr>
            </w:pPr>
          </w:p>
        </w:tc>
        <w:tc>
          <w:tcPr>
            <w:tcW w:w="1074"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sz w:val="18"/>
                <w:szCs w:val="18"/>
              </w:rPr>
              <w:t>＞25</w:t>
            </w:r>
          </w:p>
        </w:tc>
        <w:tc>
          <w:tcPr>
            <w:tcW w:w="2017"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cs="Courier New"/>
                <w:sz w:val="18"/>
                <w:szCs w:val="18"/>
              </w:rPr>
              <w:t>母材最小规定抗拉强度</w:t>
            </w:r>
            <w:r>
              <w:rPr>
                <w:rFonts w:hint="eastAsia"/>
                <w:sz w:val="18"/>
                <w:szCs w:val="18"/>
              </w:rPr>
              <w:t>≤490</w:t>
            </w:r>
            <w:r>
              <w:rPr>
                <w:rFonts w:hint="eastAsia" w:cs="Courier New"/>
                <w:sz w:val="18"/>
                <w:szCs w:val="18"/>
              </w:rPr>
              <w:t>MPa</w:t>
            </w:r>
          </w:p>
        </w:tc>
        <w:tc>
          <w:tcPr>
            <w:tcW w:w="827"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sz w:val="18"/>
                <w:szCs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82" w:type="pct"/>
            <w:vMerge w:val="continue"/>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p>
        </w:tc>
        <w:tc>
          <w:tcPr>
            <w:tcW w:w="1074"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sz w:val="18"/>
                <w:szCs w:val="18"/>
              </w:rPr>
              <w:t>全部</w:t>
            </w:r>
          </w:p>
        </w:tc>
        <w:tc>
          <w:tcPr>
            <w:tcW w:w="2017"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cs="Courier New"/>
                <w:sz w:val="18"/>
                <w:szCs w:val="18"/>
              </w:rPr>
              <w:t>母材最小规定抗拉强度＞490MPa</w:t>
            </w:r>
          </w:p>
        </w:tc>
        <w:tc>
          <w:tcPr>
            <w:tcW w:w="827"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sz w:val="18"/>
                <w:szCs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82" w:type="pct"/>
            <w:vMerge w:val="restart"/>
            <w:tcBorders>
              <w:top w:val="single" w:color="auto" w:sz="4" w:space="0"/>
              <w:left w:val="single" w:color="auto" w:sz="4" w:space="0"/>
              <w:right w:val="single" w:color="auto" w:sz="4" w:space="0"/>
            </w:tcBorders>
            <w:vAlign w:val="center"/>
          </w:tcPr>
          <w:p>
            <w:pPr>
              <w:pStyle w:val="257"/>
              <w:rPr>
                <w:rFonts w:cs="Courier New"/>
                <w:sz w:val="18"/>
                <w:szCs w:val="18"/>
              </w:rPr>
            </w:pPr>
            <w:r>
              <w:rPr>
                <w:rFonts w:hint="eastAsia" w:cs="Courier New"/>
                <w:sz w:val="18"/>
                <w:szCs w:val="18"/>
              </w:rPr>
              <w:t>合金钢（C-Mo、</w:t>
            </w:r>
          </w:p>
          <w:p>
            <w:pPr>
              <w:pStyle w:val="257"/>
              <w:rPr>
                <w:rFonts w:cs="Courier New"/>
                <w:sz w:val="18"/>
                <w:szCs w:val="18"/>
              </w:rPr>
            </w:pPr>
            <w:r>
              <w:rPr>
                <w:rFonts w:hint="eastAsia" w:cs="Courier New"/>
                <w:sz w:val="18"/>
                <w:szCs w:val="18"/>
              </w:rPr>
              <w:t>Mn-Mo、Cr-Mo）</w:t>
            </w:r>
          </w:p>
          <w:p>
            <w:pPr>
              <w:pStyle w:val="257"/>
              <w:rPr>
                <w:sz w:val="18"/>
                <w:szCs w:val="18"/>
              </w:rPr>
            </w:pPr>
            <w:r>
              <w:rPr>
                <w:rFonts w:hint="eastAsia" w:cs="Courier New"/>
                <w:sz w:val="18"/>
                <w:szCs w:val="18"/>
              </w:rPr>
              <w:t>Cr</w:t>
            </w:r>
            <w:r>
              <w:rPr>
                <w:rFonts w:hint="eastAsia"/>
                <w:sz w:val="18"/>
                <w:szCs w:val="18"/>
              </w:rPr>
              <w:t>≤</w:t>
            </w:r>
            <w:r>
              <w:rPr>
                <w:rFonts w:hint="eastAsia" w:cs="Courier New"/>
                <w:sz w:val="18"/>
                <w:szCs w:val="18"/>
              </w:rPr>
              <w:t>0.5%</w:t>
            </w:r>
          </w:p>
        </w:tc>
        <w:tc>
          <w:tcPr>
            <w:tcW w:w="1074"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sz w:val="18"/>
                <w:szCs w:val="18"/>
              </w:rPr>
              <w:t>≤13</w:t>
            </w:r>
          </w:p>
        </w:tc>
        <w:tc>
          <w:tcPr>
            <w:tcW w:w="2017"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cs="Courier New"/>
                <w:sz w:val="18"/>
                <w:szCs w:val="18"/>
              </w:rPr>
              <w:t>母材最小规定抗拉强度</w:t>
            </w:r>
            <w:r>
              <w:rPr>
                <w:rFonts w:hint="eastAsia"/>
                <w:sz w:val="18"/>
                <w:szCs w:val="18"/>
              </w:rPr>
              <w:t>≤450</w:t>
            </w:r>
            <w:r>
              <w:rPr>
                <w:rFonts w:hint="eastAsia" w:cs="Courier New"/>
                <w:sz w:val="18"/>
                <w:szCs w:val="18"/>
              </w:rPr>
              <w:t>MPa</w:t>
            </w:r>
          </w:p>
        </w:tc>
        <w:tc>
          <w:tcPr>
            <w:tcW w:w="827"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82" w:type="pct"/>
            <w:vMerge w:val="continue"/>
            <w:tcBorders>
              <w:left w:val="single" w:color="auto" w:sz="4" w:space="0"/>
              <w:right w:val="single" w:color="auto" w:sz="4" w:space="0"/>
            </w:tcBorders>
            <w:vAlign w:val="center"/>
          </w:tcPr>
          <w:p>
            <w:pPr>
              <w:pStyle w:val="257"/>
              <w:rPr>
                <w:sz w:val="18"/>
                <w:szCs w:val="18"/>
              </w:rPr>
            </w:pPr>
          </w:p>
        </w:tc>
        <w:tc>
          <w:tcPr>
            <w:tcW w:w="1074"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sz w:val="18"/>
                <w:szCs w:val="18"/>
              </w:rPr>
              <w:t>＞13</w:t>
            </w:r>
          </w:p>
        </w:tc>
        <w:tc>
          <w:tcPr>
            <w:tcW w:w="2017"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cs="Courier New"/>
                <w:sz w:val="18"/>
                <w:szCs w:val="18"/>
              </w:rPr>
              <w:t>母材最小规定抗拉强度</w:t>
            </w:r>
            <w:r>
              <w:rPr>
                <w:rFonts w:hint="eastAsia"/>
                <w:sz w:val="18"/>
                <w:szCs w:val="18"/>
              </w:rPr>
              <w:t>≤450</w:t>
            </w:r>
            <w:r>
              <w:rPr>
                <w:rFonts w:hint="eastAsia" w:cs="Courier New"/>
                <w:sz w:val="18"/>
                <w:szCs w:val="18"/>
              </w:rPr>
              <w:t>MPa</w:t>
            </w:r>
          </w:p>
        </w:tc>
        <w:tc>
          <w:tcPr>
            <w:tcW w:w="827"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sz w:val="18"/>
                <w:szCs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82" w:type="pct"/>
            <w:vMerge w:val="continue"/>
            <w:tcBorders>
              <w:left w:val="single" w:color="auto" w:sz="4" w:space="0"/>
              <w:bottom w:val="single" w:color="auto" w:sz="4" w:space="0"/>
              <w:right w:val="single" w:color="auto" w:sz="4" w:space="0"/>
            </w:tcBorders>
            <w:vAlign w:val="center"/>
          </w:tcPr>
          <w:p>
            <w:pPr>
              <w:pStyle w:val="257"/>
              <w:rPr>
                <w:sz w:val="18"/>
                <w:szCs w:val="18"/>
              </w:rPr>
            </w:pPr>
          </w:p>
        </w:tc>
        <w:tc>
          <w:tcPr>
            <w:tcW w:w="1074"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sz w:val="18"/>
                <w:szCs w:val="18"/>
              </w:rPr>
              <w:t>全部</w:t>
            </w:r>
          </w:p>
        </w:tc>
        <w:tc>
          <w:tcPr>
            <w:tcW w:w="2017"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cs="Courier New"/>
                <w:sz w:val="18"/>
                <w:szCs w:val="18"/>
              </w:rPr>
              <w:t>母材最小规定抗拉强度＞4</w:t>
            </w:r>
            <w:r>
              <w:rPr>
                <w:rFonts w:hint="eastAsia"/>
                <w:sz w:val="18"/>
                <w:szCs w:val="18"/>
              </w:rPr>
              <w:t>5</w:t>
            </w:r>
            <w:r>
              <w:rPr>
                <w:rFonts w:hint="eastAsia" w:cs="Courier New"/>
                <w:sz w:val="18"/>
                <w:szCs w:val="18"/>
              </w:rPr>
              <w:t>0MPa</w:t>
            </w:r>
          </w:p>
        </w:tc>
        <w:tc>
          <w:tcPr>
            <w:tcW w:w="827"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sz w:val="18"/>
                <w:szCs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82"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cs="Courier New"/>
                <w:sz w:val="18"/>
                <w:szCs w:val="18"/>
              </w:rPr>
              <w:t>合金钢（C-Mo）</w:t>
            </w:r>
          </w:p>
          <w:p>
            <w:pPr>
              <w:pStyle w:val="257"/>
              <w:rPr>
                <w:rFonts w:cs="Courier New"/>
                <w:sz w:val="18"/>
                <w:szCs w:val="18"/>
              </w:rPr>
            </w:pPr>
            <w:r>
              <w:rPr>
                <w:rFonts w:hint="eastAsia" w:cs="Courier New"/>
                <w:sz w:val="18"/>
                <w:szCs w:val="18"/>
              </w:rPr>
              <w:t>0.5%＜Cr≤2%</w:t>
            </w:r>
          </w:p>
        </w:tc>
        <w:tc>
          <w:tcPr>
            <w:tcW w:w="1074"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cs="Courier New"/>
                <w:sz w:val="18"/>
                <w:szCs w:val="18"/>
              </w:rPr>
              <w:t>全部</w:t>
            </w:r>
          </w:p>
        </w:tc>
        <w:tc>
          <w:tcPr>
            <w:tcW w:w="2017"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sz w:val="18"/>
                <w:szCs w:val="18"/>
              </w:rPr>
              <w:t>无</w:t>
            </w:r>
          </w:p>
        </w:tc>
        <w:tc>
          <w:tcPr>
            <w:tcW w:w="827" w:type="pct"/>
            <w:tcBorders>
              <w:top w:val="single" w:color="auto" w:sz="4" w:space="0"/>
              <w:left w:val="single" w:color="auto" w:sz="4" w:space="0"/>
              <w:bottom w:val="single" w:color="auto" w:sz="4" w:space="0"/>
              <w:right w:val="single" w:color="auto" w:sz="4" w:space="0"/>
            </w:tcBorders>
            <w:vAlign w:val="center"/>
          </w:tcPr>
          <w:p>
            <w:pPr>
              <w:pStyle w:val="257"/>
              <w:rPr>
                <w:rFonts w:cs="Courier New"/>
                <w:color w:val="C00000"/>
                <w:sz w:val="18"/>
                <w:szCs w:val="18"/>
              </w:rPr>
            </w:pPr>
            <w:r>
              <w:rPr>
                <w:rFonts w:hint="eastAsia"/>
                <w:color w:val="C00000"/>
                <w:sz w:val="18"/>
                <w:szCs w:val="18"/>
              </w:rPr>
              <w:t>1</w:t>
            </w:r>
            <w:r>
              <w:rPr>
                <w:color w:val="C00000"/>
                <w:sz w:val="18"/>
                <w:szCs w:val="18"/>
              </w:rPr>
              <w:t>5</w:t>
            </w:r>
            <w:r>
              <w:rPr>
                <w:rFonts w:hint="eastAsia"/>
                <w:color w:val="C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82" w:type="pct"/>
            <w:vMerge w:val="restart"/>
            <w:tcBorders>
              <w:top w:val="single" w:color="auto" w:sz="4" w:space="0"/>
              <w:left w:val="single" w:color="auto" w:sz="4" w:space="0"/>
              <w:right w:val="single" w:color="auto" w:sz="4" w:space="0"/>
            </w:tcBorders>
            <w:vAlign w:val="center"/>
          </w:tcPr>
          <w:p>
            <w:pPr>
              <w:pStyle w:val="257"/>
              <w:rPr>
                <w:rFonts w:cs="Courier New"/>
                <w:sz w:val="18"/>
                <w:szCs w:val="18"/>
              </w:rPr>
            </w:pPr>
            <w:r>
              <w:rPr>
                <w:rFonts w:hint="eastAsia" w:cs="Courier New"/>
                <w:sz w:val="18"/>
                <w:szCs w:val="18"/>
              </w:rPr>
              <w:t>合金钢（C-Mo）</w:t>
            </w:r>
          </w:p>
          <w:p>
            <w:pPr>
              <w:pStyle w:val="257"/>
              <w:rPr>
                <w:sz w:val="18"/>
                <w:szCs w:val="18"/>
              </w:rPr>
            </w:pPr>
            <w:r>
              <w:rPr>
                <w:rFonts w:hint="eastAsia" w:cs="Courier New"/>
                <w:sz w:val="18"/>
                <w:szCs w:val="18"/>
              </w:rPr>
              <w:t>2.25%＜Cr≤10%</w:t>
            </w:r>
          </w:p>
        </w:tc>
        <w:tc>
          <w:tcPr>
            <w:tcW w:w="1074"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sz w:val="18"/>
                <w:szCs w:val="18"/>
              </w:rPr>
              <w:t>全部</w:t>
            </w:r>
          </w:p>
        </w:tc>
        <w:tc>
          <w:tcPr>
            <w:tcW w:w="2017"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cs="Courier New"/>
                <w:sz w:val="18"/>
                <w:szCs w:val="18"/>
              </w:rPr>
              <w:t>母材最小规定抗拉强度</w:t>
            </w:r>
            <w:r>
              <w:rPr>
                <w:rFonts w:hint="eastAsia"/>
                <w:sz w:val="18"/>
                <w:szCs w:val="18"/>
              </w:rPr>
              <w:t>≤415</w:t>
            </w:r>
            <w:r>
              <w:rPr>
                <w:rFonts w:hint="eastAsia" w:cs="Courier New"/>
                <w:sz w:val="18"/>
                <w:szCs w:val="18"/>
              </w:rPr>
              <w:t>MPa</w:t>
            </w:r>
          </w:p>
        </w:tc>
        <w:tc>
          <w:tcPr>
            <w:tcW w:w="827"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sz w:val="18"/>
                <w:szCs w:val="18"/>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82" w:type="pct"/>
            <w:vMerge w:val="continue"/>
            <w:tcBorders>
              <w:left w:val="single" w:color="auto" w:sz="4" w:space="0"/>
              <w:right w:val="single" w:color="auto" w:sz="4" w:space="0"/>
            </w:tcBorders>
            <w:vAlign w:val="center"/>
          </w:tcPr>
          <w:p>
            <w:pPr>
              <w:pStyle w:val="257"/>
              <w:rPr>
                <w:rFonts w:cs="Courier New"/>
                <w:sz w:val="18"/>
                <w:szCs w:val="18"/>
              </w:rPr>
            </w:pPr>
          </w:p>
        </w:tc>
        <w:tc>
          <w:tcPr>
            <w:tcW w:w="1074"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cs="Courier New"/>
                <w:sz w:val="18"/>
                <w:szCs w:val="18"/>
              </w:rPr>
              <w:t>全部</w:t>
            </w:r>
          </w:p>
        </w:tc>
        <w:tc>
          <w:tcPr>
            <w:tcW w:w="2017"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cs="Courier New"/>
                <w:sz w:val="18"/>
                <w:szCs w:val="18"/>
              </w:rPr>
              <w:t>母材最小规定抗拉强度</w:t>
            </w:r>
            <w:r>
              <w:rPr>
                <w:rFonts w:hint="eastAsia"/>
                <w:sz w:val="18"/>
                <w:szCs w:val="18"/>
              </w:rPr>
              <w:t>≤415</w:t>
            </w:r>
            <w:r>
              <w:rPr>
                <w:rFonts w:hint="eastAsia" w:cs="Courier New"/>
                <w:sz w:val="18"/>
                <w:szCs w:val="18"/>
              </w:rPr>
              <w:t>MPa</w:t>
            </w:r>
          </w:p>
        </w:tc>
        <w:tc>
          <w:tcPr>
            <w:tcW w:w="827"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sz w:val="18"/>
                <w:szCs w:val="1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82" w:type="pct"/>
            <w:vMerge w:val="continue"/>
            <w:tcBorders>
              <w:left w:val="single" w:color="auto" w:sz="4" w:space="0"/>
              <w:bottom w:val="single" w:color="auto" w:sz="4" w:space="0"/>
              <w:right w:val="single" w:color="auto" w:sz="4" w:space="0"/>
            </w:tcBorders>
            <w:vAlign w:val="center"/>
          </w:tcPr>
          <w:p>
            <w:pPr>
              <w:pStyle w:val="257"/>
              <w:rPr>
                <w:rFonts w:cs="Courier New"/>
                <w:sz w:val="18"/>
                <w:szCs w:val="18"/>
              </w:rPr>
            </w:pPr>
          </w:p>
        </w:tc>
        <w:tc>
          <w:tcPr>
            <w:tcW w:w="1074"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sz w:val="18"/>
                <w:szCs w:val="18"/>
              </w:rPr>
              <w:t>≤13</w:t>
            </w:r>
          </w:p>
        </w:tc>
        <w:tc>
          <w:tcPr>
            <w:tcW w:w="2017"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sz w:val="18"/>
                <w:szCs w:val="18"/>
              </w:rPr>
              <w:t>Cr</w:t>
            </w:r>
            <w:r>
              <w:rPr>
                <w:rFonts w:hint="eastAsia" w:cs="Courier New"/>
                <w:sz w:val="18"/>
                <w:szCs w:val="18"/>
              </w:rPr>
              <w:t>＞</w:t>
            </w:r>
            <w:r>
              <w:rPr>
                <w:rFonts w:hint="eastAsia"/>
                <w:sz w:val="18"/>
                <w:szCs w:val="18"/>
              </w:rPr>
              <w:t>6%</w:t>
            </w:r>
          </w:p>
        </w:tc>
        <w:tc>
          <w:tcPr>
            <w:tcW w:w="827"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sz w:val="18"/>
                <w:szCs w:val="1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82"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sz w:val="18"/>
                <w:szCs w:val="18"/>
              </w:rPr>
              <w:t>马氏体不锈钢</w:t>
            </w:r>
          </w:p>
        </w:tc>
        <w:tc>
          <w:tcPr>
            <w:tcW w:w="1074"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cs="Courier New"/>
                <w:sz w:val="18"/>
                <w:szCs w:val="18"/>
              </w:rPr>
              <w:t>全部</w:t>
            </w:r>
          </w:p>
        </w:tc>
        <w:tc>
          <w:tcPr>
            <w:tcW w:w="2017"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sz w:val="18"/>
                <w:szCs w:val="18"/>
              </w:rPr>
              <w:t>无</w:t>
            </w:r>
          </w:p>
        </w:tc>
        <w:tc>
          <w:tcPr>
            <w:tcW w:w="827"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sz w:val="18"/>
                <w:szCs w:val="1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82"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cs="Courier New"/>
                <w:sz w:val="18"/>
                <w:szCs w:val="18"/>
              </w:rPr>
              <w:t>低温镍钢</w:t>
            </w:r>
          </w:p>
          <w:p>
            <w:pPr>
              <w:pStyle w:val="257"/>
              <w:rPr>
                <w:sz w:val="18"/>
                <w:szCs w:val="18"/>
              </w:rPr>
            </w:pPr>
            <w:r>
              <w:rPr>
                <w:rFonts w:hint="eastAsia" w:cs="Courier New"/>
                <w:sz w:val="18"/>
                <w:szCs w:val="18"/>
              </w:rPr>
              <w:t>（Ni≤</w:t>
            </w:r>
            <w:r>
              <w:rPr>
                <w:rFonts w:hint="eastAsia"/>
                <w:sz w:val="18"/>
                <w:szCs w:val="18"/>
              </w:rPr>
              <w:t>2.5</w:t>
            </w:r>
            <w:r>
              <w:rPr>
                <w:rFonts w:hint="eastAsia" w:cs="Courier New"/>
                <w:sz w:val="18"/>
                <w:szCs w:val="18"/>
              </w:rPr>
              <w:t>%）</w:t>
            </w:r>
          </w:p>
        </w:tc>
        <w:tc>
          <w:tcPr>
            <w:tcW w:w="1074"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cs="Courier New"/>
                <w:sz w:val="18"/>
                <w:szCs w:val="18"/>
              </w:rPr>
              <w:t>全部</w:t>
            </w:r>
          </w:p>
        </w:tc>
        <w:tc>
          <w:tcPr>
            <w:tcW w:w="2017"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sz w:val="18"/>
                <w:szCs w:val="18"/>
              </w:rPr>
              <w:t>无</w:t>
            </w:r>
          </w:p>
        </w:tc>
        <w:tc>
          <w:tcPr>
            <w:tcW w:w="827"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sz w:val="18"/>
                <w:szCs w:val="1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82"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sz w:val="18"/>
                <w:szCs w:val="18"/>
              </w:rPr>
              <w:t>3.5Ni钢</w:t>
            </w:r>
          </w:p>
        </w:tc>
        <w:tc>
          <w:tcPr>
            <w:tcW w:w="1074"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cs="Courier New"/>
                <w:sz w:val="18"/>
                <w:szCs w:val="18"/>
              </w:rPr>
              <w:t>全部</w:t>
            </w:r>
          </w:p>
        </w:tc>
        <w:tc>
          <w:tcPr>
            <w:tcW w:w="2017"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sz w:val="18"/>
                <w:szCs w:val="18"/>
              </w:rPr>
              <w:t>无</w:t>
            </w:r>
          </w:p>
        </w:tc>
        <w:tc>
          <w:tcPr>
            <w:tcW w:w="827"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sz w:val="18"/>
                <w:szCs w:val="18"/>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82"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sz w:val="18"/>
                <w:szCs w:val="18"/>
              </w:rPr>
              <w:t>5Ni钢</w:t>
            </w:r>
          </w:p>
        </w:tc>
        <w:tc>
          <w:tcPr>
            <w:tcW w:w="1074"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cs="Courier New"/>
                <w:sz w:val="18"/>
                <w:szCs w:val="18"/>
              </w:rPr>
              <w:t>全部</w:t>
            </w:r>
          </w:p>
        </w:tc>
        <w:tc>
          <w:tcPr>
            <w:tcW w:w="2017"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sz w:val="18"/>
                <w:szCs w:val="18"/>
              </w:rPr>
              <w:t>无</w:t>
            </w:r>
          </w:p>
        </w:tc>
        <w:tc>
          <w:tcPr>
            <w:tcW w:w="827"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82"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sz w:val="18"/>
                <w:szCs w:val="18"/>
              </w:rPr>
              <w:t>8Ni、9Ni钢</w:t>
            </w:r>
          </w:p>
        </w:tc>
        <w:tc>
          <w:tcPr>
            <w:tcW w:w="1074"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cs="Courier New"/>
                <w:sz w:val="18"/>
                <w:szCs w:val="18"/>
              </w:rPr>
              <w:t>全部</w:t>
            </w:r>
          </w:p>
        </w:tc>
        <w:tc>
          <w:tcPr>
            <w:tcW w:w="2017"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sz w:val="18"/>
                <w:szCs w:val="18"/>
              </w:rPr>
              <w:t>无</w:t>
            </w:r>
          </w:p>
        </w:tc>
        <w:tc>
          <w:tcPr>
            <w:tcW w:w="827"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82"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sz w:val="18"/>
                <w:szCs w:val="18"/>
              </w:rPr>
              <w:t>27</w:t>
            </w:r>
            <w:r>
              <w:rPr>
                <w:rFonts w:hint="eastAsia" w:cs="Courier New"/>
                <w:sz w:val="18"/>
                <w:szCs w:val="18"/>
              </w:rPr>
              <w:t>Cr</w:t>
            </w:r>
            <w:r>
              <w:rPr>
                <w:rFonts w:hint="eastAsia"/>
                <w:sz w:val="18"/>
                <w:szCs w:val="18"/>
              </w:rPr>
              <w:t>钢</w:t>
            </w:r>
          </w:p>
        </w:tc>
        <w:tc>
          <w:tcPr>
            <w:tcW w:w="1074"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cs="Courier New"/>
                <w:sz w:val="18"/>
                <w:szCs w:val="18"/>
              </w:rPr>
              <w:t>全部</w:t>
            </w:r>
          </w:p>
        </w:tc>
        <w:tc>
          <w:tcPr>
            <w:tcW w:w="2017"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sz w:val="18"/>
                <w:szCs w:val="18"/>
              </w:rPr>
              <w:t>无</w:t>
            </w:r>
          </w:p>
        </w:tc>
        <w:tc>
          <w:tcPr>
            <w:tcW w:w="827"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sz w:val="18"/>
                <w:szCs w:val="18"/>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82"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sz w:val="18"/>
                <w:szCs w:val="18"/>
              </w:rPr>
              <w:t>27</w:t>
            </w:r>
            <w:r>
              <w:rPr>
                <w:rFonts w:hint="eastAsia" w:cs="Courier New"/>
                <w:sz w:val="18"/>
                <w:szCs w:val="18"/>
              </w:rPr>
              <w:t>Cr</w:t>
            </w:r>
            <w:r>
              <w:rPr>
                <w:rFonts w:hint="eastAsia"/>
                <w:sz w:val="18"/>
                <w:szCs w:val="18"/>
              </w:rPr>
              <w:t>-1Mo-V钢</w:t>
            </w:r>
          </w:p>
        </w:tc>
        <w:tc>
          <w:tcPr>
            <w:tcW w:w="1074"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cs="Courier New"/>
                <w:sz w:val="18"/>
                <w:szCs w:val="18"/>
              </w:rPr>
              <w:t>全部</w:t>
            </w:r>
          </w:p>
        </w:tc>
        <w:tc>
          <w:tcPr>
            <w:tcW w:w="2017"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sz w:val="18"/>
                <w:szCs w:val="18"/>
              </w:rPr>
              <w:t>无</w:t>
            </w:r>
          </w:p>
        </w:tc>
        <w:tc>
          <w:tcPr>
            <w:tcW w:w="827"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sz w:val="18"/>
                <w:szCs w:val="1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82"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sz w:val="18"/>
                <w:szCs w:val="18"/>
              </w:rPr>
              <w:t>所有其他材料</w:t>
            </w:r>
          </w:p>
        </w:tc>
        <w:tc>
          <w:tcPr>
            <w:tcW w:w="1074" w:type="pct"/>
            <w:tcBorders>
              <w:top w:val="single" w:color="auto" w:sz="4" w:space="0"/>
              <w:left w:val="single" w:color="auto" w:sz="4" w:space="0"/>
              <w:bottom w:val="single" w:color="auto" w:sz="4" w:space="0"/>
              <w:right w:val="single" w:color="auto" w:sz="4" w:space="0"/>
            </w:tcBorders>
            <w:vAlign w:val="center"/>
          </w:tcPr>
          <w:p>
            <w:pPr>
              <w:pStyle w:val="257"/>
              <w:rPr>
                <w:rFonts w:cs="Courier New"/>
                <w:sz w:val="18"/>
                <w:szCs w:val="18"/>
              </w:rPr>
            </w:pPr>
            <w:r>
              <w:rPr>
                <w:rFonts w:hint="eastAsia" w:cs="Courier New"/>
                <w:sz w:val="18"/>
                <w:szCs w:val="18"/>
              </w:rPr>
              <w:t>全部</w:t>
            </w:r>
          </w:p>
        </w:tc>
        <w:tc>
          <w:tcPr>
            <w:tcW w:w="2017"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sz w:val="18"/>
                <w:szCs w:val="18"/>
              </w:rPr>
              <w:t>无</w:t>
            </w:r>
          </w:p>
        </w:tc>
        <w:tc>
          <w:tcPr>
            <w:tcW w:w="827"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sz w:val="18"/>
                <w:szCs w:val="18"/>
              </w:rPr>
              <w:t>10</w:t>
            </w:r>
          </w:p>
        </w:tc>
      </w:tr>
    </w:tbl>
    <w:p>
      <w:pPr>
        <w:pStyle w:val="169"/>
      </w:pPr>
      <w:r>
        <w:rPr>
          <w:rFonts w:hint="eastAsia"/>
        </w:rPr>
        <w:t>施焊时不应在坡口以外的管壁上引弧，焊接地线与钢管应有可靠的连接方式，并应防止电弧擦伤母材。</w:t>
      </w:r>
    </w:p>
    <w:p>
      <w:pPr>
        <w:pStyle w:val="169"/>
      </w:pPr>
      <w:r>
        <w:rPr>
          <w:rFonts w:hint="eastAsia"/>
        </w:rPr>
        <w:t>施焊过程中应保证起弧和收弧处的质量，收弧时应将弧坑填满。多层焊的层间接头应错开。</w:t>
      </w:r>
    </w:p>
    <w:p>
      <w:pPr>
        <w:pStyle w:val="169"/>
      </w:pPr>
      <w:r>
        <w:rPr>
          <w:rFonts w:hint="eastAsia"/>
        </w:rPr>
        <w:t>管道、管道与支管座焊接时根焊应熔透，内成型应良好。碳钢管的焊接宜采用氩弧焊作底焊，不锈钢管的焊接应采用氩弧焊。不锈钢或合金元素总含量大于5%的焊件氩弧焊打底焊接时，焊缝内侧应充氩气或采取其他防止内侧焊缝金属被氧化的措施，且至少焊接两层后，方可终止背面惰性气体保护。</w:t>
      </w:r>
    </w:p>
    <w:p>
      <w:pPr>
        <w:pStyle w:val="169"/>
      </w:pPr>
      <w:r>
        <w:rPr>
          <w:rFonts w:hint="eastAsia"/>
        </w:rPr>
        <w:t>除工艺或检验要求需分次焊接外，每条焊缝宜一次连续焊完。焊接过程中，焊口层（道）间温度冷却至焊接工艺规程要求的最低值以下时，应重新将焊口加热至预热温度。</w:t>
      </w:r>
    </w:p>
    <w:p>
      <w:pPr>
        <w:pStyle w:val="169"/>
      </w:pPr>
      <w:r>
        <w:rPr>
          <w:rFonts w:hint="eastAsia"/>
        </w:rPr>
        <w:t>钢管焊接时，应防止管内保护气体流速过快。</w:t>
      </w:r>
    </w:p>
    <w:p>
      <w:pPr>
        <w:pStyle w:val="169"/>
      </w:pPr>
      <w:r>
        <w:rPr>
          <w:rFonts w:hint="eastAsia"/>
        </w:rPr>
        <w:t>在焊接过程中出现焊条药皮脱落、发红或严重偏弧时应立即更换。</w:t>
      </w:r>
    </w:p>
    <w:p>
      <w:pPr>
        <w:pStyle w:val="169"/>
      </w:pPr>
      <w:r>
        <w:rPr>
          <w:rFonts w:hint="eastAsia"/>
        </w:rPr>
        <w:t>当日未使用完的焊丝可不从送丝机上拆下，次日焊接时应去除至少2m长焊丝后，方可进行焊接。</w:t>
      </w:r>
    </w:p>
    <w:p>
      <w:pPr>
        <w:pStyle w:val="169"/>
      </w:pPr>
      <w:r>
        <w:rPr>
          <w:rFonts w:hint="eastAsia"/>
        </w:rPr>
        <w:t>有焊后热处理要求的焊缝，应按焊接工艺规程的要求进行，热处理过程中应自动测量和记录热处理温度，并形成热处理温度-时间曲线，热处理后应按设计文件要求对焊缝及热影响区进行100%硬度检测，硬度值应符合表</w:t>
      </w:r>
      <w:r>
        <w:t>15</w:t>
      </w:r>
      <w:r>
        <w:rPr>
          <w:rFonts w:hint="eastAsia"/>
        </w:rPr>
        <w:t>的要求。</w:t>
      </w:r>
    </w:p>
    <w:p>
      <w:pPr>
        <w:pStyle w:val="117"/>
        <w:spacing w:before="120" w:after="120"/>
      </w:pPr>
      <w:r>
        <w:rPr>
          <w:rFonts w:hint="eastAsia"/>
        </w:rPr>
        <w:t>焊缝及热影响区硬度值</w:t>
      </w:r>
    </w:p>
    <w:tbl>
      <w:tblPr>
        <w:tblStyle w:val="31"/>
        <w:tblW w:w="375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553"/>
        <w:gridCol w:w="2233"/>
        <w:gridCol w:w="24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74" w:type="pct"/>
            <w:tcBorders>
              <w:top w:val="single" w:color="auto" w:sz="8" w:space="0"/>
              <w:left w:val="single" w:color="auto" w:sz="8" w:space="0"/>
              <w:bottom w:val="single" w:color="auto" w:sz="8" w:space="0"/>
              <w:right w:val="single" w:color="auto" w:sz="4" w:space="0"/>
            </w:tcBorders>
            <w:vAlign w:val="center"/>
          </w:tcPr>
          <w:p>
            <w:pPr>
              <w:pStyle w:val="257"/>
              <w:rPr>
                <w:sz w:val="18"/>
                <w:szCs w:val="18"/>
              </w:rPr>
            </w:pPr>
            <w:r>
              <w:rPr>
                <w:rFonts w:hint="eastAsia"/>
                <w:sz w:val="18"/>
                <w:szCs w:val="18"/>
              </w:rPr>
              <w:t>母材类别</w:t>
            </w:r>
          </w:p>
        </w:tc>
        <w:tc>
          <w:tcPr>
            <w:tcW w:w="1552" w:type="pct"/>
            <w:tcBorders>
              <w:top w:val="single" w:color="auto" w:sz="8" w:space="0"/>
              <w:left w:val="single" w:color="auto" w:sz="4" w:space="0"/>
              <w:bottom w:val="single" w:color="auto" w:sz="8" w:space="0"/>
              <w:right w:val="single" w:color="auto" w:sz="4" w:space="0"/>
            </w:tcBorders>
          </w:tcPr>
          <w:p>
            <w:pPr>
              <w:pStyle w:val="257"/>
              <w:rPr>
                <w:sz w:val="18"/>
                <w:szCs w:val="18"/>
              </w:rPr>
            </w:pPr>
            <w:r>
              <w:rPr>
                <w:rFonts w:hint="eastAsia"/>
                <w:sz w:val="18"/>
                <w:szCs w:val="18"/>
              </w:rPr>
              <w:t>名义厚度/</w:t>
            </w:r>
            <w:r>
              <w:rPr>
                <w:sz w:val="18"/>
                <w:szCs w:val="18"/>
              </w:rPr>
              <w:t>mm</w:t>
            </w:r>
          </w:p>
        </w:tc>
        <w:tc>
          <w:tcPr>
            <w:tcW w:w="1674" w:type="pct"/>
            <w:tcBorders>
              <w:top w:val="single" w:color="auto" w:sz="8" w:space="0"/>
              <w:left w:val="single" w:color="auto" w:sz="4" w:space="0"/>
              <w:bottom w:val="single" w:color="auto" w:sz="8" w:space="0"/>
              <w:right w:val="single" w:color="auto" w:sz="8" w:space="0"/>
            </w:tcBorders>
            <w:vAlign w:val="center"/>
          </w:tcPr>
          <w:p>
            <w:pPr>
              <w:pStyle w:val="257"/>
              <w:rPr>
                <w:sz w:val="18"/>
                <w:szCs w:val="18"/>
              </w:rPr>
            </w:pPr>
            <w:r>
              <w:rPr>
                <w:rFonts w:hint="eastAsia"/>
                <w:sz w:val="18"/>
                <w:szCs w:val="18"/>
              </w:rPr>
              <w:t>布氏硬度≤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74" w:type="pct"/>
            <w:vMerge w:val="restart"/>
            <w:tcBorders>
              <w:top w:val="single" w:color="auto" w:sz="8" w:space="0"/>
              <w:left w:val="single" w:color="auto" w:sz="8" w:space="0"/>
              <w:right w:val="single" w:color="auto" w:sz="4" w:space="0"/>
            </w:tcBorders>
            <w:vAlign w:val="center"/>
          </w:tcPr>
          <w:p>
            <w:pPr>
              <w:pStyle w:val="257"/>
              <w:rPr>
                <w:sz w:val="18"/>
                <w:szCs w:val="18"/>
              </w:rPr>
            </w:pPr>
            <w:r>
              <w:rPr>
                <w:rFonts w:hint="eastAsia"/>
                <w:sz w:val="18"/>
                <w:szCs w:val="18"/>
              </w:rPr>
              <w:t>碳钢</w:t>
            </w:r>
            <w:r>
              <w:rPr>
                <w:sz w:val="18"/>
                <w:szCs w:val="18"/>
              </w:rPr>
              <w:t>、碳锰钢</w:t>
            </w:r>
          </w:p>
        </w:tc>
        <w:tc>
          <w:tcPr>
            <w:tcW w:w="1552" w:type="pct"/>
            <w:tcBorders>
              <w:top w:val="single" w:color="auto" w:sz="8" w:space="0"/>
              <w:left w:val="single" w:color="auto" w:sz="4" w:space="0"/>
              <w:bottom w:val="single" w:color="auto" w:sz="4" w:space="0"/>
              <w:right w:val="single" w:color="auto" w:sz="4" w:space="0"/>
            </w:tcBorders>
          </w:tcPr>
          <w:p>
            <w:pPr>
              <w:pStyle w:val="257"/>
              <w:rPr>
                <w:sz w:val="18"/>
                <w:szCs w:val="18"/>
              </w:rPr>
            </w:pPr>
            <w:r>
              <w:rPr>
                <w:rFonts w:hint="eastAsia"/>
                <w:sz w:val="18"/>
                <w:szCs w:val="18"/>
              </w:rPr>
              <w:t>≤2</w:t>
            </w:r>
            <w:r>
              <w:rPr>
                <w:sz w:val="18"/>
                <w:szCs w:val="18"/>
              </w:rPr>
              <w:t>0</w:t>
            </w:r>
          </w:p>
        </w:tc>
        <w:tc>
          <w:tcPr>
            <w:tcW w:w="1674" w:type="pct"/>
            <w:vMerge w:val="restart"/>
            <w:tcBorders>
              <w:top w:val="single" w:color="auto" w:sz="8" w:space="0"/>
              <w:left w:val="single" w:color="auto" w:sz="4" w:space="0"/>
              <w:right w:val="single" w:color="auto" w:sz="8" w:space="0"/>
            </w:tcBorders>
            <w:vAlign w:val="center"/>
          </w:tcPr>
          <w:p>
            <w:pPr>
              <w:pStyle w:val="257"/>
              <w:rPr>
                <w:sz w:val="18"/>
                <w:szCs w:val="18"/>
              </w:rPr>
            </w:pPr>
            <w:r>
              <w:rPr>
                <w:rFonts w:hint="eastAsia"/>
                <w:sz w:val="18"/>
                <w:szCs w:val="18"/>
              </w:rPr>
              <w:t>2</w:t>
            </w:r>
            <w:r>
              <w:rPr>
                <w:sz w:val="18"/>
                <w:szCs w:val="18"/>
              </w:rPr>
              <w:t>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74" w:type="pct"/>
            <w:vMerge w:val="continue"/>
            <w:tcBorders>
              <w:left w:val="single" w:color="auto" w:sz="8" w:space="0"/>
              <w:bottom w:val="single" w:color="auto" w:sz="4" w:space="0"/>
              <w:right w:val="single" w:color="auto" w:sz="4" w:space="0"/>
            </w:tcBorders>
            <w:vAlign w:val="center"/>
          </w:tcPr>
          <w:p>
            <w:pPr>
              <w:pStyle w:val="257"/>
              <w:rPr>
                <w:sz w:val="18"/>
                <w:szCs w:val="18"/>
              </w:rPr>
            </w:pPr>
          </w:p>
        </w:tc>
        <w:tc>
          <w:tcPr>
            <w:tcW w:w="1552" w:type="pct"/>
            <w:tcBorders>
              <w:top w:val="single" w:color="auto" w:sz="4" w:space="0"/>
              <w:left w:val="single" w:color="auto" w:sz="4" w:space="0"/>
              <w:bottom w:val="single" w:color="auto" w:sz="4" w:space="0"/>
              <w:right w:val="single" w:color="auto" w:sz="4" w:space="0"/>
            </w:tcBorders>
          </w:tcPr>
          <w:p>
            <w:pPr>
              <w:pStyle w:val="257"/>
              <w:rPr>
                <w:sz w:val="18"/>
                <w:szCs w:val="18"/>
              </w:rPr>
            </w:pPr>
            <w:r>
              <w:rPr>
                <w:rFonts w:hint="eastAsia"/>
                <w:sz w:val="18"/>
                <w:szCs w:val="18"/>
              </w:rPr>
              <w:t>＞2</w:t>
            </w:r>
            <w:r>
              <w:rPr>
                <w:sz w:val="18"/>
                <w:szCs w:val="18"/>
              </w:rPr>
              <w:t>0</w:t>
            </w:r>
          </w:p>
        </w:tc>
        <w:tc>
          <w:tcPr>
            <w:tcW w:w="1674" w:type="pct"/>
            <w:vMerge w:val="continue"/>
            <w:tcBorders>
              <w:left w:val="single" w:color="auto" w:sz="4" w:space="0"/>
              <w:bottom w:val="single" w:color="auto" w:sz="4" w:space="0"/>
              <w:right w:val="single" w:color="auto" w:sz="8" w:space="0"/>
            </w:tcBorders>
            <w:vAlign w:val="center"/>
          </w:tcPr>
          <w:p>
            <w:pPr>
              <w:pStyle w:val="257"/>
              <w:rPr>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74" w:type="pct"/>
            <w:vMerge w:val="restart"/>
            <w:tcBorders>
              <w:top w:val="single" w:color="auto" w:sz="4" w:space="0"/>
              <w:left w:val="single" w:color="auto" w:sz="8" w:space="0"/>
              <w:right w:val="single" w:color="auto" w:sz="4" w:space="0"/>
            </w:tcBorders>
            <w:vAlign w:val="center"/>
          </w:tcPr>
          <w:p>
            <w:pPr>
              <w:pStyle w:val="257"/>
              <w:rPr>
                <w:sz w:val="18"/>
                <w:szCs w:val="18"/>
              </w:rPr>
            </w:pPr>
            <w:r>
              <w:rPr>
                <w:rFonts w:hint="eastAsia"/>
                <w:sz w:val="18"/>
                <w:szCs w:val="18"/>
              </w:rPr>
              <w:t>合金钢</w:t>
            </w:r>
          </w:p>
          <w:p>
            <w:pPr>
              <w:pStyle w:val="257"/>
              <w:rPr>
                <w:sz w:val="18"/>
                <w:szCs w:val="18"/>
              </w:rPr>
            </w:pPr>
            <w:r>
              <w:rPr>
                <w:rFonts w:hint="eastAsia"/>
                <w:sz w:val="18"/>
                <w:szCs w:val="18"/>
              </w:rPr>
              <w:t>C</w:t>
            </w:r>
            <w:r>
              <w:rPr>
                <w:sz w:val="18"/>
                <w:szCs w:val="18"/>
              </w:rPr>
              <w:t>r</w:t>
            </w:r>
            <w:r>
              <w:rPr>
                <w:rFonts w:hint="eastAsia"/>
                <w:sz w:val="18"/>
                <w:szCs w:val="18"/>
              </w:rPr>
              <w:t>≤0</w:t>
            </w:r>
            <w:r>
              <w:rPr>
                <w:sz w:val="18"/>
                <w:szCs w:val="18"/>
              </w:rPr>
              <w:t>.5%</w:t>
            </w:r>
          </w:p>
        </w:tc>
        <w:tc>
          <w:tcPr>
            <w:tcW w:w="1552" w:type="pct"/>
            <w:tcBorders>
              <w:top w:val="single" w:color="auto" w:sz="4" w:space="0"/>
              <w:left w:val="single" w:color="auto" w:sz="4" w:space="0"/>
              <w:bottom w:val="single" w:color="auto" w:sz="4" w:space="0"/>
              <w:right w:val="single" w:color="auto" w:sz="4" w:space="0"/>
            </w:tcBorders>
          </w:tcPr>
          <w:p>
            <w:pPr>
              <w:pStyle w:val="257"/>
              <w:rPr>
                <w:sz w:val="18"/>
                <w:szCs w:val="18"/>
              </w:rPr>
            </w:pPr>
            <w:r>
              <w:rPr>
                <w:rFonts w:hint="eastAsia"/>
                <w:sz w:val="18"/>
                <w:szCs w:val="18"/>
              </w:rPr>
              <w:t>≤2</w:t>
            </w:r>
            <w:r>
              <w:rPr>
                <w:sz w:val="18"/>
                <w:szCs w:val="18"/>
              </w:rPr>
              <w:t>0</w:t>
            </w:r>
          </w:p>
        </w:tc>
        <w:tc>
          <w:tcPr>
            <w:tcW w:w="1674" w:type="pct"/>
            <w:vMerge w:val="restart"/>
            <w:tcBorders>
              <w:top w:val="single" w:color="auto" w:sz="4" w:space="0"/>
              <w:left w:val="single" w:color="auto" w:sz="4" w:space="0"/>
              <w:right w:val="single" w:color="auto" w:sz="8" w:space="0"/>
            </w:tcBorders>
            <w:vAlign w:val="center"/>
          </w:tcPr>
          <w:p>
            <w:pPr>
              <w:pStyle w:val="257"/>
              <w:rPr>
                <w:sz w:val="18"/>
                <w:szCs w:val="18"/>
              </w:rPr>
            </w:pPr>
            <w:r>
              <w:rPr>
                <w:rFonts w:hint="eastAsia"/>
                <w:sz w:val="18"/>
                <w:szCs w:val="18"/>
              </w:rPr>
              <w:t>2</w:t>
            </w:r>
            <w:r>
              <w:rPr>
                <w:sz w:val="18"/>
                <w:szCs w:val="18"/>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74" w:type="pct"/>
            <w:vMerge w:val="continue"/>
            <w:tcBorders>
              <w:left w:val="single" w:color="auto" w:sz="8" w:space="0"/>
              <w:right w:val="single" w:color="auto" w:sz="4" w:space="0"/>
            </w:tcBorders>
            <w:vAlign w:val="center"/>
          </w:tcPr>
          <w:p>
            <w:pPr>
              <w:pStyle w:val="257"/>
              <w:rPr>
                <w:sz w:val="18"/>
                <w:szCs w:val="18"/>
              </w:rPr>
            </w:pPr>
          </w:p>
        </w:tc>
        <w:tc>
          <w:tcPr>
            <w:tcW w:w="1552" w:type="pct"/>
            <w:tcBorders>
              <w:top w:val="single" w:color="auto" w:sz="4" w:space="0"/>
              <w:left w:val="single" w:color="auto" w:sz="4" w:space="0"/>
              <w:bottom w:val="single" w:color="auto" w:sz="4" w:space="0"/>
              <w:right w:val="single" w:color="auto" w:sz="4" w:space="0"/>
            </w:tcBorders>
          </w:tcPr>
          <w:p>
            <w:pPr>
              <w:pStyle w:val="257"/>
              <w:rPr>
                <w:sz w:val="18"/>
                <w:szCs w:val="18"/>
              </w:rPr>
            </w:pPr>
            <w:r>
              <w:rPr>
                <w:rFonts w:hint="eastAsia"/>
                <w:sz w:val="18"/>
                <w:szCs w:val="18"/>
              </w:rPr>
              <w:t>＞2</w:t>
            </w:r>
            <w:r>
              <w:rPr>
                <w:sz w:val="18"/>
                <w:szCs w:val="18"/>
              </w:rPr>
              <w:t>0</w:t>
            </w:r>
          </w:p>
        </w:tc>
        <w:tc>
          <w:tcPr>
            <w:tcW w:w="1674" w:type="pct"/>
            <w:vMerge w:val="continue"/>
            <w:tcBorders>
              <w:left w:val="single" w:color="auto" w:sz="4" w:space="0"/>
              <w:right w:val="single" w:color="auto" w:sz="8" w:space="0"/>
            </w:tcBorders>
            <w:vAlign w:val="center"/>
          </w:tcPr>
          <w:p>
            <w:pPr>
              <w:pStyle w:val="257"/>
              <w:rPr>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74" w:type="pct"/>
            <w:vMerge w:val="continue"/>
            <w:tcBorders>
              <w:left w:val="single" w:color="auto" w:sz="8" w:space="0"/>
              <w:bottom w:val="single" w:color="auto" w:sz="4" w:space="0"/>
              <w:right w:val="single" w:color="auto" w:sz="4" w:space="0"/>
            </w:tcBorders>
            <w:vAlign w:val="center"/>
          </w:tcPr>
          <w:p>
            <w:pPr>
              <w:pStyle w:val="257"/>
              <w:rPr>
                <w:sz w:val="18"/>
                <w:szCs w:val="18"/>
              </w:rPr>
            </w:pPr>
          </w:p>
        </w:tc>
        <w:tc>
          <w:tcPr>
            <w:tcW w:w="1552" w:type="pct"/>
            <w:tcBorders>
              <w:top w:val="single" w:color="auto" w:sz="4" w:space="0"/>
              <w:left w:val="single" w:color="auto" w:sz="4" w:space="0"/>
              <w:bottom w:val="single" w:color="auto" w:sz="4" w:space="0"/>
              <w:right w:val="single" w:color="auto" w:sz="4" w:space="0"/>
            </w:tcBorders>
          </w:tcPr>
          <w:p>
            <w:pPr>
              <w:pStyle w:val="257"/>
              <w:rPr>
                <w:sz w:val="18"/>
                <w:szCs w:val="18"/>
              </w:rPr>
            </w:pPr>
            <w:r>
              <w:rPr>
                <w:rFonts w:hint="eastAsia"/>
                <w:sz w:val="18"/>
                <w:szCs w:val="18"/>
              </w:rPr>
              <w:t>全部</w:t>
            </w:r>
          </w:p>
        </w:tc>
        <w:tc>
          <w:tcPr>
            <w:tcW w:w="1674" w:type="pct"/>
            <w:vMerge w:val="continue"/>
            <w:tcBorders>
              <w:left w:val="single" w:color="auto" w:sz="4" w:space="0"/>
              <w:bottom w:val="single" w:color="auto" w:sz="4" w:space="0"/>
              <w:right w:val="single" w:color="auto" w:sz="8" w:space="0"/>
            </w:tcBorders>
            <w:vAlign w:val="center"/>
          </w:tcPr>
          <w:p>
            <w:pPr>
              <w:pStyle w:val="257"/>
              <w:rPr>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74" w:type="pct"/>
            <w:vMerge w:val="restart"/>
            <w:tcBorders>
              <w:top w:val="single" w:color="auto" w:sz="4" w:space="0"/>
              <w:left w:val="single" w:color="auto" w:sz="8" w:space="0"/>
              <w:right w:val="single" w:color="auto" w:sz="4" w:space="0"/>
            </w:tcBorders>
            <w:vAlign w:val="center"/>
          </w:tcPr>
          <w:p>
            <w:pPr>
              <w:pStyle w:val="257"/>
              <w:rPr>
                <w:sz w:val="18"/>
                <w:szCs w:val="18"/>
              </w:rPr>
            </w:pPr>
            <w:r>
              <w:rPr>
                <w:rFonts w:hint="eastAsia"/>
                <w:sz w:val="18"/>
                <w:szCs w:val="18"/>
              </w:rPr>
              <w:t>合金钢</w:t>
            </w:r>
          </w:p>
          <w:p>
            <w:pPr>
              <w:pStyle w:val="257"/>
              <w:rPr>
                <w:sz w:val="18"/>
                <w:szCs w:val="18"/>
              </w:rPr>
            </w:pPr>
            <w:r>
              <w:rPr>
                <w:rFonts w:hint="eastAsia"/>
                <w:sz w:val="18"/>
                <w:szCs w:val="18"/>
              </w:rPr>
              <w:t>0</w:t>
            </w:r>
            <w:r>
              <w:rPr>
                <w:sz w:val="18"/>
                <w:szCs w:val="18"/>
              </w:rPr>
              <w:t>.5%</w:t>
            </w:r>
            <w:r>
              <w:rPr>
                <w:rFonts w:hint="eastAsia"/>
                <w:sz w:val="18"/>
                <w:szCs w:val="18"/>
              </w:rPr>
              <w:t>＜C</w:t>
            </w:r>
            <w:r>
              <w:rPr>
                <w:sz w:val="18"/>
                <w:szCs w:val="18"/>
              </w:rPr>
              <w:t>r</w:t>
            </w:r>
            <w:r>
              <w:rPr>
                <w:rFonts w:hint="eastAsia"/>
                <w:sz w:val="18"/>
                <w:szCs w:val="18"/>
              </w:rPr>
              <w:t>≤</w:t>
            </w:r>
            <w:r>
              <w:rPr>
                <w:sz w:val="18"/>
                <w:szCs w:val="18"/>
              </w:rPr>
              <w:t>2%</w:t>
            </w:r>
          </w:p>
        </w:tc>
        <w:tc>
          <w:tcPr>
            <w:tcW w:w="1552" w:type="pct"/>
            <w:tcBorders>
              <w:top w:val="single" w:color="auto" w:sz="4" w:space="0"/>
              <w:left w:val="single" w:color="auto" w:sz="4" w:space="0"/>
              <w:bottom w:val="single" w:color="auto" w:sz="4" w:space="0"/>
              <w:right w:val="single" w:color="auto" w:sz="4" w:space="0"/>
            </w:tcBorders>
          </w:tcPr>
          <w:p>
            <w:pPr>
              <w:pStyle w:val="257"/>
              <w:rPr>
                <w:sz w:val="18"/>
                <w:szCs w:val="18"/>
              </w:rPr>
            </w:pPr>
            <w:r>
              <w:rPr>
                <w:rFonts w:hint="eastAsia"/>
                <w:sz w:val="18"/>
                <w:szCs w:val="18"/>
              </w:rPr>
              <w:t>≤</w:t>
            </w:r>
            <w:r>
              <w:rPr>
                <w:sz w:val="18"/>
                <w:szCs w:val="18"/>
              </w:rPr>
              <w:t>13</w:t>
            </w:r>
          </w:p>
        </w:tc>
        <w:tc>
          <w:tcPr>
            <w:tcW w:w="1674" w:type="pct"/>
            <w:vMerge w:val="restart"/>
            <w:tcBorders>
              <w:top w:val="single" w:color="auto" w:sz="4" w:space="0"/>
              <w:left w:val="single" w:color="auto" w:sz="4" w:space="0"/>
              <w:right w:val="single" w:color="auto" w:sz="8" w:space="0"/>
            </w:tcBorders>
            <w:vAlign w:val="center"/>
          </w:tcPr>
          <w:p>
            <w:pPr>
              <w:pStyle w:val="257"/>
              <w:rPr>
                <w:sz w:val="18"/>
                <w:szCs w:val="18"/>
              </w:rPr>
            </w:pPr>
            <w:r>
              <w:rPr>
                <w:rFonts w:hint="eastAsia"/>
                <w:sz w:val="18"/>
                <w:szCs w:val="18"/>
              </w:rPr>
              <w:t>2</w:t>
            </w:r>
            <w:r>
              <w:rPr>
                <w:sz w:val="18"/>
                <w:szCs w:val="18"/>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74" w:type="pct"/>
            <w:vMerge w:val="continue"/>
            <w:tcBorders>
              <w:left w:val="single" w:color="auto" w:sz="8" w:space="0"/>
              <w:right w:val="single" w:color="auto" w:sz="4" w:space="0"/>
            </w:tcBorders>
            <w:vAlign w:val="center"/>
          </w:tcPr>
          <w:p>
            <w:pPr>
              <w:pStyle w:val="257"/>
              <w:rPr>
                <w:sz w:val="18"/>
                <w:szCs w:val="18"/>
              </w:rPr>
            </w:pPr>
          </w:p>
        </w:tc>
        <w:tc>
          <w:tcPr>
            <w:tcW w:w="1552" w:type="pct"/>
            <w:tcBorders>
              <w:top w:val="single" w:color="auto" w:sz="4" w:space="0"/>
              <w:left w:val="single" w:color="auto" w:sz="4" w:space="0"/>
              <w:bottom w:val="single" w:color="auto" w:sz="4" w:space="0"/>
              <w:right w:val="single" w:color="auto" w:sz="4" w:space="0"/>
            </w:tcBorders>
          </w:tcPr>
          <w:p>
            <w:pPr>
              <w:pStyle w:val="257"/>
              <w:rPr>
                <w:sz w:val="18"/>
                <w:szCs w:val="18"/>
              </w:rPr>
            </w:pPr>
            <w:r>
              <w:rPr>
                <w:rFonts w:hint="eastAsia"/>
                <w:sz w:val="18"/>
                <w:szCs w:val="18"/>
              </w:rPr>
              <w:t>＞</w:t>
            </w:r>
            <w:r>
              <w:rPr>
                <w:sz w:val="18"/>
                <w:szCs w:val="18"/>
              </w:rPr>
              <w:t>13</w:t>
            </w:r>
          </w:p>
        </w:tc>
        <w:tc>
          <w:tcPr>
            <w:tcW w:w="1674" w:type="pct"/>
            <w:vMerge w:val="continue"/>
            <w:tcBorders>
              <w:left w:val="single" w:color="auto" w:sz="4" w:space="0"/>
              <w:right w:val="single" w:color="auto" w:sz="8" w:space="0"/>
            </w:tcBorders>
            <w:vAlign w:val="center"/>
          </w:tcPr>
          <w:p>
            <w:pPr>
              <w:pStyle w:val="257"/>
              <w:rPr>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74" w:type="pct"/>
            <w:vMerge w:val="continue"/>
            <w:tcBorders>
              <w:left w:val="single" w:color="auto" w:sz="8" w:space="0"/>
              <w:bottom w:val="single" w:color="auto" w:sz="4" w:space="0"/>
              <w:right w:val="single" w:color="auto" w:sz="4" w:space="0"/>
            </w:tcBorders>
            <w:vAlign w:val="center"/>
          </w:tcPr>
          <w:p>
            <w:pPr>
              <w:pStyle w:val="257"/>
              <w:rPr>
                <w:sz w:val="18"/>
                <w:szCs w:val="18"/>
              </w:rPr>
            </w:pPr>
          </w:p>
        </w:tc>
        <w:tc>
          <w:tcPr>
            <w:tcW w:w="1552" w:type="pct"/>
            <w:tcBorders>
              <w:top w:val="single" w:color="auto" w:sz="4" w:space="0"/>
              <w:left w:val="single" w:color="auto" w:sz="4" w:space="0"/>
              <w:bottom w:val="single" w:color="auto" w:sz="4" w:space="0"/>
              <w:right w:val="single" w:color="auto" w:sz="4" w:space="0"/>
            </w:tcBorders>
          </w:tcPr>
          <w:p>
            <w:pPr>
              <w:pStyle w:val="257"/>
              <w:rPr>
                <w:sz w:val="18"/>
                <w:szCs w:val="18"/>
              </w:rPr>
            </w:pPr>
            <w:r>
              <w:rPr>
                <w:rFonts w:hint="eastAsia"/>
                <w:sz w:val="18"/>
                <w:szCs w:val="18"/>
              </w:rPr>
              <w:t>全部</w:t>
            </w:r>
          </w:p>
        </w:tc>
        <w:tc>
          <w:tcPr>
            <w:tcW w:w="1674" w:type="pct"/>
            <w:vMerge w:val="continue"/>
            <w:tcBorders>
              <w:left w:val="single" w:color="auto" w:sz="4" w:space="0"/>
              <w:bottom w:val="single" w:color="auto" w:sz="4" w:space="0"/>
              <w:right w:val="single" w:color="auto" w:sz="8" w:space="0"/>
            </w:tcBorders>
            <w:vAlign w:val="center"/>
          </w:tcPr>
          <w:p>
            <w:pPr>
              <w:pStyle w:val="257"/>
              <w:rPr>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774" w:type="pct"/>
            <w:vMerge w:val="restart"/>
            <w:tcBorders>
              <w:left w:val="single" w:color="auto" w:sz="8" w:space="0"/>
              <w:right w:val="single" w:color="auto" w:sz="4" w:space="0"/>
            </w:tcBorders>
            <w:vAlign w:val="center"/>
          </w:tcPr>
          <w:p>
            <w:pPr>
              <w:pStyle w:val="257"/>
              <w:rPr>
                <w:sz w:val="18"/>
                <w:szCs w:val="18"/>
              </w:rPr>
            </w:pPr>
            <w:r>
              <w:rPr>
                <w:rFonts w:hint="eastAsia"/>
                <w:sz w:val="18"/>
                <w:szCs w:val="18"/>
              </w:rPr>
              <w:t>合金钢</w:t>
            </w:r>
          </w:p>
          <w:p>
            <w:pPr>
              <w:pStyle w:val="257"/>
              <w:rPr>
                <w:sz w:val="18"/>
                <w:szCs w:val="18"/>
              </w:rPr>
            </w:pPr>
            <w:r>
              <w:rPr>
                <w:sz w:val="18"/>
                <w:szCs w:val="18"/>
              </w:rPr>
              <w:t>2%</w:t>
            </w:r>
            <w:r>
              <w:rPr>
                <w:rFonts w:hint="eastAsia"/>
                <w:sz w:val="18"/>
                <w:szCs w:val="18"/>
              </w:rPr>
              <w:t>＜C</w:t>
            </w:r>
            <w:r>
              <w:rPr>
                <w:sz w:val="18"/>
                <w:szCs w:val="18"/>
              </w:rPr>
              <w:t>r</w:t>
            </w:r>
            <w:r>
              <w:rPr>
                <w:rFonts w:hint="eastAsia"/>
                <w:sz w:val="18"/>
                <w:szCs w:val="18"/>
              </w:rPr>
              <w:t>≤3</w:t>
            </w:r>
            <w:r>
              <w:rPr>
                <w:sz w:val="18"/>
                <w:szCs w:val="18"/>
              </w:rPr>
              <w:t>%</w:t>
            </w:r>
          </w:p>
          <w:p>
            <w:pPr>
              <w:pStyle w:val="257"/>
              <w:rPr>
                <w:sz w:val="18"/>
                <w:szCs w:val="18"/>
              </w:rPr>
            </w:pPr>
            <w:r>
              <w:rPr>
                <w:sz w:val="18"/>
                <w:szCs w:val="18"/>
              </w:rPr>
              <w:t>或</w:t>
            </w:r>
            <w:r>
              <w:rPr>
                <w:rFonts w:hint="eastAsia"/>
                <w:sz w:val="18"/>
                <w:szCs w:val="18"/>
              </w:rPr>
              <w:t>C≤0</w:t>
            </w:r>
            <w:r>
              <w:rPr>
                <w:sz w:val="18"/>
                <w:szCs w:val="18"/>
              </w:rPr>
              <w:t>.15%</w:t>
            </w:r>
          </w:p>
        </w:tc>
        <w:tc>
          <w:tcPr>
            <w:tcW w:w="1552"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sz w:val="18"/>
                <w:szCs w:val="18"/>
              </w:rPr>
              <w:t>≤</w:t>
            </w:r>
            <w:r>
              <w:rPr>
                <w:sz w:val="18"/>
                <w:szCs w:val="18"/>
              </w:rPr>
              <w:t>13</w:t>
            </w:r>
          </w:p>
        </w:tc>
        <w:tc>
          <w:tcPr>
            <w:tcW w:w="1674" w:type="pct"/>
            <w:vMerge w:val="restart"/>
            <w:tcBorders>
              <w:left w:val="single" w:color="auto" w:sz="4" w:space="0"/>
              <w:right w:val="single" w:color="auto" w:sz="8" w:space="0"/>
            </w:tcBorders>
            <w:vAlign w:val="center"/>
          </w:tcPr>
          <w:p>
            <w:pPr>
              <w:pStyle w:val="257"/>
              <w:rPr>
                <w:sz w:val="18"/>
                <w:szCs w:val="18"/>
              </w:rPr>
            </w:pPr>
            <w:r>
              <w:rPr>
                <w:rFonts w:hint="eastAsia"/>
                <w:sz w:val="18"/>
                <w:szCs w:val="18"/>
              </w:rPr>
              <w:t>2</w:t>
            </w:r>
            <w:r>
              <w:rPr>
                <w:sz w:val="18"/>
                <w:szCs w:val="18"/>
              </w:rPr>
              <w:t>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74" w:type="pct"/>
            <w:vMerge w:val="continue"/>
            <w:tcBorders>
              <w:left w:val="single" w:color="auto" w:sz="8" w:space="0"/>
              <w:bottom w:val="single" w:color="auto" w:sz="4" w:space="0"/>
              <w:right w:val="single" w:color="auto" w:sz="4" w:space="0"/>
            </w:tcBorders>
            <w:vAlign w:val="center"/>
          </w:tcPr>
          <w:p>
            <w:pPr>
              <w:pStyle w:val="257"/>
              <w:rPr>
                <w:sz w:val="18"/>
                <w:szCs w:val="18"/>
              </w:rPr>
            </w:pPr>
          </w:p>
        </w:tc>
        <w:tc>
          <w:tcPr>
            <w:tcW w:w="1552" w:type="pct"/>
            <w:tcBorders>
              <w:top w:val="single" w:color="auto" w:sz="4" w:space="0"/>
              <w:left w:val="single" w:color="auto" w:sz="4" w:space="0"/>
              <w:bottom w:val="single" w:color="auto" w:sz="4" w:space="0"/>
              <w:right w:val="single" w:color="auto" w:sz="4" w:space="0"/>
            </w:tcBorders>
            <w:vAlign w:val="center"/>
          </w:tcPr>
          <w:p>
            <w:pPr>
              <w:pStyle w:val="257"/>
              <w:rPr>
                <w:sz w:val="18"/>
                <w:szCs w:val="18"/>
              </w:rPr>
            </w:pPr>
            <w:r>
              <w:rPr>
                <w:rFonts w:hint="eastAsia"/>
                <w:sz w:val="18"/>
                <w:szCs w:val="18"/>
              </w:rPr>
              <w:t>＞</w:t>
            </w:r>
            <w:r>
              <w:rPr>
                <w:sz w:val="18"/>
                <w:szCs w:val="18"/>
              </w:rPr>
              <w:t>13</w:t>
            </w:r>
          </w:p>
        </w:tc>
        <w:tc>
          <w:tcPr>
            <w:tcW w:w="1674" w:type="pct"/>
            <w:vMerge w:val="continue"/>
            <w:tcBorders>
              <w:left w:val="single" w:color="auto" w:sz="4" w:space="0"/>
              <w:bottom w:val="single" w:color="auto" w:sz="4" w:space="0"/>
              <w:right w:val="single" w:color="auto" w:sz="8" w:space="0"/>
            </w:tcBorders>
            <w:vAlign w:val="center"/>
          </w:tcPr>
          <w:p>
            <w:pPr>
              <w:pStyle w:val="257"/>
              <w:rPr>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774" w:type="pct"/>
            <w:tcBorders>
              <w:top w:val="single" w:color="auto" w:sz="4" w:space="0"/>
              <w:left w:val="single" w:color="auto" w:sz="8" w:space="0"/>
              <w:right w:val="single" w:color="auto" w:sz="4" w:space="0"/>
            </w:tcBorders>
            <w:vAlign w:val="center"/>
          </w:tcPr>
          <w:p>
            <w:pPr>
              <w:pStyle w:val="257"/>
              <w:rPr>
                <w:sz w:val="18"/>
                <w:szCs w:val="18"/>
              </w:rPr>
            </w:pPr>
            <w:r>
              <w:rPr>
                <w:rFonts w:hint="eastAsia"/>
                <w:sz w:val="18"/>
                <w:szCs w:val="18"/>
              </w:rPr>
              <w:t>合金钢</w:t>
            </w:r>
          </w:p>
          <w:p>
            <w:pPr>
              <w:pStyle w:val="257"/>
              <w:rPr>
                <w:sz w:val="18"/>
                <w:szCs w:val="18"/>
              </w:rPr>
            </w:pPr>
            <w:r>
              <w:rPr>
                <w:sz w:val="18"/>
                <w:szCs w:val="18"/>
              </w:rPr>
              <w:t>3%</w:t>
            </w:r>
            <w:r>
              <w:rPr>
                <w:rFonts w:hint="eastAsia"/>
                <w:sz w:val="18"/>
                <w:szCs w:val="18"/>
              </w:rPr>
              <w:t>＜C</w:t>
            </w:r>
            <w:r>
              <w:rPr>
                <w:sz w:val="18"/>
                <w:szCs w:val="18"/>
              </w:rPr>
              <w:t>r</w:t>
            </w:r>
            <w:r>
              <w:rPr>
                <w:rFonts w:hint="eastAsia"/>
                <w:sz w:val="18"/>
                <w:szCs w:val="18"/>
              </w:rPr>
              <w:t>≤</w:t>
            </w:r>
            <w:r>
              <w:rPr>
                <w:sz w:val="18"/>
                <w:szCs w:val="18"/>
              </w:rPr>
              <w:t>10%</w:t>
            </w:r>
          </w:p>
          <w:p>
            <w:pPr>
              <w:pStyle w:val="257"/>
              <w:rPr>
                <w:sz w:val="18"/>
                <w:szCs w:val="18"/>
              </w:rPr>
            </w:pPr>
            <w:r>
              <w:rPr>
                <w:sz w:val="18"/>
                <w:szCs w:val="18"/>
              </w:rPr>
              <w:t>或</w:t>
            </w:r>
            <w:r>
              <w:rPr>
                <w:rFonts w:hint="eastAsia"/>
                <w:sz w:val="18"/>
                <w:szCs w:val="18"/>
              </w:rPr>
              <w:t>C＞0</w:t>
            </w:r>
            <w:r>
              <w:rPr>
                <w:sz w:val="18"/>
                <w:szCs w:val="18"/>
              </w:rPr>
              <w:t>.15%</w:t>
            </w:r>
          </w:p>
        </w:tc>
        <w:tc>
          <w:tcPr>
            <w:tcW w:w="1552" w:type="pct"/>
            <w:tcBorders>
              <w:top w:val="single" w:color="auto" w:sz="4" w:space="0"/>
              <w:left w:val="single" w:color="auto" w:sz="4" w:space="0"/>
              <w:right w:val="single" w:color="auto" w:sz="4" w:space="0"/>
            </w:tcBorders>
            <w:vAlign w:val="center"/>
          </w:tcPr>
          <w:p>
            <w:pPr>
              <w:pStyle w:val="257"/>
              <w:rPr>
                <w:sz w:val="18"/>
                <w:szCs w:val="18"/>
              </w:rPr>
            </w:pPr>
            <w:r>
              <w:rPr>
                <w:rFonts w:hint="eastAsia"/>
                <w:sz w:val="18"/>
                <w:szCs w:val="18"/>
              </w:rPr>
              <w:t>全部</w:t>
            </w:r>
          </w:p>
        </w:tc>
        <w:tc>
          <w:tcPr>
            <w:tcW w:w="1674" w:type="pct"/>
            <w:tcBorders>
              <w:top w:val="single" w:color="auto" w:sz="4" w:space="0"/>
              <w:left w:val="single" w:color="auto" w:sz="4" w:space="0"/>
              <w:right w:val="single" w:color="auto" w:sz="8" w:space="0"/>
            </w:tcBorders>
            <w:vAlign w:val="center"/>
          </w:tcPr>
          <w:p>
            <w:pPr>
              <w:pStyle w:val="257"/>
              <w:rPr>
                <w:sz w:val="18"/>
                <w:szCs w:val="18"/>
              </w:rPr>
            </w:pPr>
            <w:r>
              <w:rPr>
                <w:rFonts w:hint="eastAsia"/>
                <w:sz w:val="18"/>
                <w:szCs w:val="18"/>
              </w:rPr>
              <w:t>2</w:t>
            </w:r>
            <w:r>
              <w:rPr>
                <w:sz w:val="18"/>
                <w:szCs w:val="18"/>
              </w:rPr>
              <w:t>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74" w:type="pct"/>
            <w:tcBorders>
              <w:top w:val="single" w:color="auto" w:sz="4" w:space="0"/>
              <w:left w:val="single" w:color="auto" w:sz="8" w:space="0"/>
              <w:bottom w:val="single" w:color="auto" w:sz="4" w:space="0"/>
              <w:right w:val="single" w:color="auto" w:sz="4" w:space="0"/>
            </w:tcBorders>
            <w:vAlign w:val="center"/>
          </w:tcPr>
          <w:p>
            <w:pPr>
              <w:pStyle w:val="257"/>
              <w:rPr>
                <w:sz w:val="18"/>
                <w:szCs w:val="18"/>
              </w:rPr>
            </w:pPr>
            <w:r>
              <w:rPr>
                <w:rFonts w:hint="eastAsia"/>
                <w:sz w:val="18"/>
                <w:szCs w:val="18"/>
              </w:rPr>
              <w:t>9</w:t>
            </w:r>
            <w:r>
              <w:rPr>
                <w:sz w:val="18"/>
                <w:szCs w:val="18"/>
              </w:rPr>
              <w:t>Cr-1Mo-V钢</w:t>
            </w:r>
          </w:p>
        </w:tc>
        <w:tc>
          <w:tcPr>
            <w:tcW w:w="1552" w:type="pct"/>
            <w:tcBorders>
              <w:top w:val="single" w:color="auto" w:sz="4" w:space="0"/>
              <w:left w:val="single" w:color="auto" w:sz="4" w:space="0"/>
              <w:bottom w:val="single" w:color="auto" w:sz="4" w:space="0"/>
              <w:right w:val="single" w:color="auto" w:sz="4" w:space="0"/>
            </w:tcBorders>
          </w:tcPr>
          <w:p>
            <w:pPr>
              <w:pStyle w:val="257"/>
              <w:rPr>
                <w:sz w:val="18"/>
                <w:szCs w:val="18"/>
              </w:rPr>
            </w:pPr>
            <w:r>
              <w:rPr>
                <w:rFonts w:hint="eastAsia"/>
                <w:sz w:val="18"/>
                <w:szCs w:val="18"/>
              </w:rPr>
              <w:t>全部</w:t>
            </w:r>
          </w:p>
        </w:tc>
        <w:tc>
          <w:tcPr>
            <w:tcW w:w="1674" w:type="pct"/>
            <w:tcBorders>
              <w:top w:val="single" w:color="auto" w:sz="4" w:space="0"/>
              <w:left w:val="single" w:color="auto" w:sz="4" w:space="0"/>
              <w:bottom w:val="single" w:color="auto" w:sz="4" w:space="0"/>
              <w:right w:val="single" w:color="auto" w:sz="8" w:space="0"/>
            </w:tcBorders>
            <w:vAlign w:val="center"/>
          </w:tcPr>
          <w:p>
            <w:pPr>
              <w:pStyle w:val="257"/>
              <w:rPr>
                <w:sz w:val="18"/>
                <w:szCs w:val="18"/>
              </w:rPr>
            </w:pPr>
            <w:r>
              <w:rPr>
                <w:rFonts w:hint="eastAsia"/>
                <w:sz w:val="18"/>
                <w:szCs w:val="18"/>
              </w:rPr>
              <w:t>2</w:t>
            </w:r>
            <w:r>
              <w:rPr>
                <w:sz w:val="18"/>
                <w:szCs w:val="18"/>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74" w:type="pct"/>
            <w:tcBorders>
              <w:top w:val="single" w:color="auto" w:sz="4" w:space="0"/>
              <w:left w:val="single" w:color="auto" w:sz="8" w:space="0"/>
              <w:bottom w:val="single" w:color="auto" w:sz="4" w:space="0"/>
              <w:right w:val="single" w:color="auto" w:sz="4" w:space="0"/>
            </w:tcBorders>
            <w:vAlign w:val="center"/>
          </w:tcPr>
          <w:p>
            <w:pPr>
              <w:pStyle w:val="257"/>
              <w:rPr>
                <w:sz w:val="18"/>
                <w:szCs w:val="18"/>
              </w:rPr>
            </w:pPr>
            <w:r>
              <w:rPr>
                <w:sz w:val="18"/>
                <w:szCs w:val="18"/>
              </w:rPr>
              <w:t>马氏体不锈钢</w:t>
            </w:r>
          </w:p>
        </w:tc>
        <w:tc>
          <w:tcPr>
            <w:tcW w:w="1552" w:type="pct"/>
            <w:tcBorders>
              <w:top w:val="single" w:color="auto" w:sz="4" w:space="0"/>
              <w:left w:val="single" w:color="auto" w:sz="4" w:space="0"/>
              <w:bottom w:val="single" w:color="auto" w:sz="4" w:space="0"/>
              <w:right w:val="single" w:color="auto" w:sz="4" w:space="0"/>
            </w:tcBorders>
          </w:tcPr>
          <w:p>
            <w:pPr>
              <w:pStyle w:val="257"/>
              <w:rPr>
                <w:sz w:val="18"/>
                <w:szCs w:val="18"/>
              </w:rPr>
            </w:pPr>
            <w:r>
              <w:rPr>
                <w:rFonts w:hint="eastAsia"/>
                <w:sz w:val="18"/>
                <w:szCs w:val="18"/>
              </w:rPr>
              <w:t>全部</w:t>
            </w:r>
          </w:p>
        </w:tc>
        <w:tc>
          <w:tcPr>
            <w:tcW w:w="1674" w:type="pct"/>
            <w:tcBorders>
              <w:top w:val="single" w:color="auto" w:sz="4" w:space="0"/>
              <w:left w:val="single" w:color="auto" w:sz="4" w:space="0"/>
              <w:bottom w:val="single" w:color="auto" w:sz="4" w:space="0"/>
              <w:right w:val="single" w:color="auto" w:sz="8" w:space="0"/>
            </w:tcBorders>
            <w:vAlign w:val="center"/>
          </w:tcPr>
          <w:p>
            <w:pPr>
              <w:pStyle w:val="257"/>
              <w:rPr>
                <w:sz w:val="18"/>
                <w:szCs w:val="18"/>
              </w:rPr>
            </w:pPr>
            <w:r>
              <w:rPr>
                <w:rFonts w:hint="eastAsia"/>
                <w:sz w:val="18"/>
                <w:szCs w:val="18"/>
              </w:rPr>
              <w:t>2</w:t>
            </w:r>
            <w:r>
              <w:rPr>
                <w:sz w:val="18"/>
                <w:szCs w:val="18"/>
              </w:rPr>
              <w:t>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74" w:type="pct"/>
            <w:tcBorders>
              <w:top w:val="single" w:color="auto" w:sz="4" w:space="0"/>
              <w:left w:val="single" w:color="auto" w:sz="8" w:space="0"/>
              <w:bottom w:val="single" w:color="auto" w:sz="8" w:space="0"/>
              <w:right w:val="single" w:color="auto" w:sz="4" w:space="0"/>
            </w:tcBorders>
            <w:vAlign w:val="center"/>
          </w:tcPr>
          <w:p>
            <w:pPr>
              <w:pStyle w:val="257"/>
              <w:rPr>
                <w:sz w:val="18"/>
                <w:szCs w:val="18"/>
              </w:rPr>
            </w:pPr>
            <w:r>
              <w:rPr>
                <w:rFonts w:hint="eastAsia"/>
                <w:sz w:val="18"/>
                <w:szCs w:val="18"/>
              </w:rPr>
              <w:t>奥氏体</w:t>
            </w:r>
            <w:r>
              <w:rPr>
                <w:sz w:val="18"/>
                <w:szCs w:val="18"/>
              </w:rPr>
              <w:t>不锈钢和镍基合金</w:t>
            </w:r>
          </w:p>
        </w:tc>
        <w:tc>
          <w:tcPr>
            <w:tcW w:w="1552" w:type="pct"/>
            <w:tcBorders>
              <w:top w:val="single" w:color="auto" w:sz="4" w:space="0"/>
              <w:left w:val="single" w:color="auto" w:sz="4" w:space="0"/>
              <w:bottom w:val="single" w:color="auto" w:sz="8" w:space="0"/>
              <w:right w:val="single" w:color="auto" w:sz="4" w:space="0"/>
            </w:tcBorders>
          </w:tcPr>
          <w:p>
            <w:pPr>
              <w:pStyle w:val="257"/>
              <w:rPr>
                <w:sz w:val="18"/>
                <w:szCs w:val="18"/>
              </w:rPr>
            </w:pPr>
            <w:r>
              <w:rPr>
                <w:rFonts w:hint="eastAsia"/>
                <w:sz w:val="18"/>
                <w:szCs w:val="18"/>
              </w:rPr>
              <w:t>全部</w:t>
            </w:r>
          </w:p>
        </w:tc>
        <w:tc>
          <w:tcPr>
            <w:tcW w:w="1674" w:type="pct"/>
            <w:tcBorders>
              <w:top w:val="single" w:color="auto" w:sz="4" w:space="0"/>
              <w:left w:val="single" w:color="auto" w:sz="4" w:space="0"/>
              <w:bottom w:val="single" w:color="auto" w:sz="8" w:space="0"/>
              <w:right w:val="single" w:color="auto" w:sz="8" w:space="0"/>
            </w:tcBorders>
            <w:vAlign w:val="center"/>
          </w:tcPr>
          <w:p>
            <w:pPr>
              <w:pStyle w:val="257"/>
              <w:rPr>
                <w:sz w:val="18"/>
                <w:szCs w:val="18"/>
              </w:rPr>
            </w:pPr>
            <w:r>
              <w:rPr>
                <w:sz w:val="18"/>
                <w:szCs w:val="18"/>
              </w:rPr>
              <w:t>187</w:t>
            </w:r>
          </w:p>
        </w:tc>
      </w:tr>
    </w:tbl>
    <w:p>
      <w:pPr>
        <w:pStyle w:val="169"/>
      </w:pPr>
      <w:r>
        <w:rPr>
          <w:rFonts w:hint="eastAsia"/>
        </w:rPr>
        <w:t>氢气管道、掺氢管道的焊接应满足下列要求：</w:t>
      </w:r>
    </w:p>
    <w:p>
      <w:pPr>
        <w:pStyle w:val="179"/>
        <w:numPr>
          <w:ilvl w:val="0"/>
          <w:numId w:val="92"/>
        </w:numPr>
      </w:pPr>
      <w:r>
        <w:rPr>
          <w:rFonts w:hint="eastAsia"/>
        </w:rPr>
        <w:t>碳钢和低合金钢焊接材料应选用低氢型焊接材料，扩散氢含量应按现行国家标准《熔敷金属中扩散氢测定方法》 GB/T 3965 规定的标准方法进行试验，扩散氢含量不应超过 5mL/100g。</w:t>
      </w:r>
    </w:p>
    <w:p>
      <w:pPr>
        <w:pStyle w:val="179"/>
      </w:pPr>
      <w:r>
        <w:rPr>
          <w:rFonts w:hint="eastAsia"/>
        </w:rPr>
        <w:t>不锈钢焊接材料应符合国家现行标准《不锈钢焊条》 GB/T 983、《不锈钢药芯焊丝》GB/T 17853、《焊接用不锈钢焊丝》YB/T 5092 的有关规定。</w:t>
      </w:r>
    </w:p>
    <w:p>
      <w:pPr>
        <w:pStyle w:val="179"/>
      </w:pPr>
      <w:r>
        <w:rPr>
          <w:rFonts w:hint="eastAsia"/>
        </w:rPr>
        <w:t>对接接头表面不得低于母材表面，焊缝余高不应大于2mm；</w:t>
      </w:r>
    </w:p>
    <w:p>
      <w:pPr>
        <w:pStyle w:val="179"/>
      </w:pPr>
      <w:r>
        <w:rPr>
          <w:rFonts w:hint="eastAsia"/>
        </w:rPr>
        <w:t>对接接头错边量不应大于1mm；</w:t>
      </w:r>
    </w:p>
    <w:p>
      <w:pPr>
        <w:pStyle w:val="179"/>
      </w:pPr>
      <w:r>
        <w:rPr>
          <w:rFonts w:hint="eastAsia"/>
        </w:rPr>
        <w:t>咬边应不得超过1.0mm，且应不得侵蚀所要求的最小管部件厚度；</w:t>
      </w:r>
    </w:p>
    <w:p>
      <w:pPr>
        <w:pStyle w:val="179"/>
      </w:pPr>
      <w:r>
        <w:rPr>
          <w:rFonts w:hint="eastAsia"/>
        </w:rPr>
        <w:t>低温、不锈钢、焊接接头系数φ为1的焊缝表面不应有咬边。</w:t>
      </w:r>
    </w:p>
    <w:p>
      <w:pPr>
        <w:pStyle w:val="179"/>
      </w:pPr>
      <w:r>
        <w:rPr>
          <w:rFonts w:hint="eastAsia"/>
        </w:rPr>
        <w:t xml:space="preserve">焊缝外观应成型良好，并应与母材圆滑过渡，宽度宜每侧盖过坡口2mm以上。 </w:t>
      </w:r>
    </w:p>
    <w:p>
      <w:pPr>
        <w:pStyle w:val="179"/>
      </w:pPr>
      <w:r>
        <w:rPr>
          <w:rFonts w:hint="eastAsia"/>
        </w:rPr>
        <w:t>角接接头的焊脚尺寸，在设计文件无规定时，取焊件中较薄件的厚度。</w:t>
      </w:r>
    </w:p>
    <w:p>
      <w:pPr>
        <w:pStyle w:val="179"/>
      </w:pPr>
      <w:r>
        <w:rPr>
          <w:rFonts w:hint="eastAsia"/>
        </w:rPr>
        <w:t>不应在设备的非焊接部位引弧。因电弧擦伤而产生的弧坑、焊疤以及因切割卡具、拉筋板等临时性附件后遗留的焊疤需修磨平滑。</w:t>
      </w:r>
    </w:p>
    <w:p>
      <w:pPr>
        <w:pStyle w:val="169"/>
      </w:pPr>
      <w:r>
        <w:rPr>
          <w:rFonts w:hint="eastAsia"/>
        </w:rPr>
        <w:t>定位焊缝应符合下列规定：</w:t>
      </w:r>
    </w:p>
    <w:p>
      <w:pPr>
        <w:pStyle w:val="179"/>
        <w:numPr>
          <w:ilvl w:val="0"/>
          <w:numId w:val="93"/>
        </w:numPr>
      </w:pPr>
      <w:r>
        <w:rPr>
          <w:rFonts w:hint="eastAsia"/>
        </w:rPr>
        <w:t>焊接定位焊缝时，应采用与根部焊道相同的焊接材料和焊接工艺，并由合格焊工施焊；</w:t>
      </w:r>
    </w:p>
    <w:p>
      <w:pPr>
        <w:pStyle w:val="179"/>
      </w:pPr>
      <w:r>
        <w:rPr>
          <w:rFonts w:hint="eastAsia"/>
        </w:rPr>
        <w:t>定位焊缝位置与数量参见表</w:t>
      </w:r>
      <w:r>
        <w:t>16</w:t>
      </w:r>
      <w:r>
        <w:rPr>
          <w:rFonts w:hint="eastAsia"/>
        </w:rPr>
        <w:t>，管道定位焊缝尺寸参见表</w:t>
      </w:r>
      <w:r>
        <w:t>17</w:t>
      </w:r>
      <w:r>
        <w:rPr>
          <w:rFonts w:hint="eastAsia"/>
        </w:rPr>
        <w:t>；</w:t>
      </w:r>
    </w:p>
    <w:p>
      <w:pPr>
        <w:pStyle w:val="117"/>
        <w:spacing w:before="120" w:after="120"/>
      </w:pPr>
      <w:r>
        <w:rPr>
          <w:rFonts w:hint="eastAsia"/>
        </w:rPr>
        <w:t>管道定位焊缝位置与数量</w:t>
      </w:r>
    </w:p>
    <w:tbl>
      <w:tblPr>
        <w:tblStyle w:val="31"/>
        <w:tblW w:w="4171"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4488"/>
        <w:gridCol w:w="349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811" w:type="pct"/>
            <w:vAlign w:val="center"/>
          </w:tcPr>
          <w:p>
            <w:pPr>
              <w:pStyle w:val="257"/>
              <w:rPr>
                <w:sz w:val="18"/>
                <w:szCs w:val="18"/>
              </w:rPr>
            </w:pPr>
            <w:r>
              <w:rPr>
                <w:rFonts w:hint="eastAsia"/>
                <w:sz w:val="18"/>
                <w:szCs w:val="18"/>
              </w:rPr>
              <w:t>公称直径</w:t>
            </w:r>
            <w:r>
              <w:rPr>
                <w:sz w:val="18"/>
                <w:szCs w:val="18"/>
              </w:rPr>
              <w:t xml:space="preserve"> DN</w:t>
            </w:r>
            <w:r>
              <w:rPr>
                <w:rFonts w:hint="eastAsia"/>
                <w:sz w:val="18"/>
                <w:szCs w:val="18"/>
              </w:rPr>
              <w:t>（</w:t>
            </w:r>
            <w:r>
              <w:rPr>
                <w:sz w:val="18"/>
                <w:szCs w:val="18"/>
              </w:rPr>
              <w:t>mm</w:t>
            </w:r>
            <w:r>
              <w:rPr>
                <w:rFonts w:hint="eastAsia"/>
                <w:sz w:val="18"/>
                <w:szCs w:val="18"/>
              </w:rPr>
              <w:t>）</w:t>
            </w:r>
          </w:p>
        </w:tc>
        <w:tc>
          <w:tcPr>
            <w:tcW w:w="2189" w:type="pct"/>
            <w:vAlign w:val="center"/>
          </w:tcPr>
          <w:p>
            <w:pPr>
              <w:pStyle w:val="257"/>
              <w:rPr>
                <w:sz w:val="18"/>
                <w:szCs w:val="18"/>
              </w:rPr>
            </w:pPr>
            <w:r>
              <w:rPr>
                <w:rFonts w:hint="eastAsia"/>
                <w:sz w:val="18"/>
                <w:szCs w:val="18"/>
              </w:rPr>
              <w:t>位置与数量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811" w:type="pct"/>
            <w:vAlign w:val="center"/>
          </w:tcPr>
          <w:p>
            <w:pPr>
              <w:pStyle w:val="257"/>
              <w:rPr>
                <w:sz w:val="18"/>
                <w:szCs w:val="18"/>
              </w:rPr>
            </w:pPr>
            <w:r>
              <w:rPr>
                <w:sz w:val="18"/>
                <w:szCs w:val="18"/>
              </w:rPr>
              <w:t>DN</w:t>
            </w:r>
            <w:r>
              <w:rPr>
                <w:rFonts w:hint="eastAsia"/>
                <w:sz w:val="18"/>
                <w:szCs w:val="18"/>
              </w:rPr>
              <w:t>≤</w:t>
            </w:r>
            <w:r>
              <w:rPr>
                <w:sz w:val="18"/>
                <w:szCs w:val="18"/>
              </w:rPr>
              <w:t>50</w:t>
            </w:r>
          </w:p>
        </w:tc>
        <w:tc>
          <w:tcPr>
            <w:tcW w:w="2189" w:type="pct"/>
            <w:vAlign w:val="center"/>
          </w:tcPr>
          <w:p>
            <w:pPr>
              <w:pStyle w:val="257"/>
              <w:rPr>
                <w:sz w:val="18"/>
                <w:szCs w:val="18"/>
              </w:rPr>
            </w:pPr>
            <w:r>
              <w:rPr>
                <w:rFonts w:hint="eastAsia"/>
                <w:sz w:val="18"/>
                <w:szCs w:val="18"/>
              </w:rPr>
              <w:t>对称</w:t>
            </w:r>
            <w:r>
              <w:rPr>
                <w:sz w:val="18"/>
                <w:szCs w:val="18"/>
              </w:rPr>
              <w:t>2</w:t>
            </w:r>
            <w:r>
              <w:rPr>
                <w:rFonts w:hint="eastAsia"/>
                <w:sz w:val="18"/>
                <w:szCs w:val="18"/>
              </w:rPr>
              <w:t>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811" w:type="pct"/>
            <w:vAlign w:val="center"/>
          </w:tcPr>
          <w:p>
            <w:pPr>
              <w:pStyle w:val="257"/>
              <w:rPr>
                <w:sz w:val="18"/>
                <w:szCs w:val="18"/>
              </w:rPr>
            </w:pPr>
            <w:r>
              <w:rPr>
                <w:sz w:val="18"/>
                <w:szCs w:val="18"/>
              </w:rPr>
              <w:t>50</w:t>
            </w:r>
            <w:r>
              <w:rPr>
                <w:rFonts w:hint="eastAsia"/>
                <w:sz w:val="18"/>
                <w:szCs w:val="18"/>
              </w:rPr>
              <w:t>＜</w:t>
            </w:r>
            <w:r>
              <w:rPr>
                <w:sz w:val="18"/>
                <w:szCs w:val="18"/>
              </w:rPr>
              <w:t>DN</w:t>
            </w:r>
            <w:r>
              <w:rPr>
                <w:rFonts w:hint="eastAsia"/>
                <w:sz w:val="18"/>
                <w:szCs w:val="18"/>
              </w:rPr>
              <w:t>≤</w:t>
            </w:r>
            <w:r>
              <w:rPr>
                <w:sz w:val="18"/>
                <w:szCs w:val="18"/>
              </w:rPr>
              <w:t>150</w:t>
            </w:r>
          </w:p>
        </w:tc>
        <w:tc>
          <w:tcPr>
            <w:tcW w:w="2189" w:type="pct"/>
            <w:vAlign w:val="center"/>
          </w:tcPr>
          <w:p>
            <w:pPr>
              <w:pStyle w:val="257"/>
              <w:rPr>
                <w:sz w:val="18"/>
                <w:szCs w:val="18"/>
              </w:rPr>
            </w:pPr>
            <w:r>
              <w:rPr>
                <w:rFonts w:hint="eastAsia"/>
                <w:sz w:val="18"/>
                <w:szCs w:val="18"/>
              </w:rPr>
              <w:t>均布</w:t>
            </w:r>
            <w:r>
              <w:rPr>
                <w:sz w:val="18"/>
                <w:szCs w:val="18"/>
              </w:rPr>
              <w:t>2</w:t>
            </w:r>
            <w:r>
              <w:rPr>
                <w:rFonts w:hint="eastAsia"/>
                <w:sz w:val="18"/>
                <w:szCs w:val="18"/>
              </w:rPr>
              <w:t>点～</w:t>
            </w:r>
            <w:r>
              <w:rPr>
                <w:sz w:val="18"/>
                <w:szCs w:val="18"/>
              </w:rPr>
              <w:t>3</w:t>
            </w:r>
            <w:r>
              <w:rPr>
                <w:rFonts w:hint="eastAsia"/>
                <w:sz w:val="18"/>
                <w:szCs w:val="18"/>
              </w:rPr>
              <w:t>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811" w:type="pct"/>
            <w:vAlign w:val="center"/>
          </w:tcPr>
          <w:p>
            <w:pPr>
              <w:pStyle w:val="257"/>
              <w:rPr>
                <w:sz w:val="18"/>
                <w:szCs w:val="18"/>
              </w:rPr>
            </w:pPr>
            <w:r>
              <w:rPr>
                <w:sz w:val="18"/>
                <w:szCs w:val="18"/>
              </w:rPr>
              <w:t>150</w:t>
            </w:r>
            <w:r>
              <w:rPr>
                <w:rFonts w:hint="eastAsia"/>
                <w:sz w:val="18"/>
                <w:szCs w:val="18"/>
              </w:rPr>
              <w:t>＜</w:t>
            </w:r>
            <w:r>
              <w:rPr>
                <w:sz w:val="18"/>
                <w:szCs w:val="18"/>
              </w:rPr>
              <w:t>DN</w:t>
            </w:r>
            <w:r>
              <w:rPr>
                <w:rFonts w:hint="eastAsia"/>
                <w:sz w:val="18"/>
                <w:szCs w:val="18"/>
              </w:rPr>
              <w:t>≤</w:t>
            </w:r>
            <w:r>
              <w:rPr>
                <w:sz w:val="18"/>
                <w:szCs w:val="18"/>
              </w:rPr>
              <w:t>200</w:t>
            </w:r>
          </w:p>
        </w:tc>
        <w:tc>
          <w:tcPr>
            <w:tcW w:w="2189" w:type="pct"/>
            <w:vAlign w:val="center"/>
          </w:tcPr>
          <w:p>
            <w:pPr>
              <w:pStyle w:val="257"/>
              <w:rPr>
                <w:sz w:val="18"/>
                <w:szCs w:val="18"/>
              </w:rPr>
            </w:pPr>
            <w:r>
              <w:rPr>
                <w:rFonts w:hint="eastAsia"/>
                <w:sz w:val="18"/>
                <w:szCs w:val="18"/>
              </w:rPr>
              <w:t>均布</w:t>
            </w:r>
            <w:r>
              <w:rPr>
                <w:sz w:val="18"/>
                <w:szCs w:val="18"/>
              </w:rPr>
              <w:t>3</w:t>
            </w:r>
            <w:r>
              <w:rPr>
                <w:rFonts w:hint="eastAsia"/>
                <w:sz w:val="18"/>
                <w:szCs w:val="18"/>
              </w:rPr>
              <w:t>点～</w:t>
            </w:r>
            <w:r>
              <w:rPr>
                <w:sz w:val="18"/>
                <w:szCs w:val="18"/>
              </w:rPr>
              <w:t>4</w:t>
            </w:r>
            <w:r>
              <w:rPr>
                <w:rFonts w:hint="eastAsia"/>
                <w:sz w:val="18"/>
                <w:szCs w:val="18"/>
              </w:rPr>
              <w:t>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811" w:type="pct"/>
            <w:vAlign w:val="center"/>
          </w:tcPr>
          <w:p>
            <w:pPr>
              <w:pStyle w:val="257"/>
              <w:rPr>
                <w:sz w:val="18"/>
                <w:szCs w:val="18"/>
              </w:rPr>
            </w:pPr>
            <w:r>
              <w:rPr>
                <w:sz w:val="18"/>
                <w:szCs w:val="18"/>
              </w:rPr>
              <w:t>200</w:t>
            </w:r>
            <w:r>
              <w:rPr>
                <w:rFonts w:hint="eastAsia"/>
                <w:sz w:val="18"/>
                <w:szCs w:val="18"/>
              </w:rPr>
              <w:t>＜</w:t>
            </w:r>
            <w:r>
              <w:rPr>
                <w:sz w:val="18"/>
                <w:szCs w:val="18"/>
              </w:rPr>
              <w:t>DN</w:t>
            </w:r>
            <w:r>
              <w:rPr>
                <w:rFonts w:hint="eastAsia"/>
                <w:sz w:val="18"/>
                <w:szCs w:val="18"/>
              </w:rPr>
              <w:t>≤</w:t>
            </w:r>
            <w:r>
              <w:rPr>
                <w:sz w:val="18"/>
                <w:szCs w:val="18"/>
              </w:rPr>
              <w:t>500</w:t>
            </w:r>
          </w:p>
        </w:tc>
        <w:tc>
          <w:tcPr>
            <w:tcW w:w="2189" w:type="pct"/>
            <w:vAlign w:val="center"/>
          </w:tcPr>
          <w:p>
            <w:pPr>
              <w:pStyle w:val="257"/>
              <w:rPr>
                <w:sz w:val="18"/>
                <w:szCs w:val="18"/>
              </w:rPr>
            </w:pPr>
            <w:r>
              <w:rPr>
                <w:rFonts w:hint="eastAsia"/>
                <w:sz w:val="18"/>
                <w:szCs w:val="18"/>
              </w:rPr>
              <w:t>均布</w:t>
            </w:r>
            <w:r>
              <w:rPr>
                <w:sz w:val="18"/>
                <w:szCs w:val="18"/>
              </w:rPr>
              <w:t>4</w:t>
            </w:r>
            <w:r>
              <w:rPr>
                <w:rFonts w:hint="eastAsia"/>
                <w:sz w:val="18"/>
                <w:szCs w:val="18"/>
              </w:rPr>
              <w:t>点～</w:t>
            </w:r>
            <w:r>
              <w:rPr>
                <w:sz w:val="18"/>
                <w:szCs w:val="18"/>
              </w:rPr>
              <w:t>6</w:t>
            </w:r>
            <w:r>
              <w:rPr>
                <w:rFonts w:hint="eastAsia"/>
                <w:sz w:val="18"/>
                <w:szCs w:val="18"/>
              </w:rPr>
              <w:t>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811" w:type="pct"/>
            <w:vAlign w:val="center"/>
          </w:tcPr>
          <w:p>
            <w:pPr>
              <w:pStyle w:val="257"/>
              <w:rPr>
                <w:sz w:val="18"/>
                <w:szCs w:val="18"/>
              </w:rPr>
            </w:pPr>
            <w:r>
              <w:rPr>
                <w:sz w:val="18"/>
                <w:szCs w:val="18"/>
              </w:rPr>
              <w:t>500</w:t>
            </w:r>
            <w:r>
              <w:rPr>
                <w:rFonts w:hint="eastAsia"/>
                <w:sz w:val="18"/>
                <w:szCs w:val="18"/>
              </w:rPr>
              <w:t>＜</w:t>
            </w:r>
            <w:r>
              <w:rPr>
                <w:sz w:val="18"/>
                <w:szCs w:val="18"/>
              </w:rPr>
              <w:t>DN</w:t>
            </w:r>
            <w:r>
              <w:rPr>
                <w:rFonts w:hint="eastAsia"/>
                <w:sz w:val="18"/>
                <w:szCs w:val="18"/>
              </w:rPr>
              <w:t>≤</w:t>
            </w:r>
            <w:r>
              <w:rPr>
                <w:sz w:val="18"/>
                <w:szCs w:val="18"/>
              </w:rPr>
              <w:t>1200</w:t>
            </w:r>
          </w:p>
        </w:tc>
        <w:tc>
          <w:tcPr>
            <w:tcW w:w="2189" w:type="pct"/>
            <w:vAlign w:val="center"/>
          </w:tcPr>
          <w:p>
            <w:pPr>
              <w:pStyle w:val="257"/>
              <w:rPr>
                <w:sz w:val="18"/>
                <w:szCs w:val="18"/>
              </w:rPr>
            </w:pPr>
            <w:r>
              <w:rPr>
                <w:rFonts w:hint="eastAsia"/>
                <w:sz w:val="18"/>
                <w:szCs w:val="18"/>
              </w:rPr>
              <w:t>均布</w:t>
            </w:r>
            <w:r>
              <w:rPr>
                <w:sz w:val="18"/>
                <w:szCs w:val="18"/>
              </w:rPr>
              <w:t>6</w:t>
            </w:r>
            <w:r>
              <w:rPr>
                <w:rFonts w:hint="eastAsia"/>
                <w:sz w:val="18"/>
                <w:szCs w:val="18"/>
              </w:rPr>
              <w:t>点～</w:t>
            </w:r>
            <w:r>
              <w:rPr>
                <w:sz w:val="18"/>
                <w:szCs w:val="18"/>
              </w:rPr>
              <w:t>10</w:t>
            </w:r>
            <w:r>
              <w:rPr>
                <w:rFonts w:hint="eastAsia"/>
                <w:sz w:val="18"/>
                <w:szCs w:val="18"/>
              </w:rPr>
              <w:t>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811" w:type="pct"/>
            <w:vAlign w:val="center"/>
          </w:tcPr>
          <w:p>
            <w:pPr>
              <w:pStyle w:val="257"/>
              <w:rPr>
                <w:sz w:val="18"/>
                <w:szCs w:val="18"/>
              </w:rPr>
            </w:pPr>
            <w:r>
              <w:rPr>
                <w:rFonts w:hint="eastAsia"/>
                <w:sz w:val="18"/>
                <w:szCs w:val="18"/>
              </w:rPr>
              <w:t>1200＜</w:t>
            </w:r>
            <w:r>
              <w:rPr>
                <w:sz w:val="18"/>
                <w:szCs w:val="18"/>
              </w:rPr>
              <w:t>DN</w:t>
            </w:r>
            <w:r>
              <w:rPr>
                <w:rFonts w:hint="eastAsia"/>
                <w:sz w:val="18"/>
                <w:szCs w:val="18"/>
              </w:rPr>
              <w:t>≤</w:t>
            </w:r>
            <w:r>
              <w:rPr>
                <w:sz w:val="18"/>
                <w:szCs w:val="18"/>
              </w:rPr>
              <w:t>1</w:t>
            </w:r>
            <w:r>
              <w:rPr>
                <w:rFonts w:hint="eastAsia"/>
                <w:sz w:val="18"/>
                <w:szCs w:val="18"/>
              </w:rPr>
              <w:t>5</w:t>
            </w:r>
            <w:r>
              <w:rPr>
                <w:sz w:val="18"/>
                <w:szCs w:val="18"/>
              </w:rPr>
              <w:t>00</w:t>
            </w:r>
          </w:p>
        </w:tc>
        <w:tc>
          <w:tcPr>
            <w:tcW w:w="2189" w:type="pct"/>
            <w:vAlign w:val="center"/>
          </w:tcPr>
          <w:p>
            <w:pPr>
              <w:pStyle w:val="257"/>
              <w:rPr>
                <w:sz w:val="18"/>
                <w:szCs w:val="18"/>
              </w:rPr>
            </w:pPr>
            <w:r>
              <w:rPr>
                <w:rFonts w:hint="eastAsia"/>
                <w:sz w:val="18"/>
                <w:szCs w:val="18"/>
              </w:rPr>
              <w:t>均布10点～</w:t>
            </w:r>
            <w:r>
              <w:rPr>
                <w:sz w:val="18"/>
                <w:szCs w:val="18"/>
              </w:rPr>
              <w:t>1</w:t>
            </w:r>
            <w:r>
              <w:rPr>
                <w:rFonts w:hint="eastAsia"/>
                <w:sz w:val="18"/>
                <w:szCs w:val="18"/>
              </w:rPr>
              <w:t>4点</w:t>
            </w:r>
          </w:p>
        </w:tc>
      </w:tr>
    </w:tbl>
    <w:p>
      <w:pPr>
        <w:pStyle w:val="117"/>
        <w:spacing w:before="120" w:after="120"/>
      </w:pPr>
      <w:r>
        <w:rPr>
          <w:rFonts w:hint="eastAsia"/>
        </w:rPr>
        <w:t>管道定位焊缝尺寸                 单位为毫米</w:t>
      </w:r>
    </w:p>
    <w:tbl>
      <w:tblPr>
        <w:tblStyle w:val="31"/>
        <w:tblW w:w="4096" w:type="pct"/>
        <w:tblInd w:w="8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9"/>
        <w:gridCol w:w="1345"/>
        <w:gridCol w:w="1344"/>
        <w:gridCol w:w="1344"/>
        <w:gridCol w:w="2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1" w:type="pct"/>
            <w:vAlign w:val="center"/>
          </w:tcPr>
          <w:p>
            <w:pPr>
              <w:pStyle w:val="257"/>
              <w:rPr>
                <w:sz w:val="18"/>
                <w:szCs w:val="18"/>
              </w:rPr>
            </w:pPr>
            <w:r>
              <w:rPr>
                <w:rFonts w:hint="eastAsia"/>
                <w:sz w:val="18"/>
                <w:szCs w:val="18"/>
              </w:rPr>
              <w:t>壁厚δ</w:t>
            </w:r>
          </w:p>
        </w:tc>
        <w:tc>
          <w:tcPr>
            <w:tcW w:w="858" w:type="pct"/>
            <w:vAlign w:val="center"/>
          </w:tcPr>
          <w:p>
            <w:pPr>
              <w:pStyle w:val="257"/>
              <w:rPr>
                <w:sz w:val="18"/>
                <w:szCs w:val="18"/>
              </w:rPr>
            </w:pPr>
            <w:r>
              <w:rPr>
                <w:rFonts w:hint="eastAsia"/>
                <w:sz w:val="18"/>
                <w:szCs w:val="18"/>
              </w:rPr>
              <w:t>δ&lt;3</w:t>
            </w:r>
          </w:p>
        </w:tc>
        <w:tc>
          <w:tcPr>
            <w:tcW w:w="857" w:type="pct"/>
            <w:vAlign w:val="center"/>
          </w:tcPr>
          <w:p>
            <w:pPr>
              <w:pStyle w:val="257"/>
              <w:rPr>
                <w:sz w:val="18"/>
                <w:szCs w:val="18"/>
              </w:rPr>
            </w:pPr>
            <w:r>
              <w:rPr>
                <w:rFonts w:hint="eastAsia"/>
                <w:sz w:val="18"/>
                <w:szCs w:val="18"/>
              </w:rPr>
              <w:t>3≤δ&lt;5</w:t>
            </w:r>
          </w:p>
        </w:tc>
        <w:tc>
          <w:tcPr>
            <w:tcW w:w="857" w:type="pct"/>
            <w:vAlign w:val="center"/>
          </w:tcPr>
          <w:p>
            <w:pPr>
              <w:pStyle w:val="257"/>
              <w:rPr>
                <w:sz w:val="18"/>
                <w:szCs w:val="18"/>
              </w:rPr>
            </w:pPr>
            <w:r>
              <w:rPr>
                <w:rFonts w:hint="eastAsia"/>
                <w:sz w:val="18"/>
                <w:szCs w:val="18"/>
              </w:rPr>
              <w:t>5≤δ&lt;12</w:t>
            </w:r>
          </w:p>
        </w:tc>
        <w:tc>
          <w:tcPr>
            <w:tcW w:w="1287" w:type="pct"/>
            <w:vAlign w:val="center"/>
          </w:tcPr>
          <w:p>
            <w:pPr>
              <w:pStyle w:val="257"/>
              <w:rPr>
                <w:sz w:val="18"/>
                <w:szCs w:val="18"/>
              </w:rPr>
            </w:pPr>
            <w:r>
              <w:rPr>
                <w:rFonts w:hint="eastAsia"/>
                <w:sz w:val="18"/>
                <w:szCs w:val="18"/>
              </w:rPr>
              <w:t>δ≥12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1" w:type="pct"/>
            <w:vAlign w:val="center"/>
          </w:tcPr>
          <w:p>
            <w:pPr>
              <w:pStyle w:val="257"/>
              <w:rPr>
                <w:sz w:val="18"/>
                <w:szCs w:val="18"/>
              </w:rPr>
            </w:pPr>
            <w:r>
              <w:rPr>
                <w:rFonts w:hint="eastAsia"/>
                <w:sz w:val="18"/>
                <w:szCs w:val="18"/>
              </w:rPr>
              <w:t>焊缝长度</w:t>
            </w:r>
          </w:p>
        </w:tc>
        <w:tc>
          <w:tcPr>
            <w:tcW w:w="858" w:type="pct"/>
            <w:vAlign w:val="center"/>
          </w:tcPr>
          <w:p>
            <w:pPr>
              <w:pStyle w:val="257"/>
              <w:rPr>
                <w:sz w:val="18"/>
                <w:szCs w:val="18"/>
              </w:rPr>
            </w:pPr>
            <w:r>
              <w:rPr>
                <w:rFonts w:hint="eastAsia"/>
                <w:sz w:val="18"/>
                <w:szCs w:val="18"/>
              </w:rPr>
              <w:t>6-9</w:t>
            </w:r>
          </w:p>
        </w:tc>
        <w:tc>
          <w:tcPr>
            <w:tcW w:w="857" w:type="pct"/>
            <w:vAlign w:val="center"/>
          </w:tcPr>
          <w:p>
            <w:pPr>
              <w:pStyle w:val="257"/>
              <w:rPr>
                <w:sz w:val="18"/>
                <w:szCs w:val="18"/>
              </w:rPr>
            </w:pPr>
            <w:r>
              <w:rPr>
                <w:rFonts w:hint="eastAsia"/>
                <w:sz w:val="18"/>
                <w:szCs w:val="18"/>
              </w:rPr>
              <w:t>8-13</w:t>
            </w:r>
          </w:p>
        </w:tc>
        <w:tc>
          <w:tcPr>
            <w:tcW w:w="857" w:type="pct"/>
            <w:vAlign w:val="center"/>
          </w:tcPr>
          <w:p>
            <w:pPr>
              <w:pStyle w:val="257"/>
              <w:rPr>
                <w:sz w:val="18"/>
                <w:szCs w:val="18"/>
              </w:rPr>
            </w:pPr>
            <w:r>
              <w:rPr>
                <w:rFonts w:hint="eastAsia"/>
                <w:sz w:val="18"/>
                <w:szCs w:val="18"/>
              </w:rPr>
              <w:t>12-17</w:t>
            </w:r>
          </w:p>
        </w:tc>
        <w:tc>
          <w:tcPr>
            <w:tcW w:w="1287" w:type="pct"/>
            <w:vAlign w:val="center"/>
          </w:tcPr>
          <w:p>
            <w:pPr>
              <w:pStyle w:val="257"/>
              <w:rPr>
                <w:sz w:val="18"/>
                <w:szCs w:val="18"/>
              </w:rPr>
            </w:pPr>
            <w:r>
              <w:rPr>
                <w:rFonts w:hint="eastAsia"/>
                <w:sz w:val="18"/>
                <w:szCs w:val="18"/>
              </w:rPr>
              <w:t>14-20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1" w:type="pct"/>
            <w:vAlign w:val="center"/>
          </w:tcPr>
          <w:p>
            <w:pPr>
              <w:pStyle w:val="257"/>
              <w:rPr>
                <w:sz w:val="18"/>
                <w:szCs w:val="18"/>
              </w:rPr>
            </w:pPr>
            <w:r>
              <w:rPr>
                <w:rFonts w:hint="eastAsia"/>
                <w:sz w:val="18"/>
                <w:szCs w:val="18"/>
              </w:rPr>
              <w:t>焊缝高度</w:t>
            </w:r>
          </w:p>
        </w:tc>
        <w:tc>
          <w:tcPr>
            <w:tcW w:w="858" w:type="pct"/>
            <w:vAlign w:val="center"/>
          </w:tcPr>
          <w:p>
            <w:pPr>
              <w:pStyle w:val="257"/>
              <w:rPr>
                <w:sz w:val="18"/>
                <w:szCs w:val="18"/>
              </w:rPr>
            </w:pPr>
            <w:r>
              <w:rPr>
                <w:rFonts w:hint="eastAsia"/>
                <w:sz w:val="18"/>
                <w:szCs w:val="18"/>
              </w:rPr>
              <w:t>2</w:t>
            </w:r>
          </w:p>
        </w:tc>
        <w:tc>
          <w:tcPr>
            <w:tcW w:w="857" w:type="pct"/>
            <w:vAlign w:val="center"/>
          </w:tcPr>
          <w:p>
            <w:pPr>
              <w:pStyle w:val="257"/>
              <w:rPr>
                <w:sz w:val="18"/>
                <w:szCs w:val="18"/>
              </w:rPr>
            </w:pPr>
            <w:r>
              <w:rPr>
                <w:rFonts w:hint="eastAsia"/>
                <w:sz w:val="18"/>
                <w:szCs w:val="18"/>
              </w:rPr>
              <w:t>2.5</w:t>
            </w:r>
          </w:p>
        </w:tc>
        <w:tc>
          <w:tcPr>
            <w:tcW w:w="857" w:type="pct"/>
            <w:vAlign w:val="center"/>
          </w:tcPr>
          <w:p>
            <w:pPr>
              <w:pStyle w:val="257"/>
              <w:rPr>
                <w:sz w:val="18"/>
                <w:szCs w:val="18"/>
              </w:rPr>
            </w:pPr>
            <w:r>
              <w:rPr>
                <w:rFonts w:hint="eastAsia"/>
                <w:sz w:val="18"/>
                <w:szCs w:val="18"/>
              </w:rPr>
              <w:t>3-5</w:t>
            </w:r>
          </w:p>
        </w:tc>
        <w:tc>
          <w:tcPr>
            <w:tcW w:w="1287" w:type="pct"/>
            <w:vAlign w:val="center"/>
          </w:tcPr>
          <w:p>
            <w:pPr>
              <w:pStyle w:val="257"/>
              <w:rPr>
                <w:sz w:val="18"/>
                <w:szCs w:val="18"/>
              </w:rPr>
            </w:pPr>
            <w:r>
              <w:rPr>
                <w:rFonts w:hint="eastAsia"/>
                <w:sz w:val="18"/>
                <w:szCs w:val="18"/>
              </w:rPr>
              <w:t>≤6</w:t>
            </w:r>
          </w:p>
        </w:tc>
      </w:tr>
    </w:tbl>
    <w:p>
      <w:pPr>
        <w:pStyle w:val="179"/>
      </w:pPr>
      <w:r>
        <w:rPr>
          <w:rFonts w:hint="eastAsia"/>
        </w:rPr>
        <w:t>在焊接根部焊道前，将定位焊缝表面的焊渣清理干净，并进行检查，当发现缺陷时，应予以处理，若定位焊开裂应打磨补焊；并将定位焊缝其两端修整成缓坡形。根焊道焊接完成后，过桥焊缝应予以去除；</w:t>
      </w:r>
    </w:p>
    <w:p>
      <w:pPr>
        <w:pStyle w:val="179"/>
      </w:pPr>
      <w:r>
        <w:rPr>
          <w:rFonts w:hint="eastAsia"/>
        </w:rPr>
        <w:t>定位焊焊接时，不应在焊缝交叉处施焊，应避开该处50mm左右。当环境温度较低时，应按焊接工艺规程对焊件进行预热。</w:t>
      </w:r>
    </w:p>
    <w:p>
      <w:pPr>
        <w:pStyle w:val="170"/>
      </w:pPr>
      <w:r>
        <w:rPr>
          <w:rFonts w:hint="eastAsia"/>
        </w:rPr>
        <w:t>焊缝检验</w:t>
      </w:r>
    </w:p>
    <w:p>
      <w:pPr>
        <w:pStyle w:val="169"/>
      </w:pPr>
      <w:r>
        <w:rPr>
          <w:rFonts w:hint="eastAsia"/>
        </w:rPr>
        <w:t>焊缝不应有表面裂纹、未焊透、未熔合、表面气孔、弧坑、未填满、夹渣和飞溅物；焊缝与母材应圆滑过渡；角焊缝的外形应凹形圆滑过渡。焊缝外观质量除应符合GB 50683规定的I级，还应符合本文件的要求。</w:t>
      </w:r>
    </w:p>
    <w:p>
      <w:pPr>
        <w:pStyle w:val="169"/>
      </w:pPr>
      <w:r>
        <w:rPr>
          <w:rFonts w:hint="eastAsia"/>
        </w:rPr>
        <w:t>管道对接焊缝和角焊缝应进行100%的外观检查，外观应符合下列规定：</w:t>
      </w:r>
    </w:p>
    <w:p>
      <w:pPr>
        <w:pStyle w:val="179"/>
        <w:numPr>
          <w:ilvl w:val="0"/>
          <w:numId w:val="94"/>
        </w:numPr>
      </w:pPr>
      <w:r>
        <w:rPr>
          <w:rFonts w:hint="eastAsia"/>
        </w:rPr>
        <w:t>对接焊缝允许错边量应符合表</w:t>
      </w:r>
      <w:r>
        <w:t>18</w:t>
      </w:r>
      <w:r>
        <w:rPr>
          <w:rFonts w:hint="eastAsia"/>
        </w:rPr>
        <w:t>的规定；</w:t>
      </w:r>
    </w:p>
    <w:p>
      <w:pPr>
        <w:pStyle w:val="117"/>
        <w:spacing w:before="120" w:after="120"/>
        <w:rPr>
          <w:rFonts w:hAnsi="宋体"/>
          <w:kern w:val="2"/>
          <w:sz w:val="18"/>
          <w:szCs w:val="18"/>
        </w:rPr>
      </w:pPr>
      <w:r>
        <w:t>钢管允许错边</w:t>
      </w:r>
      <w:r>
        <w:rPr>
          <w:rFonts w:hint="eastAsia"/>
        </w:rPr>
        <w:t xml:space="preserve"> </w:t>
      </w:r>
      <w:r>
        <w:t xml:space="preserve">             </w:t>
      </w:r>
      <w:r>
        <w:rPr>
          <w:rFonts w:hAnsi="宋体"/>
          <w:kern w:val="2"/>
          <w:sz w:val="18"/>
          <w:szCs w:val="18"/>
        </w:rPr>
        <w:t xml:space="preserve">  单位为毫米</w:t>
      </w:r>
    </w:p>
    <w:tbl>
      <w:tblPr>
        <w:tblStyle w:val="31"/>
        <w:tblW w:w="0" w:type="auto"/>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2693"/>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410" w:type="dxa"/>
            <w:vAlign w:val="center"/>
          </w:tcPr>
          <w:p>
            <w:pPr>
              <w:pStyle w:val="257"/>
            </w:pPr>
            <w:r>
              <w:rPr>
                <w:rFonts w:hint="eastAsia"/>
              </w:rPr>
              <w:t>管壁厚</w:t>
            </w:r>
          </w:p>
        </w:tc>
        <w:tc>
          <w:tcPr>
            <w:tcW w:w="2693" w:type="dxa"/>
            <w:vAlign w:val="center"/>
          </w:tcPr>
          <w:p>
            <w:pPr>
              <w:pStyle w:val="257"/>
            </w:pPr>
            <w:r>
              <w:rPr>
                <w:rFonts w:hint="eastAsia"/>
              </w:rPr>
              <w:t>内壁错边量</w:t>
            </w:r>
          </w:p>
        </w:tc>
        <w:tc>
          <w:tcPr>
            <w:tcW w:w="2693" w:type="dxa"/>
            <w:vAlign w:val="center"/>
          </w:tcPr>
          <w:p>
            <w:pPr>
              <w:pStyle w:val="257"/>
            </w:pPr>
            <w:r>
              <w:rPr>
                <w:rFonts w:hint="eastAsia"/>
              </w:rPr>
              <w:t>外壁错边量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410" w:type="dxa"/>
            <w:vAlign w:val="center"/>
          </w:tcPr>
          <w:p>
            <w:pPr>
              <w:pStyle w:val="257"/>
            </w:pPr>
            <w:r>
              <w:rPr>
                <w:rFonts w:hint="eastAsia"/>
              </w:rPr>
              <w:t>＞10</w:t>
            </w:r>
          </w:p>
        </w:tc>
        <w:tc>
          <w:tcPr>
            <w:tcW w:w="2693" w:type="dxa"/>
            <w:vAlign w:val="center"/>
          </w:tcPr>
          <w:p>
            <w:pPr>
              <w:pStyle w:val="257"/>
            </w:pPr>
            <w:r>
              <w:rPr>
                <w:rFonts w:hint="eastAsia"/>
              </w:rPr>
              <w:t>≤1.1</w:t>
            </w:r>
          </w:p>
        </w:tc>
        <w:tc>
          <w:tcPr>
            <w:tcW w:w="2693" w:type="dxa"/>
            <w:vAlign w:val="center"/>
          </w:tcPr>
          <w:p>
            <w:pPr>
              <w:pStyle w:val="257"/>
            </w:pPr>
            <w:r>
              <w:rPr>
                <w:rFonts w:hint="eastAsi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410" w:type="dxa"/>
            <w:vAlign w:val="center"/>
          </w:tcPr>
          <w:p>
            <w:pPr>
              <w:pStyle w:val="257"/>
            </w:pPr>
            <w:r>
              <w:rPr>
                <w:rFonts w:hint="eastAsia"/>
              </w:rPr>
              <w:t>5～10</w:t>
            </w:r>
          </w:p>
        </w:tc>
        <w:tc>
          <w:tcPr>
            <w:tcW w:w="2693" w:type="dxa"/>
            <w:vAlign w:val="center"/>
          </w:tcPr>
          <w:p>
            <w:pPr>
              <w:pStyle w:val="257"/>
            </w:pPr>
            <w:r>
              <w:rPr>
                <w:rFonts w:hint="eastAsia"/>
              </w:rPr>
              <w:t>≤0.1壁厚</w:t>
            </w:r>
          </w:p>
        </w:tc>
        <w:tc>
          <w:tcPr>
            <w:tcW w:w="2693" w:type="dxa"/>
            <w:vAlign w:val="center"/>
          </w:tcPr>
          <w:p>
            <w:pPr>
              <w:pStyle w:val="257"/>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410" w:type="dxa"/>
            <w:vAlign w:val="center"/>
          </w:tcPr>
          <w:p>
            <w:pPr>
              <w:pStyle w:val="257"/>
            </w:pPr>
            <w:r>
              <w:rPr>
                <w:rFonts w:hint="eastAsia"/>
              </w:rPr>
              <w:t>＜5</w:t>
            </w:r>
          </w:p>
        </w:tc>
        <w:tc>
          <w:tcPr>
            <w:tcW w:w="2693" w:type="dxa"/>
            <w:vAlign w:val="center"/>
          </w:tcPr>
          <w:p>
            <w:pPr>
              <w:pStyle w:val="257"/>
            </w:pPr>
            <w:r>
              <w:rPr>
                <w:rFonts w:hint="eastAsia"/>
              </w:rPr>
              <w:t>≤0.5</w:t>
            </w:r>
          </w:p>
        </w:tc>
        <w:tc>
          <w:tcPr>
            <w:tcW w:w="2693" w:type="dxa"/>
            <w:vAlign w:val="center"/>
          </w:tcPr>
          <w:p>
            <w:pPr>
              <w:pStyle w:val="257"/>
            </w:pPr>
            <w:r>
              <w:rPr>
                <w:rFonts w:hint="eastAsia"/>
              </w:rPr>
              <w:t>≤1.0</w:t>
            </w:r>
          </w:p>
        </w:tc>
      </w:tr>
    </w:tbl>
    <w:p>
      <w:pPr>
        <w:pStyle w:val="61"/>
        <w:ind w:firstLine="420"/>
      </w:pPr>
    </w:p>
    <w:p>
      <w:pPr>
        <w:pStyle w:val="179"/>
      </w:pPr>
      <w:r>
        <w:rPr>
          <w:rFonts w:hint="eastAsia"/>
        </w:rPr>
        <w:t>对接焊缝表面宽度宜为坡口上口两侧各加宽0.5mm～2mm；</w:t>
      </w:r>
    </w:p>
    <w:p>
      <w:pPr>
        <w:pStyle w:val="179"/>
      </w:pPr>
      <w:r>
        <w:rPr>
          <w:rFonts w:hint="eastAsia"/>
        </w:rPr>
        <w:t>对接焊缝表面余高应为0～3mm，表面余高与母材应圆滑过渡；</w:t>
      </w:r>
    </w:p>
    <w:p>
      <w:pPr>
        <w:pStyle w:val="179"/>
      </w:pPr>
      <w:r>
        <w:rPr>
          <w:rFonts w:hint="eastAsia"/>
        </w:rPr>
        <w:t>角焊缝的边缘应平缓过渡，焊缝的凹度和凸度应不大于1.5mm，两焊脚高度差不宜大于3mm；</w:t>
      </w:r>
    </w:p>
    <w:p>
      <w:pPr>
        <w:pStyle w:val="179"/>
      </w:pPr>
      <w:r>
        <w:rPr>
          <w:rFonts w:hint="eastAsia"/>
        </w:rPr>
        <w:t>盖面焊道咬边允许尺寸应符合表</w:t>
      </w:r>
      <w:r>
        <w:t>19</w:t>
      </w:r>
      <w:r>
        <w:rPr>
          <w:rFonts w:hint="eastAsia"/>
        </w:rPr>
        <w:t>的规定。</w:t>
      </w:r>
    </w:p>
    <w:p>
      <w:pPr>
        <w:pStyle w:val="117"/>
        <w:spacing w:before="120" w:after="120"/>
      </w:pPr>
      <w:r>
        <w:rPr>
          <w:rFonts w:hint="eastAsia"/>
        </w:rPr>
        <w:t>咬边允许尺寸</w:t>
      </w:r>
    </w:p>
    <w:tbl>
      <w:tblPr>
        <w:tblStyle w:val="31"/>
        <w:tblW w:w="447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827"/>
        <w:gridCol w:w="47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34" w:type="pct"/>
            <w:tcBorders>
              <w:top w:val="single" w:color="auto" w:sz="8" w:space="0"/>
              <w:left w:val="single" w:color="auto" w:sz="8" w:space="0"/>
              <w:bottom w:val="single" w:color="auto" w:sz="8" w:space="0"/>
              <w:right w:val="single" w:color="auto" w:sz="4" w:space="0"/>
            </w:tcBorders>
            <w:vAlign w:val="center"/>
          </w:tcPr>
          <w:p>
            <w:pPr>
              <w:pStyle w:val="257"/>
              <w:rPr>
                <w:sz w:val="18"/>
                <w:szCs w:val="18"/>
              </w:rPr>
            </w:pPr>
            <w:r>
              <w:rPr>
                <w:rFonts w:hint="eastAsia"/>
                <w:sz w:val="18"/>
                <w:szCs w:val="18"/>
              </w:rPr>
              <w:t>深度</w:t>
            </w:r>
          </w:p>
        </w:tc>
        <w:tc>
          <w:tcPr>
            <w:tcW w:w="2766" w:type="pct"/>
            <w:tcBorders>
              <w:top w:val="single" w:color="auto" w:sz="8" w:space="0"/>
              <w:left w:val="single" w:color="auto" w:sz="4" w:space="0"/>
              <w:bottom w:val="single" w:color="auto" w:sz="8" w:space="0"/>
              <w:right w:val="single" w:color="auto" w:sz="8" w:space="0"/>
            </w:tcBorders>
            <w:vAlign w:val="center"/>
          </w:tcPr>
          <w:p>
            <w:pPr>
              <w:pStyle w:val="257"/>
              <w:rPr>
                <w:sz w:val="18"/>
                <w:szCs w:val="18"/>
              </w:rPr>
            </w:pPr>
            <w:r>
              <w:rPr>
                <w:rFonts w:hint="eastAsia"/>
                <w:sz w:val="18"/>
                <w:szCs w:val="18"/>
              </w:rPr>
              <w:t>长度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34" w:type="pct"/>
            <w:tcBorders>
              <w:top w:val="single" w:color="auto" w:sz="8" w:space="0"/>
              <w:left w:val="single" w:color="auto" w:sz="8" w:space="0"/>
              <w:bottom w:val="single" w:color="auto" w:sz="4" w:space="0"/>
              <w:right w:val="single" w:color="auto" w:sz="4" w:space="0"/>
            </w:tcBorders>
            <w:vAlign w:val="center"/>
          </w:tcPr>
          <w:p>
            <w:pPr>
              <w:pStyle w:val="257"/>
              <w:rPr>
                <w:sz w:val="18"/>
                <w:szCs w:val="18"/>
              </w:rPr>
            </w:pPr>
            <w:r>
              <w:rPr>
                <w:rFonts w:hint="eastAsia"/>
                <w:sz w:val="18"/>
                <w:szCs w:val="18"/>
              </w:rPr>
              <w:t>＞0.8mm或＞管壁厚12.5%，二者取较小值</w:t>
            </w:r>
          </w:p>
        </w:tc>
        <w:tc>
          <w:tcPr>
            <w:tcW w:w="2766" w:type="pct"/>
            <w:tcBorders>
              <w:top w:val="single" w:color="auto" w:sz="8" w:space="0"/>
              <w:left w:val="single" w:color="auto" w:sz="4" w:space="0"/>
              <w:bottom w:val="single" w:color="auto" w:sz="4" w:space="0"/>
              <w:right w:val="single" w:color="auto" w:sz="8" w:space="0"/>
            </w:tcBorders>
            <w:vAlign w:val="center"/>
          </w:tcPr>
          <w:p>
            <w:pPr>
              <w:pStyle w:val="257"/>
              <w:rPr>
                <w:sz w:val="18"/>
                <w:szCs w:val="18"/>
              </w:rPr>
            </w:pPr>
            <w:r>
              <w:rPr>
                <w:rFonts w:hint="eastAsia"/>
                <w:sz w:val="18"/>
                <w:szCs w:val="18"/>
              </w:rPr>
              <w:t>任何长度均不合格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34" w:type="pct"/>
            <w:tcBorders>
              <w:top w:val="single" w:color="auto" w:sz="4" w:space="0"/>
              <w:left w:val="single" w:color="auto" w:sz="8" w:space="0"/>
              <w:bottom w:val="single" w:color="auto" w:sz="4" w:space="0"/>
              <w:right w:val="single" w:color="auto" w:sz="4" w:space="0"/>
            </w:tcBorders>
            <w:vAlign w:val="center"/>
          </w:tcPr>
          <w:p>
            <w:pPr>
              <w:pStyle w:val="257"/>
              <w:rPr>
                <w:sz w:val="18"/>
                <w:szCs w:val="18"/>
              </w:rPr>
            </w:pPr>
            <w:r>
              <w:rPr>
                <w:rFonts w:hint="eastAsia"/>
                <w:sz w:val="18"/>
                <w:szCs w:val="18"/>
              </w:rPr>
              <w:t>＞6%～12.5%管壁厚或＞0.4mm～0.8mm，二者取较小值</w:t>
            </w:r>
          </w:p>
        </w:tc>
        <w:tc>
          <w:tcPr>
            <w:tcW w:w="2766" w:type="pct"/>
            <w:tcBorders>
              <w:top w:val="single" w:color="auto" w:sz="4" w:space="0"/>
              <w:left w:val="single" w:color="auto" w:sz="4" w:space="0"/>
              <w:bottom w:val="single" w:color="auto" w:sz="4" w:space="0"/>
              <w:right w:val="single" w:color="auto" w:sz="8" w:space="0"/>
            </w:tcBorders>
            <w:vAlign w:val="center"/>
          </w:tcPr>
          <w:p>
            <w:pPr>
              <w:pStyle w:val="257"/>
              <w:rPr>
                <w:sz w:val="18"/>
                <w:szCs w:val="18"/>
              </w:rPr>
            </w:pPr>
            <w:r>
              <w:rPr>
                <w:rFonts w:hint="eastAsia"/>
                <w:sz w:val="18"/>
                <w:szCs w:val="18"/>
              </w:rPr>
              <w:t>在焊缝任何300mm连续长度内不超过50mm或焊缝长度的1/6，取二者中较小值为合格。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34" w:type="pct"/>
            <w:tcBorders>
              <w:top w:val="single" w:color="auto" w:sz="4" w:space="0"/>
              <w:left w:val="single" w:color="auto" w:sz="8" w:space="0"/>
              <w:bottom w:val="single" w:color="auto" w:sz="8" w:space="0"/>
              <w:right w:val="single" w:color="auto" w:sz="4" w:space="0"/>
            </w:tcBorders>
            <w:vAlign w:val="center"/>
          </w:tcPr>
          <w:p>
            <w:pPr>
              <w:pStyle w:val="257"/>
              <w:rPr>
                <w:sz w:val="18"/>
                <w:szCs w:val="18"/>
              </w:rPr>
            </w:pPr>
            <w:r>
              <w:rPr>
                <w:rFonts w:hint="eastAsia"/>
                <w:sz w:val="18"/>
                <w:szCs w:val="18"/>
              </w:rPr>
              <w:t>≤0.4mm或≤管壁厚6%，二者取较小值</w:t>
            </w:r>
          </w:p>
        </w:tc>
        <w:tc>
          <w:tcPr>
            <w:tcW w:w="2766" w:type="pct"/>
            <w:tcBorders>
              <w:top w:val="single" w:color="auto" w:sz="4" w:space="0"/>
              <w:left w:val="single" w:color="auto" w:sz="4" w:space="0"/>
              <w:bottom w:val="single" w:color="auto" w:sz="8" w:space="0"/>
              <w:right w:val="single" w:color="auto" w:sz="8" w:space="0"/>
            </w:tcBorders>
            <w:vAlign w:val="center"/>
          </w:tcPr>
          <w:p>
            <w:pPr>
              <w:pStyle w:val="257"/>
              <w:rPr>
                <w:sz w:val="18"/>
                <w:szCs w:val="18"/>
              </w:rPr>
            </w:pPr>
            <w:r>
              <w:rPr>
                <w:rFonts w:hint="eastAsia"/>
                <w:sz w:val="18"/>
                <w:szCs w:val="18"/>
              </w:rPr>
              <w:t>任何长度均合格</w:t>
            </w:r>
          </w:p>
        </w:tc>
      </w:tr>
    </w:tbl>
    <w:p>
      <w:pPr>
        <w:pStyle w:val="110"/>
        <w:spacing w:before="120" w:after="120"/>
      </w:pPr>
      <w:bookmarkStart w:id="187" w:name="_Toc209114085"/>
      <w:r>
        <w:rPr>
          <w:rFonts w:hint="eastAsia"/>
        </w:rPr>
        <w:t>无损检测</w:t>
      </w:r>
      <w:bookmarkEnd w:id="187"/>
    </w:p>
    <w:p>
      <w:pPr>
        <w:pStyle w:val="170"/>
      </w:pPr>
      <w:r>
        <w:rPr>
          <w:rFonts w:hint="eastAsia"/>
        </w:rPr>
        <w:t>管道的对接接头应按NB/T47013.2进行100%射线检测， 射线检测技术等级不低于AB级，Ⅱ级为合格。并按照NB/T47013.3的要求附加100%超声检测，超声检测技术等级不低于B级，Ⅰ级为合格。按NB/T47013.4的规定对焊接接头进行表面磁粉检测，Ⅰ级合格。</w:t>
      </w:r>
    </w:p>
    <w:p>
      <w:pPr>
        <w:pStyle w:val="170"/>
      </w:pPr>
      <w:r>
        <w:rPr>
          <w:rFonts w:hint="eastAsia"/>
        </w:rPr>
        <w:t>管道的角接接头应按NB/T47013.4规定进行磁粉或渗透检测，Ⅰ级合格。铁磁性材料制压力管道焊接接头的表面检测应优先采用磁粉检测。</w:t>
      </w:r>
    </w:p>
    <w:p>
      <w:pPr>
        <w:pStyle w:val="170"/>
      </w:pPr>
      <w:r>
        <w:rPr>
          <w:rFonts w:hint="eastAsia"/>
        </w:rPr>
        <w:t>对于标准抗拉强度下限值大于540MPa的管道在耐压试验后，应按NB/T47013.4对焊接接头进行表面磁粉检测，I级为合格。</w:t>
      </w:r>
    </w:p>
    <w:p>
      <w:pPr>
        <w:pStyle w:val="170"/>
      </w:pPr>
      <w:r>
        <w:rPr>
          <w:rFonts w:hint="eastAsia"/>
        </w:rPr>
        <w:t>有延迟裂纹倾向的材料焊接接头应在焊接完成24小时后进行无损检测。</w:t>
      </w:r>
    </w:p>
    <w:p>
      <w:pPr>
        <w:pStyle w:val="110"/>
        <w:spacing w:before="120" w:after="120"/>
      </w:pPr>
      <w:bookmarkStart w:id="188" w:name="_Toc209114086"/>
      <w:r>
        <w:rPr>
          <w:rFonts w:hint="eastAsia"/>
        </w:rPr>
        <w:t>电气仪表安装</w:t>
      </w:r>
      <w:bookmarkEnd w:id="188"/>
    </w:p>
    <w:p>
      <w:pPr>
        <w:pStyle w:val="170"/>
      </w:pPr>
      <w:r>
        <w:rPr>
          <w:rFonts w:hint="eastAsia"/>
        </w:rPr>
        <w:t>电气仪表安装应符合GB50093、GB50168、GB3836.14、GB3836.15的要求。</w:t>
      </w:r>
    </w:p>
    <w:p>
      <w:pPr>
        <w:pStyle w:val="170"/>
      </w:pPr>
      <w:r>
        <w:rPr>
          <w:rFonts w:hint="eastAsia"/>
        </w:rPr>
        <w:t>掺氢撬内电力电缆和信号电缆宜通过桥架、电缆保护管或防爆挠性连接管与现场安装的仪表和自控设备进行连接，隔离密封装置应安装在设备侧，不同种类的仪表信号不应共用一根电缆，本安线路和非本安线路不应共用一根控制电缆或保护管/桥架，本安电缆和非本安电缆在同一桥架敷设时，应设置接地的金属板或穿保护管隔离，其间距应大于 50mm。电缆敷设应符合 GB/T 3836.15 的相关规定。</w:t>
      </w:r>
    </w:p>
    <w:p>
      <w:pPr>
        <w:pStyle w:val="170"/>
      </w:pPr>
      <w:r>
        <w:rPr>
          <w:rFonts w:hint="eastAsia"/>
        </w:rPr>
        <w:t>现场防爆箱及穿线盒应满足所处环境的防爆和防护等级要求。防爆箱电缆进/出口应位于箱体底部或侧壁，进/出线孔和接线端子应至少留有15%的余量。多余的电缆进/出口应采用不锈钢防爆密封堵头进行密封。</w:t>
      </w:r>
    </w:p>
    <w:p>
      <w:pPr>
        <w:pStyle w:val="170"/>
      </w:pPr>
      <w:r>
        <w:rPr>
          <w:rFonts w:hint="eastAsia"/>
        </w:rPr>
        <w:t>掺氢撬底座应至少设置2个接地点，且对角布置，接地点间距不应大于18m ；组合撬装置内设备应与撬座接地汇流排连接，接地线应尽量短且布置整齐、美观 ；电缆桥架首尾两端应接地，且每隔20m增设1处接地。组合撬装置设备中的所有电气、仪表设备需单独接地，不应串联，宜采用截面积不小于 6mm2 黄绿接地线汇接于组合撬装置的接地汇流排上，汇流排与撬装钢结构采用焊接连接。四孔及以下法兰应采用防静电跨接。</w:t>
      </w:r>
    </w:p>
    <w:p>
      <w:pPr>
        <w:pStyle w:val="109"/>
        <w:spacing w:before="240" w:after="240"/>
      </w:pPr>
      <w:bookmarkStart w:id="189" w:name="_Toc209114087"/>
      <w:r>
        <w:rPr>
          <w:rFonts w:hint="eastAsia"/>
        </w:rPr>
        <w:t>检验与试验</w:t>
      </w:r>
      <w:bookmarkEnd w:id="189"/>
    </w:p>
    <w:p>
      <w:pPr>
        <w:pStyle w:val="110"/>
        <w:spacing w:before="120" w:after="120"/>
      </w:pPr>
      <w:bookmarkStart w:id="190" w:name="_Toc209114088"/>
      <w:r>
        <w:rPr>
          <w:rFonts w:hint="eastAsia"/>
        </w:rPr>
        <w:t>一般规定</w:t>
      </w:r>
      <w:bookmarkEnd w:id="190"/>
    </w:p>
    <w:p>
      <w:pPr>
        <w:pStyle w:val="170"/>
      </w:pPr>
      <w:r>
        <w:rPr>
          <w:rFonts w:hint="eastAsia"/>
        </w:rPr>
        <w:t>试压前，应将压力等级不同的管道、不宜与管道一起试压的设备、阀门及仪器等隔开，分别进行吹扫清洗和试压。</w:t>
      </w:r>
    </w:p>
    <w:p>
      <w:pPr>
        <w:pStyle w:val="170"/>
      </w:pPr>
      <w:r>
        <w:rPr>
          <w:rFonts w:hint="eastAsia"/>
        </w:rPr>
        <w:t>试压中的稳压时间应在两端压力平衡后开始计算。试验压力应以高位置安装的压力表读数为准。</w:t>
      </w:r>
    </w:p>
    <w:p>
      <w:pPr>
        <w:pStyle w:val="170"/>
      </w:pPr>
      <w:r>
        <w:rPr>
          <w:rFonts w:hint="eastAsia"/>
        </w:rPr>
        <w:t>试压中如有泄漏，禁止带压修补。缺陷修补合格后，应重新试压。</w:t>
      </w:r>
    </w:p>
    <w:p>
      <w:pPr>
        <w:pStyle w:val="170"/>
      </w:pPr>
      <w:r>
        <w:rPr>
          <w:rFonts w:hint="eastAsia"/>
        </w:rPr>
        <w:t>试压完毕，应将管道内介质清扫干净，及时拆除所有临时盲板。</w:t>
      </w:r>
    </w:p>
    <w:p>
      <w:pPr>
        <w:pStyle w:val="170"/>
      </w:pPr>
      <w:r>
        <w:rPr>
          <w:rFonts w:hint="eastAsia"/>
        </w:rPr>
        <w:t xml:space="preserve">掺氢撬应整体进行强度试验，以洁净水为介质，试验压力应为设计压力的1.5倍；气压试验以空气或惰性气体为介质，试验压力为设计压力的1.15倍， </w:t>
      </w:r>
    </w:p>
    <w:p>
      <w:pPr>
        <w:pStyle w:val="170"/>
      </w:pPr>
      <w:r>
        <w:rPr>
          <w:rFonts w:hint="eastAsia"/>
        </w:rPr>
        <w:t>掺氢撬应整体进行气密性试验，调压阀前后管道的气密性试验应分别进行。调压阀前的试验压力为设计压力的1.05倍。调压阀后的试验压力为防止出口压力过高的安全装置的动作压力的1.1倍。气密性试验应无泄漏，试验过程中温度如有波动，则压力经温度修正后不应变化。</w:t>
      </w:r>
    </w:p>
    <w:p>
      <w:pPr>
        <w:pStyle w:val="170"/>
      </w:pPr>
      <w:r>
        <w:rPr>
          <w:rFonts w:hint="eastAsia"/>
        </w:rPr>
        <w:t>强度试验、气密性试验合格后，氢气管道、掺氢天然气管道应进行泄漏量试验，平均每小时的泄漏率小于0.5%为合格。</w:t>
      </w:r>
    </w:p>
    <w:p>
      <w:pPr>
        <w:pStyle w:val="110"/>
        <w:spacing w:before="120" w:after="120"/>
      </w:pPr>
      <w:bookmarkStart w:id="191" w:name="_Toc209114089"/>
      <w:r>
        <w:rPr>
          <w:rFonts w:hint="eastAsia"/>
        </w:rPr>
        <w:t>外观检查和外形尺寸</w:t>
      </w:r>
      <w:bookmarkEnd w:id="191"/>
    </w:p>
    <w:p>
      <w:pPr>
        <w:pStyle w:val="170"/>
      </w:pPr>
      <w:r>
        <w:rPr>
          <w:rFonts w:hint="eastAsia"/>
        </w:rPr>
        <w:t>用直尺、卷尺、游标卡尺等工具对掺氢撬外形尺寸进行检查，检查结果应符合图样及技术文件的要求。</w:t>
      </w:r>
    </w:p>
    <w:p>
      <w:pPr>
        <w:pStyle w:val="170"/>
      </w:pPr>
      <w:r>
        <w:rPr>
          <w:rFonts w:hint="eastAsia"/>
        </w:rPr>
        <w:t>采用目视检查测对掺氢撬进行外观质量检查，掺混撬表面不应有明显的损伤和缺陷。涂层应光滑，色泽均匀，不应有流痕、挂痕，不应有漏涂、脱落、起泡现象。</w:t>
      </w:r>
    </w:p>
    <w:p>
      <w:pPr>
        <w:pStyle w:val="170"/>
      </w:pPr>
      <w:r>
        <w:rPr>
          <w:rFonts w:hint="eastAsia"/>
        </w:rPr>
        <w:t>采用目视检查及焊缝检验尺等对焊缝表面形状尺寸及外观进行检查，检查结果符合GB/T 20801.5或GB 50236的要求。</w:t>
      </w:r>
    </w:p>
    <w:p>
      <w:pPr>
        <w:pStyle w:val="110"/>
        <w:spacing w:before="120" w:after="120"/>
      </w:pPr>
      <w:bookmarkStart w:id="192" w:name="_Toc209114090"/>
      <w:r>
        <w:rPr>
          <w:rFonts w:hint="eastAsia"/>
        </w:rPr>
        <w:t>试验用仪表</w:t>
      </w:r>
      <w:bookmarkEnd w:id="192"/>
    </w:p>
    <w:p>
      <w:pPr>
        <w:pStyle w:val="170"/>
      </w:pPr>
      <w:r>
        <w:rPr>
          <w:rFonts w:hint="eastAsia"/>
        </w:rPr>
        <w:t>试验用仪表应经过检定或校验合格，并在有效期内</w:t>
      </w:r>
    </w:p>
    <w:p>
      <w:pPr>
        <w:pStyle w:val="170"/>
      </w:pPr>
      <w:r>
        <w:rPr>
          <w:rFonts w:hint="eastAsia"/>
        </w:rPr>
        <w:t>压力表应不少于两块，分别置于管道的两端。。</w:t>
      </w:r>
    </w:p>
    <w:p>
      <w:pPr>
        <w:pStyle w:val="170"/>
      </w:pPr>
      <w:r>
        <w:rPr>
          <w:rFonts w:hint="eastAsia"/>
        </w:rPr>
        <w:t>强度试验用压力表的精度不应低于1.6级，压力表的量程不宜小于试验压力的70%。</w:t>
      </w:r>
    </w:p>
    <w:p>
      <w:pPr>
        <w:pStyle w:val="170"/>
      </w:pPr>
      <w:r>
        <w:rPr>
          <w:rFonts w:hint="eastAsia"/>
        </w:rPr>
        <w:t>气密性试验用压力表的精度不应低于0.4级，压力表的量程不宜小于试验压力的70%。</w:t>
      </w:r>
    </w:p>
    <w:p>
      <w:pPr>
        <w:pStyle w:val="170"/>
      </w:pPr>
      <w:r>
        <w:rPr>
          <w:rFonts w:hint="eastAsia"/>
        </w:rPr>
        <w:t>大气压测量仪表的分辨率不应大于10Pa。</w:t>
      </w:r>
    </w:p>
    <w:p>
      <w:pPr>
        <w:pStyle w:val="170"/>
      </w:pPr>
      <w:r>
        <w:rPr>
          <w:rFonts w:hint="eastAsia"/>
        </w:rPr>
        <w:t>流量测量仪表的测量精度不应低于1.5%。</w:t>
      </w:r>
    </w:p>
    <w:p>
      <w:pPr>
        <w:pStyle w:val="170"/>
      </w:pPr>
      <w:r>
        <w:rPr>
          <w:rFonts w:hint="eastAsia"/>
        </w:rPr>
        <w:t>温度测量仪表的分辨率不应大于0.5℃。</w:t>
      </w:r>
    </w:p>
    <w:p>
      <w:pPr>
        <w:pStyle w:val="110"/>
        <w:spacing w:before="120" w:after="120"/>
      </w:pPr>
      <w:bookmarkStart w:id="193" w:name="_Toc209114091"/>
      <w:r>
        <w:rPr>
          <w:rFonts w:hint="eastAsia"/>
        </w:rPr>
        <w:t>强度试验</w:t>
      </w:r>
      <w:bookmarkEnd w:id="193"/>
    </w:p>
    <w:p>
      <w:pPr>
        <w:pStyle w:val="170"/>
      </w:pPr>
      <w:r>
        <w:rPr>
          <w:rFonts w:hint="eastAsia"/>
        </w:rPr>
        <w:t>一般要求</w:t>
      </w:r>
    </w:p>
    <w:p>
      <w:pPr>
        <w:pStyle w:val="169"/>
      </w:pPr>
      <w:r>
        <w:rPr>
          <w:rFonts w:hint="eastAsia"/>
        </w:rPr>
        <w:t>构成掺混撬的所有压力组件应进行强度试验。</w:t>
      </w:r>
    </w:p>
    <w:p>
      <w:pPr>
        <w:pStyle w:val="169"/>
      </w:pPr>
      <w:r>
        <w:rPr>
          <w:rFonts w:hint="eastAsia"/>
        </w:rPr>
        <w:t>试验后排水后，采用干燥、无油的氮气或空气吹扫，压力宜为0.1MPa～0.3MPa，气体流速不得小于 20m/s，应以10min内排气口白色油漆板板上检查无铁锈或其他杂物为合格。</w:t>
      </w:r>
    </w:p>
    <w:p>
      <w:pPr>
        <w:pStyle w:val="170"/>
      </w:pPr>
      <w:r>
        <w:rPr>
          <w:rFonts w:hint="eastAsia"/>
        </w:rPr>
        <w:t>试验条件</w:t>
      </w:r>
    </w:p>
    <w:p>
      <w:pPr>
        <w:pStyle w:val="169"/>
      </w:pPr>
      <w:r>
        <w:rPr>
          <w:rFonts w:hint="eastAsia"/>
        </w:rPr>
        <w:t>用水作为试压介质时，应在总装前用水进行强度试验。应使用无腐蚀性的洁净水，水温应在5℃以上，否则应采取防冻措施。试验完成后，应将液体排尽，并用压缩空气将内部吹干。</w:t>
      </w:r>
    </w:p>
    <w:p>
      <w:pPr>
        <w:pStyle w:val="169"/>
      </w:pPr>
      <w:r>
        <w:rPr>
          <w:rFonts w:hint="eastAsia"/>
        </w:rPr>
        <w:t>用水作为试压介质时，应安装高点排空、低点排水阀门。排净空气，使水充满整个试压系统，待水温和管壁、设备壁的温度差小于5℃时方可升压。</w:t>
      </w:r>
    </w:p>
    <w:p>
      <w:pPr>
        <w:pStyle w:val="169"/>
      </w:pPr>
      <w:r>
        <w:rPr>
          <w:rFonts w:hint="eastAsia"/>
        </w:rPr>
        <w:t>当采取安全防护措施的情况下，允许采用气体作为强度试验介质。</w:t>
      </w:r>
    </w:p>
    <w:p>
      <w:pPr>
        <w:pStyle w:val="169"/>
      </w:pPr>
      <w:r>
        <w:rPr>
          <w:rFonts w:hint="eastAsia"/>
        </w:rPr>
        <w:t>奥氏体不锈钢材料制造的部件进行试验时，试验用水的氯离子含量不应超过25 mg/L。</w:t>
      </w:r>
    </w:p>
    <w:p>
      <w:pPr>
        <w:pStyle w:val="170"/>
      </w:pPr>
      <w:r>
        <w:rPr>
          <w:rFonts w:hint="eastAsia"/>
        </w:rPr>
        <w:t>试验方法</w:t>
      </w:r>
    </w:p>
    <w:p>
      <w:pPr>
        <w:pStyle w:val="169"/>
      </w:pPr>
      <w:r>
        <w:rPr>
          <w:rFonts w:hint="eastAsia"/>
        </w:rPr>
        <w:t>用水为介质做液压试验时，升压应满足下列要求：</w:t>
      </w:r>
    </w:p>
    <w:p>
      <w:pPr>
        <w:pStyle w:val="179"/>
        <w:numPr>
          <w:ilvl w:val="0"/>
          <w:numId w:val="95"/>
        </w:numPr>
      </w:pPr>
      <w:r>
        <w:rPr>
          <w:rFonts w:hint="eastAsia"/>
        </w:rPr>
        <w:t>升压应平稳缓慢，分阶段进行，试验升压次数应符合表</w:t>
      </w:r>
      <w:r>
        <w:t>20</w:t>
      </w:r>
      <w:r>
        <w:rPr>
          <w:rFonts w:hint="eastAsia"/>
        </w:rPr>
        <w:t>的规定；</w:t>
      </w:r>
    </w:p>
    <w:p>
      <w:pPr>
        <w:pStyle w:val="117"/>
        <w:spacing w:before="120" w:after="120"/>
      </w:pPr>
      <w:r>
        <w:rPr>
          <w:rFonts w:hint="eastAsia"/>
        </w:rPr>
        <w:t>液压试验升压次数</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1985"/>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试验压力（MPa）</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升压次数</w:t>
            </w:r>
          </w:p>
        </w:tc>
        <w:tc>
          <w:tcPr>
            <w:tcW w:w="34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各阶段试验压力百分数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p≤1.6</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w:t>
            </w:r>
          </w:p>
        </w:tc>
        <w:tc>
          <w:tcPr>
            <w:tcW w:w="34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1.6＜p≤2.5</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w:t>
            </w:r>
          </w:p>
        </w:tc>
        <w:tc>
          <w:tcPr>
            <w:tcW w:w="34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50%，100%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2.5＜p</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3</w:t>
            </w:r>
          </w:p>
        </w:tc>
        <w:tc>
          <w:tcPr>
            <w:tcW w:w="34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30%，60%，100%</w:t>
            </w:r>
          </w:p>
        </w:tc>
      </w:tr>
    </w:tbl>
    <w:p>
      <w:pPr>
        <w:pStyle w:val="179"/>
        <w:rPr>
          <w:szCs w:val="21"/>
        </w:rPr>
      </w:pPr>
      <w:r>
        <w:rPr>
          <w:rFonts w:hint="eastAsia"/>
        </w:rPr>
        <w:t>依次升至各个阶段压力时，应稳压30min；经检查无泄漏，即可继续升压；</w:t>
      </w:r>
    </w:p>
    <w:p>
      <w:pPr>
        <w:pStyle w:val="179"/>
      </w:pPr>
      <w:r>
        <w:rPr>
          <w:rFonts w:hint="eastAsia"/>
        </w:rPr>
        <w:t>升到压力试验压力值后，稳压4h。试验方法及合格标准见表</w:t>
      </w:r>
      <w:r>
        <w:t>21</w:t>
      </w:r>
      <w:r>
        <w:rPr>
          <w:rFonts w:hint="eastAsia"/>
        </w:rPr>
        <w:t>。</w:t>
      </w:r>
    </w:p>
    <w:p>
      <w:pPr>
        <w:pStyle w:val="117"/>
        <w:spacing w:before="120" w:after="0" w:afterLines="0"/>
        <w:rPr>
          <w:rFonts w:hAnsi="黑体"/>
        </w:rPr>
      </w:pPr>
      <w:r>
        <w:rPr>
          <w:rFonts w:hint="eastAsia" w:hAnsi="黑体"/>
        </w:rPr>
        <w:t>试验方法及合格标准</w:t>
      </w:r>
    </w:p>
    <w:tbl>
      <w:tblPr>
        <w:tblStyle w:val="31"/>
        <w:tblW w:w="52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3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6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检验项目</w:t>
            </w:r>
          </w:p>
        </w:tc>
        <w:tc>
          <w:tcPr>
            <w:tcW w:w="35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液压试验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6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试验压力（MPa）</w:t>
            </w:r>
          </w:p>
        </w:tc>
        <w:tc>
          <w:tcPr>
            <w:tcW w:w="35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l.5倍设计压力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6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升压步骤</w:t>
            </w:r>
          </w:p>
        </w:tc>
        <w:tc>
          <w:tcPr>
            <w:tcW w:w="3579" w:type="dxa"/>
            <w:tcBorders>
              <w:top w:val="single" w:color="auto" w:sz="4" w:space="0"/>
              <w:left w:val="single" w:color="auto" w:sz="4" w:space="0"/>
              <w:bottom w:val="single" w:color="auto" w:sz="4" w:space="0"/>
              <w:right w:val="single" w:color="auto" w:sz="4" w:space="0"/>
            </w:tcBorders>
            <w:vAlign w:val="center"/>
          </w:tcPr>
          <w:p>
            <w:pPr>
              <w:pStyle w:val="61"/>
              <w:ind w:firstLine="360"/>
              <w:rPr>
                <w:rFonts w:hAnsi="宋体"/>
                <w:kern w:val="2"/>
                <w:sz w:val="18"/>
                <w:szCs w:val="18"/>
              </w:rPr>
            </w:pPr>
            <w:r>
              <w:rPr>
                <w:rFonts w:hint="eastAsia" w:hAnsi="宋体"/>
                <w:kern w:val="2"/>
                <w:sz w:val="18"/>
                <w:szCs w:val="18"/>
              </w:rPr>
              <w:t>升压阶段间隔30min，</w:t>
            </w:r>
          </w:p>
          <w:p>
            <w:pPr>
              <w:pStyle w:val="61"/>
              <w:ind w:firstLine="360"/>
            </w:pPr>
            <w:r>
              <w:rPr>
                <w:rFonts w:hint="eastAsia" w:hAnsi="宋体"/>
                <w:kern w:val="2"/>
                <w:sz w:val="18"/>
                <w:szCs w:val="18"/>
              </w:rPr>
              <w:t>升压速度不大于0.lMPa／min。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16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稳压时间（h）</w:t>
            </w:r>
          </w:p>
        </w:tc>
        <w:tc>
          <w:tcPr>
            <w:tcW w:w="35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6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合格标准</w:t>
            </w:r>
          </w:p>
        </w:tc>
        <w:tc>
          <w:tcPr>
            <w:tcW w:w="3579" w:type="dxa"/>
            <w:tcBorders>
              <w:top w:val="single" w:color="auto" w:sz="4" w:space="0"/>
              <w:left w:val="single" w:color="auto" w:sz="4" w:space="0"/>
              <w:bottom w:val="single" w:color="auto" w:sz="4" w:space="0"/>
              <w:right w:val="single" w:color="auto" w:sz="4" w:space="0"/>
            </w:tcBorders>
            <w:vAlign w:val="center"/>
          </w:tcPr>
          <w:p>
            <w:pPr>
              <w:pStyle w:val="61"/>
              <w:ind w:firstLine="360"/>
              <w:rPr>
                <w:rFonts w:hAnsi="宋体"/>
                <w:kern w:val="2"/>
                <w:sz w:val="18"/>
                <w:szCs w:val="18"/>
              </w:rPr>
            </w:pPr>
            <w:r>
              <w:rPr>
                <w:rFonts w:hint="eastAsia" w:hAnsi="宋体"/>
                <w:kern w:val="2"/>
                <w:sz w:val="18"/>
                <w:szCs w:val="18"/>
              </w:rPr>
              <w:t>管道目测无变形、无渗漏。</w:t>
            </w:r>
          </w:p>
        </w:tc>
      </w:tr>
    </w:tbl>
    <w:p>
      <w:pPr>
        <w:pStyle w:val="169"/>
      </w:pPr>
      <w:r>
        <w:rPr>
          <w:rFonts w:hint="eastAsia"/>
        </w:rPr>
        <w:t>气压试验时，应装有安全阀，其设定压力不得高于试验压力的1.1倍。</w:t>
      </w:r>
    </w:p>
    <w:p>
      <w:pPr>
        <w:pStyle w:val="169"/>
      </w:pPr>
      <w:r>
        <w:rPr>
          <w:rFonts w:hint="eastAsia"/>
        </w:rPr>
        <w:t>气压试验时，升压应满足下列要求：</w:t>
      </w:r>
    </w:p>
    <w:p>
      <w:pPr>
        <w:pStyle w:val="179"/>
        <w:numPr>
          <w:ilvl w:val="0"/>
          <w:numId w:val="96"/>
        </w:numPr>
      </w:pPr>
      <w:r>
        <w:rPr>
          <w:rFonts w:hint="eastAsia"/>
        </w:rPr>
        <w:t>试验前应进行预试验，预试验的压力宜为0.2MPa；</w:t>
      </w:r>
    </w:p>
    <w:p>
      <w:pPr>
        <w:pStyle w:val="179"/>
      </w:pPr>
      <w:r>
        <w:rPr>
          <w:rFonts w:hint="eastAsia"/>
        </w:rPr>
        <w:t>升压应缓慢分阶段进行，升压速度应小于0.lMPa／min；</w:t>
      </w:r>
    </w:p>
    <w:p>
      <w:pPr>
        <w:pStyle w:val="179"/>
      </w:pPr>
      <w:r>
        <w:rPr>
          <w:rFonts w:hint="eastAsia"/>
        </w:rPr>
        <w:t>将系统压力升到试验压力的10％，至少稳压5min，若无渗漏，就缓慢升至试验压力的50％；其后按逐次增加10％的试验压力后，都应稳压检查，无泄漏及无异常声响方可升压；</w:t>
      </w:r>
    </w:p>
    <w:p>
      <w:pPr>
        <w:pStyle w:val="179"/>
      </w:pPr>
      <w:r>
        <w:rPr>
          <w:rFonts w:hint="eastAsia"/>
        </w:rPr>
        <w:t>当系统压力升到试验压力后，稳压4h，以发泡剂检验无渗漏为合格，试验方法及合格标准见表</w:t>
      </w:r>
      <w:r>
        <w:t>22</w:t>
      </w:r>
      <w:r>
        <w:rPr>
          <w:rFonts w:hint="eastAsia"/>
        </w:rPr>
        <w:t>。</w:t>
      </w:r>
    </w:p>
    <w:p>
      <w:pPr>
        <w:pStyle w:val="117"/>
        <w:spacing w:before="120" w:after="120"/>
      </w:pPr>
      <w:r>
        <w:rPr>
          <w:rFonts w:hint="eastAsia"/>
        </w:rPr>
        <w:t>试验方法及合格标准</w:t>
      </w:r>
    </w:p>
    <w:tbl>
      <w:tblPr>
        <w:tblStyle w:val="31"/>
        <w:tblW w:w="5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8"/>
        <w:gridCol w:w="4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op w:val="single" w:color="auto" w:sz="4" w:space="0"/>
              <w:left w:val="single" w:color="auto" w:sz="4" w:space="0"/>
              <w:bottom w:val="single" w:color="auto" w:sz="4" w:space="0"/>
              <w:right w:val="single" w:color="auto" w:sz="4" w:space="0"/>
            </w:tcBorders>
            <w:vAlign w:val="bottom"/>
          </w:tcPr>
          <w:p>
            <w:pPr>
              <w:jc w:val="center"/>
              <w:rPr>
                <w:sz w:val="18"/>
                <w:szCs w:val="18"/>
              </w:rPr>
            </w:pPr>
            <w:r>
              <w:rPr>
                <w:rFonts w:hint="eastAsia" w:ascii="宋体" w:hAnsi="宋体"/>
                <w:sz w:val="18"/>
                <w:szCs w:val="18"/>
              </w:rPr>
              <w:t>检验项目</w:t>
            </w:r>
          </w:p>
        </w:tc>
        <w:tc>
          <w:tcPr>
            <w:tcW w:w="4068" w:type="dxa"/>
            <w:tcBorders>
              <w:top w:val="single" w:color="auto" w:sz="4" w:space="0"/>
              <w:left w:val="single" w:color="auto" w:sz="4" w:space="0"/>
              <w:bottom w:val="single" w:color="auto" w:sz="4" w:space="0"/>
              <w:right w:val="single" w:color="auto" w:sz="4" w:space="0"/>
            </w:tcBorders>
            <w:vAlign w:val="bottom"/>
          </w:tcPr>
          <w:p>
            <w:pPr>
              <w:jc w:val="center"/>
              <w:rPr>
                <w:sz w:val="18"/>
                <w:szCs w:val="18"/>
              </w:rPr>
            </w:pPr>
            <w:r>
              <w:rPr>
                <w:rFonts w:hint="eastAsia" w:ascii="宋体" w:hAnsi="宋体"/>
                <w:sz w:val="18"/>
                <w:szCs w:val="18"/>
              </w:rPr>
              <w:t>气压试验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8" w:type="dxa"/>
            <w:tcBorders>
              <w:top w:val="single" w:color="auto" w:sz="4" w:space="0"/>
              <w:left w:val="single" w:color="auto" w:sz="4" w:space="0"/>
              <w:bottom w:val="single" w:color="auto" w:sz="4" w:space="0"/>
              <w:right w:val="single" w:color="auto" w:sz="4" w:space="0"/>
            </w:tcBorders>
            <w:vAlign w:val="bottom"/>
          </w:tcPr>
          <w:p>
            <w:pPr>
              <w:jc w:val="center"/>
              <w:rPr>
                <w:sz w:val="18"/>
                <w:szCs w:val="18"/>
              </w:rPr>
            </w:pPr>
            <w:r>
              <w:rPr>
                <w:rFonts w:hint="eastAsia" w:ascii="宋体" w:hAnsi="宋体"/>
                <w:sz w:val="18"/>
                <w:szCs w:val="18"/>
              </w:rPr>
              <w:t>试验压力</w:t>
            </w:r>
            <w:r>
              <w:rPr>
                <w:rFonts w:hint="eastAsia"/>
                <w:sz w:val="18"/>
                <w:szCs w:val="18"/>
              </w:rPr>
              <w:t>（</w:t>
            </w:r>
            <w:r>
              <w:rPr>
                <w:sz w:val="18"/>
                <w:szCs w:val="18"/>
              </w:rPr>
              <w:t>MPa</w:t>
            </w:r>
            <w:r>
              <w:rPr>
                <w:rFonts w:hint="eastAsia"/>
                <w:sz w:val="18"/>
                <w:szCs w:val="18"/>
              </w:rPr>
              <w:t>）</w:t>
            </w:r>
          </w:p>
        </w:tc>
        <w:tc>
          <w:tcPr>
            <w:tcW w:w="4068" w:type="dxa"/>
            <w:tcBorders>
              <w:top w:val="single" w:color="auto" w:sz="4" w:space="0"/>
              <w:left w:val="single" w:color="auto" w:sz="4" w:space="0"/>
              <w:bottom w:val="single" w:color="auto" w:sz="4" w:space="0"/>
              <w:right w:val="single" w:color="auto" w:sz="4" w:space="0"/>
            </w:tcBorders>
            <w:vAlign w:val="bottom"/>
          </w:tcPr>
          <w:p>
            <w:pPr>
              <w:jc w:val="center"/>
              <w:rPr>
                <w:sz w:val="18"/>
                <w:szCs w:val="18"/>
              </w:rPr>
            </w:pPr>
            <w:r>
              <w:rPr>
                <w:sz w:val="18"/>
                <w:szCs w:val="18"/>
              </w:rPr>
              <w:t>1</w:t>
            </w:r>
            <w:r>
              <w:rPr>
                <w:rFonts w:hint="eastAsia" w:cs="Calibri"/>
                <w:sz w:val="18"/>
                <w:szCs w:val="18"/>
              </w:rPr>
              <w:t>.</w:t>
            </w:r>
            <w:r>
              <w:rPr>
                <w:sz w:val="18"/>
                <w:szCs w:val="18"/>
              </w:rPr>
              <w:t>15</w:t>
            </w:r>
            <w:r>
              <w:rPr>
                <w:rFonts w:hint="eastAsia" w:ascii="宋体" w:hAnsi="宋体"/>
                <w:sz w:val="18"/>
                <w:szCs w:val="18"/>
              </w:rPr>
              <w:t>倍设计压力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8" w:type="dxa"/>
            <w:tcBorders>
              <w:top w:val="single" w:color="auto" w:sz="4" w:space="0"/>
              <w:left w:val="single" w:color="auto" w:sz="4" w:space="0"/>
              <w:bottom w:val="single" w:color="auto" w:sz="4" w:space="0"/>
              <w:right w:val="single" w:color="auto" w:sz="4" w:space="0"/>
            </w:tcBorders>
            <w:vAlign w:val="bottom"/>
          </w:tcPr>
          <w:p>
            <w:pPr>
              <w:jc w:val="center"/>
              <w:rPr>
                <w:sz w:val="18"/>
                <w:szCs w:val="18"/>
              </w:rPr>
            </w:pPr>
            <w:r>
              <w:rPr>
                <w:rFonts w:hint="eastAsia" w:ascii="宋体" w:hAnsi="宋体"/>
                <w:sz w:val="18"/>
                <w:szCs w:val="18"/>
              </w:rPr>
              <w:t>升压步骤</w:t>
            </w:r>
          </w:p>
        </w:tc>
        <w:tc>
          <w:tcPr>
            <w:tcW w:w="4068" w:type="dxa"/>
            <w:tcBorders>
              <w:top w:val="single" w:color="auto" w:sz="4" w:space="0"/>
              <w:left w:val="single" w:color="auto" w:sz="4" w:space="0"/>
              <w:bottom w:val="single" w:color="auto" w:sz="4" w:space="0"/>
              <w:right w:val="single" w:color="auto" w:sz="4" w:space="0"/>
            </w:tcBorders>
            <w:vAlign w:val="bottom"/>
          </w:tcPr>
          <w:p>
            <w:pPr>
              <w:jc w:val="left"/>
              <w:rPr>
                <w:sz w:val="18"/>
                <w:szCs w:val="18"/>
              </w:rPr>
            </w:pPr>
            <w:r>
              <w:rPr>
                <w:rFonts w:hint="eastAsia" w:ascii="宋体" w:hAnsi="宋体"/>
                <w:sz w:val="18"/>
                <w:szCs w:val="18"/>
              </w:rPr>
              <w:t>分三次升压。升压值依次为试验压力的</w:t>
            </w:r>
            <w:r>
              <w:rPr>
                <w:rFonts w:hint="eastAsia" w:cs="Calibri"/>
                <w:sz w:val="18"/>
                <w:szCs w:val="18"/>
              </w:rPr>
              <w:t>1</w:t>
            </w:r>
            <w:r>
              <w:rPr>
                <w:sz w:val="18"/>
                <w:szCs w:val="18"/>
              </w:rPr>
              <w:t>0</w:t>
            </w:r>
            <w:r>
              <w:rPr>
                <w:rFonts w:hint="eastAsia" w:ascii="宋体" w:hAnsi="宋体"/>
                <w:sz w:val="18"/>
                <w:szCs w:val="18"/>
              </w:rPr>
              <w:t>％，</w:t>
            </w:r>
            <w:r>
              <w:rPr>
                <w:rFonts w:hint="eastAsia" w:cs="Calibri"/>
                <w:sz w:val="18"/>
                <w:szCs w:val="18"/>
              </w:rPr>
              <w:t>5</w:t>
            </w:r>
            <w:r>
              <w:rPr>
                <w:sz w:val="18"/>
                <w:szCs w:val="18"/>
              </w:rPr>
              <w:t>0</w:t>
            </w:r>
            <w:r>
              <w:rPr>
                <w:rFonts w:hint="eastAsia" w:ascii="宋体" w:hAnsi="宋体"/>
                <w:sz w:val="18"/>
                <w:szCs w:val="18"/>
              </w:rPr>
              <w:t>％，逐次增加</w:t>
            </w:r>
            <w:r>
              <w:rPr>
                <w:rFonts w:hint="eastAsia" w:cs="Calibri"/>
                <w:sz w:val="18"/>
                <w:szCs w:val="18"/>
              </w:rPr>
              <w:t>10</w:t>
            </w:r>
            <w:r>
              <w:rPr>
                <w:rFonts w:hint="eastAsia" w:ascii="宋体" w:hAnsi="宋体"/>
                <w:sz w:val="18"/>
                <w:szCs w:val="18"/>
              </w:rPr>
              <w:t>％的试验压力直至</w:t>
            </w:r>
            <w:r>
              <w:rPr>
                <w:sz w:val="18"/>
                <w:szCs w:val="18"/>
              </w:rPr>
              <w:t>100</w:t>
            </w:r>
            <w:r>
              <w:rPr>
                <w:rFonts w:hint="eastAsia" w:ascii="宋体" w:hAnsi="宋体"/>
                <w:sz w:val="18"/>
                <w:szCs w:val="18"/>
              </w:rPr>
              <w:t>％，间隔</w:t>
            </w:r>
            <w:r>
              <w:rPr>
                <w:rFonts w:hint="eastAsia" w:cs="Calibri"/>
                <w:sz w:val="18"/>
                <w:szCs w:val="18"/>
              </w:rPr>
              <w:t>5</w:t>
            </w:r>
            <w:r>
              <w:rPr>
                <w:sz w:val="18"/>
                <w:szCs w:val="18"/>
              </w:rPr>
              <w:t>min</w:t>
            </w:r>
            <w:r>
              <w:rPr>
                <w:rFonts w:hint="eastAsia" w:ascii="宋体" w:hAnsi="宋体"/>
                <w:sz w:val="18"/>
                <w:szCs w:val="18"/>
              </w:rPr>
              <w:t>．升压速度不大干</w:t>
            </w:r>
            <w:r>
              <w:rPr>
                <w:sz w:val="18"/>
                <w:szCs w:val="18"/>
              </w:rPr>
              <w:t>0</w:t>
            </w:r>
            <w:r>
              <w:rPr>
                <w:rFonts w:hint="eastAsia" w:cs="Calibri"/>
                <w:sz w:val="18"/>
                <w:szCs w:val="18"/>
              </w:rPr>
              <w:t>.</w:t>
            </w:r>
            <w:r>
              <w:rPr>
                <w:sz w:val="18"/>
                <w:szCs w:val="18"/>
              </w:rPr>
              <w:t>lMPa</w:t>
            </w:r>
            <w:r>
              <w:rPr>
                <w:rFonts w:hint="eastAsia" w:ascii="宋体" w:hAnsi="宋体"/>
                <w:sz w:val="18"/>
                <w:szCs w:val="18"/>
              </w:rPr>
              <w:t>／</w:t>
            </w:r>
            <w:r>
              <w:rPr>
                <w:sz w:val="18"/>
                <w:szCs w:val="18"/>
              </w:rPr>
              <w:t>m</w:t>
            </w:r>
            <w:r>
              <w:rPr>
                <w:rFonts w:hint="eastAsia" w:cs="Calibri"/>
                <w:sz w:val="18"/>
                <w:szCs w:val="18"/>
              </w:rPr>
              <w:t>i</w:t>
            </w:r>
            <w:r>
              <w:rPr>
                <w:sz w:val="18"/>
                <w:szCs w:val="18"/>
              </w:rPr>
              <w:t>n</w:t>
            </w: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8" w:type="dxa"/>
            <w:tcBorders>
              <w:top w:val="single" w:color="auto" w:sz="4" w:space="0"/>
              <w:left w:val="single" w:color="auto" w:sz="4" w:space="0"/>
              <w:bottom w:val="single" w:color="auto" w:sz="4" w:space="0"/>
              <w:right w:val="single" w:color="auto" w:sz="4" w:space="0"/>
            </w:tcBorders>
            <w:vAlign w:val="bottom"/>
          </w:tcPr>
          <w:p>
            <w:pPr>
              <w:jc w:val="center"/>
              <w:rPr>
                <w:sz w:val="18"/>
                <w:szCs w:val="18"/>
              </w:rPr>
            </w:pPr>
            <w:r>
              <w:rPr>
                <w:rFonts w:hint="eastAsia" w:ascii="宋体" w:hAnsi="宋体"/>
                <w:sz w:val="18"/>
                <w:szCs w:val="18"/>
              </w:rPr>
              <w:t>稳压时间（</w:t>
            </w:r>
            <w:r>
              <w:rPr>
                <w:sz w:val="18"/>
                <w:szCs w:val="18"/>
              </w:rPr>
              <w:t>h</w:t>
            </w:r>
            <w:r>
              <w:rPr>
                <w:rFonts w:hint="eastAsia" w:ascii="宋体" w:hAnsi="宋体"/>
                <w:sz w:val="18"/>
                <w:szCs w:val="18"/>
              </w:rPr>
              <w:t>）</w:t>
            </w:r>
          </w:p>
        </w:tc>
        <w:tc>
          <w:tcPr>
            <w:tcW w:w="4068" w:type="dxa"/>
            <w:tcBorders>
              <w:top w:val="single" w:color="auto" w:sz="4" w:space="0"/>
              <w:left w:val="single" w:color="auto" w:sz="4" w:space="0"/>
              <w:bottom w:val="single" w:color="auto" w:sz="4" w:space="0"/>
              <w:right w:val="single" w:color="auto" w:sz="4" w:space="0"/>
            </w:tcBorders>
            <w:vAlign w:val="bottom"/>
          </w:tcPr>
          <w:p>
            <w:pPr>
              <w:jc w:val="center"/>
              <w:rPr>
                <w:sz w:val="18"/>
                <w:szCs w:val="18"/>
              </w:rPr>
            </w:pPr>
            <w:r>
              <w:rPr>
                <w:rFonts w:hint="eastAsia" w:cs="Calibri"/>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8" w:type="dxa"/>
            <w:tcBorders>
              <w:top w:val="single" w:color="auto" w:sz="4" w:space="0"/>
              <w:left w:val="single" w:color="auto" w:sz="4" w:space="0"/>
              <w:bottom w:val="single" w:color="auto" w:sz="4" w:space="0"/>
              <w:right w:val="single" w:color="auto" w:sz="4" w:space="0"/>
            </w:tcBorders>
            <w:vAlign w:val="bottom"/>
          </w:tcPr>
          <w:p>
            <w:pPr>
              <w:jc w:val="center"/>
              <w:rPr>
                <w:sz w:val="18"/>
                <w:szCs w:val="18"/>
              </w:rPr>
            </w:pPr>
            <w:r>
              <w:rPr>
                <w:rFonts w:hint="eastAsia" w:ascii="宋体" w:hAnsi="宋体"/>
                <w:sz w:val="18"/>
                <w:szCs w:val="18"/>
              </w:rPr>
              <w:t>合格标准</w:t>
            </w:r>
          </w:p>
        </w:tc>
        <w:tc>
          <w:tcPr>
            <w:tcW w:w="4068" w:type="dxa"/>
            <w:tcBorders>
              <w:top w:val="single" w:color="auto" w:sz="4" w:space="0"/>
              <w:left w:val="single" w:color="auto" w:sz="4" w:space="0"/>
              <w:bottom w:val="single" w:color="auto" w:sz="4" w:space="0"/>
              <w:right w:val="single" w:color="auto" w:sz="4" w:space="0"/>
            </w:tcBorders>
            <w:vAlign w:val="bottom"/>
          </w:tcPr>
          <w:p>
            <w:pPr>
              <w:jc w:val="center"/>
              <w:rPr>
                <w:sz w:val="18"/>
                <w:szCs w:val="18"/>
              </w:rPr>
            </w:pPr>
            <w:r>
              <w:rPr>
                <w:rFonts w:hint="eastAsia" w:ascii="宋体" w:hAnsi="宋体"/>
                <w:sz w:val="18"/>
                <w:szCs w:val="18"/>
              </w:rPr>
              <w:t>管道目测无变形、无泄漏</w:t>
            </w:r>
          </w:p>
        </w:tc>
      </w:tr>
    </w:tbl>
    <w:p>
      <w:pPr>
        <w:pStyle w:val="169"/>
      </w:pPr>
      <w:r>
        <w:t>为确保氢气管道系统安全运行，在安装过程中每个环节每个步骤均要采取措施防止焊渣、铁屑、可燃物等进入</w:t>
      </w:r>
      <w:r>
        <w:rPr>
          <w:rFonts w:hint="eastAsia"/>
        </w:rPr>
        <w:t>。</w:t>
      </w:r>
      <w:r>
        <w:t xml:space="preserve"> </w:t>
      </w:r>
    </w:p>
    <w:p>
      <w:pPr>
        <w:pStyle w:val="110"/>
        <w:spacing w:before="120" w:after="120"/>
      </w:pPr>
      <w:bookmarkStart w:id="194" w:name="_Toc209114092"/>
      <w:r>
        <w:rPr>
          <w:rFonts w:hint="eastAsia"/>
        </w:rPr>
        <w:t>气密性试验</w:t>
      </w:r>
      <w:bookmarkEnd w:id="194"/>
    </w:p>
    <w:p>
      <w:pPr>
        <w:pStyle w:val="170"/>
      </w:pPr>
      <w:r>
        <w:rPr>
          <w:rFonts w:hint="eastAsia"/>
        </w:rPr>
        <w:t>一般要求</w:t>
      </w:r>
    </w:p>
    <w:p>
      <w:pPr>
        <w:pStyle w:val="61"/>
        <w:ind w:firstLine="420"/>
      </w:pPr>
      <w:r>
        <w:rPr>
          <w:rFonts w:hint="eastAsia"/>
        </w:rPr>
        <w:t>经强度试验合格后，掺氢撬应整体进行气密性试验。</w:t>
      </w:r>
    </w:p>
    <w:p>
      <w:pPr>
        <w:pStyle w:val="170"/>
      </w:pPr>
      <w:r>
        <w:rPr>
          <w:rFonts w:hint="eastAsia"/>
        </w:rPr>
        <w:t>试验条件</w:t>
      </w:r>
    </w:p>
    <w:p>
      <w:pPr>
        <w:pStyle w:val="61"/>
        <w:ind w:firstLine="420"/>
      </w:pPr>
      <w:r>
        <w:rPr>
          <w:rFonts w:hint="eastAsia"/>
        </w:rPr>
        <w:t>掺混撬整体用氮气或干燥无油的空气进行试验时，气体的温度不应低于5℃，保压过程中温度波动不应超过±5℃。</w:t>
      </w:r>
    </w:p>
    <w:p>
      <w:pPr>
        <w:pStyle w:val="170"/>
      </w:pPr>
      <w:r>
        <w:rPr>
          <w:rFonts w:hint="eastAsia"/>
        </w:rPr>
        <w:t>试验方法</w:t>
      </w:r>
    </w:p>
    <w:p>
      <w:pPr>
        <w:pStyle w:val="169"/>
      </w:pPr>
      <w:r>
        <w:rPr>
          <w:rFonts w:hint="eastAsia"/>
        </w:rPr>
        <w:t>试验时分别向调压器前后管道内增压（掺混装置的调压器应处于关闭状态，并对调压器采取保护措施），压力应缓慢上升。</w:t>
      </w:r>
    </w:p>
    <w:p>
      <w:pPr>
        <w:pStyle w:val="169"/>
      </w:pPr>
      <w:r>
        <w:rPr>
          <w:rFonts w:hint="eastAsia"/>
        </w:rPr>
        <w:t>气密性试验应分为高、低压检测阶段，在气体压力达到试验压力后应保压5min，然后降压至设计压力，对焊缝和连接部位以发泡剂检验，无渗漏为合格。若未检出泄漏应继续保压不少于30min。</w:t>
      </w:r>
    </w:p>
    <w:p>
      <w:pPr>
        <w:pStyle w:val="110"/>
        <w:spacing w:before="120" w:after="120"/>
      </w:pPr>
      <w:bookmarkStart w:id="195" w:name="_Toc209114093"/>
      <w:r>
        <w:rPr>
          <w:rFonts w:hint="eastAsia"/>
        </w:rPr>
        <w:t>泄漏量试验</w:t>
      </w:r>
      <w:bookmarkEnd w:id="195"/>
    </w:p>
    <w:p>
      <w:pPr>
        <w:pStyle w:val="170"/>
      </w:pPr>
      <w:r>
        <w:rPr>
          <w:rFonts w:hint="eastAsia"/>
        </w:rPr>
        <w:t>一般要求</w:t>
      </w:r>
    </w:p>
    <w:p>
      <w:pPr>
        <w:pStyle w:val="61"/>
        <w:ind w:firstLine="420"/>
      </w:pPr>
      <w:r>
        <w:rPr>
          <w:rFonts w:hint="eastAsia"/>
        </w:rPr>
        <w:t>经强度试验、气密性试验合格后，应对掺氢撬的氢气和掺氢天然气管道整体进行泄漏量试验。</w:t>
      </w:r>
    </w:p>
    <w:p>
      <w:pPr>
        <w:pStyle w:val="170"/>
      </w:pPr>
      <w:r>
        <w:rPr>
          <w:rFonts w:hint="eastAsia"/>
        </w:rPr>
        <w:t>试验条件</w:t>
      </w:r>
    </w:p>
    <w:p>
      <w:pPr>
        <w:pStyle w:val="169"/>
      </w:pPr>
      <w:r>
        <w:rPr>
          <w:rFonts w:hint="eastAsia"/>
        </w:rPr>
        <w:t>掺混装置进行泄漏量试验时，气体的温度不应低于5℃，保压过程中温度波动不应超过±5℃。</w:t>
      </w:r>
    </w:p>
    <w:p>
      <w:pPr>
        <w:pStyle w:val="169"/>
      </w:pPr>
      <w:r>
        <w:rPr>
          <w:rFonts w:hint="eastAsia"/>
        </w:rPr>
        <w:t>泄漏量试验介质宜采用氦氮混合气(氦气体积百分含量不小于5%)或氦气。</w:t>
      </w:r>
    </w:p>
    <w:p>
      <w:pPr>
        <w:pStyle w:val="169"/>
      </w:pPr>
      <w:r>
        <w:rPr>
          <w:rFonts w:hint="eastAsia"/>
        </w:rPr>
        <w:t>试验压力应为设计压力。</w:t>
      </w:r>
    </w:p>
    <w:p>
      <w:pPr>
        <w:pStyle w:val="170"/>
      </w:pPr>
      <w:r>
        <w:rPr>
          <w:rFonts w:hint="eastAsia"/>
        </w:rPr>
        <w:t>试验方法</w:t>
      </w:r>
    </w:p>
    <w:p>
      <w:pPr>
        <w:pStyle w:val="169"/>
      </w:pPr>
      <w:r>
        <w:rPr>
          <w:rFonts w:hint="eastAsia"/>
        </w:rPr>
        <w:t>试验时分别向调压器前后管道内增压（掺混装置的调压器应处于关闭状态，并对调压器采取保护措施），压力应缓慢上升，达到规定试验压力后，进行泄漏检查,经检查无泄漏，再保压24h（采用氦气试验时，保压时间不少于1h）。</w:t>
      </w:r>
    </w:p>
    <w:p>
      <w:pPr>
        <w:pStyle w:val="169"/>
      </w:pPr>
      <w:r>
        <w:rPr>
          <w:rFonts w:hint="eastAsia"/>
        </w:rPr>
        <w:t>每小时记录试验压力和温度，试验结束后按下方公式（5）或（</w:t>
      </w:r>
      <w:r>
        <w:t>6</w:t>
      </w:r>
      <w:r>
        <w:rPr>
          <w:rFonts w:hint="eastAsia"/>
        </w:rPr>
        <w:t>）：</w:t>
      </w:r>
    </w:p>
    <w:p>
      <w:pPr>
        <w:pStyle w:val="61"/>
        <w:ind w:firstLine="420"/>
      </w:pPr>
      <w:r>
        <w:rPr>
          <w:rFonts w:hint="eastAsia"/>
        </w:rPr>
        <w:t>当氢气管道公称直径小于或等于300mm时，计算平均每小时的泄漏率。</w:t>
      </w:r>
    </w:p>
    <w:p>
      <w:pPr>
        <w:pStyle w:val="61"/>
        <w:ind w:firstLine="420"/>
        <w:jc w:val="center"/>
      </w:pPr>
    </w:p>
    <w:p>
      <w:pPr>
        <w:pStyle w:val="118"/>
      </w:pPr>
      <w:r>
        <w:tab/>
      </w:r>
      <m:oMath>
        <m:r>
          <m:rPr/>
          <w:rPr>
            <w:rFonts w:ascii="Cambria Math" w:hAnsi="Cambria Math"/>
          </w:rPr>
          <m:t>A=</m:t>
        </m:r>
        <m:d>
          <m:dPr>
            <m:begChr m:val="["/>
            <m:endChr m:val="]"/>
            <m:ctrlPr>
              <w:rPr>
                <w:rFonts w:ascii="Cambria Math" w:hAnsi="Cambria Math"/>
                <w:i/>
              </w:rPr>
            </m:ctrlPr>
          </m:dPr>
          <m:e>
            <m:r>
              <m:rPr/>
              <w:rPr>
                <w:rFonts w:ascii="Cambria Math" w:hAnsi="Cambria Math"/>
              </w:rPr>
              <m:t>1−</m:t>
            </m:r>
            <m:f>
              <m:fPr>
                <m:ctrlPr>
                  <w:rPr>
                    <w:rFonts w:ascii="Cambria Math" w:hAnsi="Cambria Math"/>
                    <w:i/>
                  </w:rPr>
                </m:ctrlPr>
              </m:fPr>
              <m:num>
                <m:d>
                  <m:dPr>
                    <m:ctrlPr>
                      <w:rPr>
                        <w:rFonts w:ascii="Cambria Math" w:hAnsi="Cambria Math"/>
                        <w:i/>
                      </w:rPr>
                    </m:ctrlPr>
                  </m:dPr>
                  <m:e>
                    <m:r>
                      <m:rPr/>
                      <w:rPr>
                        <w:rFonts w:ascii="Cambria Math" w:hAnsi="Cambria Math"/>
                      </w:rPr>
                      <m:t>273+</m:t>
                    </m:r>
                    <m:sSub>
                      <m:sSubPr>
                        <m:ctrlPr>
                          <w:rPr>
                            <w:rFonts w:ascii="Cambria Math" w:hAnsi="Cambria Math"/>
                            <w:i/>
                          </w:rPr>
                        </m:ctrlPr>
                      </m:sSubPr>
                      <m:e>
                        <m:r>
                          <m:rPr/>
                          <w:rPr>
                            <w:rFonts w:ascii="Cambria Math" w:hAnsi="Cambria Math"/>
                          </w:rPr>
                          <m:t>t</m:t>
                        </m:r>
                        <m:ctrlPr>
                          <w:rPr>
                            <w:rFonts w:ascii="Cambria Math" w:hAnsi="Cambria Math"/>
                            <w:i/>
                          </w:rPr>
                        </m:ctrlPr>
                      </m:e>
                      <m:sub>
                        <m:r>
                          <m:rPr/>
                          <w:rPr>
                            <w:rFonts w:ascii="Cambria Math" w:hAnsi="Cambria Math"/>
                          </w:rPr>
                          <m:t>1</m:t>
                        </m:r>
                        <m:ctrlPr>
                          <w:rPr>
                            <w:rFonts w:ascii="Cambria Math" w:hAnsi="Cambria Math"/>
                            <w:i/>
                          </w:rPr>
                        </m:ctrlPr>
                      </m:sub>
                    </m:sSub>
                    <m:ctrlPr>
                      <w:rPr>
                        <w:rFonts w:ascii="Cambria Math" w:hAnsi="Cambria Math"/>
                        <w:i/>
                      </w:rPr>
                    </m:ctrlPr>
                  </m:e>
                </m:d>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rPr>
                </m:ctrlPr>
              </m:num>
              <m:den>
                <m:r>
                  <m:rPr/>
                  <w:rPr>
                    <w:rFonts w:ascii="Cambria Math" w:hAnsi="Cambria Math"/>
                  </w:rPr>
                  <m:t>(273+</m:t>
                </m:r>
                <m:sSub>
                  <m:sSubPr>
                    <m:ctrlPr>
                      <w:rPr>
                        <w:rFonts w:ascii="Cambria Math" w:hAnsi="Cambria Math"/>
                        <w:i/>
                      </w:rPr>
                    </m:ctrlPr>
                  </m:sSubPr>
                  <m:e>
                    <m:r>
                      <m:rPr/>
                      <w:rPr>
                        <w:rFonts w:ascii="Cambria Math" w:hAnsi="Cambria Math"/>
                      </w:rPr>
                      <m:t>t</m:t>
                    </m:r>
                    <m:ctrlPr>
                      <w:rPr>
                        <w:rFonts w:ascii="Cambria Math" w:hAnsi="Cambria Math"/>
                        <w:i/>
                      </w:rPr>
                    </m:ctrlPr>
                  </m:e>
                  <m:sub>
                    <m:r>
                      <m:rPr/>
                      <w:rPr>
                        <w:rFonts w:ascii="Cambria Math" w:hAnsi="Cambria Math"/>
                      </w:rPr>
                      <m:t>2</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1</m:t>
                    </m:r>
                    <m:ctrlPr>
                      <w:rPr>
                        <w:rFonts w:ascii="Cambria Math" w:hAnsi="Cambria Math"/>
                        <w:i/>
                      </w:rPr>
                    </m:ctrlPr>
                  </m:sub>
                </m:sSub>
                <m:ctrlPr>
                  <w:rPr>
                    <w:rFonts w:ascii="Cambria Math" w:hAnsi="Cambria Math"/>
                    <w:i/>
                  </w:rPr>
                </m:ctrlPr>
              </m:den>
            </m:f>
            <m:ctrlPr>
              <w:rPr>
                <w:rFonts w:ascii="Cambria Math" w:hAnsi="Cambria Math"/>
                <w:i/>
              </w:rPr>
            </m:ctrlPr>
          </m:e>
        </m:d>
        <m:r>
          <m:rPr/>
          <w:rPr>
            <w:rFonts w:ascii="Cambria Math" w:hAnsi="Cambria Math"/>
          </w:rPr>
          <m:t>×</m:t>
        </m:r>
        <m:f>
          <m:fPr>
            <m:ctrlPr>
              <w:rPr>
                <w:rFonts w:ascii="Cambria Math" w:hAnsi="Cambria Math"/>
                <w:i/>
              </w:rPr>
            </m:ctrlPr>
          </m:fPr>
          <m:num>
            <m:r>
              <m:rPr/>
              <w:rPr>
                <w:rFonts w:ascii="Cambria Math" w:hAnsi="Cambria Math"/>
              </w:rPr>
              <m:t>100</m:t>
            </m:r>
            <m:ctrlPr>
              <w:rPr>
                <w:rFonts w:ascii="Cambria Math" w:hAnsi="Cambria Math"/>
                <w:i/>
              </w:rPr>
            </m:ctrlPr>
          </m:num>
          <m:den>
            <m:r>
              <m:rPr/>
              <w:rPr>
                <w:rFonts w:ascii="Cambria Math" w:hAnsi="Cambria Math"/>
              </w:rPr>
              <m:t>24</m:t>
            </m:r>
            <m:ctrlPr>
              <w:rPr>
                <w:rFonts w:ascii="Cambria Math" w:hAnsi="Cambria Math"/>
                <w:i/>
              </w:rPr>
            </m:ctrlPr>
          </m:den>
        </m:f>
      </m:oMath>
      <w:r>
        <w:rPr>
          <w:rFonts w:ascii="微软雅黑" w:hAnsi="微软雅黑" w:eastAsia="微软雅黑"/>
        </w:rPr>
        <w:tab/>
      </w:r>
      <w:r>
        <w:t>(5)</w:t>
      </w:r>
    </w:p>
    <w:p>
      <w:pPr>
        <w:pStyle w:val="60"/>
        <w:ind w:firstLine="420"/>
      </w:pPr>
      <w:r>
        <w:rPr>
          <w:rFonts w:hint="eastAsia"/>
        </w:rPr>
        <w:t>式中：</w:t>
      </w:r>
    </w:p>
    <w:p>
      <w:pPr>
        <w:pStyle w:val="61"/>
        <w:ind w:firstLine="420"/>
      </w:pPr>
      <w:r>
        <w:rPr>
          <w:rFonts w:hint="eastAsia"/>
        </w:rPr>
        <w:t>当氢气管道公称直径大于300mm时，计算平均每小时的泄漏率。</w:t>
      </w:r>
    </w:p>
    <w:p>
      <w:pPr>
        <w:pStyle w:val="61"/>
        <w:ind w:firstLine="420"/>
        <w:jc w:val="center"/>
      </w:pPr>
    </w:p>
    <w:p>
      <w:pPr>
        <w:pStyle w:val="118"/>
      </w:pPr>
      <w:r>
        <w:tab/>
      </w:r>
      <m:oMath>
        <m:r>
          <m:rPr/>
          <w:rPr>
            <w:rFonts w:ascii="Cambria Math" w:hAnsi="Cambria Math"/>
          </w:rPr>
          <m:t>A=</m:t>
        </m:r>
        <m:d>
          <m:dPr>
            <m:begChr m:val="["/>
            <m:endChr m:val="]"/>
            <m:ctrlPr>
              <w:rPr>
                <w:rFonts w:ascii="Cambria Math" w:hAnsi="Cambria Math"/>
                <w:i/>
              </w:rPr>
            </m:ctrlPr>
          </m:dPr>
          <m:e>
            <m:r>
              <m:rPr/>
              <w:rPr>
                <w:rFonts w:ascii="Cambria Math" w:hAnsi="Cambria Math"/>
              </w:rPr>
              <m:t>1−</m:t>
            </m:r>
            <m:f>
              <m:fPr>
                <m:ctrlPr>
                  <w:rPr>
                    <w:rFonts w:ascii="Cambria Math" w:hAnsi="Cambria Math"/>
                    <w:i/>
                  </w:rPr>
                </m:ctrlPr>
              </m:fPr>
              <m:num>
                <m:r>
                  <m:rPr/>
                  <w:rPr>
                    <w:rFonts w:ascii="Cambria Math" w:hAnsi="Cambria Math"/>
                  </w:rPr>
                  <m:t>(273+</m:t>
                </m:r>
                <m:sSub>
                  <m:sSubPr>
                    <m:ctrlPr>
                      <w:rPr>
                        <w:rFonts w:ascii="Cambria Math" w:hAnsi="Cambria Math"/>
                        <w:i/>
                      </w:rPr>
                    </m:ctrlPr>
                  </m:sSubPr>
                  <m:e>
                    <m:r>
                      <m:rPr/>
                      <w:rPr>
                        <w:rFonts w:ascii="Cambria Math" w:hAnsi="Cambria Math"/>
                      </w:rPr>
                      <m:t>t</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rPr>
                </m:ctrlPr>
              </m:num>
              <m:den>
                <m:r>
                  <m:rPr/>
                  <w:rPr>
                    <w:rFonts w:ascii="Cambria Math" w:hAnsi="Cambria Math"/>
                  </w:rPr>
                  <m:t>(273+</m:t>
                </m:r>
                <m:sSub>
                  <m:sSubPr>
                    <m:ctrlPr>
                      <w:rPr>
                        <w:rFonts w:ascii="Cambria Math" w:hAnsi="Cambria Math"/>
                        <w:i/>
                      </w:rPr>
                    </m:ctrlPr>
                  </m:sSubPr>
                  <m:e>
                    <m:r>
                      <m:rPr/>
                      <w:rPr>
                        <w:rFonts w:ascii="Cambria Math" w:hAnsi="Cambria Math"/>
                      </w:rPr>
                      <m:t>t</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1</m:t>
                    </m:r>
                    <m:ctrlPr>
                      <w:rPr>
                        <w:rFonts w:ascii="Cambria Math" w:hAnsi="Cambria Math"/>
                        <w:i/>
                      </w:rPr>
                    </m:ctrlPr>
                  </m:sub>
                </m:sSub>
                <m:ctrlPr>
                  <w:rPr>
                    <w:rFonts w:ascii="Cambria Math" w:hAnsi="Cambria Math"/>
                    <w:i/>
                  </w:rPr>
                </m:ctrlPr>
              </m:den>
            </m:f>
            <m:ctrlPr>
              <w:rPr>
                <w:rFonts w:ascii="Cambria Math" w:hAnsi="Cambria Math"/>
                <w:i/>
              </w:rPr>
            </m:ctrlPr>
          </m:e>
        </m:d>
        <m:r>
          <m:rPr>
            <m:sty m:val="p"/>
          </m:rPr>
          <w:rPr>
            <w:rFonts w:ascii="Cambria Math" w:hAnsi="Cambria Math"/>
          </w:rPr>
          <m:t>×</m:t>
        </m:r>
        <m:f>
          <m:fPr>
            <m:ctrlPr>
              <w:rPr>
                <w:rFonts w:ascii="Cambria Math" w:hAnsi="Cambria Math"/>
              </w:rPr>
            </m:ctrlPr>
          </m:fPr>
          <m:num>
            <m:r>
              <m:rPr/>
              <w:rPr>
                <w:rFonts w:ascii="Cambria Math" w:hAnsi="Cambria Math"/>
              </w:rPr>
              <m:t>100</m:t>
            </m:r>
            <m:ctrlPr>
              <w:rPr>
                <w:rFonts w:ascii="Cambria Math" w:hAnsi="Cambria Math"/>
              </w:rPr>
            </m:ctrlPr>
          </m:num>
          <m:den>
            <m:r>
              <m:rPr/>
              <w:rPr>
                <w:rFonts w:ascii="Cambria Math" w:hAnsi="Cambria Math"/>
              </w:rPr>
              <m:t>24</m:t>
            </m:r>
            <m:ctrlPr>
              <w:rPr>
                <w:rFonts w:ascii="Cambria Math" w:hAnsi="Cambria Math"/>
              </w:rPr>
            </m:ctrlPr>
          </m:den>
        </m:f>
        <m:r>
          <m:rPr/>
          <w:rPr>
            <w:rFonts w:ascii="Cambria Math" w:hAnsi="Cambria Math"/>
          </w:rPr>
          <m:t>×</m:t>
        </m:r>
        <m:f>
          <m:fPr>
            <m:ctrlPr>
              <w:rPr>
                <w:rFonts w:ascii="Cambria Math" w:hAnsi="Cambria Math"/>
                <w:i/>
              </w:rPr>
            </m:ctrlPr>
          </m:fPr>
          <m:num>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N</m:t>
                </m:r>
                <m:ctrlPr>
                  <w:rPr>
                    <w:rFonts w:ascii="Cambria Math" w:hAnsi="Cambria Math"/>
                    <w:i/>
                  </w:rPr>
                </m:ctrlPr>
              </m:sub>
            </m:sSub>
            <m:ctrlPr>
              <w:rPr>
                <w:rFonts w:ascii="Cambria Math" w:hAnsi="Cambria Math"/>
                <w:i/>
              </w:rPr>
            </m:ctrlPr>
          </m:num>
          <m:den>
            <m:r>
              <m:rPr/>
              <w:rPr>
                <w:rFonts w:ascii="Cambria Math" w:hAnsi="Cambria Math"/>
              </w:rPr>
              <m:t>0.3</m:t>
            </m:r>
            <m:ctrlPr>
              <w:rPr>
                <w:rFonts w:ascii="Cambria Math" w:hAnsi="Cambria Math"/>
                <w:i/>
              </w:rPr>
            </m:ctrlPr>
          </m:den>
        </m:f>
      </m:oMath>
      <w:r>
        <w:rPr>
          <w:rFonts w:ascii="微软雅黑" w:hAnsi="微软雅黑" w:eastAsia="微软雅黑"/>
        </w:rPr>
        <w:tab/>
      </w:r>
      <w:r>
        <w:t>(6)</w:t>
      </w:r>
    </w:p>
    <w:p>
      <w:pPr>
        <w:pStyle w:val="60"/>
        <w:ind w:firstLine="420"/>
      </w:pPr>
      <w:r>
        <w:rPr>
          <w:rFonts w:hint="eastAsia"/>
        </w:rPr>
        <w:t>式中：</w:t>
      </w:r>
    </w:p>
    <w:p>
      <w:pPr>
        <w:pStyle w:val="61"/>
        <w:ind w:firstLine="420"/>
      </w:pPr>
      <w:r>
        <w:tab/>
      </w:r>
      <m:oMath>
        <m:r>
          <m:rPr/>
          <w:rPr>
            <w:rFonts w:ascii="Cambria Math" w:hAnsi="Cambria Math"/>
          </w:rPr>
          <m:t>A</m:t>
        </m:r>
      </m:oMath>
      <w:r>
        <w:rPr>
          <w:rFonts w:hint="eastAsia"/>
        </w:rPr>
        <w:t>——泄漏率(%/h)；</w:t>
      </w:r>
    </w:p>
    <w:p>
      <w:pPr>
        <w:pStyle w:val="61"/>
        <w:ind w:firstLine="420"/>
      </w:pPr>
      <w:r>
        <w:tab/>
      </w:r>
      <m:oMath>
        <m:sSub>
          <m:sSubPr>
            <m:ctrlPr>
              <w:rPr>
                <w:rFonts w:ascii="Cambria Math" w:hAnsi="Cambria Math"/>
                <w:kern w:val="2"/>
                <w:szCs w:val="21"/>
              </w:rPr>
            </m:ctrlPr>
          </m:sSubPr>
          <m:e>
            <m:r>
              <m:rPr/>
              <w:rPr>
                <w:rFonts w:ascii="Cambria Math" w:hAnsi="Cambria Math"/>
              </w:rPr>
              <m:t>P</m:t>
            </m:r>
            <m:ctrlPr>
              <w:rPr>
                <w:rFonts w:ascii="Cambria Math" w:hAnsi="Cambria Math"/>
                <w:kern w:val="2"/>
                <w:szCs w:val="21"/>
              </w:rPr>
            </m:ctrlPr>
          </m:e>
          <m:sub>
            <m:r>
              <m:rPr/>
              <w:rPr>
                <w:rFonts w:ascii="Cambria Math" w:hAnsi="Cambria Math"/>
              </w:rPr>
              <m:t>1</m:t>
            </m:r>
            <m:ctrlPr>
              <w:rPr>
                <w:rFonts w:ascii="Cambria Math" w:hAnsi="Cambria Math"/>
                <w:kern w:val="2"/>
                <w:szCs w:val="21"/>
              </w:rPr>
            </m:ctrlPr>
          </m:sub>
        </m:sSub>
      </m:oMath>
      <w:r>
        <w:rPr>
          <w:rFonts w:hint="eastAsia"/>
          <w:kern w:val="2"/>
          <w:szCs w:val="21"/>
        </w:rPr>
        <w:t>、</w:t>
      </w:r>
      <m:oMath>
        <m:sSub>
          <m:sSubPr>
            <m:ctrlPr>
              <w:rPr>
                <w:rFonts w:ascii="Cambria Math" w:hAnsi="Cambria Math"/>
                <w:kern w:val="2"/>
                <w:szCs w:val="21"/>
              </w:rPr>
            </m:ctrlPr>
          </m:sSubPr>
          <m:e>
            <m:r>
              <m:rPr/>
              <w:rPr>
                <w:rFonts w:ascii="Cambria Math" w:hAnsi="Cambria Math"/>
              </w:rPr>
              <m:t>P</m:t>
            </m:r>
            <m:ctrlPr>
              <w:rPr>
                <w:rFonts w:ascii="Cambria Math" w:hAnsi="Cambria Math"/>
                <w:kern w:val="2"/>
                <w:szCs w:val="21"/>
              </w:rPr>
            </m:ctrlPr>
          </m:e>
          <m:sub>
            <m:r>
              <m:rPr/>
              <w:rPr>
                <w:rFonts w:ascii="Cambria Math" w:hAnsi="Cambria Math"/>
              </w:rPr>
              <m:t>2</m:t>
            </m:r>
            <m:ctrlPr>
              <w:rPr>
                <w:rFonts w:ascii="Cambria Math" w:hAnsi="Cambria Math"/>
                <w:kern w:val="2"/>
                <w:szCs w:val="21"/>
              </w:rPr>
            </m:ctrlPr>
          </m:sub>
        </m:sSub>
      </m:oMath>
      <w:r>
        <w:rPr>
          <w:rFonts w:hint="eastAsia"/>
        </w:rPr>
        <w:t>——试验开始、结束时的绝对压力，单位为兆帕(MPa)；</w:t>
      </w:r>
    </w:p>
    <w:p>
      <w:pPr>
        <w:pStyle w:val="61"/>
        <w:ind w:firstLine="420"/>
      </w:pPr>
      <w:r>
        <w:tab/>
      </w:r>
      <m:oMath>
        <m:sSub>
          <m:sSubPr>
            <m:ctrlPr>
              <w:rPr>
                <w:rFonts w:ascii="Cambria Math" w:hAnsi="Cambria Math"/>
                <w:kern w:val="2"/>
                <w:szCs w:val="21"/>
              </w:rPr>
            </m:ctrlPr>
          </m:sSubPr>
          <m:e>
            <m:r>
              <m:rPr/>
              <w:rPr>
                <w:rFonts w:ascii="Cambria Math" w:hAnsi="Cambria Math"/>
              </w:rPr>
              <m:t>t</m:t>
            </m:r>
            <m:ctrlPr>
              <w:rPr>
                <w:rFonts w:ascii="Cambria Math" w:hAnsi="Cambria Math"/>
                <w:kern w:val="2"/>
                <w:szCs w:val="21"/>
              </w:rPr>
            </m:ctrlPr>
          </m:e>
          <m:sub>
            <m:r>
              <m:rPr/>
              <w:rPr>
                <w:rFonts w:ascii="Cambria Math" w:hAnsi="Cambria Math"/>
              </w:rPr>
              <m:t>1</m:t>
            </m:r>
            <m:ctrlPr>
              <w:rPr>
                <w:rFonts w:ascii="Cambria Math" w:hAnsi="Cambria Math"/>
                <w:kern w:val="2"/>
                <w:szCs w:val="21"/>
              </w:rPr>
            </m:ctrlPr>
          </m:sub>
        </m:sSub>
      </m:oMath>
      <w:r>
        <w:rPr>
          <w:rFonts w:hint="eastAsia" w:ascii="微软雅黑" w:hAnsi="微软雅黑" w:eastAsia="微软雅黑"/>
        </w:rPr>
        <w:t>、</w:t>
      </w:r>
      <m:oMath>
        <m:sSub>
          <m:sSubPr>
            <m:ctrlPr>
              <w:rPr>
                <w:rFonts w:ascii="Cambria Math" w:hAnsi="Cambria Math"/>
                <w:kern w:val="2"/>
                <w:szCs w:val="21"/>
              </w:rPr>
            </m:ctrlPr>
          </m:sSubPr>
          <m:e>
            <m:r>
              <m:rPr/>
              <w:rPr>
                <w:rFonts w:ascii="Cambria Math" w:hAnsi="Cambria Math"/>
              </w:rPr>
              <m:t>t</m:t>
            </m:r>
            <m:ctrlPr>
              <w:rPr>
                <w:rFonts w:ascii="Cambria Math" w:hAnsi="Cambria Math"/>
                <w:kern w:val="2"/>
                <w:szCs w:val="21"/>
              </w:rPr>
            </m:ctrlPr>
          </m:e>
          <m:sub>
            <m:r>
              <m:rPr/>
              <w:rPr>
                <w:rFonts w:ascii="Cambria Math" w:hAnsi="Cambria Math"/>
              </w:rPr>
              <m:t>1</m:t>
            </m:r>
            <m:ctrlPr>
              <w:rPr>
                <w:rFonts w:ascii="Cambria Math" w:hAnsi="Cambria Math"/>
                <w:kern w:val="2"/>
                <w:szCs w:val="21"/>
              </w:rPr>
            </m:ctrlPr>
          </m:sub>
        </m:sSub>
      </m:oMath>
      <w:r>
        <w:rPr>
          <w:rFonts w:hint="eastAsia"/>
        </w:rPr>
        <w:t>——试验开始、结束时的温度,单位为摄氏度(℃)；</w:t>
      </w:r>
    </w:p>
    <w:p>
      <w:pPr>
        <w:pStyle w:val="61"/>
        <w:ind w:firstLine="420"/>
      </w:pPr>
      <w:r>
        <w:tab/>
      </w:r>
      <m:oMath>
        <m:sSub>
          <m:sSubPr>
            <m:ctrlPr>
              <w:rPr>
                <w:rFonts w:ascii="Cambria Math" w:hAnsi="Cambria Math"/>
                <w:kern w:val="2"/>
                <w:szCs w:val="21"/>
              </w:rPr>
            </m:ctrlPr>
          </m:sSubPr>
          <m:e>
            <m:r>
              <m:rPr/>
              <w:rPr>
                <w:rFonts w:ascii="Cambria Math" w:hAnsi="Cambria Math"/>
              </w:rPr>
              <m:t>D</m:t>
            </m:r>
            <m:ctrlPr>
              <w:rPr>
                <w:rFonts w:ascii="Cambria Math" w:hAnsi="Cambria Math"/>
                <w:kern w:val="2"/>
                <w:szCs w:val="21"/>
              </w:rPr>
            </m:ctrlPr>
          </m:e>
          <m:sub>
            <m:r>
              <m:rPr/>
              <w:rPr>
                <w:rFonts w:ascii="Cambria Math" w:hAnsi="Cambria Math"/>
              </w:rPr>
              <m:t>N</m:t>
            </m:r>
            <m:ctrlPr>
              <w:rPr>
                <w:rFonts w:ascii="Cambria Math" w:hAnsi="Cambria Math"/>
                <w:kern w:val="2"/>
                <w:szCs w:val="21"/>
              </w:rPr>
            </m:ctrlPr>
          </m:sub>
        </m:sSub>
      </m:oMath>
      <w:r>
        <w:rPr>
          <w:rFonts w:hint="eastAsia"/>
        </w:rPr>
        <w:t>——氢气管道公称直径（m）。</w:t>
      </w:r>
    </w:p>
    <w:p>
      <w:pPr>
        <w:pStyle w:val="169"/>
      </w:pPr>
      <w:r>
        <w:rPr>
          <w:rFonts w:hint="eastAsia"/>
        </w:rPr>
        <w:t>管道系统在试验和吹扫合格后，应以氮气置换至含氧量低于1%，充氮气保持在0.05MPa。</w:t>
      </w:r>
    </w:p>
    <w:p>
      <w:pPr>
        <w:pStyle w:val="110"/>
        <w:spacing w:before="120" w:after="120"/>
      </w:pPr>
      <w:bookmarkStart w:id="196" w:name="_Toc209114094"/>
      <w:r>
        <w:rPr>
          <w:rFonts w:hint="eastAsia"/>
        </w:rPr>
        <w:t>吹扫与清洗</w:t>
      </w:r>
      <w:bookmarkEnd w:id="196"/>
    </w:p>
    <w:p>
      <w:pPr>
        <w:pStyle w:val="170"/>
      </w:pPr>
      <w:r>
        <w:rPr>
          <w:rFonts w:hint="eastAsia"/>
        </w:rPr>
        <w:t>吹扫前应满足下列要求：</w:t>
      </w:r>
    </w:p>
    <w:p>
      <w:pPr>
        <w:pStyle w:val="179"/>
        <w:numPr>
          <w:ilvl w:val="0"/>
          <w:numId w:val="97"/>
        </w:numPr>
      </w:pPr>
      <w:r>
        <w:rPr>
          <w:rFonts w:hint="eastAsia"/>
        </w:rPr>
        <w:t>吹扫前，系统中节流装置孔板必须取出，调节阀、安全阀、止回阀等管道组成件必须拆除；</w:t>
      </w:r>
    </w:p>
    <w:p>
      <w:pPr>
        <w:pStyle w:val="179"/>
      </w:pPr>
      <w:r>
        <w:rPr>
          <w:rFonts w:hint="eastAsia"/>
        </w:rPr>
        <w:t>不参与系统吹扫的设备及仪器仪表，应与吹扫系统隔离；</w:t>
      </w:r>
    </w:p>
    <w:p>
      <w:pPr>
        <w:pStyle w:val="179"/>
      </w:pPr>
      <w:r>
        <w:rPr>
          <w:rFonts w:hint="eastAsia"/>
        </w:rPr>
        <w:t>管道支架、吊架应牢固，必要时应进行加固。</w:t>
      </w:r>
    </w:p>
    <w:p>
      <w:pPr>
        <w:pStyle w:val="170"/>
      </w:pPr>
      <w:r>
        <w:rPr>
          <w:rFonts w:hint="eastAsia"/>
        </w:rPr>
        <w:t>吹扫冲洗时，以设备为分界线，将管道逐段吹扫冲洗。吹扫冲洗顺序宜先干线，后支线。冲洗管道后，管道内的水应排净。</w:t>
      </w:r>
    </w:p>
    <w:p>
      <w:pPr>
        <w:pStyle w:val="170"/>
      </w:pPr>
      <w:r>
        <w:rPr>
          <w:rFonts w:hint="eastAsia"/>
        </w:rPr>
        <w:t>吹扫冲洗时，工作介质是液体的宜用洁净水，工作介质是气体的宜用压缩空气。吹扫压力应小于工艺管道设计压力。</w:t>
      </w:r>
    </w:p>
    <w:p>
      <w:pPr>
        <w:pStyle w:val="170"/>
      </w:pPr>
      <w:r>
        <w:rPr>
          <w:rFonts w:hint="eastAsia"/>
        </w:rPr>
        <w:t>用水冲洗时，宜以最大流量进行清洗，且流速不应小于1.5m/s。</w:t>
      </w:r>
    </w:p>
    <w:p>
      <w:pPr>
        <w:pStyle w:val="170"/>
      </w:pPr>
      <w:r>
        <w:rPr>
          <w:rFonts w:hint="eastAsia"/>
        </w:rPr>
        <w:t>冲洗奥氏体不锈钢管道系统时，水中氯离子含量不得超过25mg/L。</w:t>
      </w:r>
    </w:p>
    <w:p>
      <w:pPr>
        <w:pStyle w:val="170"/>
      </w:pPr>
      <w:r>
        <w:rPr>
          <w:rFonts w:hint="eastAsia"/>
        </w:rPr>
        <w:t>水冲洗后的管道系统，用目测方法检查排出口的水色和透明度，应以出入口的水色和透明度一致为合格。</w:t>
      </w:r>
    </w:p>
    <w:p>
      <w:pPr>
        <w:pStyle w:val="170"/>
      </w:pPr>
      <w:r>
        <w:rPr>
          <w:rFonts w:hint="eastAsia"/>
        </w:rPr>
        <w:t>管道冲洗合格后，应及时将管内积水排净，并应及时吹干。</w:t>
      </w:r>
    </w:p>
    <w:p>
      <w:pPr>
        <w:pStyle w:val="170"/>
      </w:pPr>
      <w:r>
        <w:rPr>
          <w:rFonts w:hint="eastAsia"/>
        </w:rPr>
        <w:t>用空气吹扫时，应进行间断性吹扫。吹扫气流的速度应大于20m/s，但吹扫起点的压力最高不应超过管道设计压力。</w:t>
      </w:r>
    </w:p>
    <w:p>
      <w:pPr>
        <w:pStyle w:val="170"/>
      </w:pPr>
      <w:r>
        <w:rPr>
          <w:rFonts w:hint="eastAsia"/>
        </w:rPr>
        <w:t>在空气吹扫过程中，最后一次清扫后，用白布靶放在工艺管线的排空处，吹扫5min后，白布靶上无固体颗粒物为合格。</w:t>
      </w:r>
    </w:p>
    <w:p>
      <w:pPr>
        <w:pStyle w:val="110"/>
        <w:spacing w:before="120" w:after="120"/>
      </w:pPr>
      <w:bookmarkStart w:id="197" w:name="_Toc209114095"/>
      <w:r>
        <w:rPr>
          <w:rFonts w:hint="eastAsia"/>
        </w:rPr>
        <w:t>干燥</w:t>
      </w:r>
      <w:bookmarkEnd w:id="197"/>
    </w:p>
    <w:p>
      <w:pPr>
        <w:pStyle w:val="170"/>
      </w:pPr>
      <w:r>
        <w:rPr>
          <w:rFonts w:hint="eastAsia"/>
        </w:rPr>
        <w:t>管道吹扫试压合格后，应进行管道系统干燥。干燥前，应进行试压后扫水检验。管道系统扫水检验以撬内管道最低点排气口没有明水排出视为合格。</w:t>
      </w:r>
    </w:p>
    <w:p>
      <w:pPr>
        <w:pStyle w:val="170"/>
      </w:pPr>
      <w:r>
        <w:rPr>
          <w:rFonts w:hint="eastAsia"/>
        </w:rPr>
        <w:t>撬内管道干燥宜采用干空气。</w:t>
      </w:r>
    </w:p>
    <w:p>
      <w:pPr>
        <w:pStyle w:val="170"/>
      </w:pPr>
      <w:r>
        <w:rPr>
          <w:rFonts w:hint="eastAsia"/>
        </w:rPr>
        <w:t>干燥用临时管道应固定，干燥过程中应设置临时警戒区。</w:t>
      </w:r>
    </w:p>
    <w:p>
      <w:pPr>
        <w:pStyle w:val="170"/>
      </w:pPr>
      <w:r>
        <w:rPr>
          <w:rFonts w:hint="eastAsia"/>
        </w:rPr>
        <w:t>干空气干燥应满足下列要求：</w:t>
      </w:r>
    </w:p>
    <w:p>
      <w:pPr>
        <w:pStyle w:val="179"/>
        <w:numPr>
          <w:ilvl w:val="0"/>
          <w:numId w:val="98"/>
        </w:numPr>
      </w:pPr>
      <w:r>
        <w:rPr>
          <w:rFonts w:hint="eastAsia"/>
        </w:rPr>
        <w:t>进入管道的干空气温度不宜超过50℃；</w:t>
      </w:r>
    </w:p>
    <w:p>
      <w:pPr>
        <w:pStyle w:val="179"/>
      </w:pPr>
      <w:r>
        <w:rPr>
          <w:rFonts w:hint="eastAsia"/>
        </w:rPr>
        <w:t>管道干燥末期，当管道出口处的空气露点达到-20℃的空气露点后，继续用露点低于-40℃的干空气对管段进行低压吹扫；当管道末端出口处的空气露点达到-20℃的空气露点时，关闭干燥管道两端阀门，将管道置于微正压50kPa～70kPa的环境下密闭8h～12h后检测管线露点；</w:t>
      </w:r>
    </w:p>
    <w:p>
      <w:pPr>
        <w:pStyle w:val="179"/>
      </w:pPr>
      <w:r>
        <w:rPr>
          <w:rFonts w:hint="eastAsia"/>
        </w:rPr>
        <w:t>密闭试验后露点升高不超过5℃，且不高于-20℃的空气露点为合格；</w:t>
      </w:r>
    </w:p>
    <w:p>
      <w:pPr>
        <w:pStyle w:val="179"/>
      </w:pPr>
      <w:r>
        <w:rPr>
          <w:rFonts w:hint="eastAsia"/>
        </w:rPr>
        <w:t>在干燥验收合格后，应向管道内注入压力为50kPa～70kPa的干空气或氮气，其露点不低于-40℃干空气或氮气的露点，并保持管道密闭。</w:t>
      </w:r>
    </w:p>
    <w:p>
      <w:pPr>
        <w:pStyle w:val="110"/>
        <w:spacing w:before="120" w:after="120"/>
      </w:pPr>
      <w:bookmarkStart w:id="198" w:name="_Toc209114096"/>
      <w:r>
        <w:rPr>
          <w:rFonts w:hint="eastAsia"/>
        </w:rPr>
        <w:t>出口压力设定值</w:t>
      </w:r>
      <w:bookmarkEnd w:id="198"/>
    </w:p>
    <w:p>
      <w:pPr>
        <w:pStyle w:val="170"/>
      </w:pPr>
      <w:r>
        <w:rPr>
          <w:rFonts w:hint="eastAsia"/>
        </w:rPr>
        <w:t>掺混装置出口压力设定值的检验应在设备强度试验和气密性试验合格后进行。</w:t>
      </w:r>
    </w:p>
    <w:p>
      <w:pPr>
        <w:pStyle w:val="170"/>
      </w:pPr>
      <w:r>
        <w:rPr>
          <w:rFonts w:hint="eastAsia"/>
        </w:rPr>
        <w:t>在最低进口压力下，用10%的输气量且不大于2000m3/h的流量，检查掺氢撬出口压力设定值是否符合8.6.1要求。</w:t>
      </w:r>
    </w:p>
    <w:p>
      <w:pPr>
        <w:pStyle w:val="110"/>
        <w:spacing w:before="120" w:after="120"/>
      </w:pPr>
      <w:bookmarkStart w:id="199" w:name="_Toc209114097"/>
      <w:r>
        <w:rPr>
          <w:rFonts w:hint="eastAsia"/>
        </w:rPr>
        <w:t>安全阀启动压力设定值</w:t>
      </w:r>
      <w:bookmarkEnd w:id="199"/>
    </w:p>
    <w:p>
      <w:pPr>
        <w:pStyle w:val="170"/>
      </w:pPr>
      <w:r>
        <w:rPr>
          <w:rFonts w:hint="eastAsia"/>
        </w:rPr>
        <w:t>升高安全阀或放散阀进口端的压力，直至放散装置启动，记录放散装置启动压力，反复三次，检查是否符合8.6.4～8.6.</w:t>
      </w:r>
      <w:r>
        <w:t>8</w:t>
      </w:r>
      <w:r>
        <w:rPr>
          <w:rFonts w:hint="eastAsia"/>
        </w:rPr>
        <w:t>的要求。</w:t>
      </w:r>
    </w:p>
    <w:p>
      <w:pPr>
        <w:pStyle w:val="170"/>
      </w:pPr>
      <w:r>
        <w:rPr>
          <w:rFonts w:hint="eastAsia"/>
        </w:rPr>
        <w:t>升高切断装置取压信号腔的压力，直至切断装置启动，记录切断装置启动压力，反复三次，检查是否符合8.6.4～8.6.</w:t>
      </w:r>
      <w:r>
        <w:t>8</w:t>
      </w:r>
      <w:r>
        <w:rPr>
          <w:rFonts w:hint="eastAsia"/>
        </w:rPr>
        <w:t>的要求。</w:t>
      </w:r>
    </w:p>
    <w:p>
      <w:pPr>
        <w:pStyle w:val="110"/>
        <w:spacing w:before="120" w:after="120"/>
      </w:pPr>
      <w:bookmarkStart w:id="200" w:name="_Toc209114098"/>
      <w:r>
        <w:rPr>
          <w:rFonts w:hint="eastAsia"/>
        </w:rPr>
        <w:t>关闭压力</w:t>
      </w:r>
      <w:bookmarkEnd w:id="200"/>
    </w:p>
    <w:p>
      <w:pPr>
        <w:pStyle w:val="170"/>
      </w:pPr>
      <w:r>
        <w:rPr>
          <w:rFonts w:hint="eastAsia"/>
        </w:rPr>
        <w:t>掺混装置关闭压力的实测值应不大于标称的关闭压力。对于有多路的掺混装置，各路关闭压力的实测值应分别不大于相应路标称的关闭压力。</w:t>
      </w:r>
    </w:p>
    <w:p>
      <w:pPr>
        <w:pStyle w:val="170"/>
      </w:pPr>
      <w:r>
        <w:rPr>
          <w:rFonts w:hint="eastAsia"/>
        </w:rPr>
        <w:t>在最大进口压力下缓慢关闭试验装置的下游阀门直至调压阀关闭，检查关闭压力是否符合</w:t>
      </w:r>
      <w:r>
        <w:t>10.11.1</w:t>
      </w:r>
      <w:r>
        <w:rPr>
          <w:rFonts w:hint="eastAsia"/>
        </w:rPr>
        <w:t>的要求。</w:t>
      </w:r>
    </w:p>
    <w:p>
      <w:pPr>
        <w:pStyle w:val="110"/>
        <w:spacing w:before="120" w:after="120"/>
      </w:pPr>
      <w:bookmarkStart w:id="201" w:name="_Toc209114099"/>
      <w:r>
        <w:rPr>
          <w:rFonts w:hint="eastAsia"/>
        </w:rPr>
        <w:t>变送器</w:t>
      </w:r>
      <w:bookmarkEnd w:id="201"/>
    </w:p>
    <w:p>
      <w:pPr>
        <w:pStyle w:val="61"/>
        <w:ind w:firstLine="420"/>
      </w:pPr>
      <w:r>
        <w:rPr>
          <w:rFonts w:hint="eastAsia"/>
        </w:rPr>
        <w:t>变送器测试应符合以下要求：</w:t>
      </w:r>
    </w:p>
    <w:p>
      <w:pPr>
        <w:pStyle w:val="179"/>
        <w:numPr>
          <w:ilvl w:val="0"/>
          <w:numId w:val="99"/>
        </w:numPr>
      </w:pPr>
      <w:r>
        <w:rPr>
          <w:rFonts w:hint="eastAsia"/>
        </w:rPr>
        <w:t>通电显示检测，变送器显示正常。</w:t>
      </w:r>
    </w:p>
    <w:p>
      <w:pPr>
        <w:pStyle w:val="179"/>
      </w:pPr>
      <w:r>
        <w:rPr>
          <w:rFonts w:hint="eastAsia"/>
        </w:rPr>
        <w:t>万用表电流档（mA档）测电流，并换算出工程值与显示值进行比对。</w:t>
      </w:r>
    </w:p>
    <w:p>
      <w:pPr>
        <w:pStyle w:val="110"/>
        <w:spacing w:before="120" w:after="120"/>
      </w:pPr>
      <w:bookmarkStart w:id="202" w:name="_Toc209114100"/>
      <w:r>
        <w:rPr>
          <w:rFonts w:hint="eastAsia"/>
        </w:rPr>
        <w:t>电动执行机构</w:t>
      </w:r>
      <w:bookmarkEnd w:id="202"/>
    </w:p>
    <w:p>
      <w:pPr>
        <w:pStyle w:val="61"/>
        <w:ind w:firstLine="420"/>
      </w:pPr>
      <w:r>
        <w:rPr>
          <w:rFonts w:hint="eastAsia"/>
        </w:rPr>
        <w:t>电动执行机构测试应符合以下要求：</w:t>
      </w:r>
    </w:p>
    <w:p>
      <w:pPr>
        <w:pStyle w:val="179"/>
        <w:numPr>
          <w:ilvl w:val="0"/>
          <w:numId w:val="100"/>
        </w:numPr>
      </w:pPr>
      <w:r>
        <w:rPr>
          <w:rFonts w:hint="eastAsia"/>
        </w:rPr>
        <w:t>接线检测已完成接线，接线整齐，线号正确，无断线漏线短接现象；</w:t>
      </w:r>
    </w:p>
    <w:p>
      <w:pPr>
        <w:pStyle w:val="179"/>
      </w:pPr>
      <w:r>
        <w:rPr>
          <w:rFonts w:hint="eastAsia"/>
        </w:rPr>
        <w:t>通电检测自检启动正常，液晶显示完整，清晰；</w:t>
      </w:r>
    </w:p>
    <w:p>
      <w:pPr>
        <w:pStyle w:val="179"/>
      </w:pPr>
      <w:r>
        <w:rPr>
          <w:rFonts w:hint="eastAsia"/>
        </w:rPr>
        <w:t>电动执行机构设定正常，能够就地全开，全关；</w:t>
      </w:r>
    </w:p>
    <w:p>
      <w:pPr>
        <w:pStyle w:val="179"/>
      </w:pPr>
      <w:r>
        <w:rPr>
          <w:rFonts w:hint="eastAsia"/>
        </w:rPr>
        <w:t>信号反馈测试结果和执行机构当前状态一致；</w:t>
      </w:r>
    </w:p>
    <w:p>
      <w:pPr>
        <w:pStyle w:val="179"/>
      </w:pPr>
      <w:r>
        <w:rPr>
          <w:rFonts w:hint="eastAsia"/>
        </w:rPr>
        <w:t>远程控制命令阀门运行状态与控制命令一致。</w:t>
      </w:r>
    </w:p>
    <w:p>
      <w:pPr>
        <w:pStyle w:val="110"/>
        <w:spacing w:before="120" w:after="120"/>
      </w:pPr>
      <w:bookmarkStart w:id="203" w:name="_Toc209114101"/>
      <w:r>
        <w:rPr>
          <w:rFonts w:hint="eastAsia"/>
        </w:rPr>
        <w:t>控制系统</w:t>
      </w:r>
      <w:bookmarkEnd w:id="203"/>
    </w:p>
    <w:p>
      <w:pPr>
        <w:pStyle w:val="61"/>
        <w:ind w:firstLine="420"/>
      </w:pPr>
      <w:r>
        <w:rPr>
          <w:rFonts w:hint="eastAsia"/>
        </w:rPr>
        <w:t>控制系统模拟运行测试应符合以下要求：</w:t>
      </w:r>
    </w:p>
    <w:p>
      <w:pPr>
        <w:pStyle w:val="179"/>
        <w:numPr>
          <w:ilvl w:val="0"/>
          <w:numId w:val="101"/>
        </w:numPr>
      </w:pPr>
      <w:r>
        <w:rPr>
          <w:rFonts w:hint="eastAsia"/>
        </w:rPr>
        <w:t>控制电路与原理图一致，且无漏线短接现象；</w:t>
      </w:r>
    </w:p>
    <w:p>
      <w:pPr>
        <w:pStyle w:val="179"/>
      </w:pPr>
      <w:r>
        <w:rPr>
          <w:rFonts w:hint="eastAsia"/>
        </w:rPr>
        <w:t>控制器及控制回路通电；</w:t>
      </w:r>
    </w:p>
    <w:p>
      <w:pPr>
        <w:pStyle w:val="179"/>
      </w:pPr>
      <w:r>
        <w:rPr>
          <w:rFonts w:hint="eastAsia"/>
        </w:rPr>
        <w:t>使用信号发生器对仪表、阀位等模拟量输入信号进行4mA，12mA，20mA输入测试，观察控制系统显示及通讯数据是否与对应信号量程的0%，50%，100%结果一致；</w:t>
      </w:r>
    </w:p>
    <w:p>
      <w:pPr>
        <w:pStyle w:val="179"/>
      </w:pPr>
      <w:r>
        <w:rPr>
          <w:rFonts w:hint="eastAsia"/>
        </w:rPr>
        <w:t>使用端接线或设备就地操作进行电动执行器、温度开关、压力开关等开关量信号输入测试，观察控制系统显示及通讯数据是否与对应信号状态一致；</w:t>
      </w:r>
    </w:p>
    <w:p>
      <w:pPr>
        <w:pStyle w:val="179"/>
      </w:pPr>
      <w:r>
        <w:rPr>
          <w:rFonts w:hint="eastAsia"/>
        </w:rPr>
        <w:t>对照控制联锁逻辑图的输入条件，采用 c) d) 测试手段，对控制器及控制回路的输入信号进行模拟输入，观察控制器及控制回路的输出信号是否与控制联锁逻辑图一致。</w:t>
      </w:r>
    </w:p>
    <w:p>
      <w:pPr>
        <w:pStyle w:val="110"/>
        <w:spacing w:before="120" w:after="120"/>
      </w:pPr>
      <w:bookmarkStart w:id="204" w:name="_Toc209114102"/>
      <w:r>
        <w:rPr>
          <w:rFonts w:hint="eastAsia"/>
        </w:rPr>
        <w:t>混气精度等级</w:t>
      </w:r>
      <w:bookmarkEnd w:id="204"/>
    </w:p>
    <w:p>
      <w:pPr>
        <w:pStyle w:val="170"/>
      </w:pPr>
      <w:r>
        <w:rPr>
          <w:rFonts w:hint="eastAsia"/>
        </w:rPr>
        <w:t>在稳定的供气压力和流量下（流量不低于20%供气流量），操作氢气调节阀，根据天然气和氢气流量值进行初级调节，并根据氢气分析仪反馈数据进行精确调节，记录实测值和设定值，在相同条件下重复试验3次，分别按公式（</w:t>
      </w:r>
      <w:r>
        <w:t>7</w:t>
      </w:r>
      <w:r>
        <w:rPr>
          <w:rFonts w:hint="eastAsia"/>
        </w:rPr>
        <w:t>）计算混气精度。</w:t>
      </w:r>
    </w:p>
    <w:p>
      <w:pPr>
        <w:pStyle w:val="118"/>
      </w:pPr>
      <w:r>
        <w:tab/>
      </w:r>
      <m:oMath>
        <m:sSub>
          <m:sSubPr>
            <m:ctrlPr>
              <w:rPr>
                <w:rFonts w:ascii="Cambria Math" w:hAnsi="Cambria Math"/>
              </w:rPr>
            </m:ctrlPr>
          </m:sSubPr>
          <m:e>
            <m:r>
              <m:rPr/>
              <w:rPr>
                <w:rFonts w:hint="eastAsia" w:ascii="Cambria Math" w:hAnsi="Cambria Math"/>
              </w:rPr>
              <m:t>A</m:t>
            </m:r>
            <m:ctrlPr>
              <w:rPr>
                <w:rFonts w:ascii="Cambria Math" w:hAnsi="Cambria Math"/>
              </w:rPr>
            </m:ctrlPr>
          </m:e>
          <m:sub>
            <m:r>
              <m:rPr/>
              <w:rPr>
                <w:rFonts w:hint="eastAsia" w:ascii="Cambria Math" w:hAnsi="Cambria Math"/>
              </w:rPr>
              <m:t>t</m:t>
            </m:r>
            <m:ctrlPr>
              <w:rPr>
                <w:rFonts w:ascii="Cambria Math" w:hAnsi="Cambria Math"/>
              </w:rPr>
            </m:ctrlPr>
          </m:sub>
        </m:sSub>
        <m:r>
          <m:rP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w:rPr>
                            <w:rFonts w:ascii="Cambria Math" w:hAnsi="Cambria Math"/>
                          </w:rPr>
                          <m:t>H</m:t>
                        </m:r>
                        <m:ctrlPr>
                          <w:rPr>
                            <w:rFonts w:ascii="Cambria Math" w:hAnsi="Cambria Math"/>
                            <w:i/>
                          </w:rPr>
                        </m:ctrlPr>
                      </m:e>
                      <m:sub>
                        <m:r>
                          <m:rPr/>
                          <w:rPr>
                            <w:rFonts w:ascii="Cambria Math" w:hAnsi="Cambria Math"/>
                          </w:rPr>
                          <m:t>ta</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H</m:t>
                        </m:r>
                        <m:ctrlPr>
                          <w:rPr>
                            <w:rFonts w:ascii="Cambria Math" w:hAnsi="Cambria Math"/>
                            <w:i/>
                          </w:rPr>
                        </m:ctrlPr>
                      </m:e>
                      <m:sub>
                        <m:r>
                          <m:rPr/>
                          <w:rPr>
                            <w:rFonts w:ascii="Cambria Math" w:hAnsi="Cambria Math"/>
                          </w:rPr>
                          <m:t>ts</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H</m:t>
                        </m:r>
                        <m:ctrlPr>
                          <w:rPr>
                            <w:rFonts w:ascii="Cambria Math" w:hAnsi="Cambria Math"/>
                            <w:i/>
                          </w:rPr>
                        </m:ctrlPr>
                      </m:e>
                      <m:sub>
                        <m:r>
                          <m:rPr/>
                          <w:rPr>
                            <w:rFonts w:ascii="Cambria Math" w:hAnsi="Cambria Math"/>
                          </w:rPr>
                          <m:t>ta</m:t>
                        </m:r>
                        <m:ctrlPr>
                          <w:rPr>
                            <w:rFonts w:ascii="Cambria Math" w:hAnsi="Cambria Math"/>
                            <w:i/>
                          </w:rPr>
                        </m:ctrlPr>
                      </m:sub>
                    </m:sSub>
                    <m:ctrlPr>
                      <w:rPr>
                        <w:rFonts w:ascii="Cambria Math" w:hAnsi="Cambria Math"/>
                        <w:i/>
                      </w:rPr>
                    </m:ctrlPr>
                  </m:den>
                </m:f>
                <m:ctrlPr>
                  <w:rPr>
                    <w:rFonts w:ascii="Cambria Math" w:hAnsi="Cambria Math"/>
                    <w:i/>
                  </w:rPr>
                </m:ctrlPr>
              </m:e>
            </m:d>
            <m:ctrlPr>
              <w:rPr>
                <w:rFonts w:ascii="Cambria Math" w:hAnsi="Cambria Math"/>
                <w:i/>
              </w:rPr>
            </m:ctrlPr>
          </m:e>
          <m:sub>
            <m:r>
              <m:rPr/>
              <w:rPr>
                <w:rFonts w:ascii="Cambria Math" w:hAnsi="Cambria Math"/>
              </w:rPr>
              <m:t>max</m:t>
            </m:r>
            <m:ctrlPr>
              <w:rPr>
                <w:rFonts w:ascii="Cambria Math" w:hAnsi="Cambria Math"/>
                <w:i/>
              </w:rPr>
            </m:ctrlPr>
          </m:sub>
        </m:sSub>
        <m:r>
          <m:rPr/>
          <w:rPr>
            <w:rFonts w:ascii="Cambria Math" w:hAnsi="Cambria Math"/>
          </w:rPr>
          <m:t>×100%</m:t>
        </m:r>
      </m:oMath>
      <w:r>
        <w:rPr>
          <w:rFonts w:ascii="微软雅黑" w:hAnsi="微软雅黑" w:eastAsia="微软雅黑"/>
        </w:rPr>
        <w:tab/>
      </w:r>
      <w:r>
        <w:t>(7)</w:t>
      </w:r>
    </w:p>
    <w:p>
      <w:pPr>
        <w:pStyle w:val="60"/>
        <w:ind w:firstLine="420"/>
      </w:pPr>
      <w:r>
        <w:rPr>
          <w:rFonts w:hint="eastAsia"/>
        </w:rPr>
        <w:t>式中：</w:t>
      </w:r>
    </w:p>
    <w:p>
      <w:pPr>
        <w:pStyle w:val="61"/>
        <w:ind w:firstLine="420"/>
      </w:pPr>
      <w:r>
        <w:tab/>
      </w:r>
      <m:oMath>
        <m:sSub>
          <m:sSubPr>
            <m:ctrlPr>
              <w:rPr>
                <w:rFonts w:ascii="Cambria Math" w:hAnsi="Cambria Math"/>
                <w:kern w:val="2"/>
                <w:szCs w:val="21"/>
              </w:rPr>
            </m:ctrlPr>
          </m:sSubPr>
          <m:e>
            <m:r>
              <m:rPr/>
              <w:rPr>
                <w:rFonts w:ascii="Cambria Math" w:hAnsi="Cambria Math"/>
              </w:rPr>
              <m:t>A</m:t>
            </m:r>
            <m:ctrlPr>
              <w:rPr>
                <w:rFonts w:ascii="Cambria Math" w:hAnsi="Cambria Math"/>
                <w:kern w:val="2"/>
                <w:szCs w:val="21"/>
              </w:rPr>
            </m:ctrlPr>
          </m:e>
          <m:sub>
            <m:r>
              <m:rPr/>
              <w:rPr>
                <w:rFonts w:ascii="Cambria Math" w:hAnsi="Cambria Math"/>
              </w:rPr>
              <m:t>t</m:t>
            </m:r>
            <m:ctrlPr>
              <w:rPr>
                <w:rFonts w:ascii="Cambria Math" w:hAnsi="Cambria Math"/>
                <w:kern w:val="2"/>
                <w:szCs w:val="21"/>
              </w:rPr>
            </m:ctrlPr>
          </m:sub>
        </m:sSub>
      </m:oMath>
      <w:r>
        <w:rPr>
          <w:rFonts w:hint="eastAsia"/>
        </w:rPr>
        <w:t>——混气精度等级；</w:t>
      </w:r>
    </w:p>
    <w:p>
      <w:pPr>
        <w:pStyle w:val="61"/>
        <w:ind w:firstLine="420"/>
      </w:pPr>
      <w:r>
        <w:tab/>
      </w:r>
      <m:oMath>
        <m:sSub>
          <m:sSubPr>
            <m:ctrlPr>
              <w:rPr>
                <w:rFonts w:ascii="Cambria Math" w:hAnsi="Cambria Math"/>
                <w:kern w:val="2"/>
                <w:szCs w:val="21"/>
              </w:rPr>
            </m:ctrlPr>
          </m:sSubPr>
          <m:e>
            <m:r>
              <m:rPr/>
              <w:rPr>
                <w:rFonts w:ascii="Cambria Math" w:hAnsi="Cambria Math"/>
              </w:rPr>
              <m:t>H</m:t>
            </m:r>
            <m:ctrlPr>
              <w:rPr>
                <w:rFonts w:ascii="Cambria Math" w:hAnsi="Cambria Math"/>
                <w:kern w:val="2"/>
                <w:szCs w:val="21"/>
              </w:rPr>
            </m:ctrlPr>
          </m:e>
          <m:sub>
            <m:r>
              <m:rPr/>
              <w:rPr>
                <w:rFonts w:ascii="Cambria Math" w:hAnsi="Cambria Math"/>
              </w:rPr>
              <m:t>ta</m:t>
            </m:r>
            <m:ctrlPr>
              <w:rPr>
                <w:rFonts w:ascii="Cambria Math" w:hAnsi="Cambria Math"/>
                <w:kern w:val="2"/>
                <w:szCs w:val="21"/>
              </w:rPr>
            </m:ctrlPr>
          </m:sub>
        </m:sSub>
      </m:oMath>
      <w:r>
        <w:rPr>
          <w:rFonts w:hint="eastAsia"/>
        </w:rPr>
        <w:t>——掺混比实际值；</w:t>
      </w:r>
    </w:p>
    <w:p>
      <w:pPr>
        <w:pStyle w:val="61"/>
        <w:ind w:firstLine="420"/>
      </w:pPr>
      <w:r>
        <w:tab/>
      </w:r>
      <m:oMath>
        <m:sSub>
          <m:sSubPr>
            <m:ctrlPr>
              <w:rPr>
                <w:rFonts w:ascii="Cambria Math" w:hAnsi="Cambria Math"/>
                <w:kern w:val="2"/>
                <w:szCs w:val="21"/>
              </w:rPr>
            </m:ctrlPr>
          </m:sSubPr>
          <m:e>
            <m:r>
              <m:rPr/>
              <w:rPr>
                <w:rFonts w:ascii="Cambria Math" w:hAnsi="Cambria Math"/>
              </w:rPr>
              <m:t>H</m:t>
            </m:r>
            <m:ctrlPr>
              <w:rPr>
                <w:rFonts w:ascii="Cambria Math" w:hAnsi="Cambria Math"/>
                <w:kern w:val="2"/>
                <w:szCs w:val="21"/>
              </w:rPr>
            </m:ctrlPr>
          </m:e>
          <m:sub>
            <m:r>
              <m:rPr/>
              <w:rPr>
                <w:rFonts w:ascii="Cambria Math" w:hAnsi="Cambria Math"/>
              </w:rPr>
              <m:t>ts</m:t>
            </m:r>
            <m:ctrlPr>
              <w:rPr>
                <w:rFonts w:ascii="Cambria Math" w:hAnsi="Cambria Math"/>
                <w:kern w:val="2"/>
                <w:szCs w:val="21"/>
              </w:rPr>
            </m:ctrlPr>
          </m:sub>
        </m:sSub>
      </m:oMath>
      <w:r>
        <w:rPr>
          <w:rFonts w:hint="eastAsia"/>
        </w:rPr>
        <w:t>——掺混比设定值。</w:t>
      </w:r>
    </w:p>
    <w:p>
      <w:pPr>
        <w:pStyle w:val="61"/>
        <w:ind w:firstLine="420"/>
      </w:pPr>
      <w:r>
        <w:rPr>
          <w:rFonts w:hint="eastAsia"/>
        </w:rPr>
        <w:t>注：如果试验条件不具备，可在现场进行试验。</w:t>
      </w:r>
    </w:p>
    <w:p>
      <w:pPr>
        <w:pStyle w:val="170"/>
      </w:pPr>
      <w:r>
        <w:rPr>
          <w:rFonts w:hint="eastAsia"/>
        </w:rPr>
        <w:t>掺氢撬的混气精度等级应符合表</w:t>
      </w:r>
      <w:r>
        <w:t>213</w:t>
      </w:r>
      <w:r>
        <w:rPr>
          <w:rFonts w:hint="eastAsia"/>
        </w:rPr>
        <w:t>的要求。</w:t>
      </w:r>
    </w:p>
    <w:p>
      <w:pPr>
        <w:pStyle w:val="117"/>
        <w:spacing w:before="120" w:after="120"/>
      </w:pPr>
      <w:r>
        <w:rPr>
          <w:rFonts w:hint="eastAsia"/>
        </w:rPr>
        <w:t>混气等级偏差</w:t>
      </w:r>
    </w:p>
    <w:tbl>
      <w:tblPr>
        <w:tblStyle w:val="31"/>
        <w:tblW w:w="8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0"/>
        <w:gridCol w:w="4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020" w:type="dxa"/>
          </w:tcPr>
          <w:p>
            <w:pPr>
              <w:jc w:val="center"/>
              <w:rPr>
                <w:rFonts w:ascii="宋体" w:hAnsi="宋体"/>
                <w:sz w:val="18"/>
                <w:szCs w:val="18"/>
              </w:rPr>
            </w:pPr>
            <w:r>
              <w:rPr>
                <w:rFonts w:hint="eastAsia" w:ascii="宋体" w:hAnsi="宋体" w:cs="Arial"/>
                <w:kern w:val="0"/>
                <w:sz w:val="18"/>
                <w:szCs w:val="18"/>
              </w:rPr>
              <w:t>混气精度等级</w:t>
            </w:r>
          </w:p>
        </w:tc>
        <w:tc>
          <w:tcPr>
            <w:tcW w:w="4020" w:type="dxa"/>
          </w:tcPr>
          <w:p>
            <w:pPr>
              <w:jc w:val="center"/>
              <w:rPr>
                <w:rFonts w:ascii="宋体" w:hAnsi="宋体"/>
                <w:sz w:val="18"/>
                <w:szCs w:val="18"/>
              </w:rPr>
            </w:pPr>
            <w:r>
              <w:rPr>
                <w:rFonts w:hint="eastAsia" w:ascii="宋体" w:hAnsi="宋体" w:cs="Arial"/>
                <w:kern w:val="0"/>
                <w:sz w:val="18"/>
                <w:szCs w:val="18"/>
              </w:rPr>
              <w:t>最大允许相对正、负偏差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0" w:type="dxa"/>
          </w:tcPr>
          <w:p>
            <w:pPr>
              <w:jc w:val="center"/>
              <w:rPr>
                <w:rFonts w:ascii="宋体" w:hAnsi="宋体"/>
                <w:sz w:val="18"/>
                <w:szCs w:val="18"/>
              </w:rPr>
            </w:pPr>
            <w:r>
              <w:rPr>
                <w:rFonts w:hint="eastAsia" w:ascii="宋体" w:hAnsi="宋体" w:cs="Arial"/>
                <w:kern w:val="0"/>
                <w:sz w:val="18"/>
                <w:szCs w:val="18"/>
              </w:rPr>
              <w:t xml:space="preserve">AH </w:t>
            </w:r>
            <w:r>
              <w:rPr>
                <w:rFonts w:ascii="宋体" w:hAnsi="宋体" w:cs="Arial"/>
                <w:kern w:val="0"/>
                <w:sz w:val="18"/>
                <w:szCs w:val="18"/>
              </w:rPr>
              <w:t>2</w:t>
            </w:r>
            <w:r>
              <w:rPr>
                <w:rFonts w:hint="eastAsia" w:ascii="宋体" w:hAnsi="宋体" w:cs="Arial"/>
                <w:kern w:val="0"/>
                <w:sz w:val="18"/>
                <w:szCs w:val="18"/>
              </w:rPr>
              <w:t>.</w:t>
            </w:r>
            <w:r>
              <w:rPr>
                <w:rFonts w:ascii="宋体" w:hAnsi="宋体" w:cs="Arial"/>
                <w:kern w:val="0"/>
                <w:sz w:val="18"/>
                <w:szCs w:val="18"/>
              </w:rPr>
              <w:t>5</w:t>
            </w:r>
          </w:p>
        </w:tc>
        <w:tc>
          <w:tcPr>
            <w:tcW w:w="4020" w:type="dxa"/>
          </w:tcPr>
          <w:p>
            <w:pPr>
              <w:jc w:val="center"/>
              <w:rPr>
                <w:rFonts w:ascii="宋体" w:hAnsi="宋体"/>
                <w:sz w:val="18"/>
                <w:szCs w:val="18"/>
              </w:rPr>
            </w:pPr>
            <w:r>
              <w:rPr>
                <w:rFonts w:ascii="宋体" w:hAnsi="宋体" w:cs="Arial"/>
                <w:kern w:val="0"/>
                <w:sz w:val="18"/>
                <w:szCs w:val="18"/>
              </w:rPr>
              <w:t>±2</w:t>
            </w:r>
            <w:r>
              <w:rPr>
                <w:rFonts w:hint="eastAsia" w:ascii="宋体" w:hAnsi="宋体" w:cs="Arial"/>
                <w:kern w:val="0"/>
                <w:sz w:val="18"/>
                <w:szCs w:val="18"/>
              </w:rPr>
              <w:t>.</w:t>
            </w:r>
            <w:r>
              <w:rPr>
                <w:rFonts w:ascii="宋体" w:hAnsi="宋体" w:cs="Arial"/>
                <w:kern w:val="0"/>
                <w:sz w:val="18"/>
                <w:szCs w:val="18"/>
              </w:rPr>
              <w:t xml:space="preserve">5 %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0" w:type="dxa"/>
          </w:tcPr>
          <w:p>
            <w:pPr>
              <w:jc w:val="center"/>
              <w:rPr>
                <w:rFonts w:ascii="宋体" w:hAnsi="宋体"/>
                <w:sz w:val="18"/>
                <w:szCs w:val="18"/>
              </w:rPr>
            </w:pPr>
            <w:r>
              <w:rPr>
                <w:rFonts w:hint="eastAsia" w:ascii="宋体" w:hAnsi="宋体" w:cs="Arial"/>
                <w:kern w:val="0"/>
                <w:sz w:val="18"/>
                <w:szCs w:val="18"/>
              </w:rPr>
              <w:t>AH</w:t>
            </w:r>
            <w:r>
              <w:rPr>
                <w:rFonts w:ascii="宋体" w:hAnsi="宋体" w:cs="Arial"/>
                <w:kern w:val="0"/>
                <w:sz w:val="18"/>
                <w:szCs w:val="18"/>
              </w:rPr>
              <w:t xml:space="preserve"> 5</w:t>
            </w:r>
          </w:p>
        </w:tc>
        <w:tc>
          <w:tcPr>
            <w:tcW w:w="4020" w:type="dxa"/>
          </w:tcPr>
          <w:p>
            <w:pPr>
              <w:jc w:val="center"/>
              <w:rPr>
                <w:rFonts w:ascii="宋体" w:hAnsi="宋体"/>
                <w:sz w:val="18"/>
                <w:szCs w:val="18"/>
              </w:rPr>
            </w:pPr>
            <w:r>
              <w:rPr>
                <w:rFonts w:ascii="宋体" w:hAnsi="宋体" w:cs="Arial"/>
                <w:kern w:val="0"/>
                <w:sz w:val="18"/>
                <w:szCs w:val="18"/>
              </w:rPr>
              <w:t xml:space="preserve">±5 %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0" w:type="dxa"/>
          </w:tcPr>
          <w:p>
            <w:pPr>
              <w:jc w:val="center"/>
              <w:rPr>
                <w:rFonts w:ascii="宋体" w:hAnsi="宋体"/>
                <w:sz w:val="18"/>
                <w:szCs w:val="18"/>
              </w:rPr>
            </w:pPr>
            <w:r>
              <w:rPr>
                <w:rFonts w:hint="eastAsia" w:ascii="宋体" w:hAnsi="宋体" w:cs="Arial"/>
                <w:kern w:val="0"/>
                <w:sz w:val="18"/>
                <w:szCs w:val="18"/>
              </w:rPr>
              <w:t>AH</w:t>
            </w:r>
            <w:r>
              <w:rPr>
                <w:rFonts w:ascii="宋体" w:hAnsi="宋体" w:cs="Arial"/>
                <w:kern w:val="0"/>
                <w:sz w:val="18"/>
                <w:szCs w:val="18"/>
              </w:rPr>
              <w:t xml:space="preserve"> 10</w:t>
            </w:r>
          </w:p>
        </w:tc>
        <w:tc>
          <w:tcPr>
            <w:tcW w:w="4020" w:type="dxa"/>
          </w:tcPr>
          <w:p>
            <w:pPr>
              <w:jc w:val="center"/>
              <w:rPr>
                <w:rFonts w:ascii="宋体" w:hAnsi="宋体"/>
                <w:sz w:val="18"/>
                <w:szCs w:val="18"/>
              </w:rPr>
            </w:pPr>
            <w:r>
              <w:rPr>
                <w:rFonts w:ascii="宋体" w:hAnsi="宋体" w:cs="Arial"/>
                <w:kern w:val="0"/>
                <w:sz w:val="18"/>
                <w:szCs w:val="18"/>
              </w:rPr>
              <w:t>±10 %</w:t>
            </w:r>
            <w:r>
              <w:rPr>
                <w:rFonts w:ascii="宋体" w:hAnsi="宋体" w:cs="Arial"/>
                <w:kern w:val="0"/>
                <w:sz w:val="18"/>
                <w:szCs w:val="18"/>
                <w:vertAlign w:val="superscript"/>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8040" w:type="dxa"/>
            <w:gridSpan w:val="2"/>
          </w:tcPr>
          <w:p>
            <w:pPr>
              <w:pStyle w:val="251"/>
              <w:numPr>
                <w:ilvl w:val="0"/>
                <w:numId w:val="26"/>
              </w:numPr>
              <w:ind w:left="726" w:hanging="363"/>
              <w:rPr>
                <w:rFonts w:hAnsi="宋体" w:cs="Arial"/>
              </w:rPr>
            </w:pPr>
            <w:r>
              <w:rPr>
                <w:rFonts w:hint="eastAsia"/>
              </w:rPr>
              <w:t>一种掺混装置型号根据设定范围或进口运行压力范围</w:t>
            </w:r>
            <w:r>
              <w:rPr>
                <w:rFonts w:hint="eastAsia"/>
                <w:i/>
              </w:rPr>
              <w:t>，</w:t>
            </w:r>
            <w:r>
              <w:rPr>
                <w:rFonts w:hint="eastAsia"/>
              </w:rPr>
              <w:t>符合不同的精度等级。</w:t>
            </w:r>
          </w:p>
        </w:tc>
      </w:tr>
    </w:tbl>
    <w:p>
      <w:pPr>
        <w:pStyle w:val="110"/>
        <w:spacing w:before="120" w:after="120"/>
      </w:pPr>
      <w:bookmarkStart w:id="205" w:name="_Toc209114103"/>
      <w:r>
        <w:rPr>
          <w:rFonts w:hint="eastAsia"/>
        </w:rPr>
        <w:t>绝缘性能</w:t>
      </w:r>
      <w:bookmarkEnd w:id="205"/>
    </w:p>
    <w:p>
      <w:pPr>
        <w:widowControl/>
        <w:numPr>
          <w:ilvl w:val="1"/>
          <w:numId w:val="0"/>
        </w:numPr>
        <w:adjustRightInd/>
        <w:spacing w:before="120" w:beforeLines="50" w:after="120" w:afterLines="50" w:line="240" w:lineRule="auto"/>
        <w:outlineLvl w:val="2"/>
        <w:rPr>
          <w:rFonts w:ascii="宋体" w:hAnsi="宋体"/>
          <w:szCs w:val="24"/>
        </w:rPr>
      </w:pPr>
      <w:r>
        <w:rPr>
          <w:rFonts w:hint="eastAsia" w:ascii="宋体" w:hAnsi="宋体"/>
          <w:szCs w:val="24"/>
        </w:rPr>
        <w:t>绝缘接头、绝缘法兰采用1000V兆欧表进行绝缘电阻测试，其常态绝缘电阻应大于20MΩ。</w:t>
      </w:r>
    </w:p>
    <w:p>
      <w:pPr>
        <w:pStyle w:val="110"/>
        <w:spacing w:before="120" w:after="120"/>
      </w:pPr>
      <w:bookmarkStart w:id="206" w:name="_Toc209114104"/>
      <w:r>
        <w:rPr>
          <w:rFonts w:hint="eastAsia"/>
        </w:rPr>
        <w:t>电气安全性能</w:t>
      </w:r>
      <w:bookmarkEnd w:id="206"/>
    </w:p>
    <w:p>
      <w:pPr>
        <w:pStyle w:val="170"/>
      </w:pPr>
      <w:r>
        <w:rPr>
          <w:rFonts w:hint="eastAsia"/>
        </w:rPr>
        <w:t>掺混装置对地泄漏电流的允许值应按GB 4943.1-2022 中5.2.2.2的规定进行试验。</w:t>
      </w:r>
    </w:p>
    <w:p>
      <w:pPr>
        <w:pStyle w:val="170"/>
      </w:pPr>
      <w:r>
        <w:rPr>
          <w:rFonts w:hint="eastAsia"/>
        </w:rPr>
        <w:t>采用漏电检测仪检测漏电电流。</w:t>
      </w:r>
    </w:p>
    <w:p>
      <w:pPr>
        <w:pStyle w:val="170"/>
      </w:pPr>
      <w:r>
        <w:rPr>
          <w:rFonts w:hint="eastAsia"/>
        </w:rPr>
        <w:t>掺混装置的抗电强度应按GB 4943.1-2022 中5.4.9的规定进行试验。</w:t>
      </w:r>
    </w:p>
    <w:p>
      <w:pPr>
        <w:pStyle w:val="170"/>
      </w:pPr>
      <w:r>
        <w:rPr>
          <w:rFonts w:hint="eastAsia"/>
        </w:rPr>
        <w:t>接地端子或接地接触件与需要接地的零部件之间的连接电阻应按GB 4943.1-2022 中5.6.6的  规定进行试验。用低电阻测试仪测量掺混装置电气设备金属外壳与总接地连接件，总接地连接件与电气控制柜的接触电阻，掺混装置的总接地连接件与各电气设备金属外壳接地连接件之间的接触电阻不应大于0.1Ω 。</w:t>
      </w:r>
    </w:p>
    <w:p>
      <w:pPr>
        <w:pStyle w:val="170"/>
      </w:pPr>
      <w:r>
        <w:rPr>
          <w:rFonts w:hint="eastAsia"/>
        </w:rPr>
        <w:t>静电接地电阻检测方法应按SH/T 3097-2017 中附录A 进行。</w:t>
      </w:r>
    </w:p>
    <w:p>
      <w:pPr>
        <w:pStyle w:val="170"/>
      </w:pPr>
      <w:r>
        <w:rPr>
          <w:rFonts w:hint="eastAsia"/>
        </w:rPr>
        <w:t>绝缘电阻测定及绝缘介电强度试验应按GB/T 14048.1的有关规定进行。</w:t>
      </w:r>
    </w:p>
    <w:p>
      <w:pPr>
        <w:pStyle w:val="170"/>
      </w:pPr>
      <w:r>
        <w:rPr>
          <w:rFonts w:hint="eastAsia"/>
        </w:rPr>
        <w:t>对电气保护及连锁装置应进行试验，检查是否可靠有效。</w:t>
      </w:r>
    </w:p>
    <w:p>
      <w:pPr>
        <w:pStyle w:val="110"/>
        <w:spacing w:before="120" w:after="120"/>
      </w:pPr>
      <w:bookmarkStart w:id="207" w:name="_Toc209114105"/>
      <w:r>
        <w:rPr>
          <w:rFonts w:hint="eastAsia"/>
        </w:rPr>
        <w:t>防爆性能</w:t>
      </w:r>
      <w:bookmarkEnd w:id="207"/>
    </w:p>
    <w:p>
      <w:pPr>
        <w:pStyle w:val="61"/>
        <w:ind w:firstLine="420"/>
      </w:pPr>
      <w:r>
        <w:rPr>
          <w:rFonts w:hint="eastAsia"/>
        </w:rPr>
        <w:t>防爆性能检查应按下列要求进行：</w:t>
      </w:r>
    </w:p>
    <w:p>
      <w:pPr>
        <w:pStyle w:val="179"/>
        <w:numPr>
          <w:ilvl w:val="0"/>
          <w:numId w:val="102"/>
        </w:numPr>
      </w:pPr>
      <w:r>
        <w:rPr>
          <w:rFonts w:hint="eastAsia"/>
        </w:rPr>
        <w:t>检查掺混装置使用的电气仪表、电气设备等防爆元件的名称、型号规格、防爆标志、防爆合格证编号等是否与批准的防爆证书一致；</w:t>
      </w:r>
    </w:p>
    <w:p>
      <w:pPr>
        <w:pStyle w:val="179"/>
      </w:pPr>
      <w:r>
        <w:rPr>
          <w:rFonts w:hint="eastAsia"/>
        </w:rPr>
        <w:t>检查防爆电气设备的配线电缆的牌号、规格是否与图纸规定一致；</w:t>
      </w:r>
    </w:p>
    <w:p>
      <w:pPr>
        <w:pStyle w:val="179"/>
      </w:pPr>
      <w:r>
        <w:rPr>
          <w:rFonts w:hint="eastAsia"/>
        </w:rPr>
        <w:t>检查防爆电气设备接地、等电位连接的方法和采取的防爆措施是否符合标准要求；</w:t>
      </w:r>
    </w:p>
    <w:p>
      <w:pPr>
        <w:pStyle w:val="179"/>
      </w:pPr>
      <w:r>
        <w:rPr>
          <w:rFonts w:hint="eastAsia"/>
        </w:rPr>
        <w:t>检查铭牌和警示牌的内容是否符合标准要求。</w:t>
      </w:r>
    </w:p>
    <w:p>
      <w:pPr>
        <w:pStyle w:val="110"/>
        <w:spacing w:before="120" w:after="120"/>
      </w:pPr>
      <w:bookmarkStart w:id="208" w:name="_Toc160238300"/>
      <w:bookmarkStart w:id="209" w:name="_Toc209114106"/>
      <w:bookmarkStart w:id="210" w:name="_Toc170589395"/>
      <w:bookmarkStart w:id="211" w:name="_Toc84498898"/>
      <w:bookmarkStart w:id="212" w:name="_Toc160237873"/>
      <w:bookmarkStart w:id="213" w:name="_Toc81229426"/>
      <w:bookmarkStart w:id="214" w:name="_Toc127657025"/>
      <w:bookmarkStart w:id="215" w:name="_Toc140441348"/>
      <w:bookmarkStart w:id="216" w:name="_Toc127657353"/>
      <w:bookmarkStart w:id="217" w:name="_Toc127745670"/>
      <w:bookmarkStart w:id="218" w:name="_Toc173768163"/>
      <w:bookmarkStart w:id="219" w:name="_Toc173877659"/>
      <w:bookmarkStart w:id="220" w:name="_Toc81176723"/>
      <w:r>
        <w:rPr>
          <w:rFonts w:hint="eastAsia"/>
        </w:rPr>
        <w:t>混气均匀度</w:t>
      </w:r>
      <w:bookmarkEnd w:id="208"/>
      <w:bookmarkEnd w:id="209"/>
      <w:bookmarkEnd w:id="210"/>
      <w:bookmarkEnd w:id="211"/>
      <w:bookmarkEnd w:id="212"/>
      <w:bookmarkEnd w:id="213"/>
      <w:bookmarkEnd w:id="214"/>
      <w:bookmarkEnd w:id="215"/>
      <w:bookmarkEnd w:id="216"/>
      <w:bookmarkEnd w:id="217"/>
      <w:bookmarkEnd w:id="218"/>
      <w:bookmarkEnd w:id="219"/>
      <w:bookmarkEnd w:id="220"/>
    </w:p>
    <w:p>
      <w:pPr>
        <w:pStyle w:val="235"/>
        <w:rPr>
          <w:rFonts w:hAnsi="宋体"/>
          <w:szCs w:val="21"/>
        </w:rPr>
      </w:pPr>
      <w:r>
        <w:rPr>
          <w:rFonts w:hint="eastAsia" w:hAnsi="宋体"/>
          <w:szCs w:val="21"/>
        </w:rPr>
        <w:t>比例、压力稳定的天然气和氢气分别进入混合器并混合均匀，掺混装置出口下游10D之外等截面处，对应设置至少3点氢气含量分析仪监测点测试氢气含量，在混合气流量分别达到设计流量20%、50%、80%时，对应的各点氢气含量值相对误差不应超过5%，检查混合均匀度符合掺混装置调节后比例稳定的天然气和氢气分别进入混合器，在混合器内完成混合均匀，混合气均匀度不应低于95%。混合均匀度按公式(</w:t>
      </w:r>
      <w:r>
        <w:rPr>
          <w:rFonts w:hAnsi="宋体"/>
          <w:szCs w:val="21"/>
        </w:rPr>
        <w:t>8)</w:t>
      </w:r>
      <w:r>
        <w:rPr>
          <w:rFonts w:hint="eastAsia" w:hAnsi="宋体"/>
          <w:szCs w:val="21"/>
        </w:rPr>
        <w:t>计算。</w:t>
      </w:r>
    </w:p>
    <w:p>
      <w:pPr>
        <w:pStyle w:val="118"/>
      </w:pPr>
      <w:r>
        <w:tab/>
      </w:r>
      <m:oMath>
        <m:r>
          <m:rPr/>
          <w:rPr>
            <w:rFonts w:ascii="Cambria Math" w:hAnsi="Cambria Math"/>
          </w:rPr>
          <m:t>H=</m:t>
        </m:r>
        <m:d>
          <m:dPr>
            <m:begChr m:val="["/>
            <m:endChr m:val="]"/>
            <m:ctrlPr>
              <w:rPr>
                <w:rFonts w:ascii="Cambria Math" w:hAnsi="Cambria Math"/>
                <w:i/>
              </w:rPr>
            </m:ctrlPr>
          </m:dPr>
          <m:e>
            <m:r>
              <m:rPr/>
              <w:rPr>
                <w:rFonts w:ascii="Cambria Math" w:hAnsi="Cambria Math"/>
              </w:rPr>
              <m:t>1−</m:t>
            </m:r>
            <m:rad>
              <m:radPr>
                <m:degHide m:val="1"/>
                <m:ctrlPr>
                  <w:rPr>
                    <w:rFonts w:ascii="Cambria Math" w:hAnsi="Cambria Math"/>
                    <w:i/>
                  </w:rPr>
                </m:ctrlPr>
              </m:radPr>
              <m:deg>
                <m:ctrlPr>
                  <w:rPr>
                    <w:rFonts w:ascii="Cambria Math" w:hAnsi="Cambria Math"/>
                    <w:i/>
                  </w:rPr>
                </m:ctrlPr>
              </m:deg>
              <m:e>
                <m:f>
                  <m:fPr>
                    <m:ctrlPr>
                      <w:rPr>
                        <w:rFonts w:ascii="Cambria Math" w:hAnsi="Cambria Math"/>
                        <w:i/>
                      </w:rPr>
                    </m:ctrlPr>
                  </m:fPr>
                  <m:num>
                    <m:sSup>
                      <m:sSupPr>
                        <m:ctrlPr>
                          <w:rPr>
                            <w:rFonts w:ascii="Cambria Math" w:hAnsi="Cambria Math"/>
                            <w:i/>
                          </w:rPr>
                        </m:ctrlPr>
                      </m:sSupPr>
                      <m:e>
                        <m:nary>
                          <m:naryPr>
                            <m:chr m:val="∑"/>
                            <m:limLoc m:val="undOvr"/>
                            <m:ctrlPr>
                              <w:rPr>
                                <w:rFonts w:ascii="Cambria Math" w:hAnsi="Cambria Math"/>
                                <w:i/>
                              </w:rPr>
                            </m:ctrlPr>
                          </m:naryPr>
                          <m:sub>
                            <m:r>
                              <m:rPr/>
                              <w:rPr>
                                <w:rFonts w:ascii="Cambria Math" w:hAnsi="Cambria Math"/>
                              </w:rPr>
                              <m:t>i=1</m:t>
                            </m:r>
                            <m:ctrlPr>
                              <w:rPr>
                                <w:rFonts w:ascii="Cambria Math" w:hAnsi="Cambria Math"/>
                                <w:i/>
                              </w:rPr>
                            </m:ctrlPr>
                          </m:sub>
                          <m:sup>
                            <m:r>
                              <m:rPr/>
                              <w:rPr>
                                <w:rFonts w:ascii="Cambria Math" w:hAnsi="Cambria Math"/>
                              </w:rPr>
                              <m:t>n</m:t>
                            </m:r>
                            <m:ctrlPr>
                              <w:rPr>
                                <w:rFonts w:ascii="Cambria Math" w:hAnsi="Cambria Math"/>
                                <w:i/>
                              </w:rPr>
                            </m:ctrlPr>
                          </m:sup>
                          <m:e>
                            <m:r>
                              <m:rPr/>
                              <w:rPr>
                                <w:rFonts w:ascii="Cambria Math" w:hAnsi="Cambria Math"/>
                              </w:rPr>
                              <m:t>(</m:t>
                            </m:r>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i−</m:t>
                                </m:r>
                                <m:ctrlPr>
                                  <w:rPr>
                                    <w:rFonts w:ascii="Cambria Math" w:hAnsi="Cambria Math"/>
                                    <w:i/>
                                  </w:rPr>
                                </m:ctrlPr>
                              </m:sub>
                            </m:sSub>
                            <m:acc>
                              <m:accPr>
                                <m:chr m:val="̅"/>
                                <m:ctrlPr>
                                  <w:rPr>
                                    <w:rFonts w:ascii="Cambria Math" w:hAnsi="Cambria Math"/>
                                    <w:i/>
                                  </w:rPr>
                                </m:ctrlPr>
                              </m:accPr>
                              <m:e>
                                <m:r>
                                  <m:rPr/>
                                  <w:rPr>
                                    <w:rFonts w:ascii="Cambria Math" w:hAnsi="Cambria Math"/>
                                  </w:rPr>
                                  <m:t>c</m:t>
                                </m:r>
                                <m:ctrlPr>
                                  <w:rPr>
                                    <w:rFonts w:ascii="Cambria Math" w:hAnsi="Cambria Math"/>
                                    <w:i/>
                                  </w:rPr>
                                </m:ctrlPr>
                              </m:e>
                            </m:acc>
                            <m:ctrlPr>
                              <w:rPr>
                                <w:rFonts w:ascii="Cambria Math" w:hAnsi="Cambria Math"/>
                                <w:i/>
                              </w:rPr>
                            </m:ctrlPr>
                          </m:e>
                        </m:nary>
                        <m:r>
                          <m:rPr/>
                          <w:rPr>
                            <w:rFonts w:ascii="Cambria Math" w:hAnsi="Cambria Math"/>
                          </w:rPr>
                          <m:t>)</m:t>
                        </m:r>
                        <m:ctrlPr>
                          <w:rPr>
                            <w:rFonts w:ascii="Cambria Math" w:hAnsi="Cambria Math"/>
                            <w:i/>
                          </w:rPr>
                        </m:ctrlPr>
                      </m:e>
                      <m:sup>
                        <m:r>
                          <m:rPr/>
                          <w:rPr>
                            <w:rFonts w:ascii="Cambria Math" w:hAnsi="Cambria Math"/>
                          </w:rPr>
                          <m:t>2</m:t>
                        </m:r>
                        <m:ctrlPr>
                          <w:rPr>
                            <w:rFonts w:ascii="Cambria Math" w:hAnsi="Cambria Math"/>
                            <w:i/>
                          </w:rPr>
                        </m:ctrlPr>
                      </m:sup>
                    </m:sSup>
                    <m:ctrlPr>
                      <w:rPr>
                        <w:rFonts w:ascii="Cambria Math" w:hAnsi="Cambria Math"/>
                        <w:i/>
                      </w:rPr>
                    </m:ctrlPr>
                  </m:num>
                  <m:den>
                    <m:d>
                      <m:dPr>
                        <m:ctrlPr>
                          <w:rPr>
                            <w:rFonts w:ascii="Cambria Math" w:hAnsi="Cambria Math"/>
                            <w:i/>
                          </w:rPr>
                        </m:ctrlPr>
                      </m:dPr>
                      <m:e>
                        <m:r>
                          <m:rPr/>
                          <w:rPr>
                            <w:rFonts w:ascii="Cambria Math" w:hAnsi="Cambria Math"/>
                          </w:rPr>
                          <m:t>n−1</m:t>
                        </m:r>
                        <m:ctrlPr>
                          <w:rPr>
                            <w:rFonts w:ascii="Cambria Math" w:hAnsi="Cambria Math"/>
                            <w:i/>
                          </w:rPr>
                        </m:ctrlPr>
                      </m:e>
                    </m:d>
                    <m:ctrlPr>
                      <w:rPr>
                        <w:rFonts w:ascii="Cambria Math" w:hAnsi="Cambria Math"/>
                        <w:i/>
                      </w:rPr>
                    </m:ctrlPr>
                  </m:den>
                </m:f>
                <m:ctrlPr>
                  <w:rPr>
                    <w:rFonts w:ascii="Cambria Math" w:hAnsi="Cambria Math"/>
                    <w:i/>
                  </w:rPr>
                </m:ctrlPr>
              </m:e>
            </m:rad>
            <m:r>
              <m:rPr/>
              <w:rPr>
                <w:rFonts w:ascii="Cambria Math" w:hAnsi="Cambria Math"/>
              </w:rPr>
              <m:t>/</m:t>
            </m:r>
            <m:acc>
              <m:accPr>
                <m:chr m:val="̅"/>
                <m:ctrlPr>
                  <w:rPr>
                    <w:rFonts w:ascii="Cambria Math" w:hAnsi="Cambria Math"/>
                    <w:i/>
                  </w:rPr>
                </m:ctrlPr>
              </m:accPr>
              <m:e>
                <m:r>
                  <m:rPr/>
                  <w:rPr>
                    <w:rFonts w:ascii="Cambria Math" w:hAnsi="Cambria Math"/>
                  </w:rPr>
                  <m:t>c</m:t>
                </m:r>
                <m:ctrlPr>
                  <w:rPr>
                    <w:rFonts w:ascii="Cambria Math" w:hAnsi="Cambria Math"/>
                    <w:i/>
                  </w:rPr>
                </m:ctrlPr>
              </m:e>
            </m:acc>
            <m:ctrlPr>
              <w:rPr>
                <w:rFonts w:ascii="Cambria Math" w:hAnsi="Cambria Math"/>
                <w:i/>
              </w:rPr>
            </m:ctrlPr>
          </m:e>
        </m:d>
        <m:r>
          <m:rPr/>
          <w:rPr>
            <w:rFonts w:ascii="Cambria Math" w:hAnsi="Cambria Math"/>
          </w:rPr>
          <m:t>×100%</m:t>
        </m:r>
      </m:oMath>
      <w:r>
        <w:rPr>
          <w:rFonts w:ascii="微软雅黑" w:hAnsi="微软雅黑" w:eastAsia="微软雅黑"/>
        </w:rPr>
        <w:tab/>
      </w:r>
      <w:r>
        <w:t>(8)</w:t>
      </w:r>
    </w:p>
    <w:p>
      <w:pPr>
        <w:pStyle w:val="60"/>
        <w:ind w:firstLine="420"/>
      </w:pPr>
      <w:r>
        <w:rPr>
          <w:rFonts w:hint="eastAsia"/>
        </w:rPr>
        <w:t>式中：</w:t>
      </w:r>
    </w:p>
    <w:p>
      <w:pPr>
        <w:pStyle w:val="61"/>
        <w:ind w:firstLine="420"/>
      </w:pPr>
      <w:r>
        <w:tab/>
      </w:r>
      <m:oMath>
        <m:r>
          <m:rPr/>
          <w:rPr>
            <w:rFonts w:ascii="Cambria Math" w:hAnsi="Cambria Math"/>
          </w:rPr>
          <m:t>H</m:t>
        </m:r>
      </m:oMath>
      <w:r>
        <w:rPr>
          <w:rFonts w:hint="eastAsia"/>
        </w:rPr>
        <w:t>——混气均匀度；</w:t>
      </w:r>
    </w:p>
    <w:p>
      <w:pPr>
        <w:pStyle w:val="61"/>
        <w:ind w:firstLine="420"/>
      </w:pPr>
      <w:r>
        <w:tab/>
      </w:r>
      <m:oMath>
        <m:sSub>
          <m:sSubPr>
            <m:ctrlPr>
              <w:rPr>
                <w:rFonts w:ascii="Cambria Math" w:hAnsi="Cambria Math"/>
                <w:kern w:val="2"/>
                <w:szCs w:val="21"/>
              </w:rPr>
            </m:ctrlPr>
          </m:sSubPr>
          <m:e>
            <m:r>
              <m:rPr/>
              <w:rPr>
                <w:rFonts w:ascii="Cambria Math" w:hAnsi="Cambria Math"/>
              </w:rPr>
              <m:t>c</m:t>
            </m:r>
            <m:ctrlPr>
              <w:rPr>
                <w:rFonts w:ascii="Cambria Math" w:hAnsi="Cambria Math"/>
                <w:kern w:val="2"/>
                <w:szCs w:val="21"/>
              </w:rPr>
            </m:ctrlPr>
          </m:e>
          <m:sub>
            <m:r>
              <m:rPr/>
              <w:rPr>
                <w:rFonts w:ascii="Cambria Math" w:hAnsi="Cambria Math"/>
              </w:rPr>
              <m:t>i</m:t>
            </m:r>
            <m:ctrlPr>
              <w:rPr>
                <w:rFonts w:ascii="Cambria Math" w:hAnsi="Cambria Math"/>
                <w:kern w:val="2"/>
                <w:szCs w:val="21"/>
              </w:rPr>
            </m:ctrlPr>
          </m:sub>
        </m:sSub>
      </m:oMath>
      <w:r>
        <w:rPr>
          <w:rFonts w:hint="eastAsia"/>
        </w:rPr>
        <w:t>——取样点上的氢气浓度；</w:t>
      </w:r>
    </w:p>
    <w:p>
      <w:pPr>
        <w:pStyle w:val="61"/>
        <w:ind w:firstLine="420"/>
      </w:pPr>
      <w:r>
        <w:tab/>
      </w:r>
      <m:oMath>
        <m:acc>
          <m:accPr>
            <m:chr m:val="̅"/>
            <m:ctrlPr>
              <w:rPr>
                <w:rFonts w:ascii="Cambria Math" w:hAnsi="Cambria Math"/>
                <w:kern w:val="2"/>
                <w:szCs w:val="21"/>
              </w:rPr>
            </m:ctrlPr>
          </m:accPr>
          <m:e>
            <m:r>
              <m:rPr/>
              <w:rPr>
                <w:rFonts w:ascii="Cambria Math" w:hAnsi="Cambria Math"/>
              </w:rPr>
              <m:t>c</m:t>
            </m:r>
            <m:ctrlPr>
              <w:rPr>
                <w:rFonts w:ascii="Cambria Math" w:hAnsi="Cambria Math"/>
                <w:kern w:val="2"/>
                <w:szCs w:val="21"/>
              </w:rPr>
            </m:ctrlPr>
          </m:e>
        </m:acc>
      </m:oMath>
      <w:r>
        <w:rPr>
          <w:rFonts w:hint="eastAsia"/>
        </w:rPr>
        <w:t>——所有取样点上的氢气浓度平均值；</w:t>
      </w:r>
    </w:p>
    <w:p>
      <w:pPr>
        <w:pStyle w:val="61"/>
        <w:ind w:firstLine="420"/>
      </w:pPr>
      <w:r>
        <w:tab/>
      </w:r>
      <m:oMath>
        <m:r>
          <m:rPr/>
          <w:rPr>
            <w:rFonts w:ascii="Cambria Math" w:hAnsi="Cambria Math"/>
          </w:rPr>
          <m:t>n</m:t>
        </m:r>
      </m:oMath>
      <w:r>
        <w:rPr>
          <w:rFonts w:hint="eastAsia"/>
        </w:rPr>
        <w:t>取——样点的个数。</w:t>
      </w:r>
    </w:p>
    <w:p>
      <w:pPr>
        <w:pStyle w:val="61"/>
        <w:ind w:firstLine="420"/>
      </w:pPr>
      <w:r>
        <w:rPr>
          <w:rFonts w:hint="eastAsia"/>
        </w:rPr>
        <w:t>如果试验条件不具备，可在现场进行试验，试验方法参考附录D。</w:t>
      </w:r>
    </w:p>
    <w:p>
      <w:pPr>
        <w:pStyle w:val="109"/>
        <w:spacing w:before="240" w:after="240"/>
      </w:pPr>
      <w:bookmarkStart w:id="221" w:name="_Toc209114107"/>
      <w:r>
        <w:rPr>
          <w:rFonts w:hint="eastAsia"/>
        </w:rPr>
        <w:t>防腐保温与涂饰</w:t>
      </w:r>
      <w:bookmarkEnd w:id="221"/>
    </w:p>
    <w:p>
      <w:pPr>
        <w:pStyle w:val="110"/>
        <w:spacing w:before="120" w:after="120"/>
      </w:pPr>
      <w:bookmarkStart w:id="222" w:name="_Toc209114108"/>
      <w:r>
        <w:rPr>
          <w:rFonts w:hint="eastAsia"/>
        </w:rPr>
        <w:t>一般规定</w:t>
      </w:r>
      <w:bookmarkEnd w:id="222"/>
    </w:p>
    <w:p>
      <w:pPr>
        <w:pStyle w:val="170"/>
      </w:pPr>
      <w:r>
        <w:rPr>
          <w:rFonts w:hint="eastAsia"/>
        </w:rPr>
        <w:t>碳素钢和低合金钢的设备、管道及其底座等附属钢结构表面应按设计要求涂覆。当设计无要求时，应符合SY/T 7036的规定，氢气管道的颜色为苹果绿、掺氢管道的颜色为天酞蓝。</w:t>
      </w:r>
    </w:p>
    <w:p>
      <w:pPr>
        <w:pStyle w:val="170"/>
      </w:pPr>
      <w:r>
        <w:rPr>
          <w:rFonts w:hint="eastAsia"/>
        </w:rPr>
        <w:t>不锈钢的设备、管道等附属钢结构表面应按设计图样要求进行表面处理。酸洗钝化处理应符合标准 HG/T 20584的规定，无蓝点合格。</w:t>
      </w:r>
    </w:p>
    <w:p>
      <w:pPr>
        <w:pStyle w:val="170"/>
      </w:pPr>
      <w:r>
        <w:rPr>
          <w:rFonts w:hint="eastAsia"/>
        </w:rPr>
        <w:t>下列情况之一者，若不采取有效措施，不应进行防腐作业：</w:t>
      </w:r>
    </w:p>
    <w:p>
      <w:pPr>
        <w:pStyle w:val="179"/>
        <w:numPr>
          <w:ilvl w:val="0"/>
          <w:numId w:val="103"/>
        </w:numPr>
      </w:pPr>
      <w:r>
        <w:rPr>
          <w:rFonts w:hint="eastAsia"/>
        </w:rPr>
        <w:t>环境温度低于5℃或高于40℃；</w:t>
      </w:r>
    </w:p>
    <w:p>
      <w:pPr>
        <w:pStyle w:val="179"/>
      </w:pPr>
      <w:r>
        <w:rPr>
          <w:rFonts w:hint="eastAsia"/>
        </w:rPr>
        <w:t>被涂表面温度高于53℃或表面温度低于10℃；</w:t>
      </w:r>
    </w:p>
    <w:p>
      <w:pPr>
        <w:pStyle w:val="179"/>
      </w:pPr>
      <w:r>
        <w:rPr>
          <w:rFonts w:hint="eastAsia"/>
        </w:rPr>
        <w:t>环境相对湿度大于85%；</w:t>
      </w:r>
    </w:p>
    <w:p>
      <w:pPr>
        <w:pStyle w:val="179"/>
      </w:pPr>
      <w:r>
        <w:rPr>
          <w:rFonts w:hint="eastAsia"/>
        </w:rPr>
        <w:t>钢管表面结露。</w:t>
      </w:r>
    </w:p>
    <w:p>
      <w:pPr>
        <w:pStyle w:val="170"/>
      </w:pPr>
      <w:r>
        <w:rPr>
          <w:rFonts w:hint="eastAsia"/>
        </w:rPr>
        <w:t>保温材料及其制品应采取防潮、防水、防雷、防冻、防挤压变形（成型产品）措施。不锈钢设备、管道用保温材料中氯离子、氟离子、硅酸根、钠离子的含量应符合GB/T17393的要求。</w:t>
      </w:r>
    </w:p>
    <w:p>
      <w:pPr>
        <w:pStyle w:val="110"/>
        <w:spacing w:before="120" w:after="120"/>
      </w:pPr>
      <w:bookmarkStart w:id="223" w:name="_Toc209114109"/>
      <w:r>
        <w:rPr>
          <w:rFonts w:hint="eastAsia"/>
        </w:rPr>
        <w:t>防腐</w:t>
      </w:r>
      <w:bookmarkEnd w:id="223"/>
    </w:p>
    <w:p>
      <w:pPr>
        <w:pStyle w:val="170"/>
      </w:pPr>
      <w:r>
        <w:rPr>
          <w:rFonts w:hint="eastAsia"/>
        </w:rPr>
        <w:t>钢材表面处理应满足下列要求：</w:t>
      </w:r>
    </w:p>
    <w:p>
      <w:pPr>
        <w:pStyle w:val="179"/>
        <w:numPr>
          <w:ilvl w:val="0"/>
          <w:numId w:val="104"/>
        </w:numPr>
      </w:pPr>
      <w:r>
        <w:rPr>
          <w:rFonts w:hint="eastAsia"/>
        </w:rPr>
        <w:t>钢管和管件在防腐、涂漆及补口前应进行表面处理，除锈等级Sa2.5级，锚纹深度宜为40μm～75μm。表面处理完成后，应用压缩空气将表面灰尘去除，表面清洁度应达到2级；</w:t>
      </w:r>
    </w:p>
    <w:p>
      <w:pPr>
        <w:pStyle w:val="179"/>
      </w:pPr>
      <w:r>
        <w:rPr>
          <w:rFonts w:hint="eastAsia"/>
        </w:rPr>
        <w:t>喷砂时，应将钢管以及其他附属设备端口封闭，防止磨料进入；</w:t>
      </w:r>
    </w:p>
    <w:p>
      <w:pPr>
        <w:pStyle w:val="179"/>
      </w:pPr>
      <w:r>
        <w:rPr>
          <w:rFonts w:hint="eastAsia"/>
        </w:rPr>
        <w:t>表面处理后，应进行检查，发现除锈等级不满足要求时，应重新处理，直到合格为止。</w:t>
      </w:r>
    </w:p>
    <w:p>
      <w:pPr>
        <w:pStyle w:val="170"/>
      </w:pPr>
      <w:r>
        <w:rPr>
          <w:rFonts w:hint="eastAsia"/>
        </w:rPr>
        <w:t>涂漆应满足下列要求：</w:t>
      </w:r>
    </w:p>
    <w:p>
      <w:pPr>
        <w:pStyle w:val="179"/>
        <w:numPr>
          <w:ilvl w:val="0"/>
          <w:numId w:val="105"/>
        </w:numPr>
      </w:pPr>
      <w:r>
        <w:rPr>
          <w:rFonts w:hint="eastAsia"/>
        </w:rPr>
        <w:t>涂漆施工宜采用喷涂、刷漆或滚涂，涂漆施工前，应先试涂。使用稀释剂等的种类和用量应符合有关标准的规定。底漆涂敷应在生成浮锈前完成；</w:t>
      </w:r>
    </w:p>
    <w:p>
      <w:pPr>
        <w:pStyle w:val="179"/>
      </w:pPr>
      <w:r>
        <w:rPr>
          <w:rFonts w:hint="eastAsia"/>
        </w:rPr>
        <w:t>涂漆应完整、均匀，涂装道数和厚度应符合设计和现行防腐标准的规定；</w:t>
      </w:r>
    </w:p>
    <w:p>
      <w:pPr>
        <w:pStyle w:val="179"/>
      </w:pPr>
      <w:r>
        <w:rPr>
          <w:rFonts w:hint="eastAsia"/>
        </w:rPr>
        <w:t>涂漆超过一遍时，前后间隔时间应根据涂料性质确定，且不得超过14h。若涂装间隔超过规定时间，应对涂层表面进行处理后才能进行下一道涂层的施工。底漆未干时不应进行下一道涂漆作业。</w:t>
      </w:r>
    </w:p>
    <w:p>
      <w:pPr>
        <w:pStyle w:val="170"/>
      </w:pPr>
      <w:r>
        <w:rPr>
          <w:rFonts w:hint="eastAsia"/>
        </w:rPr>
        <w:t>涂层质量如遇到下列情况时应进行修补：</w:t>
      </w:r>
    </w:p>
    <w:p>
      <w:pPr>
        <w:pStyle w:val="179"/>
        <w:numPr>
          <w:ilvl w:val="0"/>
          <w:numId w:val="106"/>
        </w:numPr>
      </w:pPr>
      <w:r>
        <w:rPr>
          <w:rFonts w:hint="eastAsia"/>
        </w:rPr>
        <w:t>涂层出现脱落、裂纹、气泡、透底、皱皮、流坠、色泽不均等；</w:t>
      </w:r>
    </w:p>
    <w:p>
      <w:pPr>
        <w:pStyle w:val="179"/>
      </w:pPr>
      <w:r>
        <w:rPr>
          <w:rFonts w:hint="eastAsia"/>
        </w:rPr>
        <w:t>施工中涂层受到损伤；</w:t>
      </w:r>
    </w:p>
    <w:p>
      <w:pPr>
        <w:pStyle w:val="179"/>
      </w:pPr>
      <w:r>
        <w:rPr>
          <w:rFonts w:hint="eastAsia"/>
        </w:rPr>
        <w:t>涂漆遗漏或小于设计厚度。</w:t>
      </w:r>
    </w:p>
    <w:p>
      <w:pPr>
        <w:pStyle w:val="170"/>
      </w:pPr>
      <w:r>
        <w:rPr>
          <w:rFonts w:hint="eastAsia"/>
        </w:rPr>
        <w:t>不锈钢表面的焊接飞溅物、熔渣、氧化皮、焊疤、油污等杂质均应清除干净，清除过程中不得使用碳钢刷清理不锈钢的表面。</w:t>
      </w:r>
    </w:p>
    <w:p>
      <w:pPr>
        <w:pStyle w:val="110"/>
        <w:spacing w:before="120" w:after="120"/>
      </w:pPr>
      <w:bookmarkStart w:id="224" w:name="_Toc209114110"/>
      <w:bookmarkStart w:id="225" w:name="_Toc202170092"/>
      <w:r>
        <w:rPr>
          <w:rFonts w:hint="eastAsia"/>
        </w:rPr>
        <w:t>保温</w:t>
      </w:r>
      <w:bookmarkEnd w:id="224"/>
      <w:bookmarkEnd w:id="225"/>
    </w:p>
    <w:p>
      <w:pPr>
        <w:pStyle w:val="170"/>
      </w:pPr>
      <w:r>
        <w:rPr>
          <w:rFonts w:hint="eastAsia"/>
        </w:rPr>
        <w:t>保温应在钢管表面质量检查及防腐合格后进行。根据保温材料的不同，保温施工可采用捆扎法、充填法、浇注法、喷涂法等施工方法进行。</w:t>
      </w:r>
    </w:p>
    <w:p>
      <w:pPr>
        <w:pStyle w:val="170"/>
      </w:pPr>
      <w:r>
        <w:rPr>
          <w:rFonts w:hint="eastAsia"/>
        </w:rPr>
        <w:t>对已保温的管段或构件，应妥善保护，局部磨损处应及时修补。</w:t>
      </w:r>
    </w:p>
    <w:p>
      <w:pPr>
        <w:pStyle w:val="170"/>
      </w:pPr>
      <w:r>
        <w:rPr>
          <w:rFonts w:hint="eastAsia"/>
        </w:rPr>
        <w:t>采用管壳预制块保温时，预制块接缝应错开，水平管的接缝应在正侧面。多层组合时，应分层绑扎，内层宜采用薄胶带固定，外层宜采用镀锌铁丝，包装钢带等绑扎。每块保温材料绑扎不得少于2道，绑扎间距应满足下列要求：</w:t>
      </w:r>
    </w:p>
    <w:p>
      <w:pPr>
        <w:pStyle w:val="179"/>
        <w:numPr>
          <w:ilvl w:val="0"/>
          <w:numId w:val="107"/>
        </w:numPr>
      </w:pPr>
      <w:r>
        <w:rPr>
          <w:rFonts w:hint="eastAsia"/>
        </w:rPr>
        <w:t>硬质保温材料不应大于400mm；</w:t>
      </w:r>
    </w:p>
    <w:p>
      <w:pPr>
        <w:pStyle w:val="179"/>
      </w:pPr>
      <w:r>
        <w:rPr>
          <w:rFonts w:hint="eastAsia"/>
        </w:rPr>
        <w:t>半硬质保温材料不应大于300mm；</w:t>
      </w:r>
    </w:p>
    <w:p>
      <w:pPr>
        <w:pStyle w:val="179"/>
      </w:pPr>
      <w:r>
        <w:rPr>
          <w:rFonts w:hint="eastAsia"/>
        </w:rPr>
        <w:t>软质保温材料不应大于200mm；</w:t>
      </w:r>
    </w:p>
    <w:p>
      <w:pPr>
        <w:pStyle w:val="179"/>
      </w:pPr>
      <w:r>
        <w:rPr>
          <w:rFonts w:hint="eastAsia"/>
        </w:rPr>
        <w:t>不得采用螺旋式缠绕绑扎。</w:t>
      </w:r>
    </w:p>
    <w:p>
      <w:pPr>
        <w:pStyle w:val="170"/>
      </w:pPr>
      <w:r>
        <w:rPr>
          <w:rFonts w:hint="eastAsia"/>
        </w:rPr>
        <w:t>阀门、法兰处的管道保温宜在法兰外侧预留出螺栓的长度加20mm间隙。</w:t>
      </w:r>
    </w:p>
    <w:p>
      <w:pPr>
        <w:pStyle w:val="170"/>
      </w:pPr>
      <w:r>
        <w:rPr>
          <w:rFonts w:hint="eastAsia"/>
        </w:rPr>
        <w:t>管托处的管道保温，应不影响管道的膨胀位移，且不损坏保温层。</w:t>
      </w:r>
    </w:p>
    <w:p>
      <w:pPr>
        <w:pStyle w:val="170"/>
      </w:pPr>
      <w:r>
        <w:rPr>
          <w:rFonts w:hint="eastAsia"/>
        </w:rPr>
        <w:t>保温层质量应满足下列要求：</w:t>
      </w:r>
    </w:p>
    <w:p>
      <w:pPr>
        <w:pStyle w:val="179"/>
        <w:numPr>
          <w:ilvl w:val="0"/>
          <w:numId w:val="108"/>
        </w:numPr>
      </w:pPr>
      <w:r>
        <w:rPr>
          <w:rFonts w:hint="eastAsia"/>
        </w:rPr>
        <w:t>毡、箔、布类保温材料或保温瓦应用相应的绑扎材料绑扎牢固，充填应密实，无严重凹凸现象，同轴度误差不大于10mm，保温厚度应符合设计规定，保温材料的容重允许偏差为5%；</w:t>
      </w:r>
    </w:p>
    <w:p>
      <w:pPr>
        <w:pStyle w:val="179"/>
      </w:pPr>
      <w:r>
        <w:rPr>
          <w:rFonts w:hint="eastAsia"/>
        </w:rPr>
        <w:t>泡沬保温层厚度应均匀，表面应光滑无开裂；</w:t>
      </w:r>
    </w:p>
    <w:p>
      <w:pPr>
        <w:pStyle w:val="179"/>
      </w:pPr>
      <w:r>
        <w:rPr>
          <w:rFonts w:hint="eastAsia"/>
        </w:rPr>
        <w:t>用金属薄板做保护层时，咬缝应牢固，包裹应紧凑，外观平整，光线折射均匀。</w:t>
      </w:r>
    </w:p>
    <w:p>
      <w:pPr>
        <w:pStyle w:val="179"/>
      </w:pPr>
      <w:r>
        <w:rPr>
          <w:rFonts w:hint="eastAsia"/>
        </w:rPr>
        <w:t>保温层表面和伸缩缝的允许偏差应符合表</w:t>
      </w:r>
      <w:r>
        <w:t>24</w:t>
      </w:r>
      <w:r>
        <w:rPr>
          <w:rFonts w:hint="eastAsia"/>
        </w:rPr>
        <w:t>的规定。</w:t>
      </w:r>
    </w:p>
    <w:p>
      <w:pPr>
        <w:pStyle w:val="117"/>
        <w:spacing w:before="120" w:after="120"/>
      </w:pPr>
      <w:r>
        <w:rPr>
          <w:rFonts w:hint="eastAsia"/>
        </w:rPr>
        <w:t>保温层表面和伸缩缝的允许偏差</w:t>
      </w:r>
    </w:p>
    <w:tbl>
      <w:tblPr>
        <w:tblStyle w:val="3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1"/>
        <w:gridCol w:w="1503"/>
        <w:gridCol w:w="1575"/>
        <w:gridCol w:w="2100"/>
        <w:gridCol w:w="21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851" w:type="dxa"/>
            <w:vAlign w:val="center"/>
          </w:tcPr>
          <w:p>
            <w:pPr>
              <w:pStyle w:val="257"/>
              <w:rPr>
                <w:sz w:val="18"/>
                <w:szCs w:val="18"/>
              </w:rPr>
            </w:pPr>
            <w:r>
              <w:rPr>
                <w:rFonts w:hint="eastAsia"/>
                <w:sz w:val="18"/>
                <w:szCs w:val="18"/>
              </w:rPr>
              <w:t>序号</w:t>
            </w:r>
          </w:p>
        </w:tc>
        <w:tc>
          <w:tcPr>
            <w:tcW w:w="3078" w:type="dxa"/>
            <w:gridSpan w:val="2"/>
            <w:vAlign w:val="center"/>
          </w:tcPr>
          <w:p>
            <w:pPr>
              <w:pStyle w:val="257"/>
              <w:rPr>
                <w:sz w:val="18"/>
                <w:szCs w:val="18"/>
              </w:rPr>
            </w:pPr>
            <w:r>
              <w:rPr>
                <w:rFonts w:hint="eastAsia"/>
                <w:sz w:val="18"/>
                <w:szCs w:val="18"/>
              </w:rPr>
              <w:t>项      目</w:t>
            </w:r>
          </w:p>
        </w:tc>
        <w:tc>
          <w:tcPr>
            <w:tcW w:w="2100" w:type="dxa"/>
            <w:vAlign w:val="center"/>
          </w:tcPr>
          <w:p>
            <w:pPr>
              <w:pStyle w:val="257"/>
              <w:rPr>
                <w:sz w:val="18"/>
                <w:szCs w:val="18"/>
              </w:rPr>
            </w:pPr>
            <w:r>
              <w:rPr>
                <w:rFonts w:hint="eastAsia"/>
                <w:sz w:val="18"/>
                <w:szCs w:val="18"/>
              </w:rPr>
              <w:t>允许偏差</w:t>
            </w:r>
          </w:p>
        </w:tc>
        <w:tc>
          <w:tcPr>
            <w:tcW w:w="2100" w:type="dxa"/>
            <w:vAlign w:val="center"/>
          </w:tcPr>
          <w:p>
            <w:pPr>
              <w:pStyle w:val="257"/>
              <w:rPr>
                <w:sz w:val="18"/>
                <w:szCs w:val="18"/>
              </w:rPr>
            </w:pPr>
            <w:r>
              <w:rPr>
                <w:rFonts w:hint="eastAsia"/>
                <w:sz w:val="18"/>
                <w:szCs w:val="18"/>
              </w:rPr>
              <w:t>检查方法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851" w:type="dxa"/>
            <w:vMerge w:val="restart"/>
            <w:vAlign w:val="center"/>
          </w:tcPr>
          <w:p>
            <w:pPr>
              <w:pStyle w:val="257"/>
              <w:rPr>
                <w:sz w:val="18"/>
                <w:szCs w:val="18"/>
              </w:rPr>
            </w:pPr>
            <w:r>
              <w:rPr>
                <w:rFonts w:hint="eastAsia"/>
                <w:sz w:val="18"/>
                <w:szCs w:val="18"/>
              </w:rPr>
              <w:t>1</w:t>
            </w:r>
          </w:p>
        </w:tc>
        <w:tc>
          <w:tcPr>
            <w:tcW w:w="1503" w:type="dxa"/>
            <w:vMerge w:val="restart"/>
            <w:vAlign w:val="center"/>
          </w:tcPr>
          <w:p>
            <w:pPr>
              <w:pStyle w:val="257"/>
              <w:rPr>
                <w:sz w:val="18"/>
                <w:szCs w:val="18"/>
              </w:rPr>
            </w:pPr>
            <w:r>
              <w:rPr>
                <w:rFonts w:hint="eastAsia"/>
                <w:sz w:val="18"/>
                <w:szCs w:val="18"/>
              </w:rPr>
              <w:t>表面平整度</w:t>
            </w:r>
          </w:p>
        </w:tc>
        <w:tc>
          <w:tcPr>
            <w:tcW w:w="1575" w:type="dxa"/>
            <w:vAlign w:val="center"/>
          </w:tcPr>
          <w:p>
            <w:pPr>
              <w:pStyle w:val="257"/>
              <w:rPr>
                <w:sz w:val="18"/>
                <w:szCs w:val="18"/>
              </w:rPr>
            </w:pPr>
            <w:r>
              <w:rPr>
                <w:rFonts w:hint="eastAsia"/>
                <w:sz w:val="18"/>
                <w:szCs w:val="18"/>
              </w:rPr>
              <w:t>涂抹</w:t>
            </w:r>
          </w:p>
        </w:tc>
        <w:tc>
          <w:tcPr>
            <w:tcW w:w="2100" w:type="dxa"/>
            <w:vAlign w:val="center"/>
          </w:tcPr>
          <w:p>
            <w:pPr>
              <w:pStyle w:val="257"/>
              <w:rPr>
                <w:sz w:val="18"/>
                <w:szCs w:val="18"/>
              </w:rPr>
            </w:pPr>
            <w:r>
              <w:rPr>
                <w:rFonts w:hint="eastAsia"/>
                <w:sz w:val="18"/>
                <w:szCs w:val="18"/>
              </w:rPr>
              <w:t>5mm</w:t>
            </w:r>
          </w:p>
        </w:tc>
        <w:tc>
          <w:tcPr>
            <w:tcW w:w="2100" w:type="dxa"/>
            <w:vMerge w:val="restart"/>
            <w:vAlign w:val="center"/>
          </w:tcPr>
          <w:p>
            <w:pPr>
              <w:pStyle w:val="257"/>
              <w:rPr>
                <w:sz w:val="18"/>
                <w:szCs w:val="18"/>
              </w:rPr>
            </w:pPr>
            <w:r>
              <w:rPr>
                <w:rFonts w:hint="eastAsia"/>
                <w:sz w:val="18"/>
                <w:szCs w:val="18"/>
              </w:rPr>
              <w:t>用1m靠尺和塞尺检查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851" w:type="dxa"/>
            <w:vMerge w:val="continue"/>
            <w:vAlign w:val="center"/>
          </w:tcPr>
          <w:p>
            <w:pPr>
              <w:pStyle w:val="257"/>
              <w:rPr>
                <w:sz w:val="18"/>
                <w:szCs w:val="18"/>
              </w:rPr>
            </w:pPr>
          </w:p>
        </w:tc>
        <w:tc>
          <w:tcPr>
            <w:tcW w:w="1503" w:type="dxa"/>
            <w:vMerge w:val="continue"/>
            <w:vAlign w:val="center"/>
          </w:tcPr>
          <w:p>
            <w:pPr>
              <w:pStyle w:val="257"/>
              <w:rPr>
                <w:sz w:val="18"/>
                <w:szCs w:val="18"/>
              </w:rPr>
            </w:pPr>
          </w:p>
        </w:tc>
        <w:tc>
          <w:tcPr>
            <w:tcW w:w="1575" w:type="dxa"/>
            <w:vAlign w:val="center"/>
          </w:tcPr>
          <w:p>
            <w:pPr>
              <w:pStyle w:val="257"/>
              <w:rPr>
                <w:sz w:val="18"/>
                <w:szCs w:val="18"/>
              </w:rPr>
            </w:pPr>
            <w:r>
              <w:rPr>
                <w:rFonts w:hint="eastAsia"/>
                <w:sz w:val="18"/>
                <w:szCs w:val="18"/>
              </w:rPr>
              <w:t>卷材成型</w:t>
            </w:r>
          </w:p>
        </w:tc>
        <w:tc>
          <w:tcPr>
            <w:tcW w:w="2100" w:type="dxa"/>
            <w:vAlign w:val="center"/>
          </w:tcPr>
          <w:p>
            <w:pPr>
              <w:pStyle w:val="257"/>
              <w:rPr>
                <w:sz w:val="18"/>
                <w:szCs w:val="18"/>
              </w:rPr>
            </w:pPr>
            <w:r>
              <w:rPr>
                <w:rFonts w:hint="eastAsia"/>
                <w:sz w:val="18"/>
                <w:szCs w:val="18"/>
              </w:rPr>
              <w:t>5mm</w:t>
            </w:r>
          </w:p>
        </w:tc>
        <w:tc>
          <w:tcPr>
            <w:tcW w:w="2100" w:type="dxa"/>
            <w:vMerge w:val="continue"/>
            <w:vAlign w:val="center"/>
          </w:tcPr>
          <w:p>
            <w:pPr>
              <w:pStyle w:val="257"/>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851" w:type="dxa"/>
            <w:vAlign w:val="center"/>
          </w:tcPr>
          <w:p>
            <w:pPr>
              <w:pStyle w:val="257"/>
              <w:rPr>
                <w:sz w:val="18"/>
                <w:szCs w:val="18"/>
              </w:rPr>
            </w:pPr>
            <w:r>
              <w:rPr>
                <w:rFonts w:hint="eastAsia"/>
                <w:sz w:val="18"/>
                <w:szCs w:val="18"/>
              </w:rPr>
              <w:t>2</w:t>
            </w:r>
          </w:p>
        </w:tc>
        <w:tc>
          <w:tcPr>
            <w:tcW w:w="1503" w:type="dxa"/>
            <w:vAlign w:val="center"/>
          </w:tcPr>
          <w:p>
            <w:pPr>
              <w:pStyle w:val="257"/>
              <w:rPr>
                <w:sz w:val="18"/>
                <w:szCs w:val="18"/>
              </w:rPr>
            </w:pPr>
            <w:r>
              <w:rPr>
                <w:rFonts w:hint="eastAsia"/>
                <w:sz w:val="18"/>
                <w:szCs w:val="18"/>
              </w:rPr>
              <w:t>外保护层松紧度</w:t>
            </w:r>
          </w:p>
        </w:tc>
        <w:tc>
          <w:tcPr>
            <w:tcW w:w="1575" w:type="dxa"/>
            <w:vAlign w:val="center"/>
          </w:tcPr>
          <w:p>
            <w:pPr>
              <w:pStyle w:val="257"/>
              <w:rPr>
                <w:sz w:val="18"/>
                <w:szCs w:val="18"/>
              </w:rPr>
            </w:pPr>
            <w:r>
              <w:rPr>
                <w:rFonts w:hint="eastAsia"/>
                <w:sz w:val="18"/>
                <w:szCs w:val="18"/>
              </w:rPr>
              <w:t>成型品</w:t>
            </w:r>
          </w:p>
        </w:tc>
        <w:tc>
          <w:tcPr>
            <w:tcW w:w="2100" w:type="dxa"/>
            <w:vAlign w:val="center"/>
          </w:tcPr>
          <w:p>
            <w:pPr>
              <w:pStyle w:val="257"/>
              <w:rPr>
                <w:sz w:val="18"/>
                <w:szCs w:val="18"/>
              </w:rPr>
            </w:pPr>
            <w:r>
              <w:rPr>
                <w:rFonts w:hint="eastAsia"/>
                <w:sz w:val="18"/>
                <w:szCs w:val="18"/>
              </w:rPr>
              <w:t>不大于成型品的外周长</w:t>
            </w:r>
          </w:p>
        </w:tc>
        <w:tc>
          <w:tcPr>
            <w:tcW w:w="2100" w:type="dxa"/>
            <w:vAlign w:val="center"/>
          </w:tcPr>
          <w:p>
            <w:pPr>
              <w:pStyle w:val="257"/>
              <w:rPr>
                <w:sz w:val="18"/>
                <w:szCs w:val="18"/>
              </w:rPr>
            </w:pPr>
            <w:r>
              <w:rPr>
                <w:rFonts w:hint="eastAsia"/>
                <w:sz w:val="18"/>
                <w:szCs w:val="18"/>
              </w:rPr>
              <w:t>用卷尺检查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63" w:hRule="atLeast"/>
          <w:jc w:val="center"/>
        </w:trPr>
        <w:tc>
          <w:tcPr>
            <w:tcW w:w="851" w:type="dxa"/>
            <w:vAlign w:val="center"/>
          </w:tcPr>
          <w:p>
            <w:pPr>
              <w:pStyle w:val="257"/>
              <w:rPr>
                <w:sz w:val="18"/>
                <w:szCs w:val="18"/>
              </w:rPr>
            </w:pPr>
            <w:r>
              <w:rPr>
                <w:rFonts w:hint="eastAsia"/>
                <w:sz w:val="18"/>
                <w:szCs w:val="18"/>
              </w:rPr>
              <w:t>3</w:t>
            </w:r>
          </w:p>
        </w:tc>
        <w:tc>
          <w:tcPr>
            <w:tcW w:w="3078" w:type="dxa"/>
            <w:gridSpan w:val="2"/>
            <w:vAlign w:val="center"/>
          </w:tcPr>
          <w:p>
            <w:pPr>
              <w:pStyle w:val="257"/>
              <w:rPr>
                <w:sz w:val="18"/>
                <w:szCs w:val="18"/>
              </w:rPr>
            </w:pPr>
            <w:r>
              <w:rPr>
                <w:rFonts w:hint="eastAsia"/>
                <w:sz w:val="18"/>
                <w:szCs w:val="18"/>
              </w:rPr>
              <w:t>厚度</w:t>
            </w:r>
          </w:p>
        </w:tc>
        <w:tc>
          <w:tcPr>
            <w:tcW w:w="2100" w:type="dxa"/>
            <w:vAlign w:val="center"/>
          </w:tcPr>
          <w:p>
            <w:pPr>
              <w:pStyle w:val="257"/>
              <w:rPr>
                <w:sz w:val="18"/>
                <w:szCs w:val="18"/>
              </w:rPr>
            </w:pPr>
            <w:r>
              <w:rPr>
                <w:rFonts w:hint="eastAsia"/>
                <w:sz w:val="18"/>
                <w:szCs w:val="18"/>
              </w:rPr>
              <w:t>8%</w:t>
            </w:r>
          </w:p>
        </w:tc>
        <w:tc>
          <w:tcPr>
            <w:tcW w:w="2100" w:type="dxa"/>
            <w:vAlign w:val="center"/>
          </w:tcPr>
          <w:p>
            <w:pPr>
              <w:pStyle w:val="257"/>
              <w:rPr>
                <w:sz w:val="18"/>
                <w:szCs w:val="18"/>
              </w:rPr>
            </w:pPr>
            <w:r>
              <w:rPr>
                <w:rFonts w:hint="eastAsia"/>
                <w:sz w:val="18"/>
                <w:szCs w:val="18"/>
              </w:rPr>
              <w:t>用钢针插入检查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851" w:type="dxa"/>
            <w:vAlign w:val="center"/>
          </w:tcPr>
          <w:p>
            <w:pPr>
              <w:pStyle w:val="257"/>
              <w:rPr>
                <w:sz w:val="18"/>
                <w:szCs w:val="18"/>
              </w:rPr>
            </w:pPr>
            <w:r>
              <w:rPr>
                <w:rFonts w:hint="eastAsia"/>
                <w:sz w:val="18"/>
                <w:szCs w:val="18"/>
              </w:rPr>
              <w:t>4</w:t>
            </w:r>
          </w:p>
        </w:tc>
        <w:tc>
          <w:tcPr>
            <w:tcW w:w="3078" w:type="dxa"/>
            <w:gridSpan w:val="2"/>
            <w:vAlign w:val="center"/>
          </w:tcPr>
          <w:p>
            <w:pPr>
              <w:pStyle w:val="257"/>
              <w:rPr>
                <w:sz w:val="18"/>
                <w:szCs w:val="18"/>
              </w:rPr>
            </w:pPr>
            <w:r>
              <w:rPr>
                <w:rFonts w:hint="eastAsia"/>
                <w:sz w:val="18"/>
                <w:szCs w:val="18"/>
              </w:rPr>
              <w:t>伸缩缝宽度</w:t>
            </w:r>
          </w:p>
        </w:tc>
        <w:tc>
          <w:tcPr>
            <w:tcW w:w="2100" w:type="dxa"/>
            <w:vAlign w:val="center"/>
          </w:tcPr>
          <w:p>
            <w:pPr>
              <w:pStyle w:val="257"/>
              <w:rPr>
                <w:sz w:val="18"/>
                <w:szCs w:val="18"/>
              </w:rPr>
            </w:pPr>
            <w:r>
              <w:rPr>
                <w:rFonts w:hint="eastAsia"/>
                <w:sz w:val="18"/>
                <w:szCs w:val="18"/>
              </w:rPr>
              <w:t>5%</w:t>
            </w:r>
          </w:p>
        </w:tc>
        <w:tc>
          <w:tcPr>
            <w:tcW w:w="2100" w:type="dxa"/>
            <w:vAlign w:val="center"/>
          </w:tcPr>
          <w:p>
            <w:pPr>
              <w:pStyle w:val="257"/>
              <w:rPr>
                <w:sz w:val="18"/>
                <w:szCs w:val="18"/>
              </w:rPr>
            </w:pPr>
            <w:r>
              <w:rPr>
                <w:rFonts w:hint="eastAsia"/>
                <w:sz w:val="18"/>
                <w:szCs w:val="18"/>
              </w:rPr>
              <w:t>用尺检查</w:t>
            </w:r>
          </w:p>
        </w:tc>
      </w:tr>
    </w:tbl>
    <w:p>
      <w:pPr>
        <w:pStyle w:val="170"/>
      </w:pPr>
      <w:r>
        <w:rPr>
          <w:rFonts w:hint="eastAsia"/>
        </w:rPr>
        <w:t>毡、箔、布类保护层包缠施工前应对粘结剂做试样检验，包缠搭接应粘贴严密，环缝和纵缝搭接尺寸不应小于50mm。</w:t>
      </w:r>
    </w:p>
    <w:p>
      <w:pPr>
        <w:pStyle w:val="170"/>
      </w:pPr>
      <w:r>
        <w:rPr>
          <w:rFonts w:hint="eastAsia"/>
        </w:rPr>
        <w:t>采用金属外保护层时，环向活动缝应按照设计留置，施工接缝应上搭下，并按照规定嵌填密封剂或在接缝处包缠密封带。</w:t>
      </w:r>
    </w:p>
    <w:p>
      <w:pPr>
        <w:pStyle w:val="170"/>
        <w:rPr>
          <w:rFonts w:ascii="Times New Roman"/>
          <w:szCs w:val="24"/>
        </w:rPr>
      </w:pPr>
      <w:r>
        <w:rPr>
          <w:rFonts w:hint="eastAsia" w:ascii="Times New Roman"/>
          <w:szCs w:val="24"/>
        </w:rPr>
        <w:t>引压管、排污管路根据设计图纸要求进行保温。</w:t>
      </w:r>
    </w:p>
    <w:p>
      <w:pPr>
        <w:pStyle w:val="170"/>
        <w:numPr>
          <w:ilvl w:val="0"/>
          <w:numId w:val="0"/>
        </w:numPr>
        <w:ind w:left="142"/>
        <w:rPr>
          <w:rFonts w:ascii="Times New Roman"/>
          <w:szCs w:val="24"/>
        </w:rPr>
      </w:pPr>
    </w:p>
    <w:p>
      <w:pPr>
        <w:pStyle w:val="109"/>
        <w:spacing w:before="240" w:after="240"/>
      </w:pPr>
      <w:bookmarkStart w:id="226" w:name="_Toc202170094"/>
      <w:bookmarkStart w:id="227" w:name="_Toc209114111"/>
      <w:r>
        <w:rPr>
          <w:rFonts w:hint="eastAsia"/>
        </w:rPr>
        <w:t>标志</w:t>
      </w:r>
      <w:bookmarkEnd w:id="226"/>
      <w:bookmarkEnd w:id="227"/>
    </w:p>
    <w:p>
      <w:pPr>
        <w:pStyle w:val="110"/>
        <w:spacing w:before="120" w:after="120"/>
      </w:pPr>
      <w:bookmarkStart w:id="228" w:name="_Toc209114112"/>
      <w:r>
        <w:rPr>
          <w:rFonts w:hint="eastAsia"/>
        </w:rPr>
        <w:t>铭牌</w:t>
      </w:r>
      <w:bookmarkEnd w:id="228"/>
    </w:p>
    <w:p>
      <w:pPr>
        <w:pStyle w:val="61"/>
        <w:ind w:firstLine="420"/>
      </w:pPr>
      <w:r>
        <w:rPr>
          <w:rFonts w:hint="eastAsia"/>
        </w:rPr>
        <w:t>掺氢撬应按图样规定位置设置不锈钢铭牌，铭牌宜包括以下内容：</w:t>
      </w:r>
    </w:p>
    <w:p>
      <w:pPr>
        <w:pStyle w:val="179"/>
        <w:numPr>
          <w:ilvl w:val="0"/>
          <w:numId w:val="109"/>
        </w:numPr>
      </w:pPr>
      <w:r>
        <w:rPr>
          <w:rFonts w:hint="eastAsia"/>
        </w:rPr>
        <w:t>产品的名称与型号；</w:t>
      </w:r>
    </w:p>
    <w:p>
      <w:pPr>
        <w:pStyle w:val="179"/>
      </w:pPr>
      <w:r>
        <w:rPr>
          <w:rFonts w:hint="eastAsia"/>
        </w:rPr>
        <w:t>设计压力；</w:t>
      </w:r>
    </w:p>
    <w:p>
      <w:pPr>
        <w:pStyle w:val="179"/>
      </w:pPr>
      <w:r>
        <w:rPr>
          <w:rFonts w:hint="eastAsia"/>
        </w:rPr>
        <w:t>设计温度；</w:t>
      </w:r>
    </w:p>
    <w:p>
      <w:pPr>
        <w:pStyle w:val="179"/>
      </w:pPr>
      <w:r>
        <w:rPr>
          <w:rFonts w:hint="eastAsia"/>
        </w:rPr>
        <w:t>工作介质，氢气（H2）或掺氢天然气中氢气比例（%）标志；</w:t>
      </w:r>
    </w:p>
    <w:p>
      <w:pPr>
        <w:pStyle w:val="179"/>
      </w:pPr>
      <w:r>
        <w:rPr>
          <w:rFonts w:hint="eastAsia"/>
        </w:rPr>
        <w:t>掺混介质和掺混比例（体积分数），%；</w:t>
      </w:r>
    </w:p>
    <w:p>
      <w:pPr>
        <w:pStyle w:val="179"/>
      </w:pPr>
      <w:r>
        <w:rPr>
          <w:rFonts w:hint="eastAsia"/>
        </w:rPr>
        <w:t>输气量</w:t>
      </w:r>
    </w:p>
    <w:p>
      <w:pPr>
        <w:pStyle w:val="179"/>
      </w:pPr>
      <w:r>
        <w:rPr>
          <w:rFonts w:hint="eastAsia"/>
        </w:rPr>
        <w:t>混气精度等级，AH；</w:t>
      </w:r>
    </w:p>
    <w:p>
      <w:pPr>
        <w:pStyle w:val="179"/>
      </w:pPr>
      <w:r>
        <w:rPr>
          <w:rFonts w:hint="eastAsia"/>
        </w:rPr>
        <w:t>混气均匀度，%；</w:t>
      </w:r>
    </w:p>
    <w:p>
      <w:pPr>
        <w:pStyle w:val="179"/>
      </w:pPr>
      <w:r>
        <w:rPr>
          <w:rFonts w:hint="eastAsia"/>
        </w:rPr>
        <w:t>产品标准；</w:t>
      </w:r>
    </w:p>
    <w:p>
      <w:pPr>
        <w:pStyle w:val="179"/>
      </w:pPr>
      <w:r>
        <w:rPr>
          <w:rFonts w:hint="eastAsia"/>
        </w:rPr>
        <w:t>设备净重；</w:t>
      </w:r>
    </w:p>
    <w:p>
      <w:pPr>
        <w:pStyle w:val="179"/>
      </w:pPr>
      <w:r>
        <w:rPr>
          <w:rFonts w:hint="eastAsia"/>
        </w:rPr>
        <w:t>外形尺寸（长×宽×高）；</w:t>
      </w:r>
      <w:r>
        <w:rPr>
          <w:rFonts w:hint="eastAsia"/>
        </w:rPr>
        <w:tab/>
      </w:r>
    </w:p>
    <w:p>
      <w:pPr>
        <w:pStyle w:val="179"/>
      </w:pPr>
      <w:r>
        <w:rPr>
          <w:rFonts w:hint="eastAsia"/>
        </w:rPr>
        <w:t>制造单位许可证编号；</w:t>
      </w:r>
    </w:p>
    <w:p>
      <w:pPr>
        <w:pStyle w:val="179"/>
      </w:pPr>
      <w:r>
        <w:rPr>
          <w:rFonts w:hint="eastAsia"/>
        </w:rPr>
        <w:t>制造单位名称；</w:t>
      </w:r>
    </w:p>
    <w:p>
      <w:pPr>
        <w:pStyle w:val="179"/>
      </w:pPr>
      <w:r>
        <w:rPr>
          <w:rFonts w:hint="eastAsia"/>
        </w:rPr>
        <w:t>产品编号；</w:t>
      </w:r>
    </w:p>
    <w:p>
      <w:pPr>
        <w:pStyle w:val="179"/>
      </w:pPr>
      <w:r>
        <w:rPr>
          <w:rFonts w:hint="eastAsia"/>
        </w:rPr>
        <w:t>制造日期；</w:t>
      </w:r>
    </w:p>
    <w:p>
      <w:pPr>
        <w:pStyle w:val="179"/>
      </w:pPr>
      <w:r>
        <w:rPr>
          <w:rFonts w:hint="eastAsia"/>
        </w:rPr>
        <w:t>产品二维码或电子标签；</w:t>
      </w:r>
    </w:p>
    <w:p>
      <w:pPr>
        <w:pStyle w:val="179"/>
      </w:pPr>
      <w:r>
        <w:rPr>
          <w:rFonts w:hint="eastAsia"/>
        </w:rPr>
        <w:t>TS 标志。</w:t>
      </w:r>
    </w:p>
    <w:p>
      <w:pPr>
        <w:pStyle w:val="110"/>
        <w:spacing w:before="120" w:after="120"/>
      </w:pPr>
      <w:bookmarkStart w:id="229" w:name="_Toc209114113"/>
      <w:r>
        <w:rPr>
          <w:rFonts w:hint="eastAsia"/>
        </w:rPr>
        <w:t>其它标识</w:t>
      </w:r>
      <w:bookmarkEnd w:id="229"/>
    </w:p>
    <w:p>
      <w:pPr>
        <w:widowControl/>
        <w:autoSpaceDE w:val="0"/>
        <w:autoSpaceDN w:val="0"/>
        <w:adjustRightInd/>
        <w:spacing w:line="240" w:lineRule="auto"/>
        <w:ind w:firstLine="420" w:firstLineChars="200"/>
        <w:rPr>
          <w:rFonts w:ascii="宋体" w:hAnsi="Times New Roman"/>
          <w:kern w:val="0"/>
          <w:szCs w:val="20"/>
        </w:rPr>
      </w:pPr>
      <w:r>
        <w:rPr>
          <w:rFonts w:hint="eastAsia" w:ascii="宋体" w:hAnsi="Times New Roman"/>
          <w:kern w:val="0"/>
          <w:szCs w:val="20"/>
        </w:rPr>
        <w:t>除铭牌外掺氢撬还应按如下要求设置其它标识：</w:t>
      </w:r>
    </w:p>
    <w:p>
      <w:pPr>
        <w:pStyle w:val="179"/>
        <w:numPr>
          <w:ilvl w:val="0"/>
          <w:numId w:val="110"/>
        </w:numPr>
      </w:pPr>
      <w:r>
        <w:rPr>
          <w:rFonts w:hint="eastAsia"/>
        </w:rPr>
        <w:t>掺氢</w:t>
      </w:r>
      <w:r>
        <w:t>撬内管道上应设有介质标识，标识上应包括介质名称、流向等信息。</w:t>
      </w:r>
    </w:p>
    <w:p>
      <w:pPr>
        <w:pStyle w:val="179"/>
      </w:pPr>
      <w:r>
        <w:rPr>
          <w:rFonts w:hint="eastAsia"/>
        </w:rPr>
        <w:t>掺氢</w:t>
      </w:r>
      <w:r>
        <w:t>撬内阀门上应有状态标识，标识上应包括开关方向、常开、常闭等信息。</w:t>
      </w:r>
    </w:p>
    <w:p>
      <w:pPr>
        <w:pStyle w:val="179"/>
      </w:pPr>
      <w:r>
        <w:t>管道介质流向标识应符合</w:t>
      </w:r>
      <w:r>
        <w:rPr>
          <w:rFonts w:hint="eastAsia"/>
        </w:rPr>
        <w:t>G</w:t>
      </w:r>
      <w:r>
        <w:t>B 7231的要求。</w:t>
      </w:r>
    </w:p>
    <w:p>
      <w:pPr>
        <w:pStyle w:val="179"/>
      </w:pPr>
      <w:r>
        <w:rPr>
          <w:rFonts w:hint="eastAsia"/>
        </w:rPr>
        <w:t>掺氢</w:t>
      </w:r>
      <w:r>
        <w:t>撬</w:t>
      </w:r>
      <w:r>
        <w:rPr>
          <w:rFonts w:hint="eastAsia"/>
        </w:rPr>
        <w:t>上</w:t>
      </w:r>
      <w:r>
        <w:t>设置明显的危险警示标识，如</w:t>
      </w:r>
      <w:r>
        <w:rPr>
          <w:rFonts w:hint="eastAsia"/>
        </w:rPr>
        <w:t>“</w:t>
      </w:r>
      <w:r>
        <w:t>易燃</w:t>
      </w:r>
      <w:r>
        <w:rPr>
          <w:rFonts w:hint="eastAsia"/>
        </w:rPr>
        <w:t>”</w:t>
      </w:r>
      <w:r>
        <w:t>、</w:t>
      </w:r>
      <w:r>
        <w:rPr>
          <w:rFonts w:hint="eastAsia"/>
        </w:rPr>
        <w:t>“</w:t>
      </w:r>
      <w:r>
        <w:t>易爆</w:t>
      </w:r>
      <w:r>
        <w:rPr>
          <w:rFonts w:hint="eastAsia"/>
        </w:rPr>
        <w:t>”</w:t>
      </w:r>
      <w:r>
        <w:t>等字样。</w:t>
      </w:r>
    </w:p>
    <w:p>
      <w:pPr>
        <w:pStyle w:val="179"/>
      </w:pPr>
      <w:r>
        <w:rPr>
          <w:rFonts w:hint="eastAsia"/>
        </w:rPr>
        <w:t>在设备明显部分还应有起吊标志及紧急情况电话号码等。</w:t>
      </w:r>
    </w:p>
    <w:p>
      <w:pPr>
        <w:pStyle w:val="109"/>
        <w:spacing w:before="240" w:after="240"/>
      </w:pPr>
      <w:bookmarkStart w:id="230" w:name="_Toc209114114"/>
      <w:r>
        <w:rPr>
          <w:rFonts w:hint="eastAsia"/>
        </w:rPr>
        <w:t>包装与运输</w:t>
      </w:r>
      <w:bookmarkEnd w:id="230"/>
    </w:p>
    <w:p>
      <w:pPr>
        <w:pStyle w:val="110"/>
        <w:spacing w:before="120" w:after="120"/>
      </w:pPr>
      <w:bookmarkStart w:id="231" w:name="_Toc209114115"/>
      <w:r>
        <w:rPr>
          <w:rFonts w:hint="eastAsia"/>
        </w:rPr>
        <w:t>包装</w:t>
      </w:r>
      <w:bookmarkEnd w:id="231"/>
    </w:p>
    <w:p>
      <w:pPr>
        <w:pStyle w:val="170"/>
      </w:pPr>
      <w:r>
        <w:rPr>
          <w:rFonts w:hint="eastAsia"/>
        </w:rPr>
        <w:t>掺氢撬的包装除符合NB/T 10558的规定外，还应符合设计文件的要求；</w:t>
      </w:r>
    </w:p>
    <w:p>
      <w:pPr>
        <w:pStyle w:val="170"/>
      </w:pPr>
      <w:r>
        <w:rPr>
          <w:rFonts w:hint="eastAsia"/>
        </w:rPr>
        <w:t>掺氢撬内单独包装的阀门、仪器、仪表等的包装参照GB/T 13384的要求；</w:t>
      </w:r>
    </w:p>
    <w:p>
      <w:pPr>
        <w:pStyle w:val="170"/>
      </w:pPr>
      <w:r>
        <w:rPr>
          <w:rFonts w:hint="eastAsia"/>
        </w:rPr>
        <w:t>待油漆完全干燥后，做好清洁工作，方可进行包装；</w:t>
      </w:r>
    </w:p>
    <w:p>
      <w:pPr>
        <w:pStyle w:val="170"/>
        <w:rPr>
          <w:rFonts w:hAnsi="宋体" w:cs="宋体"/>
        </w:rPr>
      </w:pPr>
      <w:r>
        <w:rPr>
          <w:rFonts w:hint="eastAsia"/>
        </w:rPr>
        <w:t>包装结构和方式应根据结构尺寸、重量、运输距离、运输方法等确定，并应有足够的强度保证</w:t>
      </w:r>
      <w:r>
        <w:rPr>
          <w:rFonts w:hint="eastAsia" w:hAnsi="宋体" w:cs="宋体"/>
        </w:rPr>
        <w:t>运输安全。</w:t>
      </w:r>
    </w:p>
    <w:p>
      <w:pPr>
        <w:pStyle w:val="170"/>
        <w:rPr>
          <w:rFonts w:hAnsi="宋体" w:cs="宋体"/>
        </w:rPr>
      </w:pPr>
      <w:r>
        <w:rPr>
          <w:rFonts w:hint="eastAsia"/>
        </w:rPr>
        <w:t>掺氢撬</w:t>
      </w:r>
      <w:r>
        <w:rPr>
          <w:rFonts w:hint="eastAsia" w:hAnsi="宋体" w:cs="宋体"/>
        </w:rPr>
        <w:t xml:space="preserve">宜整体出厂，如因运输条件限制分散出厂时，制造厂应提供重新装配的程序和相应的现 </w:t>
      </w:r>
      <w:r>
        <w:rPr>
          <w:rFonts w:hAnsi="宋体" w:cs="宋体"/>
        </w:rPr>
        <w:t xml:space="preserve"> </w:t>
      </w:r>
      <w:r>
        <w:rPr>
          <w:rFonts w:hint="eastAsia" w:hAnsi="宋体" w:cs="宋体"/>
        </w:rPr>
        <w:t>场检验方法。</w:t>
      </w:r>
    </w:p>
    <w:p>
      <w:pPr>
        <w:pStyle w:val="170"/>
      </w:pPr>
      <w:r>
        <w:rPr>
          <w:rFonts w:hint="eastAsia"/>
        </w:rPr>
        <w:t>掺氢撬应进行防碰、防划伤处理，应对管路、阀门、设备、仪表、法兰、螺纹接口等采取保护措施,防止运输过程损坏。</w:t>
      </w:r>
    </w:p>
    <w:p>
      <w:pPr>
        <w:pStyle w:val="170"/>
      </w:pPr>
      <w:r>
        <w:rPr>
          <w:rFonts w:hint="eastAsia" w:hAnsi="宋体" w:cs="宋体"/>
        </w:rPr>
        <w:t>单独交付的内件、零部件、备品备件及专用工具等应单独包装或装箱，并采取必要的保护措施。</w:t>
      </w:r>
      <w:r>
        <w:rPr>
          <w:rFonts w:hint="eastAsia"/>
        </w:rPr>
        <w:t>包装外应做相应的文字标识。</w:t>
      </w:r>
    </w:p>
    <w:p>
      <w:pPr>
        <w:pStyle w:val="170"/>
      </w:pPr>
      <w:r>
        <w:rPr>
          <w:rFonts w:hint="eastAsia" w:hAnsi="宋体" w:cs="宋体"/>
        </w:rPr>
        <w:t>包装箱内应包括装箱清单、产品合格证和使用说明书等出厂文件。</w:t>
      </w:r>
    </w:p>
    <w:p>
      <w:pPr>
        <w:pStyle w:val="170"/>
      </w:pPr>
      <w:r>
        <w:rPr>
          <w:rFonts w:hint="eastAsia" w:hAnsi="宋体" w:cs="宋体"/>
        </w:rPr>
        <w:t>包装方式应保证设备在运输和装卸过程中不变形、不受污染和损伤。</w:t>
      </w:r>
    </w:p>
    <w:p>
      <w:pPr>
        <w:pStyle w:val="170"/>
      </w:pPr>
      <w:r>
        <w:rPr>
          <w:rFonts w:hint="eastAsia"/>
        </w:rPr>
        <w:t>装箱单应放置在产品包装箱中。</w:t>
      </w:r>
    </w:p>
    <w:p>
      <w:pPr>
        <w:pStyle w:val="110"/>
        <w:spacing w:before="120" w:after="120"/>
      </w:pPr>
      <w:bookmarkStart w:id="232" w:name="_Toc196146616"/>
      <w:bookmarkStart w:id="233" w:name="_Toc209114116"/>
      <w:r>
        <w:rPr>
          <w:rFonts w:hint="eastAsia"/>
        </w:rPr>
        <w:t>运输</w:t>
      </w:r>
      <w:bookmarkEnd w:id="232"/>
      <w:bookmarkEnd w:id="233"/>
    </w:p>
    <w:p>
      <w:pPr>
        <w:pStyle w:val="170"/>
      </w:pPr>
      <w:r>
        <w:rPr>
          <w:rFonts w:hint="eastAsia"/>
        </w:rPr>
        <w:t>掺氢撬的运输除符合NB/T 10558的规定外，还应符合设计文件的要求；</w:t>
      </w:r>
    </w:p>
    <w:p>
      <w:pPr>
        <w:pStyle w:val="170"/>
      </w:pPr>
      <w:r>
        <w:rPr>
          <w:rFonts w:hint="eastAsia"/>
        </w:rPr>
        <w:t>掺氢</w:t>
      </w:r>
      <w:r>
        <w:t>撬吊装应符合下列要求：</w:t>
      </w:r>
    </w:p>
    <w:p>
      <w:pPr>
        <w:pStyle w:val="179"/>
        <w:numPr>
          <w:ilvl w:val="0"/>
          <w:numId w:val="111"/>
        </w:numPr>
      </w:pPr>
      <w:r>
        <w:rPr>
          <w:rFonts w:hint="eastAsia"/>
        </w:rPr>
        <w:t>掺氢撬吊装前应编制吊装方案，根据吊装方案进行安全检查；</w:t>
      </w:r>
    </w:p>
    <w:p>
      <w:pPr>
        <w:pStyle w:val="179"/>
      </w:pPr>
      <w:r>
        <w:rPr>
          <w:rFonts w:hint="eastAsia"/>
        </w:rPr>
        <w:t>设备吊装准备工作符合吊装方案后，方可进行吊装作业；</w:t>
      </w:r>
    </w:p>
    <w:p>
      <w:pPr>
        <w:pStyle w:val="179"/>
      </w:pPr>
      <w:r>
        <w:rPr>
          <w:rFonts w:hint="eastAsia"/>
        </w:rPr>
        <w:t>吊装过程中应先进行试吊装，试吊装中撬座变形不应超过2‰；</w:t>
      </w:r>
    </w:p>
    <w:p>
      <w:pPr>
        <w:pStyle w:val="170"/>
      </w:pPr>
      <w:r>
        <w:rPr>
          <w:rFonts w:hint="eastAsia"/>
        </w:rPr>
        <w:t>掺氢撬运输前应做好必要的防护措施，运输过程中应防止剧烈震动及化学物品的侵蚀，确保撬装设备的防腐涂层和保温层不受损伤；</w:t>
      </w:r>
    </w:p>
    <w:p>
      <w:pPr>
        <w:pStyle w:val="170"/>
      </w:pPr>
      <w:r>
        <w:rPr>
          <w:rFonts w:hint="eastAsia"/>
        </w:rPr>
        <w:t>运输过程中应考虑固定措施，撬装的设备不应作为支撑措施。</w:t>
      </w:r>
    </w:p>
    <w:p>
      <w:pPr>
        <w:pStyle w:val="109"/>
        <w:spacing w:before="240" w:after="240"/>
      </w:pPr>
      <w:bookmarkStart w:id="234" w:name="_Toc209114117"/>
      <w:r>
        <w:rPr>
          <w:rFonts w:hint="eastAsia"/>
        </w:rPr>
        <w:t>产品交货文件</w:t>
      </w:r>
      <w:bookmarkEnd w:id="234"/>
    </w:p>
    <w:p>
      <w:pPr>
        <w:pStyle w:val="61"/>
        <w:ind w:firstLine="420"/>
      </w:pPr>
      <w:r>
        <w:rPr>
          <w:rFonts w:hint="eastAsia"/>
        </w:rPr>
        <w:t>产品交货文件宜包括以下内容：</w:t>
      </w:r>
    </w:p>
    <w:p>
      <w:pPr>
        <w:pStyle w:val="179"/>
        <w:numPr>
          <w:ilvl w:val="0"/>
          <w:numId w:val="112"/>
        </w:numPr>
      </w:pPr>
      <w:r>
        <w:rPr>
          <w:rFonts w:hint="eastAsia"/>
        </w:rPr>
        <w:t>产品合格证；</w:t>
      </w:r>
    </w:p>
    <w:p>
      <w:pPr>
        <w:pStyle w:val="179"/>
      </w:pPr>
      <w:r>
        <w:rPr>
          <w:rFonts w:hint="eastAsia"/>
        </w:rPr>
        <w:t>竣工总图；</w:t>
      </w:r>
    </w:p>
    <w:p>
      <w:pPr>
        <w:pStyle w:val="179"/>
      </w:pPr>
      <w:r>
        <w:rPr>
          <w:rFonts w:hint="eastAsia"/>
        </w:rPr>
        <w:t>撬内设备及管道组成件的质量证明文件；</w:t>
      </w:r>
    </w:p>
    <w:p>
      <w:pPr>
        <w:pStyle w:val="179"/>
      </w:pPr>
      <w:r>
        <w:rPr>
          <w:rFonts w:hint="eastAsia"/>
        </w:rPr>
        <w:t>热处理报告；（如有）</w:t>
      </w:r>
    </w:p>
    <w:p>
      <w:pPr>
        <w:pStyle w:val="179"/>
      </w:pPr>
      <w:r>
        <w:rPr>
          <w:rFonts w:hint="eastAsia"/>
        </w:rPr>
        <w:t>无损检测报告；</w:t>
      </w:r>
    </w:p>
    <w:p>
      <w:pPr>
        <w:pStyle w:val="179"/>
      </w:pPr>
      <w:r>
        <w:rPr>
          <w:rFonts w:hint="eastAsia"/>
        </w:rPr>
        <w:t>试验报告；</w:t>
      </w:r>
    </w:p>
    <w:p>
      <w:pPr>
        <w:pStyle w:val="179"/>
      </w:pPr>
      <w:r>
        <w:rPr>
          <w:rFonts w:hint="eastAsia"/>
        </w:rPr>
        <w:t>特种设备制造监督检验证书；</w:t>
      </w:r>
    </w:p>
    <w:p>
      <w:pPr>
        <w:pStyle w:val="179"/>
      </w:pPr>
      <w:r>
        <w:rPr>
          <w:rFonts w:hint="eastAsia"/>
        </w:rPr>
        <w:t>装箱单；</w:t>
      </w:r>
    </w:p>
    <w:p>
      <w:pPr>
        <w:pStyle w:val="179"/>
      </w:pPr>
      <w:r>
        <w:rPr>
          <w:rFonts w:hint="eastAsia"/>
        </w:rPr>
        <w:t>产品安装使用与维护说明书。</w:t>
      </w:r>
    </w:p>
    <w:p>
      <w:pPr>
        <w:pStyle w:val="179"/>
        <w:numPr>
          <w:ilvl w:val="0"/>
          <w:numId w:val="0"/>
        </w:numPr>
        <w:ind w:left="425"/>
      </w:pPr>
    </w:p>
    <w:p>
      <w:pPr>
        <w:pStyle w:val="203"/>
        <w:spacing w:before="120" w:after="120"/>
        <w:ind w:left="0"/>
      </w:pPr>
    </w:p>
    <w:p>
      <w:pPr>
        <w:widowControl/>
        <w:adjustRightInd/>
        <w:spacing w:line="240" w:lineRule="auto"/>
        <w:jc w:val="left"/>
        <w:rPr>
          <w:rFonts w:ascii="宋体" w:hAnsi="Times New Roman"/>
          <w:kern w:val="0"/>
          <w:szCs w:val="20"/>
        </w:rPr>
      </w:pPr>
    </w:p>
    <w:p>
      <w:pPr>
        <w:widowControl/>
        <w:adjustRightInd/>
        <w:spacing w:line="240" w:lineRule="auto"/>
        <w:jc w:val="left"/>
        <w:rPr>
          <w:rFonts w:ascii="宋体" w:hAnsi="Times New Roman"/>
          <w:kern w:val="0"/>
          <w:szCs w:val="20"/>
        </w:rPr>
        <w:sectPr>
          <w:pgSz w:w="11906" w:h="16838"/>
          <w:pgMar w:top="1928" w:right="1134" w:bottom="1134" w:left="1134" w:header="1418" w:footer="1134" w:gutter="284"/>
          <w:pgNumType w:start="1"/>
          <w:cols w:space="425" w:num="1"/>
          <w:formProt w:val="0"/>
          <w:docGrid w:linePitch="312" w:charSpace="0"/>
        </w:sectPr>
      </w:pPr>
    </w:p>
    <w:bookmarkEnd w:id="3"/>
    <w:p>
      <w:pPr>
        <w:pStyle w:val="203"/>
      </w:pPr>
      <w:bookmarkStart w:id="235" w:name="BookMark5"/>
    </w:p>
    <w:p>
      <w:pPr>
        <w:pStyle w:val="204"/>
      </w:pPr>
    </w:p>
    <w:p>
      <w:pPr>
        <w:pStyle w:val="81"/>
        <w:spacing w:after="120"/>
      </w:pPr>
      <w:r>
        <w:br w:type="textWrapping"/>
      </w:r>
      <w:bookmarkStart w:id="236" w:name="_Toc209114118"/>
      <w:r>
        <w:rPr>
          <w:rFonts w:hint="eastAsia"/>
        </w:rPr>
        <w:t>（资料性）</w:t>
      </w:r>
      <w:r>
        <w:br w:type="textWrapping"/>
      </w:r>
      <w:r>
        <w:rPr>
          <w:rFonts w:hint="eastAsia"/>
        </w:rPr>
        <w:t>掺氢撬工艺流程及结构布置示意图</w:t>
      </w:r>
      <w:bookmarkEnd w:id="236"/>
    </w:p>
    <w:p>
      <w:pPr>
        <w:pStyle w:val="216"/>
        <w:rPr>
          <w:rFonts w:ascii="黑体" w:hAnsi="黑体" w:eastAsia="黑体"/>
        </w:rPr>
      </w:pPr>
      <w:r>
        <w:rPr>
          <w:rFonts w:hint="eastAsia" w:ascii="黑体" w:hAnsi="黑体" w:eastAsia="黑体"/>
        </w:rPr>
        <w:t>掺氢撬工艺流程</w:t>
      </w:r>
    </w:p>
    <w:p>
      <w:pPr>
        <w:pStyle w:val="61"/>
        <w:ind w:firstLine="420"/>
      </w:pPr>
      <w:r>
        <w:rPr>
          <w:rFonts w:hint="eastAsia"/>
        </w:rPr>
        <w:t>掺氢撬工艺流程示意图如图A</w:t>
      </w:r>
      <w:r>
        <w:t>.1</w:t>
      </w:r>
      <w:r>
        <w:rPr>
          <w:rFonts w:hint="eastAsia"/>
        </w:rPr>
        <w:t>所示。</w:t>
      </w:r>
    </w:p>
    <w:p>
      <w:pPr>
        <w:pStyle w:val="61"/>
        <w:ind w:firstLine="199" w:firstLineChars="95"/>
        <w:jc w:val="center"/>
      </w:pPr>
      <w:r>
        <w:drawing>
          <wp:inline distT="0" distB="0" distL="0" distR="0">
            <wp:extent cx="6458585" cy="353187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525473" cy="3568445"/>
                    </a:xfrm>
                    <a:prstGeom prst="rect">
                      <a:avLst/>
                    </a:prstGeom>
                    <a:noFill/>
                  </pic:spPr>
                </pic:pic>
              </a:graphicData>
            </a:graphic>
          </wp:inline>
        </w:drawing>
      </w:r>
    </w:p>
    <w:p>
      <w:pPr>
        <w:pStyle w:val="88"/>
        <w:numPr>
          <w:ilvl w:val="0"/>
          <w:numId w:val="0"/>
        </w:numPr>
        <w:spacing w:before="120" w:after="120"/>
      </w:pPr>
      <w:r>
        <w:rPr>
          <w:rFonts w:hint="eastAsia"/>
        </w:rPr>
        <w:t>图A</w:t>
      </w:r>
      <w:r>
        <w:t>.1</w:t>
      </w:r>
      <w:r>
        <w:rPr>
          <w:rFonts w:hint="eastAsia"/>
        </w:rPr>
        <w:t xml:space="preserve"> 掺氢撬工艺流程示意图</w:t>
      </w:r>
    </w:p>
    <w:p>
      <w:pPr>
        <w:pStyle w:val="88"/>
        <w:numPr>
          <w:ilvl w:val="0"/>
          <w:numId w:val="0"/>
        </w:numPr>
        <w:spacing w:before="120" w:after="120"/>
      </w:pPr>
    </w:p>
    <w:p>
      <w:pPr>
        <w:pStyle w:val="216"/>
        <w:rPr>
          <w:rFonts w:ascii="黑体" w:hAnsi="黑体" w:eastAsia="黑体"/>
        </w:rPr>
      </w:pPr>
      <w:r>
        <w:rPr>
          <w:rFonts w:hint="eastAsia" w:ascii="黑体" w:hAnsi="黑体" w:eastAsia="黑体"/>
        </w:rPr>
        <w:t>掺氢撬结构布置示意图</w:t>
      </w:r>
    </w:p>
    <w:p>
      <w:pPr>
        <w:pStyle w:val="61"/>
        <w:ind w:firstLine="420"/>
      </w:pPr>
      <w:r>
        <w:rPr>
          <w:rFonts w:hint="eastAsia"/>
        </w:rPr>
        <w:t>掺氢撬结构布置示意图如图A</w:t>
      </w:r>
      <w:r>
        <w:t>.2</w:t>
      </w:r>
      <w:r>
        <w:rPr>
          <w:rFonts w:hint="eastAsia"/>
        </w:rPr>
        <w:t>所示。</w:t>
      </w:r>
    </w:p>
    <w:p>
      <w:pPr>
        <w:pStyle w:val="61"/>
        <w:ind w:firstLine="420"/>
      </w:pPr>
    </w:p>
    <w:p>
      <w:pPr>
        <w:pStyle w:val="61"/>
        <w:ind w:firstLine="420"/>
        <w:jc w:val="center"/>
      </w:pPr>
      <w:r>
        <w:drawing>
          <wp:inline distT="0" distB="0" distL="0" distR="0">
            <wp:extent cx="8664575" cy="4099560"/>
            <wp:effectExtent l="0" t="0" r="317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665506" cy="4099976"/>
                    </a:xfrm>
                    <a:prstGeom prst="rect">
                      <a:avLst/>
                    </a:prstGeom>
                    <a:noFill/>
                  </pic:spPr>
                </pic:pic>
              </a:graphicData>
            </a:graphic>
          </wp:inline>
        </w:drawing>
      </w:r>
    </w:p>
    <w:p>
      <w:pPr>
        <w:pStyle w:val="61"/>
        <w:ind w:firstLine="420"/>
      </w:pPr>
    </w:p>
    <w:p>
      <w:pPr>
        <w:pStyle w:val="61"/>
        <w:ind w:firstLine="420"/>
        <w:jc w:val="center"/>
      </w:pPr>
      <w:r>
        <w:drawing>
          <wp:inline distT="0" distB="0" distL="0" distR="0">
            <wp:extent cx="7327900" cy="4039870"/>
            <wp:effectExtent l="0" t="0" r="635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346634" cy="4050623"/>
                    </a:xfrm>
                    <a:prstGeom prst="rect">
                      <a:avLst/>
                    </a:prstGeom>
                    <a:noFill/>
                  </pic:spPr>
                </pic:pic>
              </a:graphicData>
            </a:graphic>
          </wp:inline>
        </w:drawing>
      </w:r>
    </w:p>
    <w:p>
      <w:pPr>
        <w:pStyle w:val="61"/>
        <w:ind w:firstLine="420"/>
      </w:pPr>
      <w:r>
        <w:t>标引序号说明：</w:t>
      </w:r>
    </w:p>
    <w:p>
      <w:pPr>
        <w:pStyle w:val="61"/>
        <w:ind w:firstLine="420"/>
      </w:pPr>
      <w:r>
        <w:rPr>
          <w:rFonts w:hint="eastAsia"/>
        </w:rPr>
        <w:t xml:space="preserve">1——天然气管路； </w:t>
      </w:r>
      <w:r>
        <w:t xml:space="preserve">   </w:t>
      </w:r>
      <w:r>
        <w:rPr>
          <w:rFonts w:hint="eastAsia"/>
        </w:rPr>
        <w:t xml:space="preserve">2——氢气管路； </w:t>
      </w:r>
      <w:r>
        <w:t xml:space="preserve">  </w:t>
      </w:r>
      <w:r>
        <w:rPr>
          <w:rFonts w:hint="eastAsia"/>
        </w:rPr>
        <w:t>3——掺氢天然气管路； 4——静态混合器 ； 5——天然气入口球阀；</w:t>
      </w:r>
      <w:r>
        <w:t xml:space="preserve"> 6</w:t>
      </w:r>
      <w:r>
        <w:rPr>
          <w:rFonts w:hint="eastAsia"/>
        </w:rPr>
        <w:t xml:space="preserve">——过滤器； </w:t>
      </w:r>
      <w:r>
        <w:t xml:space="preserve"> </w:t>
      </w:r>
    </w:p>
    <w:p>
      <w:pPr>
        <w:pStyle w:val="61"/>
        <w:ind w:firstLine="420"/>
      </w:pPr>
      <w:r>
        <w:t>7</w:t>
      </w:r>
      <w:r>
        <w:rPr>
          <w:rFonts w:hint="eastAsia"/>
        </w:rPr>
        <w:t xml:space="preserve">——天然气流量计；  </w:t>
      </w:r>
      <w:r>
        <w:t>8</w:t>
      </w:r>
      <w:r>
        <w:rPr>
          <w:rFonts w:hint="eastAsia"/>
        </w:rPr>
        <w:t xml:space="preserve">——紧急切断阀； </w:t>
      </w:r>
      <w:r>
        <w:t>9</w:t>
      </w:r>
      <w:r>
        <w:rPr>
          <w:rFonts w:hint="eastAsia"/>
        </w:rPr>
        <w:t xml:space="preserve">——调压阀； </w:t>
      </w:r>
      <w:r>
        <w:t xml:space="preserve">        10</w:t>
      </w:r>
      <w:r>
        <w:rPr>
          <w:rFonts w:hint="eastAsia"/>
        </w:rPr>
        <w:t xml:space="preserve">——穿线管路； </w:t>
      </w:r>
      <w:r>
        <w:t xml:space="preserve">  11</w:t>
      </w:r>
      <w:r>
        <w:rPr>
          <w:rFonts w:hint="eastAsia"/>
        </w:rPr>
        <w:t>——撬座；</w:t>
      </w:r>
      <w:r>
        <w:t xml:space="preserve">          12</w:t>
      </w:r>
      <w:r>
        <w:rPr>
          <w:rFonts w:hint="eastAsia"/>
        </w:rPr>
        <w:t xml:space="preserve">——掺氢天然气出口球阀； </w:t>
      </w:r>
    </w:p>
    <w:p>
      <w:pPr>
        <w:pStyle w:val="61"/>
        <w:ind w:firstLine="420"/>
      </w:pPr>
      <w:r>
        <w:t>13</w:t>
      </w:r>
      <w:r>
        <w:rPr>
          <w:rFonts w:hint="eastAsia"/>
        </w:rPr>
        <w:t xml:space="preserve">——氢气入口球阀； </w:t>
      </w:r>
      <w:r>
        <w:t>14</w:t>
      </w:r>
      <w:r>
        <w:rPr>
          <w:rFonts w:hint="eastAsia"/>
        </w:rPr>
        <w:t xml:space="preserve">——过滤器； </w:t>
      </w:r>
      <w:r>
        <w:t xml:space="preserve">   15</w:t>
      </w:r>
      <w:r>
        <w:rPr>
          <w:rFonts w:hint="eastAsia"/>
        </w:rPr>
        <w:t xml:space="preserve">——紧急切断阀； </w:t>
      </w:r>
      <w:r>
        <w:t xml:space="preserve">   16</w:t>
      </w:r>
      <w:r>
        <w:rPr>
          <w:rFonts w:hint="eastAsia"/>
        </w:rPr>
        <w:t xml:space="preserve">——调压阀； </w:t>
      </w:r>
      <w:r>
        <w:t xml:space="preserve">    17</w:t>
      </w:r>
      <w:r>
        <w:rPr>
          <w:rFonts w:hint="eastAsia"/>
        </w:rPr>
        <w:t xml:space="preserve">——流量调节阀； </w:t>
      </w:r>
      <w:r>
        <w:t xml:space="preserve">   18</w:t>
      </w:r>
      <w:r>
        <w:rPr>
          <w:rFonts w:hint="eastAsia"/>
        </w:rPr>
        <w:t>——氢气流量计；</w:t>
      </w:r>
    </w:p>
    <w:p>
      <w:pPr>
        <w:pStyle w:val="61"/>
        <w:ind w:firstLine="420"/>
      </w:pPr>
      <w:r>
        <w:t>19</w:t>
      </w:r>
      <w:r>
        <w:rPr>
          <w:rFonts w:hint="eastAsia"/>
        </w:rPr>
        <w:t xml:space="preserve">——氢气掺混入口球阀； </w:t>
      </w:r>
      <w:r>
        <w:t xml:space="preserve"> 20</w:t>
      </w:r>
      <w:r>
        <w:rPr>
          <w:rFonts w:hint="eastAsia"/>
        </w:rPr>
        <w:t>——止回阀；2</w:t>
      </w:r>
      <w:r>
        <w:t>1</w:t>
      </w:r>
      <w:r>
        <w:rPr>
          <w:rFonts w:hint="eastAsia"/>
        </w:rPr>
        <w:t xml:space="preserve">——防爆接线箱； </w:t>
      </w:r>
      <w:r>
        <w:t xml:space="preserve">  22</w:t>
      </w:r>
      <w:r>
        <w:rPr>
          <w:rFonts w:hint="eastAsia"/>
        </w:rPr>
        <w:t>——组分分析仪。</w:t>
      </w:r>
    </w:p>
    <w:p>
      <w:pPr>
        <w:pStyle w:val="88"/>
        <w:numPr>
          <w:ilvl w:val="0"/>
          <w:numId w:val="0"/>
        </w:numPr>
        <w:spacing w:before="120" w:after="120"/>
        <w:sectPr>
          <w:pgSz w:w="16838" w:h="11906" w:orient="landscape"/>
          <w:pgMar w:top="1134" w:right="1928" w:bottom="1134" w:left="1134" w:header="1418" w:footer="1134" w:gutter="284"/>
          <w:cols w:space="425" w:num="1"/>
          <w:formProt w:val="0"/>
          <w:docGrid w:linePitch="312" w:charSpace="0"/>
        </w:sectPr>
      </w:pPr>
      <w:r>
        <w:rPr>
          <w:rFonts w:hint="eastAsia"/>
        </w:rPr>
        <w:t>图A</w:t>
      </w:r>
      <w:r>
        <w:t>.2</w:t>
      </w:r>
      <w:r>
        <w:rPr>
          <w:rFonts w:hint="eastAsia"/>
        </w:rPr>
        <w:t>掺氢撬结构布置示</w:t>
      </w:r>
    </w:p>
    <w:p>
      <w:pPr>
        <w:pStyle w:val="81"/>
        <w:spacing w:after="120"/>
      </w:pPr>
      <w:r>
        <w:br w:type="textWrapping"/>
      </w:r>
      <w:bookmarkStart w:id="237" w:name="_Toc209114119"/>
      <w:r>
        <w:rPr>
          <w:rFonts w:hint="eastAsia"/>
        </w:rPr>
        <w:t>（资料性）</w:t>
      </w:r>
      <w:r>
        <w:br w:type="textWrapping"/>
      </w:r>
      <w:r>
        <w:rPr>
          <w:rFonts w:hint="eastAsia"/>
        </w:rPr>
        <w:t>应力分析报告模版</w:t>
      </w:r>
      <w:bookmarkEnd w:id="237"/>
    </w:p>
    <w:p>
      <w:pPr>
        <w:pStyle w:val="61"/>
        <w:spacing w:after="156"/>
        <w:ind w:firstLine="0" w:firstLineChars="0"/>
        <w:jc w:val="center"/>
        <w:rPr>
          <w:sz w:val="36"/>
          <w:szCs w:val="36"/>
        </w:rPr>
      </w:pPr>
      <w:r>
        <w:rPr>
          <w:rFonts w:hint="eastAsia"/>
          <w:sz w:val="36"/>
          <w:szCs w:val="36"/>
        </w:rPr>
        <w:t>*</w:t>
      </w:r>
      <w:r>
        <w:rPr>
          <w:sz w:val="36"/>
          <w:szCs w:val="36"/>
        </w:rPr>
        <w:t>*</w:t>
      </w:r>
      <w:r>
        <w:rPr>
          <w:rFonts w:hint="eastAsia"/>
          <w:sz w:val="36"/>
          <w:szCs w:val="36"/>
        </w:rPr>
        <w:t>*</w:t>
      </w:r>
      <w:r>
        <w:rPr>
          <w:sz w:val="36"/>
          <w:szCs w:val="36"/>
        </w:rPr>
        <w:t>*</w:t>
      </w:r>
      <w:r>
        <w:rPr>
          <w:rFonts w:hint="eastAsia"/>
          <w:sz w:val="36"/>
          <w:szCs w:val="36"/>
        </w:rPr>
        <w:t>工程项目</w:t>
      </w:r>
    </w:p>
    <w:p>
      <w:pPr>
        <w:pStyle w:val="61"/>
        <w:spacing w:after="156"/>
        <w:ind w:firstLine="720"/>
        <w:jc w:val="center"/>
        <w:rPr>
          <w:sz w:val="36"/>
          <w:szCs w:val="36"/>
        </w:rPr>
      </w:pPr>
    </w:p>
    <w:p>
      <w:pPr>
        <w:pStyle w:val="61"/>
        <w:spacing w:after="156"/>
        <w:ind w:firstLine="0" w:firstLineChars="0"/>
        <w:jc w:val="center"/>
        <w:rPr>
          <w:sz w:val="44"/>
          <w:szCs w:val="44"/>
        </w:rPr>
      </w:pPr>
      <w:r>
        <w:rPr>
          <w:rFonts w:hint="eastAsia"/>
          <w:sz w:val="44"/>
          <w:szCs w:val="44"/>
        </w:rPr>
        <w:t>应力分析报告</w:t>
      </w:r>
    </w:p>
    <w:p>
      <w:pPr>
        <w:pStyle w:val="61"/>
        <w:spacing w:after="156"/>
        <w:ind w:firstLine="420"/>
        <w:jc w:val="center"/>
      </w:pPr>
    </w:p>
    <w:p>
      <w:pPr>
        <w:pStyle w:val="61"/>
        <w:spacing w:after="156"/>
        <w:ind w:firstLine="0" w:firstLineChars="0"/>
        <w:jc w:val="center"/>
        <w:rPr>
          <w:sz w:val="32"/>
          <w:szCs w:val="32"/>
        </w:rPr>
      </w:pPr>
      <w:r>
        <w:rPr>
          <w:rFonts w:hint="eastAsia"/>
          <w:sz w:val="32"/>
          <w:szCs w:val="32"/>
        </w:rPr>
        <w:t>施工图设计</w:t>
      </w:r>
    </w:p>
    <w:p>
      <w:pPr>
        <w:pStyle w:val="61"/>
        <w:spacing w:after="156"/>
        <w:ind w:firstLine="0" w:firstLineChars="0"/>
        <w:jc w:val="center"/>
        <w:rPr>
          <w:sz w:val="32"/>
          <w:szCs w:val="32"/>
        </w:rPr>
      </w:pPr>
    </w:p>
    <w:p>
      <w:pPr>
        <w:pStyle w:val="61"/>
        <w:spacing w:after="156"/>
        <w:ind w:firstLine="0" w:firstLineChars="0"/>
        <w:jc w:val="center"/>
        <w:rPr>
          <w:sz w:val="32"/>
          <w:szCs w:val="32"/>
        </w:rPr>
      </w:pPr>
    </w:p>
    <w:p>
      <w:pPr>
        <w:pStyle w:val="61"/>
        <w:spacing w:after="156"/>
        <w:ind w:firstLine="0" w:firstLineChars="0"/>
        <w:jc w:val="center"/>
        <w:rPr>
          <w:sz w:val="32"/>
          <w:szCs w:val="32"/>
        </w:rPr>
      </w:pPr>
      <w:r>
        <w:rPr>
          <w:rFonts w:hint="eastAsia"/>
          <w:sz w:val="32"/>
          <w:szCs w:val="32"/>
        </w:rPr>
        <w:t>项目号：</w:t>
      </w:r>
    </w:p>
    <w:p>
      <w:pPr>
        <w:pStyle w:val="61"/>
        <w:spacing w:after="156"/>
        <w:ind w:firstLine="0" w:firstLineChars="0"/>
        <w:jc w:val="center"/>
        <w:rPr>
          <w:sz w:val="32"/>
          <w:szCs w:val="32"/>
        </w:rPr>
      </w:pPr>
      <w:r>
        <w:rPr>
          <w:rFonts w:hint="eastAsia"/>
          <w:sz w:val="32"/>
          <w:szCs w:val="32"/>
        </w:rPr>
        <w:t>文件号：</w:t>
      </w:r>
    </w:p>
    <w:p>
      <w:pPr>
        <w:pStyle w:val="61"/>
        <w:spacing w:after="156"/>
        <w:ind w:firstLine="0" w:firstLineChars="0"/>
        <w:jc w:val="center"/>
        <w:rPr>
          <w:sz w:val="32"/>
          <w:szCs w:val="32"/>
        </w:rPr>
      </w:pPr>
      <w:r>
        <w:rPr>
          <w:rFonts w:hint="eastAsia"/>
          <w:sz w:val="32"/>
          <w:szCs w:val="32"/>
        </w:rPr>
        <w:t>（0版）</w:t>
      </w:r>
    </w:p>
    <w:p>
      <w:pPr>
        <w:pStyle w:val="61"/>
        <w:spacing w:after="156"/>
        <w:ind w:firstLine="0" w:firstLineChars="0"/>
        <w:jc w:val="center"/>
      </w:pPr>
    </w:p>
    <w:p>
      <w:pPr>
        <w:pStyle w:val="61"/>
        <w:spacing w:after="156"/>
        <w:ind w:firstLine="420"/>
        <w:jc w:val="center"/>
      </w:pPr>
    </w:p>
    <w:p>
      <w:pPr>
        <w:pStyle w:val="61"/>
        <w:spacing w:after="156"/>
        <w:ind w:firstLine="420"/>
        <w:jc w:val="center"/>
      </w:pPr>
    </w:p>
    <w:p>
      <w:pPr>
        <w:pStyle w:val="61"/>
        <w:spacing w:after="156"/>
        <w:ind w:firstLine="420"/>
        <w:jc w:val="center"/>
      </w:pPr>
    </w:p>
    <w:p>
      <w:pPr>
        <w:pStyle w:val="61"/>
        <w:spacing w:after="156"/>
        <w:ind w:firstLine="420"/>
        <w:jc w:val="center"/>
      </w:pPr>
    </w:p>
    <w:p>
      <w:pPr>
        <w:pStyle w:val="61"/>
        <w:spacing w:after="156"/>
        <w:ind w:firstLine="0" w:firstLineChars="0"/>
        <w:jc w:val="center"/>
        <w:rPr>
          <w:sz w:val="32"/>
        </w:rPr>
      </w:pPr>
      <w:r>
        <w:rPr>
          <w:rFonts w:hint="eastAsia"/>
          <w:sz w:val="32"/>
        </w:rPr>
        <w:t>单位名称</w:t>
      </w:r>
    </w:p>
    <w:p>
      <w:pPr>
        <w:pStyle w:val="61"/>
        <w:spacing w:after="156"/>
        <w:ind w:firstLine="0" w:firstLineChars="0"/>
        <w:jc w:val="center"/>
        <w:sectPr>
          <w:headerReference r:id="rId11" w:type="default"/>
          <w:footerReference r:id="rId13" w:type="default"/>
          <w:headerReference r:id="rId12" w:type="even"/>
          <w:footerReference r:id="rId14" w:type="even"/>
          <w:pgSz w:w="11906" w:h="16838"/>
          <w:pgMar w:top="1928" w:right="1134" w:bottom="1134" w:left="1134" w:header="1418" w:footer="1134" w:gutter="284"/>
          <w:cols w:space="425" w:num="1"/>
          <w:formProt w:val="0"/>
          <w:docGrid w:linePitch="312" w:charSpace="0"/>
        </w:sectPr>
      </w:pPr>
      <w:r>
        <w:rPr>
          <w:rFonts w:hint="eastAsia"/>
          <w:sz w:val="32"/>
        </w:rPr>
        <w:t>年   月</w:t>
      </w:r>
    </w:p>
    <w:p>
      <w:pPr>
        <w:pStyle w:val="216"/>
        <w:rPr>
          <w:rFonts w:ascii="黑体" w:hAnsi="黑体" w:eastAsia="黑体"/>
        </w:rPr>
      </w:pPr>
      <w:r>
        <w:rPr>
          <w:rFonts w:hint="eastAsia" w:ascii="黑体" w:hAnsi="黑体" w:eastAsia="黑体"/>
        </w:rPr>
        <w:t>项目概况</w:t>
      </w:r>
    </w:p>
    <w:p>
      <w:pPr>
        <w:pStyle w:val="216"/>
        <w:rPr>
          <w:rFonts w:ascii="黑体" w:hAnsi="黑体" w:eastAsia="黑体"/>
        </w:rPr>
      </w:pPr>
      <w:r>
        <w:rPr>
          <w:rFonts w:hint="eastAsia" w:ascii="黑体" w:hAnsi="黑体" w:eastAsia="黑体"/>
        </w:rPr>
        <w:t>计算范围</w:t>
      </w:r>
    </w:p>
    <w:p>
      <w:pPr>
        <w:pStyle w:val="61"/>
        <w:spacing w:after="156"/>
        <w:ind w:firstLine="420"/>
        <w:rPr>
          <w:szCs w:val="21"/>
        </w:rPr>
      </w:pPr>
      <w:r>
        <w:rPr>
          <w:rFonts w:hint="eastAsia"/>
          <w:szCs w:val="21"/>
        </w:rPr>
        <w:t>本应力分析计算范围为：</w:t>
      </w:r>
    </w:p>
    <w:p>
      <w:pPr>
        <w:pStyle w:val="61"/>
        <w:spacing w:after="156"/>
        <w:ind w:firstLine="420"/>
        <w:rPr>
          <w:szCs w:val="21"/>
        </w:rPr>
      </w:pPr>
      <w:r>
        <w:rPr>
          <w:rFonts w:hint="eastAsia"/>
          <w:szCs w:val="21"/>
        </w:rPr>
        <w:t>根据施工图设计平面布置图进行建模和计算，以确保整个管道系统的应力、位移、允许受力在规范或标准允许的范围内。</w:t>
      </w:r>
    </w:p>
    <w:p>
      <w:pPr>
        <w:pStyle w:val="61"/>
        <w:spacing w:after="156"/>
        <w:ind w:firstLine="420"/>
        <w:rPr>
          <w:szCs w:val="21"/>
        </w:rPr>
      </w:pPr>
      <w:r>
        <w:rPr>
          <w:rFonts w:hint="eastAsia"/>
          <w:szCs w:val="21"/>
        </w:rPr>
        <w:t>本次计算采用管道应力分析专用软件CAESAR II 2019版本进行分析，应力评价准则依据规范</w:t>
      </w:r>
      <w:r>
        <w:rPr>
          <w:szCs w:val="21"/>
        </w:rPr>
        <w:t xml:space="preserve">GB/T20801 </w:t>
      </w:r>
      <w:r>
        <w:rPr>
          <w:rFonts w:hint="eastAsia"/>
          <w:szCs w:val="21"/>
        </w:rPr>
        <w:t>进行校核。</w:t>
      </w:r>
    </w:p>
    <w:p>
      <w:pPr>
        <w:pStyle w:val="216"/>
        <w:rPr>
          <w:rFonts w:ascii="黑体" w:hAnsi="黑体" w:eastAsia="黑体"/>
        </w:rPr>
      </w:pPr>
      <w:r>
        <w:rPr>
          <w:rFonts w:hint="eastAsia" w:ascii="黑体" w:hAnsi="黑体" w:eastAsia="黑体"/>
        </w:rPr>
        <w:t>相关标准及规范</w:t>
      </w:r>
    </w:p>
    <w:p>
      <w:pPr>
        <w:pStyle w:val="61"/>
        <w:spacing w:after="120" w:afterLines="50"/>
        <w:ind w:firstLine="420"/>
      </w:pPr>
      <w:r>
        <w:rPr>
          <w:rFonts w:hint="eastAsia"/>
        </w:rPr>
        <w:t>应力分析参考标准及规范见下表：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4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API 5L</w:t>
            </w:r>
          </w:p>
        </w:tc>
        <w:tc>
          <w:tcPr>
            <w:tcW w:w="456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管线钢管规范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API 6D</w:t>
            </w:r>
          </w:p>
        </w:tc>
        <w:tc>
          <w:tcPr>
            <w:tcW w:w="456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管线和管道阀门规范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ASME B31.3</w:t>
            </w:r>
          </w:p>
        </w:tc>
        <w:tc>
          <w:tcPr>
            <w:tcW w:w="456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压力管道规范</w:t>
            </w:r>
          </w:p>
        </w:tc>
      </w:tr>
    </w:tbl>
    <w:p>
      <w:pPr>
        <w:pStyle w:val="216"/>
        <w:rPr>
          <w:rFonts w:ascii="黑体" w:hAnsi="黑体" w:eastAsia="黑体"/>
        </w:rPr>
      </w:pPr>
      <w:r>
        <w:rPr>
          <w:rFonts w:hint="eastAsia" w:ascii="黑体" w:hAnsi="黑体" w:eastAsia="黑体"/>
        </w:rPr>
        <w:t>参考文件</w:t>
      </w:r>
    </w:p>
    <w:p>
      <w:pPr>
        <w:pStyle w:val="61"/>
        <w:spacing w:after="120" w:afterLines="50"/>
        <w:ind w:firstLine="420"/>
      </w:pPr>
      <w:r>
        <w:rPr>
          <w:rFonts w:hint="eastAsia"/>
        </w:rPr>
        <w:t>应力分析参考文件见下表：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2"/>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ascii="宋体" w:hAnsi="宋体"/>
                <w:sz w:val="18"/>
                <w:szCs w:val="18"/>
              </w:rPr>
              <w:t>图纸编号</w:t>
            </w:r>
          </w:p>
        </w:tc>
        <w:tc>
          <w:tcPr>
            <w:tcW w:w="354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ascii="宋体" w:hAnsi="宋体"/>
                <w:sz w:val="18"/>
                <w:szCs w:val="18"/>
              </w:rPr>
              <w:t>图纸名称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p>
        </w:tc>
        <w:tc>
          <w:tcPr>
            <w:tcW w:w="354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cs="Calibri"/>
                <w:sz w:val="18"/>
                <w:szCs w:val="18"/>
              </w:rPr>
            </w:pPr>
          </w:p>
        </w:tc>
        <w:tc>
          <w:tcPr>
            <w:tcW w:w="354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sz w:val="18"/>
                <w:szCs w:val="18"/>
              </w:rPr>
            </w:pPr>
          </w:p>
        </w:tc>
      </w:tr>
    </w:tbl>
    <w:p>
      <w:pPr>
        <w:pStyle w:val="216"/>
        <w:rPr>
          <w:rFonts w:ascii="黑体" w:hAnsi="黑体" w:eastAsia="黑体"/>
        </w:rPr>
      </w:pPr>
      <w:r>
        <w:rPr>
          <w:rFonts w:hint="eastAsia" w:ascii="黑体" w:hAnsi="黑体" w:eastAsia="黑体"/>
        </w:rPr>
        <w:t>输入参数</w:t>
      </w:r>
    </w:p>
    <w:p>
      <w:pPr>
        <w:pStyle w:val="61"/>
        <w:spacing w:after="120" w:afterLines="50"/>
        <w:ind w:firstLine="420"/>
      </w:pPr>
      <w:r>
        <w:rPr>
          <w:rFonts w:hint="eastAsia"/>
        </w:rPr>
        <w:t>管线参数见下表：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1560"/>
        <w:gridCol w:w="1687"/>
        <w:gridCol w:w="1447"/>
        <w:gridCol w:w="1159"/>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10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序号</w:t>
            </w:r>
          </w:p>
        </w:tc>
        <w:tc>
          <w:tcPr>
            <w:tcW w:w="156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钢管种类</w:t>
            </w:r>
          </w:p>
        </w:tc>
        <w:tc>
          <w:tcPr>
            <w:tcW w:w="168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材质</w:t>
            </w:r>
          </w:p>
        </w:tc>
        <w:tc>
          <w:tcPr>
            <w:tcW w:w="144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钢管规格（mm）</w:t>
            </w:r>
          </w:p>
        </w:tc>
        <w:tc>
          <w:tcPr>
            <w:tcW w:w="115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选用壁厚（mm）</w:t>
            </w:r>
          </w:p>
        </w:tc>
        <w:tc>
          <w:tcPr>
            <w:tcW w:w="154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适用压力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0"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1560" w:type="dxa"/>
            <w:vMerge w:val="restart"/>
            <w:tcBorders>
              <w:top w:val="nil"/>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1687"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1447"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1159"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1541"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0"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0" w:type="auto"/>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left"/>
              <w:rPr>
                <w:rFonts w:ascii="宋体" w:hAnsi="宋体" w:cs="宋体"/>
                <w:sz w:val="18"/>
                <w:szCs w:val="18"/>
              </w:rPr>
            </w:pPr>
          </w:p>
        </w:tc>
        <w:tc>
          <w:tcPr>
            <w:tcW w:w="1687"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1447"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1159"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1541"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0"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0" w:type="auto"/>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left"/>
              <w:rPr>
                <w:rFonts w:ascii="宋体" w:hAnsi="宋体" w:cs="宋体"/>
                <w:sz w:val="18"/>
                <w:szCs w:val="18"/>
              </w:rPr>
            </w:pPr>
          </w:p>
        </w:tc>
        <w:tc>
          <w:tcPr>
            <w:tcW w:w="1687"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1447"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1159"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1541"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r>
    </w:tbl>
    <w:p>
      <w:pPr>
        <w:pStyle w:val="61"/>
        <w:spacing w:before="120" w:beforeLines="50" w:after="120" w:afterLines="50"/>
        <w:ind w:firstLine="420"/>
      </w:pPr>
      <w:r>
        <w:rPr>
          <w:rFonts w:hint="eastAsia"/>
        </w:rPr>
        <w:t>主要输入参数见下表:</w:t>
      </w:r>
    </w:p>
    <w:tbl>
      <w:tblPr>
        <w:tblStyle w:val="3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2693"/>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11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内容</w:t>
            </w:r>
          </w:p>
        </w:tc>
        <w:tc>
          <w:tcPr>
            <w:tcW w:w="26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单位</w:t>
            </w:r>
          </w:p>
        </w:tc>
        <w:tc>
          <w:tcPr>
            <w:tcW w:w="26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11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安装温度（环境温度）</w:t>
            </w:r>
          </w:p>
        </w:tc>
        <w:tc>
          <w:tcPr>
            <w:tcW w:w="26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w:t>
            </w:r>
          </w:p>
        </w:tc>
        <w:tc>
          <w:tcPr>
            <w:tcW w:w="26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11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计算温度</w:t>
            </w:r>
          </w:p>
        </w:tc>
        <w:tc>
          <w:tcPr>
            <w:tcW w:w="26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w:t>
            </w:r>
          </w:p>
        </w:tc>
        <w:tc>
          <w:tcPr>
            <w:tcW w:w="26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11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计算压力</w:t>
            </w:r>
          </w:p>
        </w:tc>
        <w:tc>
          <w:tcPr>
            <w:tcW w:w="26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MPa</w:t>
            </w:r>
          </w:p>
        </w:tc>
        <w:tc>
          <w:tcPr>
            <w:tcW w:w="26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11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水试压压力</w:t>
            </w:r>
          </w:p>
        </w:tc>
        <w:tc>
          <w:tcPr>
            <w:tcW w:w="26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MPa</w:t>
            </w:r>
          </w:p>
        </w:tc>
        <w:tc>
          <w:tcPr>
            <w:tcW w:w="26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11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摩擦系数 （钢对钢）</w:t>
            </w:r>
          </w:p>
        </w:tc>
        <w:tc>
          <w:tcPr>
            <w:tcW w:w="26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w:t>
            </w:r>
          </w:p>
        </w:tc>
        <w:tc>
          <w:tcPr>
            <w:tcW w:w="26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11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基本地震加速度</w:t>
            </w:r>
          </w:p>
        </w:tc>
        <w:tc>
          <w:tcPr>
            <w:tcW w:w="26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g</w:t>
            </w:r>
          </w:p>
        </w:tc>
        <w:tc>
          <w:tcPr>
            <w:tcW w:w="26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11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年平均风速</w:t>
            </w:r>
          </w:p>
        </w:tc>
        <w:tc>
          <w:tcPr>
            <w:tcW w:w="26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m/s</w:t>
            </w:r>
          </w:p>
        </w:tc>
        <w:tc>
          <w:tcPr>
            <w:tcW w:w="26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p>
        </w:tc>
      </w:tr>
    </w:tbl>
    <w:p>
      <w:pPr>
        <w:pStyle w:val="216"/>
        <w:rPr>
          <w:rFonts w:ascii="黑体" w:hAnsi="黑体" w:eastAsia="黑体"/>
        </w:rPr>
      </w:pPr>
      <w:r>
        <w:rPr>
          <w:rFonts w:hint="eastAsia" w:ascii="黑体" w:hAnsi="黑体" w:eastAsia="黑体"/>
        </w:rPr>
        <w:t>计算工况</w:t>
      </w:r>
    </w:p>
    <w:p>
      <w:pPr>
        <w:pStyle w:val="61"/>
        <w:spacing w:after="120" w:afterLines="50"/>
        <w:ind w:firstLine="420"/>
      </w:pPr>
      <w:r>
        <w:rPr>
          <w:rFonts w:hint="eastAsia"/>
        </w:rPr>
        <w:t>根据本工程特点，应力分析工况简称见下表：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7"/>
        <w:gridCol w:w="4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13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工况简称</w:t>
            </w:r>
          </w:p>
        </w:tc>
        <w:tc>
          <w:tcPr>
            <w:tcW w:w="466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13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WW</w:t>
            </w:r>
          </w:p>
        </w:tc>
        <w:tc>
          <w:tcPr>
            <w:tcW w:w="466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管道充水重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13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W</w:t>
            </w:r>
          </w:p>
        </w:tc>
        <w:tc>
          <w:tcPr>
            <w:tcW w:w="466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管道充流体重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13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HP</w:t>
            </w:r>
          </w:p>
        </w:tc>
        <w:tc>
          <w:tcPr>
            <w:tcW w:w="466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水试压压力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13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P</w:t>
            </w:r>
          </w:p>
        </w:tc>
        <w:tc>
          <w:tcPr>
            <w:tcW w:w="466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计算压力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13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T</w:t>
            </w:r>
          </w:p>
        </w:tc>
        <w:tc>
          <w:tcPr>
            <w:tcW w:w="466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计算温度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13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HYD</w:t>
            </w:r>
          </w:p>
        </w:tc>
        <w:tc>
          <w:tcPr>
            <w:tcW w:w="466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水试压工况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13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OPE</w:t>
            </w:r>
          </w:p>
        </w:tc>
        <w:tc>
          <w:tcPr>
            <w:tcW w:w="466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操作工况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13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SUS</w:t>
            </w:r>
          </w:p>
        </w:tc>
        <w:tc>
          <w:tcPr>
            <w:tcW w:w="466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热态持续工况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13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EXP</w:t>
            </w:r>
          </w:p>
        </w:tc>
        <w:tc>
          <w:tcPr>
            <w:tcW w:w="466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膨胀工况</w:t>
            </w:r>
          </w:p>
        </w:tc>
      </w:tr>
    </w:tbl>
    <w:p>
      <w:pPr>
        <w:pStyle w:val="61"/>
        <w:spacing w:before="120" w:beforeLines="50" w:after="156"/>
        <w:ind w:firstLine="420"/>
      </w:pPr>
      <w:r>
        <w:rPr>
          <w:rFonts w:hint="eastAsia"/>
        </w:rPr>
        <w:t>根据本工程特点，选取如下工况组合进行应力分析：</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9"/>
        <w:gridCol w:w="2247"/>
        <w:gridCol w:w="2126"/>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5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序号</w:t>
            </w:r>
          </w:p>
        </w:tc>
        <w:tc>
          <w:tcPr>
            <w:tcW w:w="224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工况组合</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缩写</w:t>
            </w:r>
          </w:p>
        </w:tc>
        <w:tc>
          <w:tcPr>
            <w:tcW w:w="241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5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1</w:t>
            </w:r>
          </w:p>
        </w:tc>
        <w:tc>
          <w:tcPr>
            <w:tcW w:w="224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WW+HP</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HYD</w:t>
            </w:r>
          </w:p>
        </w:tc>
        <w:tc>
          <w:tcPr>
            <w:tcW w:w="241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水试压工况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5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2</w:t>
            </w:r>
          </w:p>
        </w:tc>
        <w:tc>
          <w:tcPr>
            <w:tcW w:w="224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W+T1+P1</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OPE</w:t>
            </w:r>
          </w:p>
        </w:tc>
        <w:tc>
          <w:tcPr>
            <w:tcW w:w="241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操作工况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5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3</w:t>
            </w:r>
          </w:p>
        </w:tc>
        <w:tc>
          <w:tcPr>
            <w:tcW w:w="224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W+P1</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Alt-SUS</w:t>
            </w:r>
          </w:p>
        </w:tc>
        <w:tc>
          <w:tcPr>
            <w:tcW w:w="241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持续工况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5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4</w:t>
            </w:r>
          </w:p>
        </w:tc>
        <w:tc>
          <w:tcPr>
            <w:tcW w:w="224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W+P1</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SUS</w:t>
            </w:r>
          </w:p>
        </w:tc>
        <w:tc>
          <w:tcPr>
            <w:tcW w:w="241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持续工况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5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5</w:t>
            </w:r>
          </w:p>
        </w:tc>
        <w:tc>
          <w:tcPr>
            <w:tcW w:w="224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L2-L4</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EXP</w:t>
            </w:r>
          </w:p>
        </w:tc>
        <w:tc>
          <w:tcPr>
            <w:tcW w:w="241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热膨胀工况</w:t>
            </w:r>
          </w:p>
        </w:tc>
      </w:tr>
    </w:tbl>
    <w:p>
      <w:pPr>
        <w:pStyle w:val="216"/>
        <w:rPr>
          <w:rFonts w:ascii="黑体" w:hAnsi="黑体" w:eastAsia="黑体"/>
        </w:rPr>
      </w:pPr>
      <w:r>
        <w:rPr>
          <w:rFonts w:hint="eastAsia" w:ascii="黑体" w:hAnsi="黑体" w:eastAsia="黑体"/>
        </w:rPr>
        <w:t>应力分析</w:t>
      </w:r>
    </w:p>
    <w:p>
      <w:pPr>
        <w:pStyle w:val="217"/>
      </w:pPr>
      <w:r>
        <w:rPr>
          <w:rFonts w:hint="eastAsia"/>
        </w:rPr>
        <w:t>本工程范围内管道和设备应力分析模型</w:t>
      </w:r>
    </w:p>
    <w:p>
      <w:pPr>
        <w:pStyle w:val="61"/>
        <w:spacing w:after="156"/>
        <w:ind w:firstLine="420"/>
      </w:pPr>
      <w:r>
        <w:rPr>
          <w:rFonts w:hint="eastAsia"/>
        </w:rPr>
        <w:t>根据该项目的设计方案，通过应力分析软件 CAESARⅡ，搭建应力分析模型如下图A</w:t>
      </w:r>
      <w:r>
        <w:t>.1</w:t>
      </w:r>
      <w:r>
        <w:rPr>
          <w:rFonts w:hint="eastAsia"/>
        </w:rPr>
        <w:t>所示。</w:t>
      </w:r>
    </w:p>
    <w:p>
      <w:pPr>
        <w:pStyle w:val="61"/>
        <w:spacing w:after="156"/>
        <w:ind w:firstLine="0" w:firstLineChars="0"/>
        <w:jc w:val="center"/>
      </w:pPr>
      <w:r>
        <w:drawing>
          <wp:inline distT="0" distB="0" distL="0" distR="0">
            <wp:extent cx="5107940" cy="2568575"/>
            <wp:effectExtent l="0" t="0" r="16510"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107940" cy="2568575"/>
                    </a:xfrm>
                    <a:prstGeom prst="rect">
                      <a:avLst/>
                    </a:prstGeom>
                    <a:noFill/>
                    <a:ln>
                      <a:noFill/>
                    </a:ln>
                    <a:effectLst/>
                  </pic:spPr>
                </pic:pic>
              </a:graphicData>
            </a:graphic>
          </wp:inline>
        </w:drawing>
      </w:r>
    </w:p>
    <w:p>
      <w:pPr>
        <w:pStyle w:val="88"/>
        <w:numPr>
          <w:ilvl w:val="0"/>
          <w:numId w:val="0"/>
        </w:numPr>
        <w:spacing w:before="120" w:after="120"/>
      </w:pPr>
      <w:r>
        <w:rPr>
          <w:rFonts w:hint="eastAsia"/>
        </w:rPr>
        <w:t>图B</w:t>
      </w:r>
      <w:r>
        <w:t>.2</w:t>
      </w:r>
      <w:r>
        <w:rPr>
          <w:rFonts w:hint="eastAsia"/>
        </w:rPr>
        <w:t>大样图1轴测图图例</w:t>
      </w:r>
    </w:p>
    <w:p>
      <w:pPr>
        <w:pStyle w:val="61"/>
        <w:spacing w:after="156"/>
        <w:ind w:firstLine="0" w:firstLineChars="0"/>
        <w:jc w:val="center"/>
      </w:pPr>
      <w:r>
        <w:drawing>
          <wp:inline distT="0" distB="0" distL="0" distR="0">
            <wp:extent cx="3164205" cy="3310890"/>
            <wp:effectExtent l="0" t="0" r="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164205" cy="3310890"/>
                    </a:xfrm>
                    <a:prstGeom prst="rect">
                      <a:avLst/>
                    </a:prstGeom>
                    <a:noFill/>
                    <a:ln>
                      <a:noFill/>
                    </a:ln>
                    <a:effectLst/>
                  </pic:spPr>
                </pic:pic>
              </a:graphicData>
            </a:graphic>
          </wp:inline>
        </w:drawing>
      </w:r>
    </w:p>
    <w:p>
      <w:pPr>
        <w:pStyle w:val="88"/>
        <w:numPr>
          <w:ilvl w:val="0"/>
          <w:numId w:val="0"/>
        </w:numPr>
        <w:spacing w:before="120" w:after="120"/>
        <w:ind w:left="3685"/>
        <w:jc w:val="both"/>
      </w:pPr>
      <w:r>
        <w:rPr>
          <w:rFonts w:hint="eastAsia"/>
        </w:rPr>
        <w:t>图B</w:t>
      </w:r>
      <w:r>
        <w:t>.2</w:t>
      </w:r>
      <w:r>
        <w:rPr>
          <w:rFonts w:hint="eastAsia"/>
        </w:rPr>
        <w:t>大样图2轴测图图例</w:t>
      </w:r>
    </w:p>
    <w:p>
      <w:pPr>
        <w:pStyle w:val="217"/>
      </w:pPr>
      <w:r>
        <w:rPr>
          <w:rFonts w:hint="eastAsia"/>
        </w:rPr>
        <w:t>管道应力计算结果</w:t>
      </w:r>
    </w:p>
    <w:p>
      <w:pPr>
        <w:pStyle w:val="61"/>
        <w:ind w:firstLine="420"/>
      </w:pPr>
      <w:r>
        <w:rPr>
          <w:rFonts w:hint="eastAsia"/>
        </w:rPr>
        <w:t>管道最大应力计算结果</w:t>
      </w:r>
    </w:p>
    <w:p>
      <w:pPr>
        <w:pStyle w:val="61"/>
        <w:spacing w:after="120" w:afterLines="50"/>
        <w:ind w:firstLine="420"/>
      </w:pPr>
      <w:r>
        <w:rPr>
          <w:rFonts w:hint="eastAsia"/>
        </w:rPr>
        <w:t>管道最大应力计算结果见下表：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0"/>
        <w:gridCol w:w="1593"/>
        <w:gridCol w:w="1120"/>
        <w:gridCol w:w="1559"/>
        <w:gridCol w:w="1276"/>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0"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工况组合</w:t>
            </w:r>
          </w:p>
        </w:tc>
        <w:tc>
          <w:tcPr>
            <w:tcW w:w="159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应力类型</w:t>
            </w:r>
          </w:p>
        </w:tc>
        <w:tc>
          <w:tcPr>
            <w:tcW w:w="1120"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节点号</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计算应力</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许用应力</w:t>
            </w:r>
          </w:p>
        </w:tc>
        <w:tc>
          <w:tcPr>
            <w:tcW w:w="141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rPr>
                <w:rFonts w:ascii="宋体" w:hAnsi="宋体" w:cs="宋体"/>
                <w:sz w:val="18"/>
                <w:szCs w:val="1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rPr>
                <w:rFonts w:ascii="宋体" w:hAnsi="宋体" w:cs="宋体"/>
                <w:sz w:val="18"/>
                <w:szCs w:val="18"/>
              </w:rPr>
            </w:pPr>
          </w:p>
        </w:tc>
        <w:tc>
          <w:tcPr>
            <w:tcW w:w="11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rPr>
                <w:rFonts w:ascii="宋体" w:hAnsi="宋体" w:cs="宋体"/>
                <w:sz w:val="18"/>
                <w:szCs w:val="18"/>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（kPa）</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（kPa）</w:t>
            </w:r>
          </w:p>
        </w:tc>
        <w:tc>
          <w:tcPr>
            <w:tcW w:w="141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L1</w:t>
            </w:r>
          </w:p>
        </w:tc>
        <w:tc>
          <w:tcPr>
            <w:tcW w:w="15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HYD</w:t>
            </w:r>
          </w:p>
        </w:tc>
        <w:tc>
          <w:tcPr>
            <w:tcW w:w="1120"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L4</w:t>
            </w:r>
          </w:p>
        </w:tc>
        <w:tc>
          <w:tcPr>
            <w:tcW w:w="15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SUS</w:t>
            </w:r>
          </w:p>
        </w:tc>
        <w:tc>
          <w:tcPr>
            <w:tcW w:w="1120"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1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L5</w:t>
            </w:r>
          </w:p>
        </w:tc>
        <w:tc>
          <w:tcPr>
            <w:tcW w:w="15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EXP</w:t>
            </w:r>
          </w:p>
        </w:tc>
        <w:tc>
          <w:tcPr>
            <w:tcW w:w="1120"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r>
    </w:tbl>
    <w:p>
      <w:pPr>
        <w:pStyle w:val="217"/>
      </w:pPr>
      <w:r>
        <w:rPr>
          <w:rFonts w:hint="eastAsia"/>
        </w:rPr>
        <w:t>管道及设备位移计算结果</w:t>
      </w:r>
    </w:p>
    <w:p>
      <w:pPr>
        <w:pStyle w:val="61"/>
        <w:ind w:firstLine="420"/>
        <w:rPr>
          <w:sz w:val="24"/>
        </w:rPr>
      </w:pPr>
      <w:r>
        <w:rPr>
          <w:rFonts w:hint="eastAsia"/>
        </w:rPr>
        <w:t>管道最大位移计算结果</w:t>
      </w:r>
    </w:p>
    <w:p>
      <w:pPr>
        <w:pStyle w:val="61"/>
        <w:spacing w:after="120" w:afterLines="50"/>
        <w:ind w:firstLine="420"/>
      </w:pPr>
      <w:r>
        <w:rPr>
          <w:rFonts w:hint="eastAsia"/>
        </w:rPr>
        <w:t>管道在XYZ方向的最大位移量见下表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2135"/>
        <w:gridCol w:w="1984"/>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546"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节点号</w:t>
            </w:r>
          </w:p>
        </w:tc>
        <w:tc>
          <w:tcPr>
            <w:tcW w:w="6671"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最大位移（mm）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54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left"/>
              <w:rPr>
                <w:rFonts w:ascii="宋体" w:hAnsi="宋体" w:cs="宋体"/>
                <w:sz w:val="18"/>
                <w:szCs w:val="18"/>
              </w:rPr>
            </w:pPr>
          </w:p>
        </w:tc>
        <w:tc>
          <w:tcPr>
            <w:tcW w:w="213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Dx</w:t>
            </w: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Dy</w:t>
            </w:r>
          </w:p>
        </w:tc>
        <w:tc>
          <w:tcPr>
            <w:tcW w:w="255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 w:val="18"/>
                <w:szCs w:val="18"/>
              </w:rPr>
            </w:pPr>
            <w:r>
              <w:rPr>
                <w:rFonts w:hint="eastAsia" w:ascii="宋体" w:hAnsi="宋体" w:cs="宋体"/>
                <w:sz w:val="18"/>
                <w:szCs w:val="18"/>
              </w:rPr>
              <w:t>Dz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546"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2135"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546"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2135"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546"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2135"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cs="宋体"/>
                <w:sz w:val="18"/>
                <w:szCs w:val="18"/>
              </w:rPr>
            </w:pPr>
          </w:p>
        </w:tc>
      </w:tr>
    </w:tbl>
    <w:p>
      <w:pPr>
        <w:pStyle w:val="61"/>
        <w:spacing w:before="120" w:beforeLines="50" w:after="156"/>
        <w:ind w:firstLine="420"/>
      </w:pPr>
      <w:r>
        <w:rPr>
          <w:rFonts w:hint="eastAsia"/>
        </w:rPr>
        <w:t>经计算，该项目压缩空气管道系统在OPE工况下的-X方向最大位移约为（     ）mm，Y方向最大位移约为（    ）mm，-Z方向最大位移约为（    ）mm。管道系统在OPE工况下的位移量均在合理范围内。</w:t>
      </w:r>
    </w:p>
    <w:p>
      <w:pPr>
        <w:pStyle w:val="216"/>
        <w:rPr>
          <w:rFonts w:ascii="黑体" w:hAnsi="黑体" w:eastAsia="黑体"/>
        </w:rPr>
      </w:pPr>
      <w:r>
        <w:rPr>
          <w:rFonts w:hint="eastAsia" w:ascii="黑体" w:hAnsi="黑体" w:eastAsia="黑体"/>
        </w:rPr>
        <w:t>结论</w:t>
      </w:r>
    </w:p>
    <w:p>
      <w:pPr>
        <w:pStyle w:val="61"/>
        <w:spacing w:after="156"/>
        <w:ind w:firstLine="420"/>
      </w:pPr>
      <w:r>
        <w:rPr>
          <w:rFonts w:hint="eastAsia"/>
        </w:rPr>
        <w:t>综上所述，通过应力分析软件CAESAR II对该项目管道系统的模拟计算，可以得到下述结论：</w:t>
      </w:r>
    </w:p>
    <w:p>
      <w:pPr>
        <w:pStyle w:val="61"/>
        <w:spacing w:after="156"/>
        <w:ind w:firstLine="420"/>
      </w:pPr>
      <w:r>
        <w:rPr>
          <w:rFonts w:hint="eastAsia"/>
        </w:rPr>
        <w:t>1、在HYD、OPE、SUS、EXP下，管系应力均满足规范要求，管道的位移没有对相邻/相连管线和设备造成影响；管道支架的受力大小合适，满足要求。</w:t>
      </w:r>
    </w:p>
    <w:p>
      <w:pPr>
        <w:pStyle w:val="216"/>
        <w:rPr>
          <w:rFonts w:ascii="黑体" w:hAnsi="黑体" w:eastAsia="黑体"/>
        </w:rPr>
      </w:pPr>
      <w:r>
        <w:rPr>
          <w:rFonts w:hint="eastAsia" w:ascii="黑体" w:hAnsi="黑体" w:eastAsia="黑体"/>
        </w:rPr>
        <w:t>附件</w:t>
      </w:r>
    </w:p>
    <w:p>
      <w:pPr>
        <w:pStyle w:val="61"/>
        <w:ind w:firstLine="420"/>
      </w:pPr>
      <w:r>
        <w:rPr>
          <w:rFonts w:hint="eastAsia"/>
        </w:rPr>
        <w:t>Caesar II 输出报告</w:t>
      </w:r>
    </w:p>
    <w:p>
      <w:pPr>
        <w:widowControl/>
        <w:adjustRightInd/>
        <w:spacing w:line="240" w:lineRule="auto"/>
        <w:jc w:val="left"/>
        <w:rPr>
          <w:rFonts w:ascii="宋体" w:hAnsi="Times New Roman"/>
          <w:kern w:val="0"/>
          <w:szCs w:val="20"/>
        </w:rPr>
      </w:pPr>
      <w:r>
        <w:br w:type="page"/>
      </w:r>
    </w:p>
    <w:p>
      <w:pPr>
        <w:rPr>
          <w:rFonts w:ascii="黑体" w:hAnsi="Times New Roman" w:eastAsia="黑体"/>
          <w:kern w:val="0"/>
          <w:szCs w:val="20"/>
        </w:rPr>
        <w:sectPr>
          <w:pgSz w:w="11906" w:h="16838"/>
          <w:pgMar w:top="1928" w:right="1134" w:bottom="1134" w:left="1134" w:header="1418" w:footer="1134" w:gutter="284"/>
          <w:cols w:space="425" w:num="1"/>
          <w:formProt w:val="0"/>
          <w:docGrid w:linePitch="312" w:charSpace="0"/>
        </w:sectPr>
      </w:pPr>
    </w:p>
    <w:p>
      <w:pPr>
        <w:pStyle w:val="203"/>
      </w:pPr>
    </w:p>
    <w:p>
      <w:pPr>
        <w:pStyle w:val="204"/>
      </w:pPr>
    </w:p>
    <w:p>
      <w:pPr>
        <w:pStyle w:val="81"/>
        <w:spacing w:after="120"/>
      </w:pPr>
      <w:r>
        <w:br w:type="textWrapping"/>
      </w:r>
      <w:bookmarkStart w:id="238" w:name="_Toc209114120"/>
      <w:r>
        <w:rPr>
          <w:rFonts w:hint="eastAsia"/>
        </w:rPr>
        <w:t>（资料性）</w:t>
      </w:r>
      <w:r>
        <w:br w:type="textWrapping"/>
      </w:r>
      <w:r>
        <w:rPr>
          <w:rFonts w:hint="eastAsia"/>
        </w:rPr>
        <w:t>管端的坡口型式及组对尺寸</w:t>
      </w:r>
      <w:bookmarkEnd w:id="238"/>
    </w:p>
    <w:p>
      <w:pPr>
        <w:pStyle w:val="216"/>
        <w:rPr>
          <w:rFonts w:ascii="黑体" w:hAnsi="黑体" w:eastAsia="黑体"/>
        </w:rPr>
      </w:pPr>
      <w:bookmarkStart w:id="239" w:name="_Toc203485229"/>
      <w:r>
        <w:rPr>
          <w:rFonts w:hint="eastAsia" w:ascii="黑体" w:hAnsi="黑体" w:eastAsia="黑体"/>
        </w:rPr>
        <w:t>不等壁厚管道对接坡口型式宜符合图C.1的规定。</w:t>
      </w:r>
      <w:bookmarkEnd w:id="239"/>
    </w:p>
    <w:p>
      <w:pPr>
        <w:pStyle w:val="61"/>
        <w:spacing w:after="120"/>
        <w:ind w:firstLine="0" w:firstLineChars="0"/>
        <w:jc w:val="center"/>
        <w:rPr>
          <w:rFonts w:hAnsi="宋体"/>
          <w:spacing w:val="10"/>
          <w:szCs w:val="21"/>
        </w:rPr>
      </w:pPr>
      <w:r>
        <w:rPr>
          <w:rFonts w:hint="eastAsia"/>
          <w:szCs w:val="21"/>
        </w:rPr>
        <w:drawing>
          <wp:inline distT="0" distB="0" distL="114300" distR="114300">
            <wp:extent cx="5078095" cy="1585595"/>
            <wp:effectExtent l="0" t="0" r="8255" b="0"/>
            <wp:docPr id="30" name="图片 30" descr="C:\Users\cppmuser\AppData\Local\Temp\ksohtml7928\wps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cppmuser\AppData\Local\Temp\ksohtml7928\wps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096042" cy="1591363"/>
                    </a:xfrm>
                    <a:prstGeom prst="rect">
                      <a:avLst/>
                    </a:prstGeom>
                    <a:noFill/>
                    <a:ln>
                      <a:noFill/>
                    </a:ln>
                  </pic:spPr>
                </pic:pic>
              </a:graphicData>
            </a:graphic>
          </wp:inline>
        </w:drawing>
      </w:r>
    </w:p>
    <w:p>
      <w:pPr>
        <w:pStyle w:val="61"/>
        <w:spacing w:after="120"/>
        <w:ind w:firstLine="0" w:firstLineChars="0"/>
        <w:jc w:val="center"/>
        <w:rPr>
          <w:rFonts w:hAnsi="宋体"/>
          <w:spacing w:val="10"/>
          <w:szCs w:val="21"/>
        </w:rPr>
      </w:pPr>
      <w:r>
        <w:rPr>
          <w:rFonts w:hint="eastAsia" w:hAnsi="宋体"/>
          <w:spacing w:val="10"/>
          <w:szCs w:val="21"/>
        </w:rPr>
        <w:t>（a）内壁尺寸不相等</w:t>
      </w:r>
    </w:p>
    <w:p>
      <w:pPr>
        <w:pStyle w:val="61"/>
        <w:spacing w:after="120"/>
        <w:ind w:firstLine="0" w:firstLineChars="0"/>
        <w:jc w:val="center"/>
        <w:rPr>
          <w:rFonts w:hAnsi="宋体"/>
          <w:spacing w:val="10"/>
          <w:szCs w:val="21"/>
        </w:rPr>
      </w:pPr>
    </w:p>
    <w:p>
      <w:pPr>
        <w:pStyle w:val="61"/>
        <w:spacing w:after="120"/>
        <w:ind w:firstLine="0" w:firstLineChars="0"/>
        <w:jc w:val="center"/>
        <w:rPr>
          <w:rFonts w:hAnsi="宋体"/>
          <w:spacing w:val="10"/>
          <w:sz w:val="24"/>
          <w:szCs w:val="24"/>
        </w:rPr>
      </w:pPr>
      <w:r>
        <w:drawing>
          <wp:inline distT="0" distB="0" distL="0" distR="0">
            <wp:extent cx="5274945" cy="1574800"/>
            <wp:effectExtent l="0" t="0" r="5715"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945" cy="1574800"/>
                    </a:xfrm>
                    <a:prstGeom prst="rect">
                      <a:avLst/>
                    </a:prstGeom>
                    <a:noFill/>
                    <a:ln>
                      <a:noFill/>
                    </a:ln>
                  </pic:spPr>
                </pic:pic>
              </a:graphicData>
            </a:graphic>
          </wp:inline>
        </w:drawing>
      </w:r>
    </w:p>
    <w:p>
      <w:pPr>
        <w:pStyle w:val="61"/>
        <w:spacing w:after="120"/>
        <w:ind w:firstLine="0" w:firstLineChars="0"/>
        <w:jc w:val="center"/>
        <w:rPr>
          <w:rFonts w:hAnsi="宋体"/>
          <w:spacing w:val="10"/>
          <w:szCs w:val="21"/>
        </w:rPr>
      </w:pPr>
      <w:r>
        <w:rPr>
          <w:rFonts w:hint="eastAsia" w:hAnsi="宋体"/>
          <w:spacing w:val="10"/>
          <w:szCs w:val="21"/>
        </w:rPr>
        <w:t>（b）外壁尺寸不相等</w:t>
      </w:r>
    </w:p>
    <w:p>
      <w:pPr>
        <w:pStyle w:val="61"/>
        <w:spacing w:after="120"/>
        <w:ind w:firstLine="0" w:firstLineChars="0"/>
        <w:jc w:val="center"/>
        <w:rPr>
          <w:rFonts w:hAnsi="宋体"/>
          <w:spacing w:val="10"/>
          <w:szCs w:val="21"/>
        </w:rPr>
      </w:pPr>
    </w:p>
    <w:p>
      <w:pPr>
        <w:pStyle w:val="61"/>
        <w:spacing w:after="120"/>
        <w:ind w:firstLine="0" w:firstLineChars="0"/>
        <w:jc w:val="center"/>
        <w:rPr>
          <w:rFonts w:hAnsi="宋体"/>
          <w:spacing w:val="10"/>
          <w:sz w:val="24"/>
          <w:szCs w:val="24"/>
        </w:rPr>
      </w:pPr>
      <w:r>
        <w:drawing>
          <wp:inline distT="0" distB="0" distL="0" distR="0">
            <wp:extent cx="2336165" cy="967105"/>
            <wp:effectExtent l="0" t="0" r="3175"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336165" cy="967105"/>
                    </a:xfrm>
                    <a:prstGeom prst="rect">
                      <a:avLst/>
                    </a:prstGeom>
                    <a:noFill/>
                    <a:ln>
                      <a:noFill/>
                    </a:ln>
                  </pic:spPr>
                </pic:pic>
              </a:graphicData>
            </a:graphic>
          </wp:inline>
        </w:drawing>
      </w:r>
      <w:r>
        <w:rPr>
          <w:rFonts w:hint="eastAsia"/>
        </w:rPr>
        <w:t xml:space="preserve">     </w:t>
      </w:r>
      <w:r>
        <w:drawing>
          <wp:inline distT="0" distB="0" distL="0" distR="0">
            <wp:extent cx="2452370" cy="967105"/>
            <wp:effectExtent l="0" t="0" r="127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6" cstate="print">
                      <a:extLst>
                        <a:ext uri="{28A0092B-C50C-407E-A947-70E740481C1C}">
                          <a14:useLocalDpi xmlns:a14="http://schemas.microsoft.com/office/drawing/2010/main" val="0"/>
                        </a:ext>
                      </a:extLst>
                    </a:blip>
                    <a:srcRect l="10866" t="36116" r="15384" b="27646"/>
                    <a:stretch>
                      <a:fillRect/>
                    </a:stretch>
                  </pic:blipFill>
                  <pic:spPr>
                    <a:xfrm>
                      <a:off x="0" y="0"/>
                      <a:ext cx="2452370" cy="967105"/>
                    </a:xfrm>
                    <a:prstGeom prst="rect">
                      <a:avLst/>
                    </a:prstGeom>
                    <a:noFill/>
                    <a:ln>
                      <a:noFill/>
                    </a:ln>
                  </pic:spPr>
                </pic:pic>
              </a:graphicData>
            </a:graphic>
          </wp:inline>
        </w:drawing>
      </w:r>
    </w:p>
    <w:p>
      <w:pPr>
        <w:pStyle w:val="61"/>
        <w:numPr>
          <w:ilvl w:val="0"/>
          <w:numId w:val="113"/>
        </w:numPr>
        <w:spacing w:after="120"/>
        <w:ind w:firstLineChars="0"/>
        <w:jc w:val="center"/>
        <w:rPr>
          <w:rFonts w:hAnsi="宋体"/>
          <w:spacing w:val="10"/>
          <w:szCs w:val="21"/>
        </w:rPr>
      </w:pPr>
      <w:r>
        <w:rPr>
          <w:rFonts w:hint="eastAsia" w:hAnsi="宋体"/>
          <w:spacing w:val="10"/>
          <w:szCs w:val="21"/>
        </w:rPr>
        <w:t>内外壁尺寸均不相等           （d）内壁尺寸不相等的削薄</w:t>
      </w:r>
    </w:p>
    <w:p>
      <w:pPr>
        <w:pStyle w:val="88"/>
        <w:numPr>
          <w:ilvl w:val="0"/>
          <w:numId w:val="0"/>
        </w:numPr>
        <w:spacing w:before="120" w:after="120"/>
      </w:pPr>
      <w:r>
        <w:rPr>
          <w:rFonts w:hint="eastAsia"/>
        </w:rPr>
        <w:t>图</w:t>
      </w:r>
      <w:r>
        <w:t>C.1</w:t>
      </w:r>
      <w:r>
        <w:rPr>
          <w:rFonts w:hint="eastAsia"/>
        </w:rPr>
        <w:t>焊件坡口形式</w:t>
      </w:r>
    </w:p>
    <w:p>
      <w:pPr>
        <w:pStyle w:val="61"/>
        <w:spacing w:after="120"/>
        <w:ind w:firstLine="400"/>
        <w:rPr>
          <w:rFonts w:ascii="黑体" w:hAnsi="黑体" w:eastAsia="黑体" w:cs="黑体"/>
          <w:spacing w:val="10"/>
          <w:sz w:val="18"/>
          <w:szCs w:val="18"/>
        </w:rPr>
      </w:pPr>
      <w:r>
        <w:rPr>
          <w:rFonts w:hint="eastAsia" w:ascii="黑体" w:hAnsi="黑体" w:eastAsia="黑体" w:cs="黑体"/>
          <w:spacing w:val="10"/>
          <w:sz w:val="18"/>
          <w:szCs w:val="18"/>
        </w:rPr>
        <w:t>注：用于管件且受长度条件限制时，图（b）①和（c）中的外坡口15°角可改用30°角。</w:t>
      </w:r>
    </w:p>
    <w:p>
      <w:pPr>
        <w:pStyle w:val="61"/>
        <w:spacing w:after="120"/>
        <w:ind w:firstLine="400"/>
        <w:rPr>
          <w:rFonts w:ascii="黑体" w:hAnsi="黑体" w:eastAsia="黑体" w:cs="黑体"/>
          <w:spacing w:val="10"/>
          <w:sz w:val="18"/>
          <w:szCs w:val="18"/>
        </w:rPr>
      </w:pPr>
    </w:p>
    <w:p>
      <w:pPr>
        <w:pStyle w:val="61"/>
        <w:spacing w:after="120"/>
        <w:ind w:firstLine="400"/>
        <w:rPr>
          <w:rFonts w:ascii="黑体" w:hAnsi="黑体" w:eastAsia="黑体" w:cs="黑体"/>
          <w:spacing w:val="10"/>
          <w:sz w:val="18"/>
          <w:szCs w:val="18"/>
        </w:rPr>
      </w:pPr>
    </w:p>
    <w:p>
      <w:pPr>
        <w:pStyle w:val="61"/>
        <w:spacing w:after="120"/>
        <w:ind w:firstLine="400"/>
        <w:rPr>
          <w:rFonts w:ascii="黑体" w:hAnsi="黑体" w:eastAsia="黑体" w:cs="黑体"/>
          <w:spacing w:val="10"/>
          <w:sz w:val="18"/>
          <w:szCs w:val="18"/>
        </w:rPr>
      </w:pPr>
    </w:p>
    <w:p>
      <w:pPr>
        <w:pStyle w:val="61"/>
        <w:spacing w:after="120"/>
        <w:ind w:firstLine="400"/>
        <w:rPr>
          <w:rFonts w:ascii="黑体" w:hAnsi="黑体" w:eastAsia="黑体" w:cs="黑体"/>
          <w:spacing w:val="10"/>
          <w:sz w:val="18"/>
          <w:szCs w:val="18"/>
        </w:rPr>
      </w:pPr>
    </w:p>
    <w:p>
      <w:pPr>
        <w:pStyle w:val="61"/>
        <w:spacing w:after="120"/>
        <w:ind w:firstLine="400"/>
        <w:rPr>
          <w:rFonts w:ascii="黑体" w:hAnsi="黑体" w:eastAsia="黑体" w:cs="黑体"/>
          <w:spacing w:val="10"/>
          <w:sz w:val="18"/>
          <w:szCs w:val="18"/>
        </w:rPr>
      </w:pPr>
    </w:p>
    <w:p>
      <w:pPr>
        <w:pStyle w:val="61"/>
        <w:spacing w:after="120"/>
        <w:ind w:firstLine="400"/>
        <w:rPr>
          <w:rFonts w:ascii="黑体" w:hAnsi="黑体" w:eastAsia="黑体" w:cs="黑体"/>
          <w:spacing w:val="10"/>
          <w:sz w:val="18"/>
          <w:szCs w:val="18"/>
        </w:rPr>
      </w:pPr>
    </w:p>
    <w:p>
      <w:pPr>
        <w:pStyle w:val="216"/>
        <w:rPr>
          <w:rFonts w:ascii="黑体" w:hAnsi="黑体" w:eastAsia="黑体"/>
        </w:rPr>
      </w:pPr>
      <w:bookmarkStart w:id="240" w:name="_Toc183188440"/>
      <w:bookmarkStart w:id="241" w:name="_Toc203485230"/>
      <w:r>
        <w:rPr>
          <w:rFonts w:hint="eastAsia" w:ascii="黑体" w:hAnsi="黑体" w:eastAsia="黑体"/>
        </w:rPr>
        <w:t>等壁厚管道对接坡口型式宜符合表C.1的规定。</w:t>
      </w:r>
      <w:bookmarkEnd w:id="240"/>
      <w:bookmarkEnd w:id="241"/>
    </w:p>
    <w:p>
      <w:pPr>
        <w:pStyle w:val="82"/>
        <w:spacing w:before="120" w:after="120"/>
      </w:pPr>
      <w:r>
        <w:rPr>
          <w:rFonts w:hint="eastAsia"/>
        </w:rPr>
        <w:t>等壁厚管道对接坡口型式</w:t>
      </w:r>
    </w:p>
    <w:tbl>
      <w:tblPr>
        <w:tblStyle w:val="31"/>
        <w:tblW w:w="510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175"/>
        <w:gridCol w:w="1455"/>
        <w:gridCol w:w="2629"/>
        <w:gridCol w:w="763"/>
        <w:gridCol w:w="841"/>
        <w:gridCol w:w="1209"/>
        <w:gridCol w:w="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372" w:type="pct"/>
            <w:vMerge w:val="restart"/>
            <w:vAlign w:val="center"/>
          </w:tcPr>
          <w:p>
            <w:pPr>
              <w:adjustRightInd/>
              <w:spacing w:line="240" w:lineRule="auto"/>
              <w:jc w:val="center"/>
              <w:rPr>
                <w:rFonts w:ascii="宋体" w:hAnsi="宋体" w:cs="宋体"/>
                <w:sz w:val="18"/>
                <w:szCs w:val="18"/>
              </w:rPr>
            </w:pPr>
            <w:r>
              <w:rPr>
                <w:rFonts w:hint="eastAsia" w:ascii="宋体" w:hAnsi="宋体" w:cs="宋体"/>
                <w:sz w:val="18"/>
                <w:szCs w:val="18"/>
              </w:rPr>
              <w:t>项次</w:t>
            </w:r>
          </w:p>
        </w:tc>
        <w:tc>
          <w:tcPr>
            <w:tcW w:w="601" w:type="pct"/>
            <w:vMerge w:val="restart"/>
            <w:vAlign w:val="center"/>
          </w:tcPr>
          <w:p>
            <w:pPr>
              <w:adjustRightInd/>
              <w:spacing w:line="240" w:lineRule="auto"/>
              <w:jc w:val="center"/>
              <w:rPr>
                <w:rFonts w:ascii="宋体" w:hAnsi="宋体" w:cs="宋体"/>
                <w:sz w:val="18"/>
                <w:szCs w:val="18"/>
              </w:rPr>
            </w:pPr>
            <w:r>
              <w:rPr>
                <w:rFonts w:hint="eastAsia" w:ascii="宋体" w:hAnsi="宋体" w:cs="宋体"/>
                <w:sz w:val="18"/>
                <w:szCs w:val="18"/>
              </w:rPr>
              <w:t>厚度</w:t>
            </w:r>
          </w:p>
          <w:p>
            <w:pPr>
              <w:adjustRightInd/>
              <w:spacing w:line="240" w:lineRule="auto"/>
              <w:jc w:val="center"/>
              <w:rPr>
                <w:rFonts w:ascii="宋体" w:hAnsi="宋体" w:cs="宋体"/>
                <w:sz w:val="18"/>
                <w:szCs w:val="18"/>
              </w:rPr>
            </w:pPr>
            <w:r>
              <w:rPr>
                <w:rFonts w:hint="eastAsia" w:ascii="宋体" w:hAnsi="宋体" w:cs="宋体"/>
                <w:sz w:val="18"/>
                <w:szCs w:val="18"/>
              </w:rPr>
              <w:t>T</w:t>
            </w:r>
          </w:p>
          <w:p>
            <w:pPr>
              <w:adjustRightInd/>
              <w:spacing w:line="240" w:lineRule="auto"/>
              <w:jc w:val="center"/>
              <w:rPr>
                <w:rFonts w:ascii="宋体" w:hAnsi="宋体" w:cs="宋体"/>
                <w:sz w:val="18"/>
                <w:szCs w:val="18"/>
              </w:rPr>
            </w:pPr>
            <w:r>
              <w:rPr>
                <w:rFonts w:hint="eastAsia" w:ascii="宋体" w:hAnsi="宋体" w:cs="宋体"/>
                <w:sz w:val="18"/>
                <w:szCs w:val="18"/>
              </w:rPr>
              <w:t>（mm）</w:t>
            </w:r>
          </w:p>
        </w:tc>
        <w:tc>
          <w:tcPr>
            <w:tcW w:w="744" w:type="pct"/>
            <w:vMerge w:val="restart"/>
            <w:vAlign w:val="center"/>
          </w:tcPr>
          <w:p>
            <w:pPr>
              <w:adjustRightInd/>
              <w:spacing w:line="240" w:lineRule="auto"/>
              <w:jc w:val="center"/>
              <w:rPr>
                <w:rFonts w:ascii="宋体" w:hAnsi="宋体" w:cs="宋体"/>
                <w:sz w:val="18"/>
                <w:szCs w:val="18"/>
              </w:rPr>
            </w:pPr>
            <w:r>
              <w:rPr>
                <w:rFonts w:hint="eastAsia" w:ascii="宋体" w:hAnsi="宋体" w:cs="宋体"/>
                <w:sz w:val="18"/>
                <w:szCs w:val="18"/>
              </w:rPr>
              <w:t>坡口名称</w:t>
            </w:r>
          </w:p>
        </w:tc>
        <w:tc>
          <w:tcPr>
            <w:tcW w:w="1344" w:type="pct"/>
            <w:vMerge w:val="restart"/>
            <w:vAlign w:val="center"/>
          </w:tcPr>
          <w:p>
            <w:pPr>
              <w:adjustRightInd/>
              <w:spacing w:line="240" w:lineRule="auto"/>
              <w:ind w:firstLine="124" w:firstLineChars="69"/>
              <w:jc w:val="center"/>
              <w:rPr>
                <w:rFonts w:ascii="宋体" w:hAnsi="宋体" w:cs="宋体"/>
                <w:sz w:val="18"/>
                <w:szCs w:val="18"/>
              </w:rPr>
            </w:pPr>
            <w:r>
              <w:rPr>
                <w:rFonts w:hint="eastAsia" w:ascii="宋体" w:hAnsi="宋体" w:cs="宋体"/>
                <w:sz w:val="18"/>
                <w:szCs w:val="18"/>
              </w:rPr>
              <w:t>坡口形式</w:t>
            </w:r>
          </w:p>
        </w:tc>
        <w:tc>
          <w:tcPr>
            <w:tcW w:w="1437" w:type="pct"/>
            <w:gridSpan w:val="3"/>
            <w:vAlign w:val="center"/>
          </w:tcPr>
          <w:p>
            <w:pPr>
              <w:tabs>
                <w:tab w:val="left" w:pos="1387"/>
              </w:tabs>
              <w:adjustRightInd/>
              <w:spacing w:line="240" w:lineRule="auto"/>
              <w:jc w:val="center"/>
              <w:rPr>
                <w:rFonts w:ascii="宋体" w:hAnsi="宋体" w:cs="宋体"/>
                <w:sz w:val="18"/>
                <w:szCs w:val="18"/>
              </w:rPr>
            </w:pPr>
            <w:r>
              <w:rPr>
                <w:rFonts w:hint="eastAsia" w:ascii="宋体" w:hAnsi="宋体" w:cs="宋体"/>
                <w:sz w:val="18"/>
                <w:szCs w:val="18"/>
              </w:rPr>
              <w:t>坡口尺寸</w:t>
            </w:r>
          </w:p>
        </w:tc>
        <w:tc>
          <w:tcPr>
            <w:tcW w:w="501" w:type="pct"/>
            <w:vMerge w:val="restart"/>
            <w:vAlign w:val="center"/>
          </w:tcPr>
          <w:p>
            <w:pPr>
              <w:adjustRightInd/>
              <w:spacing w:line="240" w:lineRule="auto"/>
              <w:jc w:val="center"/>
              <w:rPr>
                <w:rFonts w:ascii="宋体" w:hAnsi="宋体" w:cs="宋体"/>
                <w:sz w:val="18"/>
                <w:szCs w:val="18"/>
              </w:rPr>
            </w:pPr>
            <w:r>
              <w:rPr>
                <w:rFonts w:hint="eastAsia" w:ascii="宋体" w:hAnsi="宋体" w:cs="宋体"/>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372" w:type="pct"/>
            <w:vMerge w:val="continue"/>
            <w:vAlign w:val="center"/>
          </w:tcPr>
          <w:p>
            <w:pPr>
              <w:adjustRightInd/>
              <w:spacing w:line="240" w:lineRule="auto"/>
              <w:jc w:val="center"/>
              <w:rPr>
                <w:rFonts w:ascii="宋体" w:hAnsi="宋体" w:cs="宋体"/>
                <w:sz w:val="18"/>
                <w:szCs w:val="18"/>
              </w:rPr>
            </w:pPr>
          </w:p>
        </w:tc>
        <w:tc>
          <w:tcPr>
            <w:tcW w:w="601" w:type="pct"/>
            <w:vMerge w:val="continue"/>
            <w:vAlign w:val="center"/>
          </w:tcPr>
          <w:p>
            <w:pPr>
              <w:adjustRightInd/>
              <w:spacing w:line="240" w:lineRule="auto"/>
              <w:jc w:val="center"/>
              <w:rPr>
                <w:rFonts w:ascii="宋体" w:hAnsi="宋体" w:cs="宋体"/>
                <w:sz w:val="18"/>
                <w:szCs w:val="18"/>
              </w:rPr>
            </w:pPr>
          </w:p>
        </w:tc>
        <w:tc>
          <w:tcPr>
            <w:tcW w:w="744" w:type="pct"/>
            <w:vMerge w:val="continue"/>
            <w:vAlign w:val="center"/>
          </w:tcPr>
          <w:p>
            <w:pPr>
              <w:adjustRightInd/>
              <w:spacing w:line="240" w:lineRule="auto"/>
              <w:jc w:val="center"/>
              <w:rPr>
                <w:rFonts w:ascii="宋体" w:hAnsi="宋体" w:cs="宋体"/>
                <w:sz w:val="18"/>
                <w:szCs w:val="18"/>
              </w:rPr>
            </w:pPr>
          </w:p>
        </w:tc>
        <w:tc>
          <w:tcPr>
            <w:tcW w:w="1344" w:type="pct"/>
            <w:vMerge w:val="continue"/>
            <w:vAlign w:val="center"/>
          </w:tcPr>
          <w:p>
            <w:pPr>
              <w:adjustRightInd/>
              <w:spacing w:line="240" w:lineRule="auto"/>
              <w:jc w:val="center"/>
              <w:rPr>
                <w:rFonts w:ascii="宋体" w:hAnsi="宋体" w:cs="宋体"/>
                <w:sz w:val="18"/>
                <w:szCs w:val="18"/>
              </w:rPr>
            </w:pPr>
          </w:p>
        </w:tc>
        <w:tc>
          <w:tcPr>
            <w:tcW w:w="390"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间隙</w:t>
            </w:r>
          </w:p>
          <w:p>
            <w:pPr>
              <w:adjustRightInd/>
              <w:spacing w:line="240" w:lineRule="auto"/>
              <w:jc w:val="center"/>
              <w:rPr>
                <w:rFonts w:ascii="宋体" w:hAnsi="宋体" w:cs="宋体"/>
                <w:sz w:val="18"/>
                <w:szCs w:val="18"/>
              </w:rPr>
            </w:pPr>
            <w:r>
              <w:rPr>
                <w:rFonts w:hint="eastAsia" w:ascii="宋体" w:hAnsi="宋体" w:cs="宋体"/>
                <w:sz w:val="18"/>
                <w:szCs w:val="18"/>
              </w:rPr>
              <w:t>c</w:t>
            </w:r>
          </w:p>
          <w:p>
            <w:pPr>
              <w:adjustRightInd/>
              <w:spacing w:line="240" w:lineRule="auto"/>
              <w:jc w:val="center"/>
              <w:rPr>
                <w:rFonts w:ascii="宋体" w:hAnsi="宋体" w:cs="宋体"/>
                <w:sz w:val="18"/>
                <w:szCs w:val="18"/>
              </w:rPr>
            </w:pPr>
            <w:r>
              <w:rPr>
                <w:rFonts w:hint="eastAsia" w:ascii="宋体" w:hAnsi="宋体" w:cs="宋体"/>
                <w:sz w:val="18"/>
                <w:szCs w:val="18"/>
              </w:rPr>
              <w:t>(mm)</w:t>
            </w:r>
          </w:p>
        </w:tc>
        <w:tc>
          <w:tcPr>
            <w:tcW w:w="430"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钝边</w:t>
            </w:r>
          </w:p>
          <w:p>
            <w:pPr>
              <w:adjustRightInd/>
              <w:spacing w:line="240" w:lineRule="auto"/>
              <w:jc w:val="center"/>
              <w:rPr>
                <w:rFonts w:ascii="宋体" w:hAnsi="宋体" w:cs="宋体"/>
                <w:sz w:val="18"/>
                <w:szCs w:val="18"/>
              </w:rPr>
            </w:pPr>
            <w:r>
              <w:rPr>
                <w:rFonts w:hint="eastAsia" w:ascii="宋体" w:hAnsi="宋体" w:cs="宋体"/>
                <w:sz w:val="18"/>
                <w:szCs w:val="18"/>
              </w:rPr>
              <w:t>р</w:t>
            </w:r>
          </w:p>
          <w:p>
            <w:pPr>
              <w:adjustRightInd/>
              <w:spacing w:line="240" w:lineRule="auto"/>
              <w:jc w:val="center"/>
              <w:rPr>
                <w:rFonts w:ascii="宋体" w:hAnsi="宋体" w:cs="宋体"/>
                <w:sz w:val="18"/>
                <w:szCs w:val="18"/>
              </w:rPr>
            </w:pPr>
            <w:r>
              <w:rPr>
                <w:rFonts w:hint="eastAsia" w:ascii="宋体" w:hAnsi="宋体" w:cs="宋体"/>
                <w:sz w:val="18"/>
                <w:szCs w:val="18"/>
              </w:rPr>
              <w:t>(mm)</w:t>
            </w:r>
          </w:p>
        </w:tc>
        <w:tc>
          <w:tcPr>
            <w:tcW w:w="618"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坡口角度</w:t>
            </w:r>
          </w:p>
          <w:p>
            <w:pPr>
              <w:adjustRightInd/>
              <w:spacing w:line="240" w:lineRule="auto"/>
              <w:jc w:val="center"/>
              <w:rPr>
                <w:rFonts w:ascii="宋体" w:hAnsi="宋体" w:cs="宋体"/>
                <w:sz w:val="18"/>
                <w:szCs w:val="18"/>
              </w:rPr>
            </w:pPr>
            <w:r>
              <w:rPr>
                <w:rFonts w:hint="eastAsia" w:ascii="宋体" w:hAnsi="宋体" w:cs="宋体"/>
                <w:sz w:val="18"/>
                <w:szCs w:val="18"/>
              </w:rPr>
              <w:t>α(β) (°)</w:t>
            </w:r>
          </w:p>
        </w:tc>
        <w:tc>
          <w:tcPr>
            <w:tcW w:w="501" w:type="pct"/>
            <w:vMerge w:val="continue"/>
            <w:vAlign w:val="center"/>
          </w:tcPr>
          <w:p>
            <w:pPr>
              <w:adjustRightInd/>
              <w:spacing w:line="240" w:lineRule="auto"/>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7" w:hRule="atLeast"/>
        </w:trPr>
        <w:tc>
          <w:tcPr>
            <w:tcW w:w="372" w:type="pct"/>
            <w:vMerge w:val="restart"/>
            <w:vAlign w:val="center"/>
          </w:tcPr>
          <w:p>
            <w:pPr>
              <w:adjustRightInd/>
              <w:spacing w:line="240" w:lineRule="auto"/>
              <w:jc w:val="center"/>
              <w:rPr>
                <w:rFonts w:ascii="宋体" w:hAnsi="宋体" w:cs="宋体"/>
                <w:sz w:val="18"/>
                <w:szCs w:val="18"/>
              </w:rPr>
            </w:pPr>
            <w:r>
              <w:rPr>
                <w:rFonts w:hint="eastAsia" w:ascii="宋体" w:hAnsi="宋体" w:cs="宋体"/>
                <w:sz w:val="18"/>
                <w:szCs w:val="18"/>
              </w:rPr>
              <w:t>1</w:t>
            </w:r>
          </w:p>
        </w:tc>
        <w:tc>
          <w:tcPr>
            <w:tcW w:w="601"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1-3</w:t>
            </w:r>
          </w:p>
        </w:tc>
        <w:tc>
          <w:tcPr>
            <w:tcW w:w="744" w:type="pct"/>
            <w:vMerge w:val="restart"/>
            <w:vAlign w:val="center"/>
          </w:tcPr>
          <w:p>
            <w:pPr>
              <w:adjustRightInd/>
              <w:spacing w:line="240" w:lineRule="auto"/>
              <w:jc w:val="center"/>
              <w:rPr>
                <w:rFonts w:ascii="宋体" w:hAnsi="宋体" w:cs="宋体"/>
                <w:sz w:val="18"/>
                <w:szCs w:val="18"/>
              </w:rPr>
            </w:pPr>
            <w:r>
              <w:rPr>
                <w:rFonts w:hint="eastAsia" w:ascii="宋体" w:hAnsi="宋体" w:cs="宋体"/>
                <w:sz w:val="18"/>
                <w:szCs w:val="18"/>
              </w:rPr>
              <w:t>I型坡口</w:t>
            </w:r>
          </w:p>
        </w:tc>
        <w:tc>
          <w:tcPr>
            <w:tcW w:w="1344" w:type="pct"/>
            <w:vMerge w:val="restart"/>
            <w:vAlign w:val="center"/>
          </w:tcPr>
          <w:p>
            <w:pPr>
              <w:adjustRightInd/>
              <w:spacing w:line="240" w:lineRule="auto"/>
              <w:jc w:val="center"/>
              <w:rPr>
                <w:rFonts w:ascii="宋体" w:hAnsi="宋体" w:cs="宋体"/>
                <w:sz w:val="18"/>
                <w:szCs w:val="18"/>
              </w:rPr>
            </w:pPr>
            <w:r>
              <w:rPr>
                <w:rFonts w:hint="eastAsia" w:ascii="宋体" w:hAnsi="宋体" w:cs="宋体"/>
                <w:sz w:val="18"/>
                <w:szCs w:val="18"/>
              </w:rPr>
              <w:drawing>
                <wp:inline distT="0" distB="0" distL="0" distR="0">
                  <wp:extent cx="1252855" cy="470535"/>
                  <wp:effectExtent l="0" t="0" r="4445" b="5715"/>
                  <wp:docPr id="2095291941" name="图片 2095291941" descr="7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91941" name="图片 2095291941" descr="76_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52855" cy="470535"/>
                          </a:xfrm>
                          <a:prstGeom prst="rect">
                            <a:avLst/>
                          </a:prstGeom>
                          <a:noFill/>
                          <a:ln>
                            <a:noFill/>
                          </a:ln>
                        </pic:spPr>
                      </pic:pic>
                    </a:graphicData>
                  </a:graphic>
                </wp:inline>
              </w:drawing>
            </w:r>
          </w:p>
        </w:tc>
        <w:tc>
          <w:tcPr>
            <w:tcW w:w="390"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0-1.5</w:t>
            </w:r>
          </w:p>
        </w:tc>
        <w:tc>
          <w:tcPr>
            <w:tcW w:w="430" w:type="pct"/>
            <w:vMerge w:val="restart"/>
            <w:vAlign w:val="center"/>
          </w:tcPr>
          <w:p>
            <w:pPr>
              <w:adjustRightInd/>
              <w:spacing w:line="240" w:lineRule="auto"/>
              <w:jc w:val="center"/>
              <w:rPr>
                <w:rFonts w:ascii="宋体" w:hAnsi="宋体" w:cs="宋体"/>
                <w:sz w:val="18"/>
                <w:szCs w:val="18"/>
              </w:rPr>
            </w:pPr>
            <w:r>
              <w:rPr>
                <w:rFonts w:hint="eastAsia" w:ascii="宋体" w:hAnsi="宋体" w:cs="宋体"/>
                <w:sz w:val="18"/>
                <w:szCs w:val="18"/>
              </w:rPr>
              <w:t>—</w:t>
            </w:r>
          </w:p>
        </w:tc>
        <w:tc>
          <w:tcPr>
            <w:tcW w:w="618" w:type="pct"/>
            <w:vMerge w:val="restart"/>
            <w:vAlign w:val="center"/>
          </w:tcPr>
          <w:p>
            <w:pPr>
              <w:adjustRightInd/>
              <w:spacing w:line="240" w:lineRule="auto"/>
              <w:jc w:val="center"/>
              <w:rPr>
                <w:rFonts w:ascii="宋体" w:hAnsi="宋体" w:cs="宋体"/>
                <w:sz w:val="18"/>
                <w:szCs w:val="18"/>
              </w:rPr>
            </w:pPr>
            <w:r>
              <w:rPr>
                <w:rFonts w:hint="eastAsia" w:ascii="宋体" w:hAnsi="宋体" w:cs="宋体"/>
                <w:sz w:val="18"/>
                <w:szCs w:val="18"/>
              </w:rPr>
              <w:t>—</w:t>
            </w:r>
          </w:p>
        </w:tc>
        <w:tc>
          <w:tcPr>
            <w:tcW w:w="501"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单面焊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atLeast"/>
        </w:trPr>
        <w:tc>
          <w:tcPr>
            <w:tcW w:w="372" w:type="pct"/>
            <w:vMerge w:val="continue"/>
            <w:vAlign w:val="center"/>
          </w:tcPr>
          <w:p>
            <w:pPr>
              <w:adjustRightInd/>
              <w:spacing w:line="240" w:lineRule="auto"/>
              <w:jc w:val="center"/>
              <w:rPr>
                <w:rFonts w:ascii="宋体" w:hAnsi="宋体" w:cs="宋体"/>
                <w:sz w:val="18"/>
                <w:szCs w:val="18"/>
              </w:rPr>
            </w:pPr>
          </w:p>
        </w:tc>
        <w:tc>
          <w:tcPr>
            <w:tcW w:w="601"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3-6</w:t>
            </w:r>
          </w:p>
        </w:tc>
        <w:tc>
          <w:tcPr>
            <w:tcW w:w="744" w:type="pct"/>
            <w:vMerge w:val="continue"/>
            <w:vAlign w:val="center"/>
          </w:tcPr>
          <w:p>
            <w:pPr>
              <w:adjustRightInd/>
              <w:spacing w:line="240" w:lineRule="auto"/>
              <w:jc w:val="center"/>
              <w:rPr>
                <w:rFonts w:ascii="宋体" w:hAnsi="宋体" w:cs="宋体"/>
                <w:sz w:val="18"/>
                <w:szCs w:val="18"/>
              </w:rPr>
            </w:pPr>
          </w:p>
        </w:tc>
        <w:tc>
          <w:tcPr>
            <w:tcW w:w="1344" w:type="pct"/>
            <w:vMerge w:val="continue"/>
            <w:vAlign w:val="center"/>
          </w:tcPr>
          <w:p>
            <w:pPr>
              <w:adjustRightInd/>
              <w:spacing w:line="240" w:lineRule="auto"/>
              <w:jc w:val="center"/>
              <w:rPr>
                <w:rFonts w:ascii="宋体" w:hAnsi="宋体" w:cs="宋体"/>
                <w:sz w:val="18"/>
                <w:szCs w:val="18"/>
              </w:rPr>
            </w:pPr>
          </w:p>
        </w:tc>
        <w:tc>
          <w:tcPr>
            <w:tcW w:w="390"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0-2.5</w:t>
            </w:r>
          </w:p>
        </w:tc>
        <w:tc>
          <w:tcPr>
            <w:tcW w:w="430" w:type="pct"/>
            <w:vMerge w:val="continue"/>
            <w:vAlign w:val="center"/>
          </w:tcPr>
          <w:p>
            <w:pPr>
              <w:adjustRightInd/>
              <w:spacing w:line="240" w:lineRule="auto"/>
              <w:jc w:val="center"/>
              <w:rPr>
                <w:rFonts w:ascii="宋体" w:hAnsi="宋体" w:cs="宋体"/>
                <w:sz w:val="18"/>
                <w:szCs w:val="18"/>
              </w:rPr>
            </w:pPr>
          </w:p>
        </w:tc>
        <w:tc>
          <w:tcPr>
            <w:tcW w:w="618" w:type="pct"/>
            <w:vMerge w:val="continue"/>
            <w:vAlign w:val="center"/>
          </w:tcPr>
          <w:p>
            <w:pPr>
              <w:adjustRightInd/>
              <w:spacing w:line="240" w:lineRule="auto"/>
              <w:jc w:val="center"/>
              <w:rPr>
                <w:rFonts w:ascii="宋体" w:hAnsi="宋体" w:cs="宋体"/>
                <w:sz w:val="18"/>
                <w:szCs w:val="18"/>
              </w:rPr>
            </w:pPr>
          </w:p>
        </w:tc>
        <w:tc>
          <w:tcPr>
            <w:tcW w:w="501"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双面焊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372" w:type="pct"/>
            <w:vMerge w:val="restart"/>
            <w:vAlign w:val="center"/>
          </w:tcPr>
          <w:p>
            <w:pPr>
              <w:adjustRightInd/>
              <w:spacing w:line="240" w:lineRule="auto"/>
              <w:jc w:val="center"/>
              <w:rPr>
                <w:rFonts w:ascii="宋体" w:hAnsi="宋体" w:cs="宋体"/>
                <w:sz w:val="18"/>
                <w:szCs w:val="18"/>
              </w:rPr>
            </w:pPr>
            <w:r>
              <w:rPr>
                <w:rFonts w:hint="eastAsia" w:ascii="宋体" w:hAnsi="宋体" w:cs="宋体"/>
                <w:sz w:val="18"/>
                <w:szCs w:val="18"/>
              </w:rPr>
              <w:t>2</w:t>
            </w:r>
          </w:p>
        </w:tc>
        <w:tc>
          <w:tcPr>
            <w:tcW w:w="601"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3-9</w:t>
            </w:r>
          </w:p>
        </w:tc>
        <w:tc>
          <w:tcPr>
            <w:tcW w:w="744" w:type="pct"/>
            <w:vMerge w:val="restart"/>
            <w:vAlign w:val="center"/>
          </w:tcPr>
          <w:p>
            <w:pPr>
              <w:adjustRightInd/>
              <w:spacing w:line="240" w:lineRule="auto"/>
              <w:jc w:val="center"/>
              <w:rPr>
                <w:rFonts w:ascii="宋体" w:hAnsi="宋体" w:cs="宋体"/>
                <w:sz w:val="18"/>
                <w:szCs w:val="18"/>
              </w:rPr>
            </w:pPr>
            <w:r>
              <w:rPr>
                <w:rFonts w:hint="eastAsia" w:ascii="宋体" w:hAnsi="宋体" w:cs="宋体"/>
                <w:sz w:val="18"/>
                <w:szCs w:val="18"/>
              </w:rPr>
              <w:t>V型坡口</w:t>
            </w:r>
          </w:p>
        </w:tc>
        <w:tc>
          <w:tcPr>
            <w:tcW w:w="1344" w:type="pct"/>
            <w:vMerge w:val="restart"/>
            <w:vAlign w:val="center"/>
          </w:tcPr>
          <w:p>
            <w:pPr>
              <w:adjustRightInd/>
              <w:spacing w:line="240" w:lineRule="auto"/>
              <w:jc w:val="center"/>
              <w:rPr>
                <w:rFonts w:ascii="宋体" w:hAnsi="宋体" w:cs="宋体"/>
                <w:sz w:val="18"/>
                <w:szCs w:val="18"/>
              </w:rPr>
            </w:pPr>
            <w:r>
              <w:rPr>
                <w:rFonts w:ascii="Times New Roman" w:hAnsi="Times New Roman"/>
                <w:szCs w:val="24"/>
              </w:rPr>
              <w:drawing>
                <wp:inline distT="0" distB="0" distL="0" distR="0">
                  <wp:extent cx="1157605" cy="534035"/>
                  <wp:effectExtent l="0" t="0" r="4445" b="0"/>
                  <wp:docPr id="1287325673" name="图片 1287325673" descr="7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25673" name="图片 1287325673" descr="76_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157605" cy="534035"/>
                          </a:xfrm>
                          <a:prstGeom prst="rect">
                            <a:avLst/>
                          </a:prstGeom>
                          <a:noFill/>
                          <a:ln>
                            <a:noFill/>
                          </a:ln>
                        </pic:spPr>
                      </pic:pic>
                    </a:graphicData>
                  </a:graphic>
                </wp:inline>
              </w:drawing>
            </w:r>
          </w:p>
        </w:tc>
        <w:tc>
          <w:tcPr>
            <w:tcW w:w="390"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0-2</w:t>
            </w:r>
          </w:p>
        </w:tc>
        <w:tc>
          <w:tcPr>
            <w:tcW w:w="430"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0-2</w:t>
            </w:r>
          </w:p>
        </w:tc>
        <w:tc>
          <w:tcPr>
            <w:tcW w:w="618"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65-75</w:t>
            </w:r>
          </w:p>
        </w:tc>
        <w:tc>
          <w:tcPr>
            <w:tcW w:w="501" w:type="pct"/>
            <w:vAlign w:val="center"/>
          </w:tcPr>
          <w:p>
            <w:pPr>
              <w:adjustRightInd/>
              <w:spacing w:line="240" w:lineRule="auto"/>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atLeast"/>
        </w:trPr>
        <w:tc>
          <w:tcPr>
            <w:tcW w:w="372" w:type="pct"/>
            <w:vMerge w:val="continue"/>
            <w:vAlign w:val="center"/>
          </w:tcPr>
          <w:p>
            <w:pPr>
              <w:adjustRightInd/>
              <w:spacing w:line="240" w:lineRule="auto"/>
              <w:jc w:val="center"/>
              <w:rPr>
                <w:rFonts w:ascii="宋体" w:hAnsi="宋体" w:cs="宋体"/>
                <w:sz w:val="18"/>
                <w:szCs w:val="18"/>
              </w:rPr>
            </w:pPr>
          </w:p>
        </w:tc>
        <w:tc>
          <w:tcPr>
            <w:tcW w:w="601"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9-26</w:t>
            </w:r>
          </w:p>
        </w:tc>
        <w:tc>
          <w:tcPr>
            <w:tcW w:w="744" w:type="pct"/>
            <w:vMerge w:val="continue"/>
            <w:vAlign w:val="center"/>
          </w:tcPr>
          <w:p>
            <w:pPr>
              <w:adjustRightInd/>
              <w:spacing w:line="240" w:lineRule="auto"/>
              <w:jc w:val="center"/>
              <w:rPr>
                <w:rFonts w:ascii="宋体" w:hAnsi="宋体" w:cs="宋体"/>
                <w:sz w:val="18"/>
                <w:szCs w:val="18"/>
              </w:rPr>
            </w:pPr>
          </w:p>
        </w:tc>
        <w:tc>
          <w:tcPr>
            <w:tcW w:w="1344" w:type="pct"/>
            <w:vMerge w:val="continue"/>
            <w:vAlign w:val="center"/>
          </w:tcPr>
          <w:p>
            <w:pPr>
              <w:adjustRightInd/>
              <w:spacing w:line="240" w:lineRule="auto"/>
              <w:jc w:val="center"/>
              <w:rPr>
                <w:rFonts w:ascii="宋体" w:hAnsi="宋体" w:cs="宋体"/>
                <w:sz w:val="18"/>
                <w:szCs w:val="18"/>
              </w:rPr>
            </w:pPr>
          </w:p>
        </w:tc>
        <w:tc>
          <w:tcPr>
            <w:tcW w:w="390"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0-3</w:t>
            </w:r>
          </w:p>
        </w:tc>
        <w:tc>
          <w:tcPr>
            <w:tcW w:w="430"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0-3</w:t>
            </w:r>
          </w:p>
        </w:tc>
        <w:tc>
          <w:tcPr>
            <w:tcW w:w="618"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55-65</w:t>
            </w:r>
          </w:p>
        </w:tc>
        <w:tc>
          <w:tcPr>
            <w:tcW w:w="501" w:type="pct"/>
            <w:vAlign w:val="center"/>
          </w:tcPr>
          <w:p>
            <w:pPr>
              <w:adjustRightInd/>
              <w:spacing w:line="240" w:lineRule="auto"/>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372" w:type="pct"/>
            <w:vMerge w:val="restart"/>
            <w:vAlign w:val="center"/>
          </w:tcPr>
          <w:p>
            <w:pPr>
              <w:adjustRightInd/>
              <w:spacing w:line="240" w:lineRule="auto"/>
              <w:jc w:val="center"/>
              <w:rPr>
                <w:rFonts w:ascii="宋体" w:hAnsi="宋体" w:cs="宋体"/>
                <w:sz w:val="18"/>
                <w:szCs w:val="18"/>
              </w:rPr>
            </w:pPr>
            <w:r>
              <w:rPr>
                <w:rFonts w:hint="eastAsia" w:ascii="宋体" w:hAnsi="宋体" w:cs="宋体"/>
                <w:sz w:val="18"/>
                <w:szCs w:val="18"/>
              </w:rPr>
              <w:t>3</w:t>
            </w:r>
          </w:p>
        </w:tc>
        <w:tc>
          <w:tcPr>
            <w:tcW w:w="601"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6-9</w:t>
            </w:r>
          </w:p>
        </w:tc>
        <w:tc>
          <w:tcPr>
            <w:tcW w:w="744" w:type="pct"/>
            <w:vMerge w:val="restart"/>
            <w:vAlign w:val="center"/>
          </w:tcPr>
          <w:p>
            <w:pPr>
              <w:adjustRightInd/>
              <w:spacing w:line="240" w:lineRule="auto"/>
              <w:jc w:val="center"/>
              <w:rPr>
                <w:rFonts w:ascii="宋体" w:hAnsi="宋体" w:cs="宋体"/>
                <w:sz w:val="18"/>
                <w:szCs w:val="18"/>
              </w:rPr>
            </w:pPr>
          </w:p>
          <w:p>
            <w:pPr>
              <w:adjustRightInd/>
              <w:spacing w:line="240" w:lineRule="auto"/>
              <w:ind w:firstLine="270" w:firstLineChars="150"/>
              <w:rPr>
                <w:rFonts w:ascii="宋体" w:hAnsi="宋体" w:cs="宋体"/>
                <w:sz w:val="18"/>
                <w:szCs w:val="18"/>
              </w:rPr>
            </w:pPr>
            <w:r>
              <w:rPr>
                <w:rFonts w:hint="eastAsia" w:ascii="宋体" w:hAnsi="宋体" w:cs="宋体"/>
                <w:sz w:val="18"/>
                <w:szCs w:val="18"/>
              </w:rPr>
              <w:t>带垫板</w:t>
            </w:r>
          </w:p>
          <w:p>
            <w:pPr>
              <w:adjustRightInd/>
              <w:spacing w:line="240" w:lineRule="auto"/>
              <w:jc w:val="center"/>
              <w:rPr>
                <w:rFonts w:ascii="宋体" w:hAnsi="宋体" w:cs="宋体"/>
                <w:sz w:val="18"/>
                <w:szCs w:val="18"/>
              </w:rPr>
            </w:pPr>
            <w:r>
              <w:rPr>
                <w:rFonts w:hint="eastAsia" w:ascii="宋体" w:hAnsi="宋体" w:cs="宋体"/>
                <w:sz w:val="18"/>
                <w:szCs w:val="18"/>
              </w:rPr>
              <w:t>V型坡口</w:t>
            </w:r>
          </w:p>
        </w:tc>
        <w:tc>
          <w:tcPr>
            <w:tcW w:w="1344" w:type="pct"/>
            <w:vMerge w:val="restart"/>
            <w:vAlign w:val="center"/>
          </w:tcPr>
          <w:p>
            <w:pPr>
              <w:adjustRightInd/>
              <w:spacing w:line="240" w:lineRule="auto"/>
              <w:jc w:val="center"/>
              <w:rPr>
                <w:rFonts w:ascii="宋体" w:hAnsi="宋体" w:cs="宋体"/>
                <w:sz w:val="18"/>
                <w:szCs w:val="18"/>
              </w:rPr>
            </w:pPr>
            <w:r>
              <w:rPr>
                <w:rFonts w:hint="eastAsia" w:ascii="宋体" w:hAnsi="宋体" w:cs="宋体"/>
                <w:sz w:val="18"/>
                <w:szCs w:val="18"/>
              </w:rPr>
              <w:drawing>
                <wp:inline distT="0" distB="0" distL="0" distR="0">
                  <wp:extent cx="1273810" cy="660400"/>
                  <wp:effectExtent l="0" t="0" r="2540" b="6350"/>
                  <wp:docPr id="71962338" name="图片 71962338" descr="7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2338" name="图片 71962338" descr="76_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273810" cy="660400"/>
                          </a:xfrm>
                          <a:prstGeom prst="rect">
                            <a:avLst/>
                          </a:prstGeom>
                          <a:noFill/>
                          <a:ln>
                            <a:noFill/>
                          </a:ln>
                        </pic:spPr>
                      </pic:pic>
                    </a:graphicData>
                  </a:graphic>
                </wp:inline>
              </w:drawing>
            </w:r>
          </w:p>
        </w:tc>
        <w:tc>
          <w:tcPr>
            <w:tcW w:w="390"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3-5</w:t>
            </w:r>
          </w:p>
        </w:tc>
        <w:tc>
          <w:tcPr>
            <w:tcW w:w="430"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0-2</w:t>
            </w:r>
          </w:p>
        </w:tc>
        <w:tc>
          <w:tcPr>
            <w:tcW w:w="618" w:type="pct"/>
            <w:vMerge w:val="restart"/>
            <w:vAlign w:val="center"/>
          </w:tcPr>
          <w:p>
            <w:pPr>
              <w:adjustRightInd/>
              <w:spacing w:line="240" w:lineRule="auto"/>
              <w:jc w:val="center"/>
              <w:rPr>
                <w:rFonts w:ascii="宋体" w:hAnsi="宋体" w:cs="宋体"/>
                <w:sz w:val="18"/>
                <w:szCs w:val="18"/>
              </w:rPr>
            </w:pPr>
            <w:r>
              <w:rPr>
                <w:rFonts w:hint="eastAsia" w:ascii="宋体" w:hAnsi="宋体" w:cs="宋体"/>
                <w:sz w:val="18"/>
                <w:szCs w:val="18"/>
              </w:rPr>
              <w:t>45-55</w:t>
            </w:r>
          </w:p>
        </w:tc>
        <w:tc>
          <w:tcPr>
            <w:tcW w:w="501" w:type="pct"/>
            <w:vAlign w:val="center"/>
          </w:tcPr>
          <w:p>
            <w:pPr>
              <w:adjustRightInd/>
              <w:spacing w:line="240" w:lineRule="auto"/>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7" w:hRule="atLeast"/>
        </w:trPr>
        <w:tc>
          <w:tcPr>
            <w:tcW w:w="372" w:type="pct"/>
            <w:vMerge w:val="continue"/>
            <w:vAlign w:val="center"/>
          </w:tcPr>
          <w:p>
            <w:pPr>
              <w:adjustRightInd/>
              <w:spacing w:line="240" w:lineRule="auto"/>
              <w:jc w:val="center"/>
              <w:rPr>
                <w:rFonts w:ascii="宋体" w:hAnsi="宋体" w:cs="宋体"/>
                <w:sz w:val="18"/>
                <w:szCs w:val="18"/>
              </w:rPr>
            </w:pPr>
          </w:p>
        </w:tc>
        <w:tc>
          <w:tcPr>
            <w:tcW w:w="601"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9-26</w:t>
            </w:r>
          </w:p>
        </w:tc>
        <w:tc>
          <w:tcPr>
            <w:tcW w:w="744" w:type="pct"/>
            <w:vMerge w:val="continue"/>
            <w:vAlign w:val="center"/>
          </w:tcPr>
          <w:p>
            <w:pPr>
              <w:adjustRightInd/>
              <w:spacing w:line="240" w:lineRule="auto"/>
              <w:jc w:val="center"/>
              <w:rPr>
                <w:rFonts w:ascii="宋体" w:hAnsi="宋体" w:cs="宋体"/>
                <w:sz w:val="18"/>
                <w:szCs w:val="18"/>
              </w:rPr>
            </w:pPr>
          </w:p>
        </w:tc>
        <w:tc>
          <w:tcPr>
            <w:tcW w:w="1344" w:type="pct"/>
            <w:vMerge w:val="continue"/>
            <w:vAlign w:val="center"/>
          </w:tcPr>
          <w:p>
            <w:pPr>
              <w:adjustRightInd/>
              <w:spacing w:line="240" w:lineRule="auto"/>
              <w:jc w:val="center"/>
              <w:rPr>
                <w:rFonts w:ascii="宋体" w:hAnsi="宋体" w:cs="宋体"/>
                <w:sz w:val="18"/>
                <w:szCs w:val="18"/>
              </w:rPr>
            </w:pPr>
          </w:p>
        </w:tc>
        <w:tc>
          <w:tcPr>
            <w:tcW w:w="390"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4-6</w:t>
            </w:r>
          </w:p>
        </w:tc>
        <w:tc>
          <w:tcPr>
            <w:tcW w:w="430"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0-2</w:t>
            </w:r>
          </w:p>
        </w:tc>
        <w:tc>
          <w:tcPr>
            <w:tcW w:w="618" w:type="pct"/>
            <w:vMerge w:val="continue"/>
            <w:vAlign w:val="center"/>
          </w:tcPr>
          <w:p>
            <w:pPr>
              <w:adjustRightInd/>
              <w:spacing w:line="240" w:lineRule="auto"/>
              <w:jc w:val="center"/>
              <w:rPr>
                <w:rFonts w:ascii="宋体" w:hAnsi="宋体" w:cs="宋体"/>
                <w:sz w:val="18"/>
                <w:szCs w:val="18"/>
              </w:rPr>
            </w:pPr>
          </w:p>
        </w:tc>
        <w:tc>
          <w:tcPr>
            <w:tcW w:w="501" w:type="pct"/>
            <w:vAlign w:val="center"/>
          </w:tcPr>
          <w:p>
            <w:pPr>
              <w:adjustRightInd/>
              <w:spacing w:line="240" w:lineRule="auto"/>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6" w:hRule="atLeast"/>
        </w:trPr>
        <w:tc>
          <w:tcPr>
            <w:tcW w:w="372"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4</w:t>
            </w:r>
          </w:p>
        </w:tc>
        <w:tc>
          <w:tcPr>
            <w:tcW w:w="601"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12-60</w:t>
            </w:r>
          </w:p>
        </w:tc>
        <w:tc>
          <w:tcPr>
            <w:tcW w:w="744"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X型坡口</w:t>
            </w:r>
          </w:p>
        </w:tc>
        <w:tc>
          <w:tcPr>
            <w:tcW w:w="1344"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drawing>
                <wp:inline distT="0" distB="0" distL="0" distR="0">
                  <wp:extent cx="1115060" cy="808990"/>
                  <wp:effectExtent l="0" t="0" r="5080" b="6350"/>
                  <wp:docPr id="35" name="图片 35" descr="76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76_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115060" cy="808990"/>
                          </a:xfrm>
                          <a:prstGeom prst="rect">
                            <a:avLst/>
                          </a:prstGeom>
                          <a:noFill/>
                          <a:ln>
                            <a:noFill/>
                          </a:ln>
                        </pic:spPr>
                      </pic:pic>
                    </a:graphicData>
                  </a:graphic>
                </wp:inline>
              </w:drawing>
            </w:r>
          </w:p>
        </w:tc>
        <w:tc>
          <w:tcPr>
            <w:tcW w:w="390"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0-3</w:t>
            </w:r>
          </w:p>
        </w:tc>
        <w:tc>
          <w:tcPr>
            <w:tcW w:w="430"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0-3</w:t>
            </w:r>
          </w:p>
        </w:tc>
        <w:tc>
          <w:tcPr>
            <w:tcW w:w="618"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55-65</w:t>
            </w:r>
          </w:p>
        </w:tc>
        <w:tc>
          <w:tcPr>
            <w:tcW w:w="501" w:type="pct"/>
            <w:vAlign w:val="center"/>
          </w:tcPr>
          <w:p>
            <w:pPr>
              <w:adjustRightInd/>
              <w:spacing w:line="240" w:lineRule="auto"/>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trPr>
        <w:tc>
          <w:tcPr>
            <w:tcW w:w="372"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5</w:t>
            </w:r>
          </w:p>
        </w:tc>
        <w:tc>
          <w:tcPr>
            <w:tcW w:w="601"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20-60</w:t>
            </w:r>
          </w:p>
        </w:tc>
        <w:tc>
          <w:tcPr>
            <w:tcW w:w="744"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双V型坡口</w:t>
            </w:r>
          </w:p>
        </w:tc>
        <w:tc>
          <w:tcPr>
            <w:tcW w:w="1344" w:type="pct"/>
            <w:vAlign w:val="center"/>
          </w:tcPr>
          <w:p>
            <w:pPr>
              <w:adjustRightInd/>
              <w:spacing w:line="240" w:lineRule="auto"/>
              <w:jc w:val="center"/>
              <w:rPr>
                <w:rFonts w:ascii="宋体" w:hAnsi="宋体" w:cs="宋体"/>
                <w:sz w:val="18"/>
                <w:szCs w:val="18"/>
              </w:rPr>
            </w:pPr>
            <w:r>
              <w:rPr>
                <w:rFonts w:ascii="Times New Roman" w:hAnsi="Times New Roman"/>
                <w:szCs w:val="24"/>
              </w:rPr>
              <w:drawing>
                <wp:inline distT="0" distB="0" distL="0" distR="0">
                  <wp:extent cx="1051560" cy="777240"/>
                  <wp:effectExtent l="0" t="0" r="0" b="3810"/>
                  <wp:docPr id="810755345" name="图片 810755345" descr="7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755345" name="图片 810755345" descr="77_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051560" cy="777240"/>
                          </a:xfrm>
                          <a:prstGeom prst="rect">
                            <a:avLst/>
                          </a:prstGeom>
                          <a:noFill/>
                          <a:ln>
                            <a:noFill/>
                          </a:ln>
                        </pic:spPr>
                      </pic:pic>
                    </a:graphicData>
                  </a:graphic>
                </wp:inline>
              </w:drawing>
            </w:r>
          </w:p>
        </w:tc>
        <w:tc>
          <w:tcPr>
            <w:tcW w:w="390"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0-3</w:t>
            </w:r>
          </w:p>
        </w:tc>
        <w:tc>
          <w:tcPr>
            <w:tcW w:w="430"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1-3</w:t>
            </w:r>
          </w:p>
        </w:tc>
        <w:tc>
          <w:tcPr>
            <w:tcW w:w="618"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65-76</w:t>
            </w:r>
          </w:p>
          <w:p>
            <w:pPr>
              <w:adjustRightInd/>
              <w:spacing w:line="240" w:lineRule="auto"/>
              <w:jc w:val="center"/>
              <w:rPr>
                <w:rFonts w:ascii="宋体" w:hAnsi="宋体" w:cs="宋体"/>
                <w:sz w:val="18"/>
                <w:szCs w:val="18"/>
              </w:rPr>
            </w:pPr>
            <w:r>
              <w:rPr>
                <w:rFonts w:hint="eastAsia" w:ascii="宋体" w:hAnsi="宋体" w:cs="宋体"/>
                <w:sz w:val="18"/>
                <w:szCs w:val="18"/>
              </w:rPr>
              <w:t>（8-12）</w:t>
            </w:r>
          </w:p>
        </w:tc>
        <w:tc>
          <w:tcPr>
            <w:tcW w:w="501" w:type="pct"/>
            <w:vMerge w:val="restart"/>
            <w:vAlign w:val="center"/>
          </w:tcPr>
          <w:p>
            <w:pPr>
              <w:adjustRightInd/>
              <w:spacing w:line="240" w:lineRule="auto"/>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7" w:hRule="atLeast"/>
        </w:trPr>
        <w:tc>
          <w:tcPr>
            <w:tcW w:w="372"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6</w:t>
            </w:r>
          </w:p>
        </w:tc>
        <w:tc>
          <w:tcPr>
            <w:tcW w:w="601"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20-60</w:t>
            </w:r>
          </w:p>
        </w:tc>
        <w:tc>
          <w:tcPr>
            <w:tcW w:w="744"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U 型坡口</w:t>
            </w:r>
          </w:p>
        </w:tc>
        <w:tc>
          <w:tcPr>
            <w:tcW w:w="1344" w:type="pct"/>
            <w:vAlign w:val="center"/>
          </w:tcPr>
          <w:p>
            <w:pPr>
              <w:adjustRightInd/>
              <w:spacing w:line="240" w:lineRule="auto"/>
              <w:jc w:val="center"/>
              <w:rPr>
                <w:rFonts w:ascii="宋体" w:hAnsi="宋体" w:cs="宋体"/>
                <w:sz w:val="18"/>
                <w:szCs w:val="18"/>
              </w:rPr>
            </w:pPr>
            <w:r>
              <w:rPr>
                <w:rFonts w:ascii="Times New Roman" w:hAnsi="Times New Roman"/>
                <w:szCs w:val="24"/>
              </w:rPr>
              <w:drawing>
                <wp:inline distT="0" distB="0" distL="0" distR="0">
                  <wp:extent cx="1125855" cy="808990"/>
                  <wp:effectExtent l="0" t="0" r="0" b="0"/>
                  <wp:docPr id="1943774154" name="图片 1943774154" descr="7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74154" name="图片 1943774154" descr="77_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125855" cy="808990"/>
                          </a:xfrm>
                          <a:prstGeom prst="rect">
                            <a:avLst/>
                          </a:prstGeom>
                          <a:noFill/>
                          <a:ln>
                            <a:noFill/>
                          </a:ln>
                        </pic:spPr>
                      </pic:pic>
                    </a:graphicData>
                  </a:graphic>
                </wp:inline>
              </w:drawing>
            </w:r>
          </w:p>
        </w:tc>
        <w:tc>
          <w:tcPr>
            <w:tcW w:w="390"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0-3</w:t>
            </w:r>
          </w:p>
        </w:tc>
        <w:tc>
          <w:tcPr>
            <w:tcW w:w="430"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1-3</w:t>
            </w:r>
          </w:p>
        </w:tc>
        <w:tc>
          <w:tcPr>
            <w:tcW w:w="618"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（8-12）</w:t>
            </w:r>
          </w:p>
        </w:tc>
        <w:tc>
          <w:tcPr>
            <w:tcW w:w="501" w:type="pct"/>
            <w:vMerge w:val="continue"/>
            <w:vAlign w:val="center"/>
          </w:tcPr>
          <w:p>
            <w:pPr>
              <w:adjustRightInd/>
              <w:spacing w:line="240" w:lineRule="auto"/>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2" w:hRule="atLeast"/>
        </w:trPr>
        <w:tc>
          <w:tcPr>
            <w:tcW w:w="372"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7</w:t>
            </w:r>
          </w:p>
        </w:tc>
        <w:tc>
          <w:tcPr>
            <w:tcW w:w="601"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2-30</w:t>
            </w:r>
          </w:p>
        </w:tc>
        <w:tc>
          <w:tcPr>
            <w:tcW w:w="744"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T型接头</w:t>
            </w:r>
          </w:p>
          <w:p>
            <w:pPr>
              <w:adjustRightInd/>
              <w:spacing w:line="240" w:lineRule="auto"/>
              <w:jc w:val="center"/>
              <w:rPr>
                <w:rFonts w:ascii="宋体" w:hAnsi="宋体" w:cs="宋体"/>
                <w:sz w:val="18"/>
                <w:szCs w:val="18"/>
              </w:rPr>
            </w:pPr>
            <w:r>
              <w:rPr>
                <w:rFonts w:hint="eastAsia" w:ascii="宋体" w:hAnsi="宋体" w:cs="宋体"/>
                <w:sz w:val="18"/>
                <w:szCs w:val="18"/>
              </w:rPr>
              <w:t>I型坡口</w:t>
            </w:r>
          </w:p>
        </w:tc>
        <w:tc>
          <w:tcPr>
            <w:tcW w:w="1344" w:type="pct"/>
            <w:vAlign w:val="center"/>
          </w:tcPr>
          <w:p>
            <w:pPr>
              <w:adjustRightInd/>
              <w:spacing w:line="240" w:lineRule="auto"/>
              <w:jc w:val="center"/>
              <w:rPr>
                <w:rFonts w:ascii="宋体" w:hAnsi="宋体" w:cs="宋体"/>
                <w:sz w:val="18"/>
                <w:szCs w:val="18"/>
              </w:rPr>
            </w:pPr>
            <w:r>
              <w:rPr>
                <w:rFonts w:ascii="Times New Roman" w:hAnsi="Times New Roman"/>
                <w:szCs w:val="24"/>
              </w:rPr>
              <w:drawing>
                <wp:inline distT="0" distB="0" distL="0" distR="0">
                  <wp:extent cx="1125855" cy="734695"/>
                  <wp:effectExtent l="0" t="0" r="0" b="8255"/>
                  <wp:docPr id="481978124" name="图片 481978124" descr="7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78124" name="图片 481978124" descr="77_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125855" cy="734695"/>
                          </a:xfrm>
                          <a:prstGeom prst="rect">
                            <a:avLst/>
                          </a:prstGeom>
                          <a:noFill/>
                          <a:ln>
                            <a:noFill/>
                          </a:ln>
                        </pic:spPr>
                      </pic:pic>
                    </a:graphicData>
                  </a:graphic>
                </wp:inline>
              </w:drawing>
            </w:r>
          </w:p>
        </w:tc>
        <w:tc>
          <w:tcPr>
            <w:tcW w:w="390"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0-2</w:t>
            </w:r>
          </w:p>
        </w:tc>
        <w:tc>
          <w:tcPr>
            <w:tcW w:w="430"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w:t>
            </w:r>
          </w:p>
        </w:tc>
        <w:tc>
          <w:tcPr>
            <w:tcW w:w="618"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w:t>
            </w:r>
          </w:p>
        </w:tc>
        <w:tc>
          <w:tcPr>
            <w:tcW w:w="501" w:type="pct"/>
            <w:vAlign w:val="center"/>
          </w:tcPr>
          <w:p>
            <w:pPr>
              <w:adjustRightInd/>
              <w:spacing w:line="240" w:lineRule="auto"/>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372" w:type="pct"/>
            <w:vMerge w:val="restart"/>
            <w:vAlign w:val="center"/>
          </w:tcPr>
          <w:p>
            <w:pPr>
              <w:adjustRightInd/>
              <w:spacing w:line="240" w:lineRule="auto"/>
              <w:jc w:val="center"/>
              <w:rPr>
                <w:rFonts w:ascii="宋体" w:hAnsi="宋体" w:cs="宋体"/>
                <w:sz w:val="18"/>
                <w:szCs w:val="18"/>
              </w:rPr>
            </w:pPr>
            <w:r>
              <w:rPr>
                <w:rFonts w:hint="eastAsia" w:ascii="宋体" w:hAnsi="宋体" w:cs="宋体"/>
                <w:sz w:val="18"/>
                <w:szCs w:val="18"/>
              </w:rPr>
              <w:t>8</w:t>
            </w:r>
          </w:p>
        </w:tc>
        <w:tc>
          <w:tcPr>
            <w:tcW w:w="601"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6-10</w:t>
            </w:r>
          </w:p>
        </w:tc>
        <w:tc>
          <w:tcPr>
            <w:tcW w:w="744" w:type="pct"/>
            <w:vMerge w:val="restart"/>
            <w:vAlign w:val="center"/>
          </w:tcPr>
          <w:p>
            <w:pPr>
              <w:adjustRightInd/>
              <w:spacing w:line="240" w:lineRule="auto"/>
              <w:jc w:val="center"/>
              <w:rPr>
                <w:rFonts w:ascii="宋体" w:hAnsi="宋体" w:cs="宋体"/>
                <w:sz w:val="18"/>
                <w:szCs w:val="18"/>
              </w:rPr>
            </w:pPr>
            <w:r>
              <w:rPr>
                <w:rFonts w:hint="eastAsia" w:ascii="宋体" w:hAnsi="宋体" w:cs="宋体"/>
                <w:sz w:val="18"/>
                <w:szCs w:val="18"/>
              </w:rPr>
              <w:t>T型接头</w:t>
            </w:r>
          </w:p>
          <w:p>
            <w:pPr>
              <w:adjustRightInd/>
              <w:spacing w:line="240" w:lineRule="auto"/>
              <w:jc w:val="center"/>
              <w:rPr>
                <w:rFonts w:ascii="宋体" w:hAnsi="宋体" w:cs="宋体"/>
                <w:sz w:val="18"/>
                <w:szCs w:val="18"/>
              </w:rPr>
            </w:pPr>
            <w:r>
              <w:rPr>
                <w:rFonts w:hint="eastAsia" w:ascii="宋体" w:hAnsi="宋体" w:cs="宋体"/>
                <w:sz w:val="18"/>
                <w:szCs w:val="18"/>
              </w:rPr>
              <w:t>单边V型坡口</w:t>
            </w:r>
          </w:p>
        </w:tc>
        <w:tc>
          <w:tcPr>
            <w:tcW w:w="1344" w:type="pct"/>
            <w:vMerge w:val="restart"/>
            <w:vAlign w:val="center"/>
          </w:tcPr>
          <w:p>
            <w:pPr>
              <w:adjustRightInd/>
              <w:spacing w:line="240" w:lineRule="auto"/>
              <w:jc w:val="center"/>
              <w:rPr>
                <w:rFonts w:ascii="宋体" w:hAnsi="宋体" w:cs="宋体"/>
                <w:sz w:val="18"/>
                <w:szCs w:val="18"/>
              </w:rPr>
            </w:pPr>
            <w:r>
              <w:rPr>
                <w:rFonts w:ascii="Times New Roman" w:hAnsi="Times New Roman"/>
                <w:szCs w:val="24"/>
              </w:rPr>
              <w:drawing>
                <wp:inline distT="0" distB="0" distL="0" distR="0">
                  <wp:extent cx="1218565" cy="810260"/>
                  <wp:effectExtent l="0" t="0" r="635" b="8890"/>
                  <wp:docPr id="1727737767" name="图片 1727737767" descr="7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37767" name="图片 1727737767" descr="77_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221265" cy="811902"/>
                          </a:xfrm>
                          <a:prstGeom prst="rect">
                            <a:avLst/>
                          </a:prstGeom>
                          <a:noFill/>
                          <a:ln>
                            <a:noFill/>
                          </a:ln>
                        </pic:spPr>
                      </pic:pic>
                    </a:graphicData>
                  </a:graphic>
                </wp:inline>
              </w:drawing>
            </w:r>
          </w:p>
        </w:tc>
        <w:tc>
          <w:tcPr>
            <w:tcW w:w="390"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0-2</w:t>
            </w:r>
          </w:p>
        </w:tc>
        <w:tc>
          <w:tcPr>
            <w:tcW w:w="430"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0-2</w:t>
            </w:r>
          </w:p>
        </w:tc>
        <w:tc>
          <w:tcPr>
            <w:tcW w:w="618" w:type="pct"/>
            <w:vMerge w:val="restart"/>
            <w:vAlign w:val="center"/>
          </w:tcPr>
          <w:p>
            <w:pPr>
              <w:adjustRightInd/>
              <w:spacing w:line="240" w:lineRule="auto"/>
              <w:jc w:val="center"/>
              <w:rPr>
                <w:rFonts w:ascii="宋体" w:hAnsi="宋体" w:cs="宋体"/>
                <w:sz w:val="18"/>
                <w:szCs w:val="18"/>
              </w:rPr>
            </w:pPr>
            <w:r>
              <w:rPr>
                <w:rFonts w:hint="eastAsia" w:ascii="宋体" w:hAnsi="宋体" w:cs="宋体"/>
                <w:sz w:val="18"/>
                <w:szCs w:val="18"/>
              </w:rPr>
              <w:t>45-55</w:t>
            </w:r>
          </w:p>
        </w:tc>
        <w:tc>
          <w:tcPr>
            <w:tcW w:w="501" w:type="pct"/>
            <w:vMerge w:val="restart"/>
            <w:vAlign w:val="center"/>
          </w:tcPr>
          <w:p>
            <w:pPr>
              <w:adjustRightInd/>
              <w:spacing w:line="240" w:lineRule="auto"/>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372" w:type="pct"/>
            <w:vMerge w:val="continue"/>
            <w:vAlign w:val="center"/>
          </w:tcPr>
          <w:p>
            <w:pPr>
              <w:adjustRightInd/>
              <w:spacing w:line="240" w:lineRule="auto"/>
              <w:jc w:val="center"/>
              <w:rPr>
                <w:rFonts w:ascii="宋体" w:hAnsi="宋体" w:cs="宋体"/>
                <w:sz w:val="18"/>
                <w:szCs w:val="18"/>
              </w:rPr>
            </w:pPr>
          </w:p>
        </w:tc>
        <w:tc>
          <w:tcPr>
            <w:tcW w:w="601" w:type="pct"/>
            <w:vMerge w:val="restart"/>
            <w:vAlign w:val="center"/>
          </w:tcPr>
          <w:p>
            <w:pPr>
              <w:adjustRightInd/>
              <w:spacing w:line="240" w:lineRule="auto"/>
              <w:jc w:val="center"/>
              <w:rPr>
                <w:rFonts w:ascii="宋体" w:hAnsi="宋体" w:cs="宋体"/>
                <w:sz w:val="18"/>
                <w:szCs w:val="18"/>
              </w:rPr>
            </w:pPr>
            <w:r>
              <w:rPr>
                <w:rFonts w:hint="eastAsia" w:ascii="宋体" w:hAnsi="宋体" w:cs="宋体"/>
                <w:sz w:val="18"/>
                <w:szCs w:val="18"/>
              </w:rPr>
              <w:t>10-17</w:t>
            </w:r>
          </w:p>
        </w:tc>
        <w:tc>
          <w:tcPr>
            <w:tcW w:w="744" w:type="pct"/>
            <w:vMerge w:val="continue"/>
            <w:vAlign w:val="center"/>
          </w:tcPr>
          <w:p>
            <w:pPr>
              <w:adjustRightInd/>
              <w:spacing w:line="240" w:lineRule="auto"/>
              <w:jc w:val="center"/>
              <w:rPr>
                <w:rFonts w:ascii="宋体" w:hAnsi="宋体" w:cs="宋体"/>
                <w:sz w:val="18"/>
                <w:szCs w:val="18"/>
              </w:rPr>
            </w:pPr>
          </w:p>
        </w:tc>
        <w:tc>
          <w:tcPr>
            <w:tcW w:w="1344" w:type="pct"/>
            <w:vMerge w:val="continue"/>
            <w:vAlign w:val="center"/>
          </w:tcPr>
          <w:p>
            <w:pPr>
              <w:adjustRightInd/>
              <w:spacing w:line="240" w:lineRule="auto"/>
              <w:jc w:val="center"/>
              <w:rPr>
                <w:rFonts w:ascii="宋体" w:hAnsi="宋体" w:cs="宋体"/>
                <w:sz w:val="18"/>
                <w:szCs w:val="18"/>
              </w:rPr>
            </w:pPr>
          </w:p>
        </w:tc>
        <w:tc>
          <w:tcPr>
            <w:tcW w:w="390"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0-3</w:t>
            </w:r>
          </w:p>
        </w:tc>
        <w:tc>
          <w:tcPr>
            <w:tcW w:w="430"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0-3</w:t>
            </w:r>
          </w:p>
        </w:tc>
        <w:tc>
          <w:tcPr>
            <w:tcW w:w="618" w:type="pct"/>
            <w:vMerge w:val="continue"/>
            <w:vAlign w:val="center"/>
          </w:tcPr>
          <w:p>
            <w:pPr>
              <w:adjustRightInd/>
              <w:spacing w:line="240" w:lineRule="auto"/>
              <w:jc w:val="center"/>
              <w:rPr>
                <w:rFonts w:ascii="宋体" w:hAnsi="宋体" w:cs="宋体"/>
                <w:sz w:val="18"/>
                <w:szCs w:val="18"/>
              </w:rPr>
            </w:pPr>
          </w:p>
        </w:tc>
        <w:tc>
          <w:tcPr>
            <w:tcW w:w="501" w:type="pct"/>
            <w:vMerge w:val="continue"/>
            <w:vAlign w:val="center"/>
          </w:tcPr>
          <w:p>
            <w:pPr>
              <w:adjustRightInd/>
              <w:spacing w:line="240" w:lineRule="auto"/>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trPr>
        <w:tc>
          <w:tcPr>
            <w:tcW w:w="372" w:type="pct"/>
            <w:vMerge w:val="continue"/>
            <w:vAlign w:val="center"/>
          </w:tcPr>
          <w:p>
            <w:pPr>
              <w:adjustRightInd/>
              <w:spacing w:line="240" w:lineRule="auto"/>
              <w:jc w:val="center"/>
              <w:rPr>
                <w:rFonts w:ascii="宋体" w:hAnsi="宋体" w:cs="宋体"/>
                <w:sz w:val="18"/>
                <w:szCs w:val="18"/>
              </w:rPr>
            </w:pPr>
          </w:p>
        </w:tc>
        <w:tc>
          <w:tcPr>
            <w:tcW w:w="601" w:type="pct"/>
            <w:vMerge w:val="continue"/>
            <w:vAlign w:val="center"/>
          </w:tcPr>
          <w:p>
            <w:pPr>
              <w:adjustRightInd/>
              <w:spacing w:line="240" w:lineRule="auto"/>
              <w:jc w:val="center"/>
              <w:rPr>
                <w:rFonts w:ascii="宋体" w:hAnsi="宋体" w:cs="宋体"/>
                <w:sz w:val="18"/>
                <w:szCs w:val="18"/>
              </w:rPr>
            </w:pPr>
          </w:p>
        </w:tc>
        <w:tc>
          <w:tcPr>
            <w:tcW w:w="744" w:type="pct"/>
            <w:vMerge w:val="continue"/>
            <w:vAlign w:val="center"/>
          </w:tcPr>
          <w:p>
            <w:pPr>
              <w:adjustRightInd/>
              <w:spacing w:line="240" w:lineRule="auto"/>
              <w:jc w:val="center"/>
              <w:rPr>
                <w:rFonts w:ascii="宋体" w:hAnsi="宋体" w:cs="宋体"/>
                <w:sz w:val="18"/>
                <w:szCs w:val="18"/>
              </w:rPr>
            </w:pPr>
          </w:p>
        </w:tc>
        <w:tc>
          <w:tcPr>
            <w:tcW w:w="1344" w:type="pct"/>
            <w:vMerge w:val="continue"/>
            <w:vAlign w:val="center"/>
          </w:tcPr>
          <w:p>
            <w:pPr>
              <w:adjustRightInd/>
              <w:spacing w:line="240" w:lineRule="auto"/>
              <w:jc w:val="center"/>
              <w:rPr>
                <w:rFonts w:ascii="宋体" w:hAnsi="宋体" w:cs="宋体"/>
                <w:sz w:val="18"/>
                <w:szCs w:val="18"/>
              </w:rPr>
            </w:pPr>
          </w:p>
        </w:tc>
        <w:tc>
          <w:tcPr>
            <w:tcW w:w="390" w:type="pct"/>
            <w:vMerge w:val="restart"/>
            <w:vAlign w:val="center"/>
          </w:tcPr>
          <w:p>
            <w:pPr>
              <w:adjustRightInd/>
              <w:spacing w:line="240" w:lineRule="auto"/>
              <w:jc w:val="center"/>
              <w:rPr>
                <w:rFonts w:ascii="宋体" w:hAnsi="宋体" w:cs="宋体"/>
                <w:sz w:val="18"/>
                <w:szCs w:val="18"/>
              </w:rPr>
            </w:pPr>
            <w:r>
              <w:rPr>
                <w:rFonts w:hint="eastAsia" w:ascii="宋体" w:hAnsi="宋体" w:cs="宋体"/>
                <w:sz w:val="18"/>
                <w:szCs w:val="18"/>
              </w:rPr>
              <w:t>0-4</w:t>
            </w:r>
          </w:p>
        </w:tc>
        <w:tc>
          <w:tcPr>
            <w:tcW w:w="430" w:type="pct"/>
            <w:vMerge w:val="restart"/>
            <w:vAlign w:val="center"/>
          </w:tcPr>
          <w:p>
            <w:pPr>
              <w:adjustRightInd/>
              <w:spacing w:line="240" w:lineRule="auto"/>
              <w:jc w:val="center"/>
              <w:rPr>
                <w:rFonts w:ascii="宋体" w:hAnsi="宋体" w:cs="宋体"/>
                <w:sz w:val="18"/>
                <w:szCs w:val="18"/>
              </w:rPr>
            </w:pPr>
            <w:r>
              <w:rPr>
                <w:rFonts w:hint="eastAsia" w:ascii="宋体" w:hAnsi="宋体" w:cs="宋体"/>
                <w:sz w:val="18"/>
                <w:szCs w:val="18"/>
              </w:rPr>
              <w:t>0-4</w:t>
            </w:r>
          </w:p>
        </w:tc>
        <w:tc>
          <w:tcPr>
            <w:tcW w:w="618" w:type="pct"/>
            <w:vMerge w:val="continue"/>
            <w:vAlign w:val="center"/>
          </w:tcPr>
          <w:p>
            <w:pPr>
              <w:adjustRightInd/>
              <w:spacing w:line="240" w:lineRule="auto"/>
              <w:jc w:val="center"/>
              <w:rPr>
                <w:rFonts w:ascii="宋体" w:hAnsi="宋体" w:cs="宋体"/>
                <w:sz w:val="18"/>
                <w:szCs w:val="18"/>
              </w:rPr>
            </w:pPr>
          </w:p>
        </w:tc>
        <w:tc>
          <w:tcPr>
            <w:tcW w:w="501" w:type="pct"/>
            <w:vMerge w:val="continue"/>
            <w:vAlign w:val="center"/>
          </w:tcPr>
          <w:p>
            <w:pPr>
              <w:adjustRightInd/>
              <w:spacing w:line="240" w:lineRule="auto"/>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trPr>
        <w:tc>
          <w:tcPr>
            <w:tcW w:w="372" w:type="pct"/>
            <w:vMerge w:val="continue"/>
            <w:vAlign w:val="center"/>
          </w:tcPr>
          <w:p>
            <w:pPr>
              <w:adjustRightInd/>
              <w:spacing w:line="240" w:lineRule="auto"/>
              <w:jc w:val="center"/>
              <w:rPr>
                <w:rFonts w:ascii="宋体" w:hAnsi="宋体" w:cs="宋体"/>
                <w:sz w:val="18"/>
                <w:szCs w:val="18"/>
              </w:rPr>
            </w:pPr>
          </w:p>
        </w:tc>
        <w:tc>
          <w:tcPr>
            <w:tcW w:w="601"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17-30</w:t>
            </w:r>
          </w:p>
        </w:tc>
        <w:tc>
          <w:tcPr>
            <w:tcW w:w="744" w:type="pct"/>
            <w:vMerge w:val="continue"/>
            <w:vAlign w:val="center"/>
          </w:tcPr>
          <w:p>
            <w:pPr>
              <w:adjustRightInd/>
              <w:spacing w:line="240" w:lineRule="auto"/>
              <w:jc w:val="center"/>
              <w:rPr>
                <w:rFonts w:ascii="宋体" w:hAnsi="宋体" w:cs="宋体"/>
                <w:sz w:val="18"/>
                <w:szCs w:val="18"/>
              </w:rPr>
            </w:pPr>
          </w:p>
        </w:tc>
        <w:tc>
          <w:tcPr>
            <w:tcW w:w="1344" w:type="pct"/>
            <w:vMerge w:val="continue"/>
            <w:vAlign w:val="center"/>
          </w:tcPr>
          <w:p>
            <w:pPr>
              <w:adjustRightInd/>
              <w:spacing w:line="240" w:lineRule="auto"/>
              <w:jc w:val="center"/>
              <w:rPr>
                <w:rFonts w:ascii="宋体" w:hAnsi="宋体" w:cs="宋体"/>
                <w:sz w:val="18"/>
                <w:szCs w:val="18"/>
              </w:rPr>
            </w:pPr>
          </w:p>
        </w:tc>
        <w:tc>
          <w:tcPr>
            <w:tcW w:w="390" w:type="pct"/>
            <w:vMerge w:val="continue"/>
            <w:vAlign w:val="center"/>
          </w:tcPr>
          <w:p>
            <w:pPr>
              <w:adjustRightInd/>
              <w:spacing w:line="240" w:lineRule="auto"/>
              <w:jc w:val="center"/>
              <w:rPr>
                <w:rFonts w:ascii="宋体" w:hAnsi="宋体" w:cs="宋体"/>
                <w:sz w:val="18"/>
                <w:szCs w:val="18"/>
              </w:rPr>
            </w:pPr>
          </w:p>
        </w:tc>
        <w:tc>
          <w:tcPr>
            <w:tcW w:w="430" w:type="pct"/>
            <w:vMerge w:val="continue"/>
            <w:vAlign w:val="center"/>
          </w:tcPr>
          <w:p>
            <w:pPr>
              <w:adjustRightInd/>
              <w:spacing w:line="240" w:lineRule="auto"/>
              <w:jc w:val="center"/>
              <w:rPr>
                <w:rFonts w:ascii="宋体" w:hAnsi="宋体" w:cs="宋体"/>
                <w:sz w:val="18"/>
                <w:szCs w:val="18"/>
              </w:rPr>
            </w:pPr>
          </w:p>
        </w:tc>
        <w:tc>
          <w:tcPr>
            <w:tcW w:w="618" w:type="pct"/>
            <w:vMerge w:val="continue"/>
            <w:vAlign w:val="center"/>
          </w:tcPr>
          <w:p>
            <w:pPr>
              <w:adjustRightInd/>
              <w:spacing w:line="240" w:lineRule="auto"/>
              <w:jc w:val="center"/>
              <w:rPr>
                <w:rFonts w:ascii="宋体" w:hAnsi="宋体" w:cs="宋体"/>
                <w:sz w:val="18"/>
                <w:szCs w:val="18"/>
              </w:rPr>
            </w:pPr>
          </w:p>
        </w:tc>
        <w:tc>
          <w:tcPr>
            <w:tcW w:w="501" w:type="pct"/>
            <w:vMerge w:val="continue"/>
            <w:vAlign w:val="center"/>
          </w:tcPr>
          <w:p>
            <w:pPr>
              <w:adjustRightInd/>
              <w:spacing w:line="240" w:lineRule="auto"/>
              <w:jc w:val="center"/>
              <w:rPr>
                <w:rFonts w:ascii="宋体" w:hAnsi="宋体" w:cs="宋体"/>
                <w:sz w:val="18"/>
                <w:szCs w:val="18"/>
              </w:rPr>
            </w:pPr>
          </w:p>
        </w:tc>
      </w:tr>
    </w:tbl>
    <w:p>
      <w:pPr>
        <w:pStyle w:val="260"/>
        <w:spacing w:before="120" w:beforeLines="50" w:after="120" w:afterLines="50" w:line="240" w:lineRule="auto"/>
      </w:pPr>
    </w:p>
    <w:p>
      <w:pPr>
        <w:pStyle w:val="260"/>
        <w:spacing w:before="120" w:beforeLines="50" w:after="120" w:afterLines="50" w:line="240" w:lineRule="auto"/>
        <w:rPr>
          <w:rFonts w:ascii="宋体"/>
          <w:b/>
        </w:rPr>
      </w:pPr>
      <w:r>
        <w:rPr>
          <w:rFonts w:hint="eastAsia"/>
        </w:rPr>
        <w:t>表C.</w:t>
      </w:r>
      <w:r>
        <w:t>1</w:t>
      </w:r>
      <w:r>
        <w:rPr>
          <w:rFonts w:hint="eastAsia"/>
        </w:rPr>
        <w:t xml:space="preserve"> 等壁厚管道对接坡口型式</w:t>
      </w:r>
      <w:r>
        <w:rPr>
          <w:rFonts w:hint="eastAsia" w:ascii="宋体" w:eastAsia="宋体"/>
        </w:rPr>
        <w:t>（续）</w:t>
      </w:r>
    </w:p>
    <w:tbl>
      <w:tblPr>
        <w:tblStyle w:val="31"/>
        <w:tblW w:w="52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1059"/>
        <w:gridCol w:w="1519"/>
        <w:gridCol w:w="2510"/>
        <w:gridCol w:w="831"/>
        <w:gridCol w:w="799"/>
        <w:gridCol w:w="1513"/>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332" w:type="pct"/>
            <w:vMerge w:val="restart"/>
            <w:vAlign w:val="center"/>
          </w:tcPr>
          <w:p>
            <w:pPr>
              <w:adjustRightInd/>
              <w:spacing w:line="240" w:lineRule="auto"/>
              <w:jc w:val="center"/>
              <w:rPr>
                <w:rFonts w:ascii="宋体" w:hAnsi="宋体" w:cs="宋体"/>
                <w:sz w:val="18"/>
                <w:szCs w:val="18"/>
              </w:rPr>
            </w:pPr>
            <w:r>
              <w:rPr>
                <w:rFonts w:hint="eastAsia" w:ascii="宋体" w:hAnsi="宋体" w:cs="宋体"/>
                <w:sz w:val="18"/>
                <w:szCs w:val="18"/>
              </w:rPr>
              <w:t>项目</w:t>
            </w:r>
          </w:p>
        </w:tc>
        <w:tc>
          <w:tcPr>
            <w:tcW w:w="525" w:type="pct"/>
            <w:vMerge w:val="restart"/>
            <w:vAlign w:val="center"/>
          </w:tcPr>
          <w:p>
            <w:pPr>
              <w:adjustRightInd/>
              <w:spacing w:line="240" w:lineRule="auto"/>
              <w:jc w:val="center"/>
              <w:rPr>
                <w:rFonts w:ascii="宋体" w:hAnsi="宋体" w:cs="宋体"/>
                <w:sz w:val="18"/>
                <w:szCs w:val="18"/>
              </w:rPr>
            </w:pPr>
            <w:r>
              <w:rPr>
                <w:rFonts w:hint="eastAsia" w:ascii="宋体" w:hAnsi="宋体" w:cs="宋体"/>
                <w:sz w:val="18"/>
                <w:szCs w:val="18"/>
              </w:rPr>
              <w:t>厚度</w:t>
            </w:r>
          </w:p>
          <w:p>
            <w:pPr>
              <w:adjustRightInd/>
              <w:spacing w:line="240" w:lineRule="auto"/>
              <w:jc w:val="center"/>
              <w:rPr>
                <w:rFonts w:ascii="宋体" w:hAnsi="宋体" w:cs="宋体"/>
                <w:sz w:val="18"/>
                <w:szCs w:val="18"/>
              </w:rPr>
            </w:pPr>
            <w:r>
              <w:rPr>
                <w:rFonts w:hint="eastAsia" w:ascii="宋体" w:hAnsi="宋体" w:cs="宋体"/>
                <w:sz w:val="18"/>
                <w:szCs w:val="18"/>
              </w:rPr>
              <w:t>T</w:t>
            </w:r>
          </w:p>
          <w:p>
            <w:pPr>
              <w:adjustRightInd/>
              <w:spacing w:line="240" w:lineRule="auto"/>
              <w:jc w:val="center"/>
              <w:rPr>
                <w:rFonts w:ascii="宋体" w:hAnsi="宋体" w:cs="宋体"/>
                <w:sz w:val="18"/>
                <w:szCs w:val="18"/>
              </w:rPr>
            </w:pPr>
            <w:r>
              <w:rPr>
                <w:rFonts w:hint="eastAsia" w:ascii="宋体" w:hAnsi="宋体" w:cs="宋体"/>
                <w:sz w:val="18"/>
                <w:szCs w:val="18"/>
              </w:rPr>
              <w:t>（mm）</w:t>
            </w:r>
          </w:p>
        </w:tc>
        <w:tc>
          <w:tcPr>
            <w:tcW w:w="753" w:type="pct"/>
            <w:vMerge w:val="restart"/>
            <w:vAlign w:val="center"/>
          </w:tcPr>
          <w:p>
            <w:pPr>
              <w:adjustRightInd/>
              <w:spacing w:line="240" w:lineRule="auto"/>
              <w:jc w:val="center"/>
              <w:rPr>
                <w:rFonts w:ascii="宋体" w:hAnsi="宋体" w:cs="宋体"/>
                <w:sz w:val="18"/>
                <w:szCs w:val="18"/>
              </w:rPr>
            </w:pPr>
            <w:r>
              <w:rPr>
                <w:rFonts w:hint="eastAsia" w:ascii="宋体" w:hAnsi="宋体" w:cs="宋体"/>
                <w:sz w:val="18"/>
                <w:szCs w:val="18"/>
              </w:rPr>
              <w:t>坡口名称</w:t>
            </w:r>
          </w:p>
        </w:tc>
        <w:tc>
          <w:tcPr>
            <w:tcW w:w="1244" w:type="pct"/>
            <w:vMerge w:val="restart"/>
            <w:vAlign w:val="center"/>
          </w:tcPr>
          <w:p>
            <w:pPr>
              <w:adjustRightInd/>
              <w:spacing w:line="240" w:lineRule="auto"/>
              <w:ind w:left="-166" w:leftChars="-79" w:right="-29" w:rightChars="-14" w:firstLine="124" w:firstLineChars="69"/>
              <w:jc w:val="center"/>
              <w:rPr>
                <w:rFonts w:ascii="宋体" w:hAnsi="宋体" w:cs="宋体"/>
                <w:sz w:val="18"/>
                <w:szCs w:val="18"/>
              </w:rPr>
            </w:pPr>
            <w:r>
              <w:rPr>
                <w:rFonts w:hint="eastAsia" w:ascii="宋体" w:hAnsi="宋体" w:cs="宋体"/>
                <w:sz w:val="18"/>
                <w:szCs w:val="18"/>
              </w:rPr>
              <w:t>坡口形式</w:t>
            </w:r>
          </w:p>
        </w:tc>
        <w:tc>
          <w:tcPr>
            <w:tcW w:w="1558" w:type="pct"/>
            <w:gridSpan w:val="3"/>
            <w:vAlign w:val="center"/>
          </w:tcPr>
          <w:p>
            <w:pPr>
              <w:tabs>
                <w:tab w:val="left" w:pos="1387"/>
              </w:tabs>
              <w:adjustRightInd/>
              <w:spacing w:line="240" w:lineRule="auto"/>
              <w:jc w:val="center"/>
              <w:rPr>
                <w:rFonts w:ascii="宋体" w:hAnsi="宋体" w:cs="宋体"/>
                <w:sz w:val="18"/>
                <w:szCs w:val="18"/>
              </w:rPr>
            </w:pPr>
            <w:r>
              <w:rPr>
                <w:rFonts w:hint="eastAsia" w:ascii="宋体" w:hAnsi="宋体" w:cs="宋体"/>
                <w:sz w:val="18"/>
                <w:szCs w:val="18"/>
              </w:rPr>
              <w:t>坡口尺寸</w:t>
            </w:r>
          </w:p>
        </w:tc>
        <w:tc>
          <w:tcPr>
            <w:tcW w:w="588" w:type="pct"/>
            <w:vMerge w:val="restart"/>
            <w:vAlign w:val="center"/>
          </w:tcPr>
          <w:p>
            <w:pPr>
              <w:adjustRightInd/>
              <w:spacing w:line="240" w:lineRule="auto"/>
              <w:jc w:val="center"/>
              <w:rPr>
                <w:rFonts w:ascii="宋体" w:hAnsi="宋体" w:cs="宋体"/>
                <w:sz w:val="18"/>
                <w:szCs w:val="18"/>
              </w:rPr>
            </w:pPr>
            <w:r>
              <w:rPr>
                <w:rFonts w:hint="eastAsia" w:ascii="宋体" w:hAnsi="宋体" w:cs="宋体"/>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rPr>
        <w:tc>
          <w:tcPr>
            <w:tcW w:w="332" w:type="pct"/>
            <w:vMerge w:val="continue"/>
            <w:tcBorders>
              <w:bottom w:val="single" w:color="auto" w:sz="4" w:space="0"/>
            </w:tcBorders>
            <w:vAlign w:val="center"/>
          </w:tcPr>
          <w:p>
            <w:pPr>
              <w:adjustRightInd/>
              <w:spacing w:line="240" w:lineRule="auto"/>
              <w:jc w:val="center"/>
              <w:rPr>
                <w:rFonts w:ascii="宋体" w:hAnsi="宋体" w:cs="宋体"/>
                <w:sz w:val="18"/>
                <w:szCs w:val="18"/>
              </w:rPr>
            </w:pPr>
          </w:p>
        </w:tc>
        <w:tc>
          <w:tcPr>
            <w:tcW w:w="525" w:type="pct"/>
            <w:vMerge w:val="continue"/>
            <w:tcBorders>
              <w:bottom w:val="single" w:color="auto" w:sz="4" w:space="0"/>
            </w:tcBorders>
            <w:vAlign w:val="center"/>
          </w:tcPr>
          <w:p>
            <w:pPr>
              <w:adjustRightInd/>
              <w:spacing w:line="240" w:lineRule="auto"/>
              <w:jc w:val="center"/>
              <w:rPr>
                <w:rFonts w:ascii="宋体" w:hAnsi="宋体" w:cs="宋体"/>
                <w:sz w:val="18"/>
                <w:szCs w:val="18"/>
              </w:rPr>
            </w:pPr>
          </w:p>
        </w:tc>
        <w:tc>
          <w:tcPr>
            <w:tcW w:w="753" w:type="pct"/>
            <w:vMerge w:val="continue"/>
            <w:tcBorders>
              <w:bottom w:val="single" w:color="auto" w:sz="4" w:space="0"/>
            </w:tcBorders>
            <w:vAlign w:val="center"/>
          </w:tcPr>
          <w:p>
            <w:pPr>
              <w:adjustRightInd/>
              <w:spacing w:line="240" w:lineRule="auto"/>
              <w:jc w:val="center"/>
              <w:rPr>
                <w:rFonts w:ascii="宋体" w:hAnsi="宋体" w:cs="宋体"/>
                <w:sz w:val="18"/>
                <w:szCs w:val="18"/>
              </w:rPr>
            </w:pPr>
          </w:p>
        </w:tc>
        <w:tc>
          <w:tcPr>
            <w:tcW w:w="1244" w:type="pct"/>
            <w:vMerge w:val="continue"/>
            <w:tcBorders>
              <w:bottom w:val="single" w:color="auto" w:sz="4" w:space="0"/>
            </w:tcBorders>
            <w:vAlign w:val="center"/>
          </w:tcPr>
          <w:p>
            <w:pPr>
              <w:adjustRightInd/>
              <w:spacing w:line="240" w:lineRule="auto"/>
              <w:jc w:val="center"/>
              <w:rPr>
                <w:rFonts w:ascii="宋体" w:hAnsi="宋体" w:cs="宋体"/>
                <w:sz w:val="18"/>
                <w:szCs w:val="18"/>
              </w:rPr>
            </w:pPr>
          </w:p>
        </w:tc>
        <w:tc>
          <w:tcPr>
            <w:tcW w:w="412" w:type="pct"/>
            <w:tcBorders>
              <w:bottom w:val="single" w:color="auto" w:sz="4" w:space="0"/>
            </w:tcBorders>
            <w:vAlign w:val="center"/>
          </w:tcPr>
          <w:p>
            <w:pPr>
              <w:adjustRightInd/>
              <w:spacing w:line="240" w:lineRule="auto"/>
              <w:jc w:val="center"/>
              <w:rPr>
                <w:rFonts w:ascii="宋体" w:hAnsi="宋体" w:cs="宋体"/>
                <w:sz w:val="18"/>
                <w:szCs w:val="18"/>
              </w:rPr>
            </w:pPr>
            <w:r>
              <w:rPr>
                <w:rFonts w:hint="eastAsia" w:ascii="宋体" w:hAnsi="宋体" w:cs="宋体"/>
                <w:sz w:val="18"/>
                <w:szCs w:val="18"/>
              </w:rPr>
              <w:t>间隙</w:t>
            </w:r>
          </w:p>
          <w:p>
            <w:pPr>
              <w:adjustRightInd/>
              <w:spacing w:line="240" w:lineRule="auto"/>
              <w:jc w:val="center"/>
              <w:rPr>
                <w:rFonts w:ascii="宋体" w:hAnsi="宋体" w:cs="宋体"/>
                <w:sz w:val="18"/>
                <w:szCs w:val="18"/>
              </w:rPr>
            </w:pPr>
            <w:r>
              <w:rPr>
                <w:rFonts w:hint="eastAsia" w:ascii="宋体" w:hAnsi="宋体" w:cs="宋体"/>
                <w:sz w:val="18"/>
                <w:szCs w:val="18"/>
              </w:rPr>
              <w:t>c</w:t>
            </w:r>
          </w:p>
          <w:p>
            <w:pPr>
              <w:adjustRightInd/>
              <w:spacing w:line="240" w:lineRule="auto"/>
              <w:jc w:val="center"/>
              <w:rPr>
                <w:rFonts w:ascii="宋体" w:hAnsi="宋体" w:cs="宋体"/>
                <w:sz w:val="18"/>
                <w:szCs w:val="18"/>
              </w:rPr>
            </w:pPr>
            <w:r>
              <w:rPr>
                <w:rFonts w:hint="eastAsia" w:ascii="宋体" w:hAnsi="宋体" w:cs="宋体"/>
                <w:sz w:val="18"/>
                <w:szCs w:val="18"/>
              </w:rPr>
              <w:t>(mm)</w:t>
            </w:r>
          </w:p>
        </w:tc>
        <w:tc>
          <w:tcPr>
            <w:tcW w:w="396" w:type="pct"/>
            <w:tcBorders>
              <w:bottom w:val="single" w:color="auto" w:sz="4" w:space="0"/>
            </w:tcBorders>
            <w:vAlign w:val="center"/>
          </w:tcPr>
          <w:p>
            <w:pPr>
              <w:adjustRightInd/>
              <w:spacing w:line="240" w:lineRule="auto"/>
              <w:jc w:val="center"/>
              <w:rPr>
                <w:rFonts w:ascii="宋体" w:hAnsi="宋体" w:cs="宋体"/>
                <w:sz w:val="18"/>
                <w:szCs w:val="18"/>
              </w:rPr>
            </w:pPr>
            <w:r>
              <w:rPr>
                <w:rFonts w:hint="eastAsia" w:ascii="宋体" w:hAnsi="宋体" w:cs="宋体"/>
                <w:sz w:val="18"/>
                <w:szCs w:val="18"/>
              </w:rPr>
              <w:t>钝边</w:t>
            </w:r>
          </w:p>
          <w:p>
            <w:pPr>
              <w:adjustRightInd/>
              <w:spacing w:line="240" w:lineRule="auto"/>
              <w:jc w:val="center"/>
              <w:rPr>
                <w:rFonts w:ascii="宋体" w:hAnsi="宋体" w:cs="宋体"/>
                <w:sz w:val="18"/>
                <w:szCs w:val="18"/>
              </w:rPr>
            </w:pPr>
            <w:r>
              <w:rPr>
                <w:rFonts w:hint="eastAsia" w:ascii="宋体" w:hAnsi="宋体" w:cs="宋体"/>
                <w:sz w:val="18"/>
                <w:szCs w:val="18"/>
              </w:rPr>
              <w:t>р</w:t>
            </w:r>
          </w:p>
          <w:p>
            <w:pPr>
              <w:adjustRightInd/>
              <w:spacing w:line="240" w:lineRule="auto"/>
              <w:jc w:val="center"/>
              <w:rPr>
                <w:rFonts w:ascii="宋体" w:hAnsi="宋体" w:cs="宋体"/>
                <w:sz w:val="18"/>
                <w:szCs w:val="18"/>
              </w:rPr>
            </w:pPr>
            <w:r>
              <w:rPr>
                <w:rFonts w:hint="eastAsia" w:ascii="宋体" w:hAnsi="宋体" w:cs="宋体"/>
                <w:sz w:val="18"/>
                <w:szCs w:val="18"/>
              </w:rPr>
              <w:t>(mm)</w:t>
            </w:r>
          </w:p>
        </w:tc>
        <w:tc>
          <w:tcPr>
            <w:tcW w:w="750" w:type="pct"/>
            <w:tcBorders>
              <w:bottom w:val="single" w:color="auto" w:sz="4" w:space="0"/>
            </w:tcBorders>
            <w:vAlign w:val="center"/>
          </w:tcPr>
          <w:p>
            <w:pPr>
              <w:adjustRightInd/>
              <w:spacing w:line="240" w:lineRule="auto"/>
              <w:jc w:val="center"/>
              <w:rPr>
                <w:rFonts w:ascii="宋体" w:hAnsi="宋体" w:cs="宋体"/>
                <w:sz w:val="18"/>
                <w:szCs w:val="18"/>
              </w:rPr>
            </w:pPr>
            <w:r>
              <w:rPr>
                <w:rFonts w:hint="eastAsia" w:ascii="宋体" w:hAnsi="宋体" w:cs="宋体"/>
                <w:sz w:val="18"/>
                <w:szCs w:val="18"/>
              </w:rPr>
              <w:t>坡口角度</w:t>
            </w:r>
          </w:p>
          <w:p>
            <w:pPr>
              <w:adjustRightInd/>
              <w:spacing w:line="240" w:lineRule="auto"/>
              <w:jc w:val="center"/>
              <w:rPr>
                <w:rFonts w:ascii="宋体" w:hAnsi="宋体" w:cs="宋体"/>
                <w:sz w:val="18"/>
                <w:szCs w:val="18"/>
              </w:rPr>
            </w:pPr>
            <w:r>
              <w:rPr>
                <w:rFonts w:hint="eastAsia" w:ascii="宋体" w:hAnsi="宋体" w:cs="宋体"/>
                <w:sz w:val="18"/>
                <w:szCs w:val="18"/>
              </w:rPr>
              <w:t>α(β)</w:t>
            </w:r>
          </w:p>
          <w:p>
            <w:pPr>
              <w:adjustRightInd/>
              <w:spacing w:line="240" w:lineRule="auto"/>
              <w:jc w:val="center"/>
              <w:rPr>
                <w:rFonts w:ascii="宋体" w:hAnsi="宋体" w:cs="宋体"/>
                <w:sz w:val="18"/>
                <w:szCs w:val="18"/>
              </w:rPr>
            </w:pPr>
            <w:r>
              <w:rPr>
                <w:rFonts w:hint="eastAsia" w:ascii="宋体" w:hAnsi="宋体" w:cs="宋体"/>
                <w:sz w:val="18"/>
                <w:szCs w:val="18"/>
              </w:rPr>
              <w:t>(°)</w:t>
            </w:r>
          </w:p>
        </w:tc>
        <w:tc>
          <w:tcPr>
            <w:tcW w:w="588" w:type="pct"/>
            <w:vMerge w:val="continue"/>
            <w:tcBorders>
              <w:bottom w:val="single" w:color="auto" w:sz="4" w:space="0"/>
            </w:tcBorders>
            <w:vAlign w:val="center"/>
          </w:tcPr>
          <w:p>
            <w:pPr>
              <w:adjustRightInd/>
              <w:spacing w:line="240" w:lineRule="auto"/>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trPr>
        <w:tc>
          <w:tcPr>
            <w:tcW w:w="332"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9</w:t>
            </w:r>
          </w:p>
        </w:tc>
        <w:tc>
          <w:tcPr>
            <w:tcW w:w="525"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20-40</w:t>
            </w:r>
          </w:p>
        </w:tc>
        <w:tc>
          <w:tcPr>
            <w:tcW w:w="753"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T型接头</w:t>
            </w:r>
          </w:p>
          <w:p>
            <w:pPr>
              <w:adjustRightInd/>
              <w:spacing w:line="240" w:lineRule="auto"/>
              <w:jc w:val="center"/>
              <w:rPr>
                <w:rFonts w:ascii="宋体" w:hAnsi="宋体" w:cs="宋体"/>
                <w:sz w:val="18"/>
                <w:szCs w:val="18"/>
              </w:rPr>
            </w:pPr>
            <w:r>
              <w:rPr>
                <w:rFonts w:hint="eastAsia" w:ascii="宋体" w:hAnsi="宋体" w:cs="宋体"/>
                <w:sz w:val="18"/>
                <w:szCs w:val="18"/>
              </w:rPr>
              <w:t>对称K形接口</w:t>
            </w:r>
          </w:p>
        </w:tc>
        <w:tc>
          <w:tcPr>
            <w:tcW w:w="1244" w:type="pct"/>
            <w:vAlign w:val="center"/>
          </w:tcPr>
          <w:p>
            <w:pPr>
              <w:adjustRightInd/>
              <w:spacing w:line="240" w:lineRule="auto"/>
              <w:jc w:val="center"/>
              <w:rPr>
                <w:rFonts w:ascii="宋体" w:hAnsi="宋体" w:cs="宋体"/>
                <w:sz w:val="18"/>
                <w:szCs w:val="18"/>
              </w:rPr>
            </w:pPr>
            <w:r>
              <w:rPr>
                <w:rFonts w:ascii="Times New Roman" w:hAnsi="Times New Roman"/>
                <w:szCs w:val="24"/>
              </w:rPr>
              <w:drawing>
                <wp:inline distT="0" distB="0" distL="0" distR="0">
                  <wp:extent cx="967105" cy="988695"/>
                  <wp:effectExtent l="0" t="0" r="4445" b="1905"/>
                  <wp:docPr id="1876001739" name="图片 1876001739" descr="7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01739" name="图片 1876001739" descr="78_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967105" cy="988695"/>
                          </a:xfrm>
                          <a:prstGeom prst="rect">
                            <a:avLst/>
                          </a:prstGeom>
                          <a:noFill/>
                          <a:ln>
                            <a:noFill/>
                          </a:ln>
                        </pic:spPr>
                      </pic:pic>
                    </a:graphicData>
                  </a:graphic>
                </wp:inline>
              </w:drawing>
            </w:r>
          </w:p>
        </w:tc>
        <w:tc>
          <w:tcPr>
            <w:tcW w:w="412"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0-3</w:t>
            </w:r>
          </w:p>
        </w:tc>
        <w:tc>
          <w:tcPr>
            <w:tcW w:w="396"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2-3</w:t>
            </w:r>
          </w:p>
        </w:tc>
        <w:tc>
          <w:tcPr>
            <w:tcW w:w="750"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45-55</w:t>
            </w:r>
          </w:p>
        </w:tc>
        <w:tc>
          <w:tcPr>
            <w:tcW w:w="588" w:type="pct"/>
            <w:vAlign w:val="center"/>
          </w:tcPr>
          <w:p>
            <w:pPr>
              <w:adjustRightInd/>
              <w:spacing w:line="240" w:lineRule="auto"/>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trPr>
        <w:tc>
          <w:tcPr>
            <w:tcW w:w="332"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10</w:t>
            </w:r>
          </w:p>
        </w:tc>
        <w:tc>
          <w:tcPr>
            <w:tcW w:w="525" w:type="pct"/>
            <w:vAlign w:val="center"/>
          </w:tcPr>
          <w:p>
            <w:pPr>
              <w:adjustRightInd/>
              <w:spacing w:line="240" w:lineRule="auto"/>
              <w:ind w:firstLine="180" w:firstLineChars="100"/>
              <w:rPr>
                <w:rFonts w:ascii="宋体" w:hAnsi="宋体" w:cs="宋体"/>
                <w:sz w:val="18"/>
                <w:szCs w:val="18"/>
              </w:rPr>
            </w:pPr>
            <w:r>
              <w:rPr>
                <w:rFonts w:hint="eastAsia" w:ascii="宋体" w:hAnsi="宋体" w:cs="宋体"/>
                <w:sz w:val="18"/>
                <w:szCs w:val="18"/>
              </w:rPr>
              <w:t>管径</w:t>
            </w:r>
          </w:p>
          <w:p>
            <w:pPr>
              <w:adjustRightInd/>
              <w:spacing w:line="240" w:lineRule="auto"/>
              <w:jc w:val="center"/>
              <w:rPr>
                <w:rFonts w:ascii="宋体" w:hAnsi="宋体" w:cs="宋体"/>
                <w:sz w:val="18"/>
                <w:szCs w:val="18"/>
              </w:rPr>
            </w:pPr>
            <w:r>
              <w:rPr>
                <w:rFonts w:hint="eastAsia" w:ascii="宋体" w:hAnsi="宋体" w:cs="宋体"/>
                <w:sz w:val="18"/>
                <w:szCs w:val="18"/>
              </w:rPr>
              <w:t>Φ≤76</w:t>
            </w:r>
          </w:p>
        </w:tc>
        <w:tc>
          <w:tcPr>
            <w:tcW w:w="753"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管座坡口</w:t>
            </w:r>
          </w:p>
        </w:tc>
        <w:tc>
          <w:tcPr>
            <w:tcW w:w="1244" w:type="pct"/>
            <w:vAlign w:val="center"/>
          </w:tcPr>
          <w:p>
            <w:pPr>
              <w:adjustRightInd/>
              <w:spacing w:line="240" w:lineRule="auto"/>
              <w:jc w:val="center"/>
              <w:rPr>
                <w:rFonts w:ascii="宋体" w:hAnsi="宋体" w:cs="宋体"/>
                <w:sz w:val="18"/>
                <w:szCs w:val="18"/>
              </w:rPr>
            </w:pPr>
            <w:r>
              <w:rPr>
                <w:rFonts w:ascii="Times New Roman" w:hAnsi="Times New Roman"/>
                <w:szCs w:val="24"/>
              </w:rPr>
              <w:drawing>
                <wp:inline distT="0" distB="0" distL="0" distR="0">
                  <wp:extent cx="1400810" cy="925195"/>
                  <wp:effectExtent l="0" t="0" r="8890" b="8255"/>
                  <wp:docPr id="864334879" name="图片 864334879" descr="7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34879" name="图片 864334879" descr="78_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400810" cy="925195"/>
                          </a:xfrm>
                          <a:prstGeom prst="rect">
                            <a:avLst/>
                          </a:prstGeom>
                          <a:noFill/>
                          <a:ln>
                            <a:noFill/>
                          </a:ln>
                        </pic:spPr>
                      </pic:pic>
                    </a:graphicData>
                  </a:graphic>
                </wp:inline>
              </w:drawing>
            </w:r>
          </w:p>
        </w:tc>
        <w:tc>
          <w:tcPr>
            <w:tcW w:w="412"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2-3</w:t>
            </w:r>
          </w:p>
        </w:tc>
        <w:tc>
          <w:tcPr>
            <w:tcW w:w="396"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w:t>
            </w:r>
          </w:p>
        </w:tc>
        <w:tc>
          <w:tcPr>
            <w:tcW w:w="750"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50-60</w:t>
            </w:r>
          </w:p>
          <w:p>
            <w:pPr>
              <w:adjustRightInd/>
              <w:spacing w:line="240" w:lineRule="auto"/>
              <w:jc w:val="center"/>
              <w:rPr>
                <w:rFonts w:ascii="宋体" w:hAnsi="宋体" w:cs="宋体"/>
                <w:sz w:val="18"/>
                <w:szCs w:val="18"/>
              </w:rPr>
            </w:pPr>
            <w:r>
              <w:rPr>
                <w:rFonts w:hint="eastAsia" w:ascii="宋体" w:hAnsi="宋体" w:cs="宋体"/>
                <w:sz w:val="18"/>
                <w:szCs w:val="18"/>
              </w:rPr>
              <w:t>（30-35）</w:t>
            </w:r>
          </w:p>
        </w:tc>
        <w:tc>
          <w:tcPr>
            <w:tcW w:w="588" w:type="pct"/>
            <w:vAlign w:val="center"/>
          </w:tcPr>
          <w:p>
            <w:pPr>
              <w:adjustRightInd/>
              <w:spacing w:line="240" w:lineRule="auto"/>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8" w:hRule="atLeast"/>
        </w:trPr>
        <w:tc>
          <w:tcPr>
            <w:tcW w:w="332"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11</w:t>
            </w:r>
          </w:p>
        </w:tc>
        <w:tc>
          <w:tcPr>
            <w:tcW w:w="525"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管径</w:t>
            </w:r>
          </w:p>
          <w:p>
            <w:pPr>
              <w:adjustRightInd/>
              <w:spacing w:line="240" w:lineRule="auto"/>
              <w:jc w:val="center"/>
              <w:rPr>
                <w:rFonts w:ascii="宋体" w:hAnsi="宋体" w:cs="宋体"/>
                <w:sz w:val="18"/>
                <w:szCs w:val="18"/>
              </w:rPr>
            </w:pPr>
            <w:r>
              <w:rPr>
                <w:rFonts w:hint="eastAsia" w:ascii="宋体" w:hAnsi="宋体" w:cs="宋体"/>
                <w:sz w:val="18"/>
                <w:szCs w:val="18"/>
              </w:rPr>
              <w:t>Φ76-133</w:t>
            </w:r>
          </w:p>
        </w:tc>
        <w:tc>
          <w:tcPr>
            <w:tcW w:w="753"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管座坡口</w:t>
            </w:r>
          </w:p>
        </w:tc>
        <w:tc>
          <w:tcPr>
            <w:tcW w:w="1244" w:type="pct"/>
            <w:vAlign w:val="center"/>
          </w:tcPr>
          <w:p>
            <w:pPr>
              <w:adjustRightInd/>
              <w:spacing w:line="240" w:lineRule="auto"/>
              <w:jc w:val="center"/>
              <w:rPr>
                <w:rFonts w:ascii="宋体" w:hAnsi="宋体" w:cs="宋体"/>
                <w:sz w:val="18"/>
                <w:szCs w:val="18"/>
              </w:rPr>
            </w:pPr>
            <w:r>
              <w:rPr>
                <w:rFonts w:ascii="Times New Roman" w:hAnsi="Times New Roman"/>
                <w:szCs w:val="24"/>
              </w:rPr>
              <w:drawing>
                <wp:inline distT="0" distB="0" distL="0" distR="0">
                  <wp:extent cx="1115060" cy="787400"/>
                  <wp:effectExtent l="0" t="0" r="8890" b="0"/>
                  <wp:docPr id="2135533094" name="图片 2135533094" descr="78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33094" name="图片 2135533094" descr="78_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115060" cy="787400"/>
                          </a:xfrm>
                          <a:prstGeom prst="rect">
                            <a:avLst/>
                          </a:prstGeom>
                          <a:noFill/>
                          <a:ln>
                            <a:noFill/>
                          </a:ln>
                        </pic:spPr>
                      </pic:pic>
                    </a:graphicData>
                  </a:graphic>
                </wp:inline>
              </w:drawing>
            </w:r>
          </w:p>
        </w:tc>
        <w:tc>
          <w:tcPr>
            <w:tcW w:w="412"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2-3</w:t>
            </w:r>
          </w:p>
        </w:tc>
        <w:tc>
          <w:tcPr>
            <w:tcW w:w="396"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w:t>
            </w:r>
          </w:p>
        </w:tc>
        <w:tc>
          <w:tcPr>
            <w:tcW w:w="750"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45-60</w:t>
            </w:r>
          </w:p>
        </w:tc>
        <w:tc>
          <w:tcPr>
            <w:tcW w:w="588" w:type="pct"/>
            <w:vAlign w:val="center"/>
          </w:tcPr>
          <w:p>
            <w:pPr>
              <w:adjustRightInd/>
              <w:spacing w:line="240" w:lineRule="auto"/>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1" w:hRule="atLeast"/>
        </w:trPr>
        <w:tc>
          <w:tcPr>
            <w:tcW w:w="332"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12</w:t>
            </w:r>
          </w:p>
        </w:tc>
        <w:tc>
          <w:tcPr>
            <w:tcW w:w="525" w:type="pct"/>
            <w:vAlign w:val="center"/>
          </w:tcPr>
          <w:p>
            <w:pPr>
              <w:adjustRightInd/>
              <w:spacing w:line="240" w:lineRule="auto"/>
              <w:jc w:val="center"/>
              <w:rPr>
                <w:rFonts w:ascii="宋体" w:hAnsi="宋体" w:cs="宋体"/>
                <w:sz w:val="18"/>
                <w:szCs w:val="18"/>
              </w:rPr>
            </w:pPr>
          </w:p>
        </w:tc>
        <w:tc>
          <w:tcPr>
            <w:tcW w:w="753"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法兰角焊接头</w:t>
            </w:r>
          </w:p>
        </w:tc>
        <w:tc>
          <w:tcPr>
            <w:tcW w:w="1244" w:type="pct"/>
            <w:vAlign w:val="center"/>
          </w:tcPr>
          <w:p>
            <w:pPr>
              <w:adjustRightInd/>
              <w:spacing w:line="240" w:lineRule="auto"/>
              <w:jc w:val="center"/>
              <w:rPr>
                <w:rFonts w:ascii="宋体" w:hAnsi="宋体" w:cs="宋体"/>
                <w:sz w:val="18"/>
                <w:szCs w:val="18"/>
              </w:rPr>
            </w:pPr>
            <w:r>
              <w:rPr>
                <w:rFonts w:ascii="Times New Roman" w:hAnsi="Times New Roman"/>
                <w:szCs w:val="24"/>
              </w:rPr>
              <w:drawing>
                <wp:inline distT="0" distB="0" distL="0" distR="0">
                  <wp:extent cx="1051560" cy="1146810"/>
                  <wp:effectExtent l="0" t="0" r="0" b="0"/>
                  <wp:docPr id="1355062526" name="图片 1355062526" descr="78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62526" name="图片 1355062526" descr="78_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051560" cy="1146810"/>
                          </a:xfrm>
                          <a:prstGeom prst="rect">
                            <a:avLst/>
                          </a:prstGeom>
                          <a:noFill/>
                          <a:ln>
                            <a:noFill/>
                          </a:ln>
                        </pic:spPr>
                      </pic:pic>
                    </a:graphicData>
                  </a:graphic>
                </wp:inline>
              </w:drawing>
            </w:r>
          </w:p>
        </w:tc>
        <w:tc>
          <w:tcPr>
            <w:tcW w:w="412"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w:t>
            </w:r>
          </w:p>
        </w:tc>
        <w:tc>
          <w:tcPr>
            <w:tcW w:w="396"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w:t>
            </w:r>
          </w:p>
        </w:tc>
        <w:tc>
          <w:tcPr>
            <w:tcW w:w="750"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w:t>
            </w:r>
          </w:p>
        </w:tc>
        <w:tc>
          <w:tcPr>
            <w:tcW w:w="588" w:type="pct"/>
            <w:vAlign w:val="center"/>
          </w:tcPr>
          <w:p>
            <w:pPr>
              <w:adjustRightInd/>
              <w:spacing w:line="240" w:lineRule="auto"/>
              <w:jc w:val="center"/>
              <w:rPr>
                <w:rFonts w:ascii="宋体" w:hAnsi="宋体" w:cs="宋体"/>
                <w:sz w:val="18"/>
                <w:szCs w:val="18"/>
              </w:rPr>
            </w:pPr>
            <w:r>
              <w:rPr>
                <w:rFonts w:hint="eastAsia" w:ascii="宋体" w:hAnsi="宋体" w:cs="宋体"/>
                <w:sz w:val="18"/>
                <w:szCs w:val="18"/>
              </w:rPr>
              <w:t>K=1.4T，且不大于颈部厚度；E=6.4，且不大于T</w:t>
            </w:r>
          </w:p>
        </w:tc>
      </w:tr>
    </w:tbl>
    <w:p>
      <w:pPr>
        <w:pStyle w:val="179"/>
        <w:numPr>
          <w:ilvl w:val="0"/>
          <w:numId w:val="0"/>
        </w:numPr>
        <w:ind w:left="851"/>
        <w:jc w:val="center"/>
      </w:pPr>
    </w:p>
    <w:p>
      <w:pPr>
        <w:pStyle w:val="179"/>
        <w:numPr>
          <w:ilvl w:val="0"/>
          <w:numId w:val="0"/>
        </w:numPr>
        <w:jc w:val="left"/>
        <w:sectPr>
          <w:pgSz w:w="11906" w:h="16838"/>
          <w:pgMar w:top="1928" w:right="1134" w:bottom="1134" w:left="1134" w:header="1418" w:footer="1134" w:gutter="284"/>
          <w:cols w:space="425" w:num="1"/>
          <w:formProt w:val="0"/>
          <w:docGrid w:linePitch="312" w:charSpace="0"/>
        </w:sectPr>
      </w:pPr>
    </w:p>
    <w:p>
      <w:pPr>
        <w:pStyle w:val="203"/>
      </w:pPr>
    </w:p>
    <w:p>
      <w:pPr>
        <w:pStyle w:val="204"/>
      </w:pPr>
    </w:p>
    <w:p>
      <w:pPr>
        <w:pStyle w:val="81"/>
        <w:spacing w:after="120"/>
      </w:pPr>
      <w:r>
        <w:br w:type="textWrapping"/>
      </w:r>
      <w:bookmarkStart w:id="242" w:name="_Toc209114121"/>
      <w:r>
        <w:rPr>
          <w:rFonts w:hint="eastAsia"/>
        </w:rPr>
        <w:t>（资料性）</w:t>
      </w:r>
      <w:r>
        <w:br w:type="textWrapping"/>
      </w:r>
      <w:r>
        <w:rPr>
          <w:rFonts w:hint="eastAsia"/>
        </w:rPr>
        <w:t>掺氢撬混合均匀度现场测试方法</w:t>
      </w:r>
      <w:bookmarkEnd w:id="242"/>
    </w:p>
    <w:p>
      <w:pPr>
        <w:pStyle w:val="216"/>
        <w:rPr>
          <w:rFonts w:ascii="黑体" w:hAnsi="黑体" w:eastAsia="黑体"/>
        </w:rPr>
      </w:pPr>
      <w:r>
        <w:rPr>
          <w:rFonts w:hint="eastAsia" w:ascii="黑体" w:hAnsi="黑体" w:eastAsia="黑体"/>
        </w:rPr>
        <w:t>一般规定</w:t>
      </w:r>
    </w:p>
    <w:p>
      <w:pPr>
        <w:pStyle w:val="61"/>
        <w:ind w:firstLine="420"/>
      </w:pPr>
      <w:r>
        <w:rPr>
          <w:rFonts w:hint="eastAsia"/>
        </w:rPr>
        <w:t>本附录中掺氢撬掺混合均匀度现场测试方法是在本文件规定测试条件下进行的，当掺氢撬应用于不同操作条件下，应充分考虑操作工况对其混合均匀度影响情况。</w:t>
      </w:r>
    </w:p>
    <w:p>
      <w:pPr>
        <w:pStyle w:val="216"/>
        <w:rPr>
          <w:rFonts w:ascii="黑体" w:hAnsi="黑体" w:eastAsia="黑体"/>
        </w:rPr>
      </w:pPr>
      <w:r>
        <w:rPr>
          <w:rFonts w:hint="eastAsia" w:ascii="黑体" w:hAnsi="黑体" w:eastAsia="黑体"/>
        </w:rPr>
        <w:t>测量精度</w:t>
      </w:r>
    </w:p>
    <w:p>
      <w:pPr>
        <w:pStyle w:val="217"/>
      </w:pPr>
      <w:r>
        <w:rPr>
          <w:rFonts w:hint="eastAsia"/>
        </w:rPr>
        <w:t>氢气组分测量精度≤±</w:t>
      </w:r>
      <w:r>
        <w:t>2 %FS</w:t>
      </w:r>
      <w:r>
        <w:rPr>
          <w:rFonts w:hint="eastAsia"/>
        </w:rPr>
        <w:t>，还应符合本文件7</w:t>
      </w:r>
      <w:r>
        <w:t>.10.4</w:t>
      </w:r>
      <w:r>
        <w:rPr>
          <w:rFonts w:hint="eastAsia"/>
        </w:rPr>
        <w:t>的规定。</w:t>
      </w:r>
    </w:p>
    <w:p>
      <w:pPr>
        <w:pStyle w:val="217"/>
      </w:pPr>
      <w:r>
        <w:rPr>
          <w:rFonts w:hint="eastAsia"/>
        </w:rPr>
        <w:t>流量测量仪表的测量精度不应低于</w:t>
      </w:r>
      <w:r>
        <w:t>1.5%。</w:t>
      </w:r>
    </w:p>
    <w:p>
      <w:pPr>
        <w:pStyle w:val="217"/>
      </w:pPr>
      <w:r>
        <w:rPr>
          <w:rFonts w:hint="eastAsia"/>
        </w:rPr>
        <w:t>压力测量精度不应低于</w:t>
      </w:r>
      <w:r>
        <w:t>0.4级</w:t>
      </w:r>
      <w:r>
        <w:rPr>
          <w:rFonts w:hint="eastAsia"/>
        </w:rPr>
        <w:t>。</w:t>
      </w:r>
    </w:p>
    <w:p>
      <w:pPr>
        <w:pStyle w:val="217"/>
      </w:pPr>
      <w:r>
        <w:rPr>
          <w:rFonts w:hint="eastAsia"/>
        </w:rPr>
        <w:t>温度测量精度不应大于</w:t>
      </w:r>
      <w:r>
        <w:t>0.5℃。</w:t>
      </w:r>
    </w:p>
    <w:p>
      <w:pPr>
        <w:pStyle w:val="217"/>
      </w:pPr>
      <w:r>
        <w:rPr>
          <w:rFonts w:hint="eastAsia"/>
        </w:rPr>
        <w:t>测量设备应按规定进行校准，以保证所要求的精度。</w:t>
      </w:r>
    </w:p>
    <w:p>
      <w:pPr>
        <w:pStyle w:val="216"/>
        <w:rPr>
          <w:rFonts w:ascii="黑体" w:hAnsi="黑体" w:eastAsia="黑体"/>
        </w:rPr>
      </w:pPr>
      <w:r>
        <w:rPr>
          <w:rFonts w:hint="eastAsia" w:ascii="黑体" w:hAnsi="黑体" w:eastAsia="黑体"/>
        </w:rPr>
        <w:t>测试条件</w:t>
      </w:r>
    </w:p>
    <w:p>
      <w:pPr>
        <w:pStyle w:val="61"/>
        <w:ind w:firstLine="420"/>
      </w:pPr>
      <w:r>
        <w:rPr>
          <w:rFonts w:hint="eastAsia"/>
        </w:rPr>
        <w:t>混合气流量为设计流量的</w:t>
      </w:r>
      <w:r>
        <w:t>20%、50%、80%</w:t>
      </w:r>
      <w:r>
        <w:rPr>
          <w:rFonts w:hint="eastAsia"/>
        </w:rPr>
        <w:t>,且在掺氢撬调节后比例稳定工况后对掺混合均匀度进行测试。</w:t>
      </w:r>
    </w:p>
    <w:p>
      <w:pPr>
        <w:pStyle w:val="216"/>
        <w:rPr>
          <w:rFonts w:ascii="黑体" w:hAnsi="黑体" w:eastAsia="黑体"/>
        </w:rPr>
      </w:pPr>
      <w:r>
        <w:rPr>
          <w:rFonts w:hint="eastAsia" w:ascii="黑体" w:hAnsi="黑体" w:eastAsia="黑体"/>
        </w:rPr>
        <w:t>采样</w:t>
      </w:r>
    </w:p>
    <w:p>
      <w:pPr>
        <w:pStyle w:val="217"/>
      </w:pPr>
      <w:r>
        <w:rPr>
          <w:rFonts w:hint="eastAsia"/>
        </w:rPr>
        <w:t>采样位置</w:t>
      </w:r>
    </w:p>
    <w:p>
      <w:pPr>
        <w:pStyle w:val="61"/>
        <w:ind w:firstLine="420"/>
      </w:pPr>
      <w:r>
        <w:rPr>
          <w:rFonts w:hint="eastAsia"/>
        </w:rPr>
        <w:t>采样位置应设置在混合器出口下游方向不少于</w:t>
      </w:r>
      <w:r>
        <w:t>10</w:t>
      </w:r>
      <w:r>
        <w:rPr>
          <w:rFonts w:hint="eastAsia"/>
        </w:rPr>
        <w:t>倍管径</w:t>
      </w:r>
      <w:r>
        <w:t>处</w:t>
      </w:r>
      <w:r>
        <w:rPr>
          <w:rFonts w:hint="eastAsia"/>
        </w:rPr>
        <w:t>，</w:t>
      </w:r>
      <w:r>
        <w:t>如图</w:t>
      </w:r>
      <w:r>
        <w:rPr>
          <w:rFonts w:hint="eastAsia"/>
        </w:rPr>
        <w:t>D</w:t>
      </w:r>
      <w:r>
        <w:t>.1所示</w:t>
      </w:r>
      <w:r>
        <w:rPr>
          <w:rFonts w:hint="eastAsia"/>
        </w:rPr>
        <w:t>。</w:t>
      </w:r>
    </w:p>
    <w:p>
      <w:pPr>
        <w:widowControl/>
        <w:spacing w:before="120" w:beforeLines="50" w:after="120" w:afterLines="50" w:line="240" w:lineRule="auto"/>
        <w:jc w:val="center"/>
        <w:outlineLvl w:val="2"/>
        <w:rPr>
          <w:rFonts w:ascii="宋体" w:hAnsi="宋体"/>
        </w:rPr>
      </w:pPr>
      <w:r>
        <w:drawing>
          <wp:inline distT="0" distB="0" distL="0" distR="0">
            <wp:extent cx="5219700" cy="154432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9"/>
                    <a:stretch>
                      <a:fillRect/>
                    </a:stretch>
                  </pic:blipFill>
                  <pic:spPr>
                    <a:xfrm>
                      <a:off x="0" y="0"/>
                      <a:ext cx="5226037" cy="1546544"/>
                    </a:xfrm>
                    <a:prstGeom prst="rect">
                      <a:avLst/>
                    </a:prstGeom>
                  </pic:spPr>
                </pic:pic>
              </a:graphicData>
            </a:graphic>
          </wp:inline>
        </w:drawing>
      </w:r>
    </w:p>
    <w:p>
      <w:pPr>
        <w:pStyle w:val="88"/>
        <w:numPr>
          <w:ilvl w:val="0"/>
          <w:numId w:val="0"/>
        </w:numPr>
        <w:spacing w:before="120" w:after="120"/>
        <w:rPr>
          <w:rFonts w:eastAsia="宋体"/>
          <w:szCs w:val="21"/>
        </w:rPr>
      </w:pPr>
      <w:r>
        <w:rPr>
          <w:rFonts w:hint="eastAsia"/>
        </w:rPr>
        <w:t>图D</w:t>
      </w:r>
      <w:r>
        <w:t>.1</w:t>
      </w:r>
      <w:r>
        <w:rPr>
          <w:rFonts w:hint="eastAsia"/>
        </w:rPr>
        <w:t>采样位置示意图</w:t>
      </w:r>
    </w:p>
    <w:p>
      <w:pPr>
        <w:pStyle w:val="217"/>
      </w:pPr>
      <w:r>
        <w:rPr>
          <w:rFonts w:hint="eastAsia"/>
        </w:rPr>
        <w:t>采样点位置和数目</w:t>
      </w:r>
    </w:p>
    <w:p>
      <w:pPr>
        <w:pStyle w:val="218"/>
      </w:pPr>
      <w:r>
        <w:rPr>
          <w:rFonts w:hint="eastAsia"/>
        </w:rPr>
        <w:t>将管道分成适当数量的等面积同心圆环，各采样点选在各环等面积中心线与呈垂直相交的两条直径的交点上，其中一台直径线应在预期组分变化最大的平面内。</w:t>
      </w:r>
    </w:p>
    <w:p>
      <w:pPr>
        <w:pStyle w:val="218"/>
      </w:pPr>
      <w:r>
        <w:rPr>
          <w:rFonts w:hint="eastAsia"/>
        </w:rPr>
        <w:t>对于管径小于等于DN</w:t>
      </w:r>
      <w:r>
        <w:t>150</w:t>
      </w:r>
      <w:r>
        <w:rPr>
          <w:rFonts w:hint="eastAsia"/>
        </w:rPr>
        <w:t>的管道，可在管道中心只设置一个采样点，当只在管道中心设置一个采样点时，应在不同管道截面分别设置采样点。</w:t>
      </w:r>
    </w:p>
    <w:p>
      <w:pPr>
        <w:pStyle w:val="218"/>
      </w:pPr>
      <w:r>
        <w:rPr>
          <w:rFonts w:hint="eastAsia"/>
        </w:rPr>
        <w:t>当管道中的气流分布被认为是相对对称是，在管道上的采样点可以减少到原来个数的1</w:t>
      </w:r>
      <w:r>
        <w:t>/2</w:t>
      </w:r>
      <w:r>
        <w:rPr>
          <w:rFonts w:hint="eastAsia"/>
        </w:rPr>
        <w:t>，已管道截面上的垂直线为对称轴，保留左边或右边的采样点。</w:t>
      </w:r>
    </w:p>
    <w:p>
      <w:pPr>
        <w:pStyle w:val="218"/>
      </w:pPr>
      <w:r>
        <w:rPr>
          <w:rFonts w:hint="eastAsia"/>
        </w:rPr>
        <w:t>不同直径管道的等面积环数、测量直径数及测点数见图D</w:t>
      </w:r>
      <w:r>
        <w:t>.2</w:t>
      </w:r>
      <w:r>
        <w:rPr>
          <w:rFonts w:hint="eastAsia"/>
        </w:rPr>
        <w:t>与表D</w:t>
      </w:r>
      <w:r>
        <w:t>.1</w:t>
      </w:r>
      <w:r>
        <w:rPr>
          <w:rFonts w:hint="eastAsia"/>
        </w:rPr>
        <w:t>。</w:t>
      </w:r>
    </w:p>
    <w:p>
      <w:pPr>
        <w:pStyle w:val="84"/>
        <w:numPr>
          <w:ilvl w:val="0"/>
          <w:numId w:val="0"/>
        </w:numPr>
        <w:spacing w:before="120" w:after="120"/>
      </w:pPr>
    </w:p>
    <w:p>
      <w:pPr>
        <w:pStyle w:val="61"/>
        <w:ind w:firstLine="420"/>
      </w:pPr>
    </w:p>
    <w:p>
      <w:pPr>
        <w:pStyle w:val="61"/>
        <w:ind w:firstLine="420"/>
      </w:pPr>
    </w:p>
    <w:p>
      <w:pPr>
        <w:pStyle w:val="61"/>
        <w:ind w:firstLine="420"/>
      </w:pPr>
    </w:p>
    <w:p>
      <w:pPr>
        <w:pStyle w:val="61"/>
        <w:ind w:firstLine="420"/>
      </w:pPr>
    </w:p>
    <w:p>
      <w:pPr>
        <w:pStyle w:val="61"/>
        <w:ind w:firstLine="420"/>
      </w:pPr>
    </w:p>
    <w:p>
      <w:pPr>
        <w:pStyle w:val="82"/>
        <w:spacing w:before="120" w:after="120"/>
      </w:pPr>
      <w:r>
        <w:rPr>
          <w:rFonts w:hint="eastAsia"/>
        </w:rPr>
        <w:t>测量点设置及距离管道圆心的距离</w:t>
      </w:r>
    </w:p>
    <w:tbl>
      <w:tblPr>
        <w:tblStyle w:val="32"/>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5"/>
        <w:gridCol w:w="1795"/>
        <w:gridCol w:w="1794"/>
        <w:gridCol w:w="1794"/>
        <w:gridCol w:w="1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blHeader/>
        </w:trPr>
        <w:tc>
          <w:tcPr>
            <w:tcW w:w="1795" w:type="dxa"/>
            <w:vMerge w:val="restart"/>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管道直径</w:t>
            </w:r>
          </w:p>
          <w:p>
            <w:pPr>
              <w:widowControl/>
              <w:spacing w:before="120" w:beforeLines="50" w:after="120" w:afterLines="50"/>
              <w:jc w:val="center"/>
              <w:outlineLvl w:val="2"/>
              <w:rPr>
                <w:rFonts w:ascii="宋体" w:hAnsi="宋体"/>
                <w:sz w:val="18"/>
                <w:szCs w:val="18"/>
              </w:rPr>
            </w:pPr>
            <w:r>
              <w:rPr>
                <w:rFonts w:hint="eastAsia" w:ascii="宋体" w:hAnsi="宋体"/>
                <w:sz w:val="18"/>
                <w:szCs w:val="18"/>
              </w:rPr>
              <w:t>m</w:t>
            </w:r>
          </w:p>
        </w:tc>
        <w:tc>
          <w:tcPr>
            <w:tcW w:w="1795" w:type="dxa"/>
            <w:vMerge w:val="restart"/>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半径划分个数</w:t>
            </w:r>
          </w:p>
        </w:tc>
        <w:tc>
          <w:tcPr>
            <w:tcW w:w="1794" w:type="dxa"/>
            <w:vMerge w:val="restart"/>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测量点的个数</w:t>
            </w:r>
          </w:p>
        </w:tc>
        <w:tc>
          <w:tcPr>
            <w:tcW w:w="3258" w:type="dxa"/>
            <w:gridSpan w:val="2"/>
            <w:vAlign w:val="center"/>
          </w:tcPr>
          <w:p>
            <w:pPr>
              <w:widowControl/>
              <w:spacing w:before="120" w:beforeLines="50" w:after="120" w:afterLines="50" w:line="240" w:lineRule="exact"/>
              <w:jc w:val="center"/>
              <w:outlineLvl w:val="2"/>
              <w:rPr>
                <w:rFonts w:ascii="宋体" w:hAnsi="宋体"/>
                <w:sz w:val="18"/>
                <w:szCs w:val="18"/>
              </w:rPr>
            </w:pPr>
            <w:r>
              <w:rPr>
                <w:rFonts w:hint="eastAsia" w:ascii="宋体" w:hAnsi="宋体"/>
                <w:sz w:val="18"/>
                <w:szCs w:val="18"/>
              </w:rPr>
              <w:t>测量点距离管道圆心的距离</w:t>
            </w:r>
          </w:p>
          <w:p>
            <w:pPr>
              <w:widowControl/>
              <w:spacing w:before="120" w:beforeLines="50" w:after="120" w:afterLines="50" w:line="240" w:lineRule="exact"/>
              <w:jc w:val="center"/>
              <w:outlineLvl w:val="2"/>
              <w:rPr>
                <w:rFonts w:ascii="宋体" w:hAnsi="宋体"/>
                <w:sz w:val="18"/>
                <w:szCs w:val="18"/>
              </w:rPr>
            </w:pPr>
            <w:r>
              <w:rPr>
                <w:rFonts w:hint="eastAsia" w:ascii="宋体" w:hAnsi="宋体"/>
                <w:sz w:val="18"/>
                <w:szCs w:val="18"/>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795" w:type="dxa"/>
            <w:vMerge w:val="continue"/>
            <w:vAlign w:val="center"/>
          </w:tcPr>
          <w:p>
            <w:pPr>
              <w:widowControl/>
              <w:spacing w:before="120" w:beforeLines="50" w:after="120" w:afterLines="50"/>
              <w:jc w:val="center"/>
              <w:outlineLvl w:val="2"/>
              <w:rPr>
                <w:rFonts w:ascii="宋体" w:hAnsi="宋体"/>
                <w:sz w:val="18"/>
                <w:szCs w:val="18"/>
              </w:rPr>
            </w:pPr>
          </w:p>
        </w:tc>
        <w:tc>
          <w:tcPr>
            <w:tcW w:w="1795" w:type="dxa"/>
            <w:vMerge w:val="continue"/>
            <w:vAlign w:val="center"/>
          </w:tcPr>
          <w:p>
            <w:pPr>
              <w:widowControl/>
              <w:spacing w:before="120" w:beforeLines="50" w:after="120" w:afterLines="50"/>
              <w:jc w:val="center"/>
              <w:outlineLvl w:val="2"/>
              <w:rPr>
                <w:rFonts w:ascii="宋体" w:hAnsi="宋体"/>
                <w:sz w:val="18"/>
                <w:szCs w:val="18"/>
              </w:rPr>
            </w:pPr>
          </w:p>
        </w:tc>
        <w:tc>
          <w:tcPr>
            <w:tcW w:w="1794" w:type="dxa"/>
            <w:vMerge w:val="continue"/>
            <w:vAlign w:val="center"/>
          </w:tcPr>
          <w:p>
            <w:pPr>
              <w:widowControl/>
              <w:spacing w:before="120" w:beforeLines="50" w:after="120" w:afterLines="50"/>
              <w:jc w:val="center"/>
              <w:outlineLvl w:val="2"/>
              <w:rPr>
                <w:rFonts w:ascii="宋体" w:hAnsi="宋体"/>
                <w:sz w:val="18"/>
                <w:szCs w:val="18"/>
              </w:rPr>
            </w:pPr>
          </w:p>
        </w:tc>
        <w:tc>
          <w:tcPr>
            <w:tcW w:w="1794"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r</w:t>
            </w:r>
            <w:r>
              <w:rPr>
                <w:rFonts w:ascii="宋体" w:hAnsi="宋体"/>
                <w:sz w:val="18"/>
                <w:szCs w:val="18"/>
                <w:vertAlign w:val="subscript"/>
              </w:rPr>
              <w:t>1</w:t>
            </w:r>
          </w:p>
        </w:tc>
        <w:tc>
          <w:tcPr>
            <w:tcW w:w="1464"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r</w:t>
            </w:r>
            <w:r>
              <w:rPr>
                <w:rFonts w:ascii="宋体" w:hAnsi="宋体"/>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795"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＜1</w:t>
            </w:r>
          </w:p>
        </w:tc>
        <w:tc>
          <w:tcPr>
            <w:tcW w:w="1795"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1</w:t>
            </w:r>
          </w:p>
        </w:tc>
        <w:tc>
          <w:tcPr>
            <w:tcW w:w="1794"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4</w:t>
            </w:r>
          </w:p>
        </w:tc>
        <w:tc>
          <w:tcPr>
            <w:tcW w:w="1794"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0</w:t>
            </w:r>
            <w:r>
              <w:rPr>
                <w:rFonts w:ascii="宋体" w:hAnsi="宋体"/>
                <w:sz w:val="18"/>
                <w:szCs w:val="18"/>
              </w:rPr>
              <w:t>.707R</w:t>
            </w:r>
          </w:p>
        </w:tc>
        <w:tc>
          <w:tcPr>
            <w:tcW w:w="1464" w:type="dxa"/>
            <w:vAlign w:val="center"/>
          </w:tcPr>
          <w:p>
            <w:pPr>
              <w:widowControl/>
              <w:spacing w:before="120" w:beforeLines="50" w:after="120" w:afterLines="50"/>
              <w:jc w:val="center"/>
              <w:outlineLvl w:val="2"/>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795"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1</w:t>
            </w:r>
            <w:r>
              <w:rPr>
                <w:rFonts w:ascii="宋体" w:hAnsi="宋体"/>
                <w:sz w:val="18"/>
                <w:szCs w:val="18"/>
              </w:rPr>
              <w:t>~2</w:t>
            </w:r>
          </w:p>
        </w:tc>
        <w:tc>
          <w:tcPr>
            <w:tcW w:w="1795"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2</w:t>
            </w:r>
          </w:p>
        </w:tc>
        <w:tc>
          <w:tcPr>
            <w:tcW w:w="1794"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8</w:t>
            </w:r>
          </w:p>
        </w:tc>
        <w:tc>
          <w:tcPr>
            <w:tcW w:w="1794"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0</w:t>
            </w:r>
            <w:r>
              <w:rPr>
                <w:rFonts w:ascii="宋体" w:hAnsi="宋体"/>
                <w:sz w:val="18"/>
                <w:szCs w:val="18"/>
              </w:rPr>
              <w:t>.500R</w:t>
            </w:r>
          </w:p>
        </w:tc>
        <w:tc>
          <w:tcPr>
            <w:tcW w:w="1464"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0</w:t>
            </w:r>
            <w:r>
              <w:rPr>
                <w:rFonts w:ascii="宋体" w:hAnsi="宋体"/>
                <w:sz w:val="18"/>
                <w:szCs w:val="18"/>
              </w:rPr>
              <w:t>.866R</w:t>
            </w:r>
          </w:p>
        </w:tc>
      </w:tr>
    </w:tbl>
    <w:p>
      <w:pPr>
        <w:widowControl/>
        <w:spacing w:before="120" w:beforeLines="50" w:after="120" w:afterLines="50" w:line="240" w:lineRule="auto"/>
        <w:jc w:val="center"/>
        <w:outlineLvl w:val="2"/>
        <w:rPr>
          <w:rFonts w:ascii="宋体" w:hAnsi="宋体"/>
        </w:rPr>
      </w:pPr>
      <w:r>
        <w:drawing>
          <wp:inline distT="0" distB="0" distL="0" distR="0">
            <wp:extent cx="2197735" cy="2146300"/>
            <wp:effectExtent l="0" t="0" r="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0"/>
                    <a:stretch>
                      <a:fillRect/>
                    </a:stretch>
                  </pic:blipFill>
                  <pic:spPr>
                    <a:xfrm>
                      <a:off x="0" y="0"/>
                      <a:ext cx="2233513" cy="2181078"/>
                    </a:xfrm>
                    <a:prstGeom prst="rect">
                      <a:avLst/>
                    </a:prstGeom>
                  </pic:spPr>
                </pic:pic>
              </a:graphicData>
            </a:graphic>
          </wp:inline>
        </w:drawing>
      </w:r>
    </w:p>
    <w:p>
      <w:pPr>
        <w:pStyle w:val="88"/>
        <w:numPr>
          <w:ilvl w:val="0"/>
          <w:numId w:val="0"/>
        </w:numPr>
        <w:spacing w:before="120" w:after="120"/>
      </w:pPr>
      <w:r>
        <w:rPr>
          <w:rFonts w:hint="eastAsia"/>
        </w:rPr>
        <w:t>图D</w:t>
      </w:r>
      <w:r>
        <w:t>.2</w:t>
      </w:r>
      <w:r>
        <w:rPr>
          <w:rFonts w:hint="eastAsia"/>
        </w:rPr>
        <w:t>测点位置示意图</w:t>
      </w:r>
    </w:p>
    <w:p>
      <w:pPr>
        <w:pStyle w:val="217"/>
      </w:pPr>
      <w:r>
        <w:rPr>
          <w:rFonts w:hint="eastAsia"/>
        </w:rPr>
        <w:t>采样嘴</w:t>
      </w:r>
    </w:p>
    <w:p>
      <w:pPr>
        <w:pStyle w:val="61"/>
        <w:ind w:firstLine="420"/>
      </w:pPr>
      <w:r>
        <w:rPr>
          <w:rFonts w:hint="eastAsia"/>
        </w:rPr>
        <w:t>采样嘴的如图D</w:t>
      </w:r>
      <w:r>
        <w:t>.3</w:t>
      </w:r>
      <w:r>
        <w:rPr>
          <w:rFonts w:hint="eastAsia"/>
        </w:rPr>
        <w:t>所示。采样嘴的大小是按测量管道中流速范围来决定的，内径可取6</w:t>
      </w:r>
      <w:r>
        <w:t>mm</w:t>
      </w:r>
      <w:r>
        <w:rPr>
          <w:rFonts w:hint="eastAsia"/>
        </w:rPr>
        <w:t>、8</w:t>
      </w:r>
      <w:r>
        <w:t>mm</w:t>
      </w:r>
      <w:r>
        <w:rPr>
          <w:rFonts w:hint="eastAsia"/>
        </w:rPr>
        <w:t>、1</w:t>
      </w:r>
      <w:r>
        <w:t>0mm 12mm</w:t>
      </w:r>
      <w:r>
        <w:rPr>
          <w:rFonts w:hint="eastAsia"/>
        </w:rPr>
        <w:t>。采样嘴做成减缩锐边，锐边的锥度为3</w:t>
      </w:r>
      <w:r>
        <w:t>0</w:t>
      </w:r>
      <w:r>
        <w:rPr>
          <w:rFonts w:hint="eastAsia"/>
        </w:rPr>
        <w:t>°，厚度应不小于0</w:t>
      </w:r>
      <w:r>
        <w:t>.5mm</w:t>
      </w:r>
      <w:r>
        <w:rPr>
          <w:rFonts w:hint="eastAsia"/>
        </w:rPr>
        <w:t>。</w:t>
      </w:r>
    </w:p>
    <w:p>
      <w:pPr>
        <w:widowControl/>
        <w:spacing w:before="120" w:beforeLines="50" w:after="120" w:afterLines="50" w:line="240" w:lineRule="auto"/>
        <w:ind w:firstLine="420" w:firstLineChars="200"/>
        <w:jc w:val="center"/>
        <w:outlineLvl w:val="2"/>
        <w:rPr>
          <w:rFonts w:ascii="宋体" w:hAnsi="宋体"/>
        </w:rPr>
      </w:pPr>
      <w:r>
        <w:rPr>
          <w:rFonts w:ascii="宋体" w:hAnsi="宋体"/>
        </w:rPr>
        <w:drawing>
          <wp:inline distT="0" distB="0" distL="0" distR="0">
            <wp:extent cx="4122420" cy="26511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174426" cy="2684323"/>
                    </a:xfrm>
                    <a:prstGeom prst="rect">
                      <a:avLst/>
                    </a:prstGeom>
                    <a:noFill/>
                  </pic:spPr>
                </pic:pic>
              </a:graphicData>
            </a:graphic>
          </wp:inline>
        </w:drawing>
      </w:r>
    </w:p>
    <w:p>
      <w:pPr>
        <w:pStyle w:val="61"/>
        <w:ind w:firstLine="2100" w:firstLineChars="1000"/>
        <w:rPr>
          <w:szCs w:val="21"/>
        </w:rPr>
      </w:pPr>
      <w:r>
        <w:rPr>
          <w:rFonts w:hint="eastAsia"/>
          <w:szCs w:val="21"/>
        </w:rPr>
        <w:t>a</w:t>
      </w:r>
      <w:r>
        <w:rPr>
          <w:szCs w:val="21"/>
        </w:rPr>
        <w:t>)</w:t>
      </w:r>
      <w:r>
        <w:rPr>
          <w:rFonts w:hint="eastAsia"/>
          <w:szCs w:val="21"/>
        </w:rPr>
        <w:t xml:space="preserve">采用嘴 </w:t>
      </w:r>
      <w:r>
        <w:rPr>
          <w:szCs w:val="21"/>
        </w:rPr>
        <w:t xml:space="preserve">      </w:t>
      </w:r>
      <w:r>
        <w:t xml:space="preserve">                      </w:t>
      </w:r>
      <w:r>
        <w:rPr>
          <w:szCs w:val="21"/>
        </w:rPr>
        <w:t>b)</w:t>
      </w:r>
      <w:r>
        <w:rPr>
          <w:rFonts w:hint="eastAsia"/>
          <w:szCs w:val="21"/>
        </w:rPr>
        <w:t>采样管</w:t>
      </w:r>
    </w:p>
    <w:p>
      <w:pPr>
        <w:pStyle w:val="88"/>
        <w:numPr>
          <w:ilvl w:val="0"/>
          <w:numId w:val="0"/>
        </w:numPr>
        <w:spacing w:before="120" w:after="120"/>
      </w:pPr>
      <w:r>
        <w:rPr>
          <w:rFonts w:hint="eastAsia"/>
        </w:rPr>
        <w:t>图D</w:t>
      </w:r>
      <w:r>
        <w:t>.3</w:t>
      </w:r>
      <w:r>
        <w:rPr>
          <w:rFonts w:hint="eastAsia"/>
        </w:rPr>
        <w:t>采样嘴示意图</w:t>
      </w:r>
    </w:p>
    <w:p>
      <w:pPr>
        <w:pStyle w:val="217"/>
      </w:pPr>
      <w:r>
        <w:rPr>
          <w:rFonts w:hint="eastAsia"/>
        </w:rPr>
        <w:t>采样方法</w:t>
      </w:r>
    </w:p>
    <w:p>
      <w:pPr>
        <w:pStyle w:val="61"/>
        <w:ind w:firstLine="420"/>
      </w:pPr>
      <w:r>
        <w:rPr>
          <w:rFonts w:hint="eastAsia"/>
        </w:rPr>
        <w:t>将采样管有采样孔插入管道中，使采样嘴置于测定点上，正对气流，按等速采样原理，即采样嘴的吸气速度与测定点处的气体流速相等，抽取一定量的掺混气体。</w:t>
      </w:r>
    </w:p>
    <w:p>
      <w:pPr>
        <w:pStyle w:val="216"/>
        <w:rPr>
          <w:rFonts w:ascii="黑体" w:hAnsi="黑体" w:eastAsia="黑体"/>
        </w:rPr>
      </w:pPr>
      <w:r>
        <w:rPr>
          <w:rFonts w:hint="eastAsia" w:ascii="黑体" w:hAnsi="黑体" w:eastAsia="黑体"/>
        </w:rPr>
        <w:t>掺混均匀度测试</w:t>
      </w:r>
    </w:p>
    <w:p>
      <w:pPr>
        <w:pStyle w:val="217"/>
      </w:pPr>
      <w:r>
        <w:rPr>
          <w:rFonts w:hint="eastAsia"/>
        </w:rPr>
        <w:t>测试前的准备</w:t>
      </w:r>
    </w:p>
    <w:p>
      <w:pPr>
        <w:pStyle w:val="61"/>
        <w:ind w:firstLine="420"/>
      </w:pPr>
      <w:r>
        <w:rPr>
          <w:rFonts w:hint="eastAsia"/>
        </w:rPr>
        <w:t>将掺氢撬安装到位，将天然气、氢气调压阀调到指定压力，打开天然气开关阀，打开取样口</w:t>
      </w:r>
      <w:r>
        <w:t>1的开关阀，关闭</w:t>
      </w:r>
      <w:r>
        <w:rPr>
          <w:rFonts w:hint="eastAsia"/>
        </w:rPr>
        <w:t>其它</w:t>
      </w:r>
      <w:r>
        <w:t>取样口开关阀，启动系统自检功能，自检无报警后，等待掺氢指令。</w:t>
      </w:r>
    </w:p>
    <w:p>
      <w:pPr>
        <w:pStyle w:val="217"/>
      </w:pPr>
      <w:r>
        <w:rPr>
          <w:rFonts w:hint="eastAsia"/>
        </w:rPr>
        <w:t>现场测试</w:t>
      </w:r>
    </w:p>
    <w:p>
      <w:pPr>
        <w:pStyle w:val="218"/>
      </w:pPr>
      <w:r>
        <w:rPr>
          <w:rFonts w:hint="eastAsia"/>
        </w:rPr>
        <w:t>通过控制系统调控天然气流量为设计流量的2</w:t>
      </w:r>
      <w:r>
        <w:t>0</w:t>
      </w:r>
      <w:r>
        <w:rPr>
          <w:rFonts w:hint="eastAsia"/>
        </w:rPr>
        <w:t>%。</w:t>
      </w:r>
    </w:p>
    <w:p>
      <w:pPr>
        <w:pStyle w:val="218"/>
      </w:pPr>
      <w:r>
        <w:t>在</w:t>
      </w:r>
      <w:r>
        <w:rPr>
          <w:rFonts w:hint="eastAsia"/>
        </w:rPr>
        <w:t>掺氢撬</w:t>
      </w:r>
      <w:r>
        <w:t>控制系统中设定掺氢比，启动掺氢指令，系统将自动打开氢气阀，并按设定掺氢比自动调节氢气调节阀调节氢气流量。</w:t>
      </w:r>
    </w:p>
    <w:p>
      <w:pPr>
        <w:pStyle w:val="218"/>
      </w:pPr>
      <w:r>
        <w:t>待</w:t>
      </w:r>
      <w:r>
        <w:rPr>
          <w:rFonts w:hint="eastAsia"/>
        </w:rPr>
        <w:t>组分</w:t>
      </w:r>
      <w:r>
        <w:t>分析仪读数</w:t>
      </w:r>
      <w:r>
        <w:rPr>
          <w:rFonts w:hint="eastAsia"/>
        </w:rPr>
        <w:t>（取样点1）</w:t>
      </w:r>
      <w:r>
        <w:t>稳定后，</w:t>
      </w:r>
      <w:r>
        <w:rPr>
          <w:rFonts w:hint="eastAsia"/>
        </w:rPr>
        <w:t>打开其余取样口阀门，</w:t>
      </w:r>
      <w:r>
        <w:t>读取并记录</w:t>
      </w:r>
      <w:r>
        <w:rPr>
          <w:rFonts w:hint="eastAsia"/>
        </w:rPr>
        <w:t>所有取样点的氢气组分，同时记录温度、压力当设置的组分分析仪已无法同时取样时，可逐点依次取样。</w:t>
      </w:r>
    </w:p>
    <w:p>
      <w:pPr>
        <w:pStyle w:val="218"/>
      </w:pPr>
      <w:r>
        <w:rPr>
          <w:rFonts w:hint="eastAsia"/>
        </w:rPr>
        <w:t>重复D</w:t>
      </w:r>
      <w:r>
        <w:t>.5.2.1</w:t>
      </w:r>
      <w:r>
        <w:rPr>
          <w:rFonts w:hint="eastAsia"/>
        </w:rPr>
        <w:t>～D</w:t>
      </w:r>
      <w:r>
        <w:t>.5.2.3</w:t>
      </w:r>
      <w:r>
        <w:rPr>
          <w:rFonts w:hint="eastAsia"/>
        </w:rPr>
        <w:t>步骤，依次完成实际流量为设计流量</w:t>
      </w:r>
      <w:r>
        <w:t>50%、80%</w:t>
      </w:r>
      <w:r>
        <w:rPr>
          <w:rFonts w:hint="eastAsia"/>
        </w:rPr>
        <w:t>时的测试。</w:t>
      </w:r>
    </w:p>
    <w:p>
      <w:pPr>
        <w:pStyle w:val="216"/>
        <w:rPr>
          <w:rFonts w:ascii="黑体" w:hAnsi="黑体" w:eastAsia="黑体"/>
        </w:rPr>
      </w:pPr>
      <w:r>
        <w:rPr>
          <w:rFonts w:hint="eastAsia" w:ascii="黑体" w:hAnsi="黑体" w:eastAsia="黑体"/>
        </w:rPr>
        <w:t>测试报告</w:t>
      </w:r>
    </w:p>
    <w:p>
      <w:pPr>
        <w:pStyle w:val="61"/>
        <w:ind w:firstLine="420"/>
      </w:pPr>
      <w:r>
        <w:rPr>
          <w:rFonts w:hint="eastAsia"/>
        </w:rPr>
        <w:t>掺氢撬混合均匀度测试报告见表D</w:t>
      </w:r>
      <w:r>
        <w:t>.2</w:t>
      </w:r>
      <w:r>
        <w:rPr>
          <w:rFonts w:hint="eastAsia"/>
        </w:rPr>
        <w:t>。</w:t>
      </w:r>
    </w:p>
    <w:p>
      <w:pPr>
        <w:pStyle w:val="82"/>
        <w:spacing w:before="120" w:after="120"/>
      </w:pPr>
      <w:r>
        <w:rPr>
          <w:rFonts w:hint="eastAsia"/>
        </w:rPr>
        <w:t>掺氢撬混合均匀度测试报告</w:t>
      </w:r>
    </w:p>
    <w:tbl>
      <w:tblPr>
        <w:tblStyle w:val="32"/>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819"/>
        <w:gridCol w:w="675"/>
        <w:gridCol w:w="1587"/>
        <w:gridCol w:w="53"/>
        <w:gridCol w:w="1492"/>
        <w:gridCol w:w="447"/>
        <w:gridCol w:w="896"/>
        <w:gridCol w:w="1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2155" w:type="dxa"/>
            <w:gridSpan w:val="2"/>
            <w:vAlign w:val="center"/>
          </w:tcPr>
          <w:p>
            <w:pPr>
              <w:widowControl/>
              <w:spacing w:before="120" w:beforeLines="50" w:after="120" w:afterLines="50"/>
              <w:jc w:val="center"/>
              <w:outlineLvl w:val="2"/>
              <w:rPr>
                <w:rFonts w:ascii="宋体" w:hAnsi="宋体"/>
                <w:sz w:val="18"/>
                <w:szCs w:val="18"/>
              </w:rPr>
            </w:pPr>
            <w:r>
              <w:rPr>
                <w:rFonts w:hint="eastAsia" w:ascii="宋体" w:hAnsi="宋体"/>
                <w:kern w:val="0"/>
                <w:sz w:val="18"/>
                <w:szCs w:val="18"/>
              </w:rPr>
              <w:t>掺氢撬型号</w:t>
            </w:r>
          </w:p>
        </w:tc>
        <w:tc>
          <w:tcPr>
            <w:tcW w:w="2315" w:type="dxa"/>
            <w:gridSpan w:val="3"/>
            <w:vAlign w:val="center"/>
          </w:tcPr>
          <w:p>
            <w:pPr>
              <w:widowControl/>
              <w:spacing w:before="120" w:beforeLines="50" w:after="120" w:afterLines="50"/>
              <w:jc w:val="left"/>
              <w:outlineLvl w:val="2"/>
              <w:rPr>
                <w:rFonts w:ascii="宋体" w:hAnsi="宋体"/>
                <w:sz w:val="18"/>
                <w:szCs w:val="18"/>
              </w:rPr>
            </w:pPr>
          </w:p>
        </w:tc>
        <w:tc>
          <w:tcPr>
            <w:tcW w:w="1939" w:type="dxa"/>
            <w:gridSpan w:val="2"/>
            <w:vAlign w:val="center"/>
          </w:tcPr>
          <w:p>
            <w:pPr>
              <w:widowControl/>
              <w:spacing w:before="120" w:beforeLines="50" w:after="120" w:afterLines="50"/>
              <w:jc w:val="left"/>
              <w:outlineLvl w:val="2"/>
              <w:rPr>
                <w:rFonts w:ascii="宋体" w:hAnsi="宋体"/>
                <w:sz w:val="18"/>
                <w:szCs w:val="18"/>
              </w:rPr>
            </w:pPr>
            <w:r>
              <w:rPr>
                <w:rFonts w:hint="eastAsia" w:ascii="宋体" w:hAnsi="宋体"/>
                <w:sz w:val="18"/>
                <w:szCs w:val="18"/>
              </w:rPr>
              <w:t>混合器结构形式</w:t>
            </w:r>
          </w:p>
        </w:tc>
        <w:tc>
          <w:tcPr>
            <w:tcW w:w="2323" w:type="dxa"/>
            <w:gridSpan w:val="2"/>
            <w:vAlign w:val="center"/>
          </w:tcPr>
          <w:p>
            <w:pPr>
              <w:widowControl/>
              <w:spacing w:before="120" w:beforeLines="50" w:after="120" w:afterLines="50"/>
              <w:jc w:val="left"/>
              <w:outlineLvl w:val="2"/>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2155" w:type="dxa"/>
            <w:gridSpan w:val="2"/>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生产厂名称</w:t>
            </w:r>
          </w:p>
        </w:tc>
        <w:tc>
          <w:tcPr>
            <w:tcW w:w="6577" w:type="dxa"/>
            <w:gridSpan w:val="7"/>
            <w:vAlign w:val="center"/>
          </w:tcPr>
          <w:p>
            <w:pPr>
              <w:widowControl/>
              <w:spacing w:before="120" w:beforeLines="50" w:after="120" w:afterLines="50"/>
              <w:jc w:val="left"/>
              <w:outlineLvl w:val="2"/>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2155" w:type="dxa"/>
            <w:gridSpan w:val="2"/>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测试方法</w:t>
            </w:r>
          </w:p>
        </w:tc>
        <w:tc>
          <w:tcPr>
            <w:tcW w:w="6577" w:type="dxa"/>
            <w:gridSpan w:val="7"/>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本附录提供的测试方法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2155" w:type="dxa"/>
            <w:gridSpan w:val="2"/>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氢气组分分析仪型号</w:t>
            </w:r>
          </w:p>
        </w:tc>
        <w:tc>
          <w:tcPr>
            <w:tcW w:w="6577" w:type="dxa"/>
            <w:gridSpan w:val="7"/>
            <w:vAlign w:val="center"/>
          </w:tcPr>
          <w:p>
            <w:pPr>
              <w:widowControl/>
              <w:spacing w:before="120" w:beforeLines="50" w:after="120" w:afterLines="50"/>
              <w:jc w:val="center"/>
              <w:outlineLvl w:val="2"/>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8732" w:type="dxa"/>
            <w:gridSpan w:val="9"/>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测试条件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8732" w:type="dxa"/>
            <w:gridSpan w:val="9"/>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设计流量的2</w:t>
            </w:r>
            <w:r>
              <w:rPr>
                <w:rFonts w:ascii="宋体" w:hAnsi="宋体"/>
                <w:sz w:val="18"/>
                <w:szCs w:val="18"/>
              </w:rPr>
              <w:t>0</w:t>
            </w: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4417" w:type="dxa"/>
            <w:gridSpan w:val="4"/>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天然气</w:t>
            </w:r>
          </w:p>
        </w:tc>
        <w:tc>
          <w:tcPr>
            <w:tcW w:w="4315" w:type="dxa"/>
            <w:gridSpan w:val="5"/>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氢气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1336"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温度</w:t>
            </w:r>
            <w:r>
              <w:rPr>
                <w:rFonts w:ascii="宋体" w:hAnsi="宋体"/>
                <w:sz w:val="18"/>
                <w:szCs w:val="18"/>
              </w:rPr>
              <w:t>,</w:t>
            </w:r>
            <w:r>
              <w:rPr>
                <w:rFonts w:hint="eastAsia" w:ascii="宋体" w:hAnsi="宋体"/>
                <w:sz w:val="18"/>
                <w:szCs w:val="18"/>
              </w:rPr>
              <w:t>℃</w:t>
            </w:r>
          </w:p>
        </w:tc>
        <w:tc>
          <w:tcPr>
            <w:tcW w:w="1494" w:type="dxa"/>
            <w:gridSpan w:val="2"/>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压力,MP</w:t>
            </w:r>
            <w:r>
              <w:rPr>
                <w:rFonts w:ascii="宋体" w:hAnsi="宋体"/>
                <w:sz w:val="18"/>
                <w:szCs w:val="18"/>
              </w:rPr>
              <w:t>a</w:t>
            </w:r>
          </w:p>
        </w:tc>
        <w:tc>
          <w:tcPr>
            <w:tcW w:w="1587"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流量,N</w:t>
            </w:r>
            <w:r>
              <w:rPr>
                <w:rFonts w:ascii="宋体" w:hAnsi="宋体"/>
                <w:sz w:val="18"/>
                <w:szCs w:val="18"/>
              </w:rPr>
              <w:t>m</w:t>
            </w:r>
            <w:r>
              <w:rPr>
                <w:rFonts w:ascii="宋体" w:hAnsi="宋体"/>
                <w:sz w:val="18"/>
                <w:szCs w:val="18"/>
                <w:vertAlign w:val="superscript"/>
              </w:rPr>
              <w:t>3</w:t>
            </w:r>
            <w:r>
              <w:rPr>
                <w:rFonts w:hint="eastAsia" w:ascii="宋体" w:hAnsi="宋体"/>
                <w:sz w:val="18"/>
                <w:szCs w:val="18"/>
              </w:rPr>
              <w:t>/</w:t>
            </w:r>
            <w:r>
              <w:rPr>
                <w:rFonts w:ascii="宋体" w:hAnsi="宋体"/>
                <w:sz w:val="18"/>
                <w:szCs w:val="18"/>
              </w:rPr>
              <w:t>h</w:t>
            </w:r>
          </w:p>
        </w:tc>
        <w:tc>
          <w:tcPr>
            <w:tcW w:w="1545" w:type="dxa"/>
            <w:gridSpan w:val="2"/>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温度</w:t>
            </w:r>
            <w:r>
              <w:rPr>
                <w:rFonts w:ascii="宋体" w:hAnsi="宋体"/>
                <w:sz w:val="18"/>
                <w:szCs w:val="18"/>
              </w:rPr>
              <w:t>,</w:t>
            </w:r>
            <w:r>
              <w:rPr>
                <w:rFonts w:hint="eastAsia" w:ascii="宋体" w:hAnsi="宋体"/>
                <w:sz w:val="18"/>
                <w:szCs w:val="18"/>
              </w:rPr>
              <w:t>℃</w:t>
            </w:r>
          </w:p>
        </w:tc>
        <w:tc>
          <w:tcPr>
            <w:tcW w:w="1343" w:type="dxa"/>
            <w:gridSpan w:val="2"/>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压力,MP</w:t>
            </w:r>
            <w:r>
              <w:rPr>
                <w:rFonts w:ascii="宋体" w:hAnsi="宋体"/>
                <w:sz w:val="18"/>
                <w:szCs w:val="18"/>
              </w:rPr>
              <w:t>a</w:t>
            </w:r>
          </w:p>
        </w:tc>
        <w:tc>
          <w:tcPr>
            <w:tcW w:w="1427"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流量,N</w:t>
            </w:r>
            <w:r>
              <w:rPr>
                <w:rFonts w:ascii="宋体" w:hAnsi="宋体"/>
                <w:sz w:val="18"/>
                <w:szCs w:val="18"/>
              </w:rPr>
              <w:t>m</w:t>
            </w:r>
            <w:r>
              <w:rPr>
                <w:rFonts w:ascii="宋体" w:hAnsi="宋体"/>
                <w:sz w:val="18"/>
                <w:szCs w:val="18"/>
                <w:vertAlign w:val="superscript"/>
              </w:rPr>
              <w:t>3</w:t>
            </w:r>
            <w:r>
              <w:rPr>
                <w:rFonts w:hint="eastAsia" w:ascii="宋体" w:hAnsi="宋体"/>
                <w:sz w:val="18"/>
                <w:szCs w:val="18"/>
              </w:rPr>
              <w:t>/</w:t>
            </w:r>
            <w:r>
              <w:rPr>
                <w:rFonts w:ascii="宋体" w:hAnsi="宋体"/>
                <w:sz w:val="18"/>
                <w:szCs w:val="1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1336" w:type="dxa"/>
            <w:vAlign w:val="center"/>
          </w:tcPr>
          <w:p>
            <w:pPr>
              <w:widowControl/>
              <w:spacing w:before="120" w:beforeLines="50" w:after="120" w:afterLines="50"/>
              <w:jc w:val="center"/>
              <w:outlineLvl w:val="2"/>
              <w:rPr>
                <w:rFonts w:ascii="宋体" w:hAnsi="宋体"/>
                <w:sz w:val="18"/>
                <w:szCs w:val="18"/>
              </w:rPr>
            </w:pPr>
          </w:p>
        </w:tc>
        <w:tc>
          <w:tcPr>
            <w:tcW w:w="1494" w:type="dxa"/>
            <w:gridSpan w:val="2"/>
            <w:vAlign w:val="center"/>
          </w:tcPr>
          <w:p>
            <w:pPr>
              <w:widowControl/>
              <w:spacing w:before="120" w:beforeLines="50" w:after="120" w:afterLines="50"/>
              <w:jc w:val="center"/>
              <w:outlineLvl w:val="2"/>
              <w:rPr>
                <w:rFonts w:ascii="宋体" w:hAnsi="宋体"/>
                <w:sz w:val="18"/>
                <w:szCs w:val="18"/>
              </w:rPr>
            </w:pPr>
          </w:p>
        </w:tc>
        <w:tc>
          <w:tcPr>
            <w:tcW w:w="1587" w:type="dxa"/>
            <w:vAlign w:val="center"/>
          </w:tcPr>
          <w:p>
            <w:pPr>
              <w:widowControl/>
              <w:spacing w:before="120" w:beforeLines="50" w:after="120" w:afterLines="50"/>
              <w:jc w:val="center"/>
              <w:outlineLvl w:val="2"/>
              <w:rPr>
                <w:rFonts w:ascii="宋体" w:hAnsi="宋体"/>
                <w:sz w:val="18"/>
                <w:szCs w:val="18"/>
              </w:rPr>
            </w:pPr>
          </w:p>
        </w:tc>
        <w:tc>
          <w:tcPr>
            <w:tcW w:w="1545" w:type="dxa"/>
            <w:gridSpan w:val="2"/>
            <w:vAlign w:val="center"/>
          </w:tcPr>
          <w:p>
            <w:pPr>
              <w:widowControl/>
              <w:spacing w:before="120" w:beforeLines="50" w:after="120" w:afterLines="50"/>
              <w:jc w:val="center"/>
              <w:outlineLvl w:val="2"/>
              <w:rPr>
                <w:rFonts w:ascii="宋体" w:hAnsi="宋体"/>
                <w:sz w:val="18"/>
                <w:szCs w:val="18"/>
              </w:rPr>
            </w:pPr>
          </w:p>
        </w:tc>
        <w:tc>
          <w:tcPr>
            <w:tcW w:w="1343" w:type="dxa"/>
            <w:gridSpan w:val="2"/>
            <w:vAlign w:val="center"/>
          </w:tcPr>
          <w:p>
            <w:pPr>
              <w:widowControl/>
              <w:spacing w:before="120" w:beforeLines="50" w:after="120" w:afterLines="50"/>
              <w:jc w:val="center"/>
              <w:outlineLvl w:val="2"/>
              <w:rPr>
                <w:rFonts w:ascii="宋体" w:hAnsi="宋体"/>
                <w:sz w:val="18"/>
                <w:szCs w:val="18"/>
              </w:rPr>
            </w:pPr>
          </w:p>
        </w:tc>
        <w:tc>
          <w:tcPr>
            <w:tcW w:w="1427" w:type="dxa"/>
            <w:vAlign w:val="center"/>
          </w:tcPr>
          <w:p>
            <w:pPr>
              <w:widowControl/>
              <w:spacing w:before="120" w:beforeLines="50" w:after="120" w:afterLines="50"/>
              <w:jc w:val="center"/>
              <w:outlineLvl w:val="2"/>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8732" w:type="dxa"/>
            <w:gridSpan w:val="9"/>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设计流量的</w:t>
            </w:r>
            <w:r>
              <w:rPr>
                <w:rFonts w:ascii="宋体" w:hAnsi="宋体"/>
                <w:sz w:val="18"/>
                <w:szCs w:val="18"/>
              </w:rPr>
              <w:t>50</w:t>
            </w: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4417" w:type="dxa"/>
            <w:gridSpan w:val="4"/>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天然气</w:t>
            </w:r>
          </w:p>
        </w:tc>
        <w:tc>
          <w:tcPr>
            <w:tcW w:w="4315" w:type="dxa"/>
            <w:gridSpan w:val="5"/>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氢气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1336"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温度</w:t>
            </w:r>
            <w:r>
              <w:rPr>
                <w:rFonts w:ascii="宋体" w:hAnsi="宋体"/>
                <w:sz w:val="18"/>
                <w:szCs w:val="18"/>
              </w:rPr>
              <w:t>,</w:t>
            </w:r>
            <w:r>
              <w:rPr>
                <w:rFonts w:hint="eastAsia" w:ascii="宋体" w:hAnsi="宋体"/>
                <w:sz w:val="18"/>
                <w:szCs w:val="18"/>
              </w:rPr>
              <w:t>℃</w:t>
            </w:r>
          </w:p>
        </w:tc>
        <w:tc>
          <w:tcPr>
            <w:tcW w:w="1494" w:type="dxa"/>
            <w:gridSpan w:val="2"/>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压力,MP</w:t>
            </w:r>
            <w:r>
              <w:rPr>
                <w:rFonts w:ascii="宋体" w:hAnsi="宋体"/>
                <w:sz w:val="18"/>
                <w:szCs w:val="18"/>
              </w:rPr>
              <w:t>a</w:t>
            </w:r>
          </w:p>
        </w:tc>
        <w:tc>
          <w:tcPr>
            <w:tcW w:w="1587"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流量,N</w:t>
            </w:r>
            <w:r>
              <w:rPr>
                <w:rFonts w:ascii="宋体" w:hAnsi="宋体"/>
                <w:sz w:val="18"/>
                <w:szCs w:val="18"/>
              </w:rPr>
              <w:t>m</w:t>
            </w:r>
            <w:r>
              <w:rPr>
                <w:rFonts w:ascii="宋体" w:hAnsi="宋体"/>
                <w:sz w:val="18"/>
                <w:szCs w:val="18"/>
                <w:vertAlign w:val="superscript"/>
              </w:rPr>
              <w:t>3</w:t>
            </w:r>
            <w:r>
              <w:rPr>
                <w:rFonts w:hint="eastAsia" w:ascii="宋体" w:hAnsi="宋体"/>
                <w:sz w:val="18"/>
                <w:szCs w:val="18"/>
              </w:rPr>
              <w:t>/</w:t>
            </w:r>
            <w:r>
              <w:rPr>
                <w:rFonts w:ascii="宋体" w:hAnsi="宋体"/>
                <w:sz w:val="18"/>
                <w:szCs w:val="18"/>
              </w:rPr>
              <w:t>h</w:t>
            </w:r>
          </w:p>
        </w:tc>
        <w:tc>
          <w:tcPr>
            <w:tcW w:w="1545" w:type="dxa"/>
            <w:gridSpan w:val="2"/>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温度</w:t>
            </w:r>
            <w:r>
              <w:rPr>
                <w:rFonts w:ascii="宋体" w:hAnsi="宋体"/>
                <w:sz w:val="18"/>
                <w:szCs w:val="18"/>
              </w:rPr>
              <w:t>,</w:t>
            </w:r>
            <w:r>
              <w:rPr>
                <w:rFonts w:hint="eastAsia" w:ascii="宋体" w:hAnsi="宋体"/>
                <w:sz w:val="18"/>
                <w:szCs w:val="18"/>
              </w:rPr>
              <w:t>℃</w:t>
            </w:r>
          </w:p>
        </w:tc>
        <w:tc>
          <w:tcPr>
            <w:tcW w:w="1343" w:type="dxa"/>
            <w:gridSpan w:val="2"/>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压力,MP</w:t>
            </w:r>
            <w:r>
              <w:rPr>
                <w:rFonts w:ascii="宋体" w:hAnsi="宋体"/>
                <w:sz w:val="18"/>
                <w:szCs w:val="18"/>
              </w:rPr>
              <w:t>a</w:t>
            </w:r>
          </w:p>
        </w:tc>
        <w:tc>
          <w:tcPr>
            <w:tcW w:w="1427"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流量,N</w:t>
            </w:r>
            <w:r>
              <w:rPr>
                <w:rFonts w:ascii="宋体" w:hAnsi="宋体"/>
                <w:sz w:val="18"/>
                <w:szCs w:val="18"/>
              </w:rPr>
              <w:t>m</w:t>
            </w:r>
            <w:r>
              <w:rPr>
                <w:rFonts w:ascii="宋体" w:hAnsi="宋体"/>
                <w:sz w:val="18"/>
                <w:szCs w:val="18"/>
                <w:vertAlign w:val="superscript"/>
              </w:rPr>
              <w:t>3</w:t>
            </w:r>
            <w:r>
              <w:rPr>
                <w:rFonts w:hint="eastAsia" w:ascii="宋体" w:hAnsi="宋体"/>
                <w:sz w:val="18"/>
                <w:szCs w:val="18"/>
              </w:rPr>
              <w:t>/</w:t>
            </w:r>
            <w:r>
              <w:rPr>
                <w:rFonts w:ascii="宋体" w:hAnsi="宋体"/>
                <w:sz w:val="18"/>
                <w:szCs w:val="1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1336" w:type="dxa"/>
            <w:vAlign w:val="center"/>
          </w:tcPr>
          <w:p>
            <w:pPr>
              <w:widowControl/>
              <w:spacing w:before="120" w:beforeLines="50" w:after="120" w:afterLines="50"/>
              <w:jc w:val="center"/>
              <w:outlineLvl w:val="2"/>
              <w:rPr>
                <w:rFonts w:ascii="宋体" w:hAnsi="宋体"/>
                <w:sz w:val="18"/>
                <w:szCs w:val="18"/>
              </w:rPr>
            </w:pPr>
          </w:p>
        </w:tc>
        <w:tc>
          <w:tcPr>
            <w:tcW w:w="1494" w:type="dxa"/>
            <w:gridSpan w:val="2"/>
            <w:vAlign w:val="center"/>
          </w:tcPr>
          <w:p>
            <w:pPr>
              <w:widowControl/>
              <w:spacing w:before="120" w:beforeLines="50" w:after="120" w:afterLines="50"/>
              <w:jc w:val="center"/>
              <w:outlineLvl w:val="2"/>
              <w:rPr>
                <w:rFonts w:ascii="宋体" w:hAnsi="宋体"/>
                <w:sz w:val="18"/>
                <w:szCs w:val="18"/>
              </w:rPr>
            </w:pPr>
          </w:p>
        </w:tc>
        <w:tc>
          <w:tcPr>
            <w:tcW w:w="1587" w:type="dxa"/>
            <w:vAlign w:val="center"/>
          </w:tcPr>
          <w:p>
            <w:pPr>
              <w:widowControl/>
              <w:spacing w:before="120" w:beforeLines="50" w:after="120" w:afterLines="50"/>
              <w:jc w:val="center"/>
              <w:outlineLvl w:val="2"/>
              <w:rPr>
                <w:rFonts w:ascii="宋体" w:hAnsi="宋体"/>
                <w:sz w:val="18"/>
                <w:szCs w:val="18"/>
              </w:rPr>
            </w:pPr>
          </w:p>
        </w:tc>
        <w:tc>
          <w:tcPr>
            <w:tcW w:w="1545" w:type="dxa"/>
            <w:gridSpan w:val="2"/>
            <w:vAlign w:val="center"/>
          </w:tcPr>
          <w:p>
            <w:pPr>
              <w:widowControl/>
              <w:spacing w:before="120" w:beforeLines="50" w:after="120" w:afterLines="50"/>
              <w:jc w:val="center"/>
              <w:outlineLvl w:val="2"/>
              <w:rPr>
                <w:rFonts w:ascii="宋体" w:hAnsi="宋体"/>
                <w:sz w:val="18"/>
                <w:szCs w:val="18"/>
              </w:rPr>
            </w:pPr>
          </w:p>
        </w:tc>
        <w:tc>
          <w:tcPr>
            <w:tcW w:w="1343" w:type="dxa"/>
            <w:gridSpan w:val="2"/>
            <w:vAlign w:val="center"/>
          </w:tcPr>
          <w:p>
            <w:pPr>
              <w:widowControl/>
              <w:spacing w:before="120" w:beforeLines="50" w:after="120" w:afterLines="50"/>
              <w:jc w:val="center"/>
              <w:outlineLvl w:val="2"/>
              <w:rPr>
                <w:rFonts w:ascii="宋体" w:hAnsi="宋体"/>
                <w:sz w:val="18"/>
                <w:szCs w:val="18"/>
              </w:rPr>
            </w:pPr>
          </w:p>
        </w:tc>
        <w:tc>
          <w:tcPr>
            <w:tcW w:w="1427" w:type="dxa"/>
            <w:vAlign w:val="center"/>
          </w:tcPr>
          <w:p>
            <w:pPr>
              <w:widowControl/>
              <w:spacing w:before="120" w:beforeLines="50" w:after="120" w:afterLines="50"/>
              <w:jc w:val="center"/>
              <w:outlineLvl w:val="2"/>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8732" w:type="dxa"/>
            <w:gridSpan w:val="9"/>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设计流量的</w:t>
            </w:r>
            <w:r>
              <w:rPr>
                <w:rFonts w:ascii="宋体" w:hAnsi="宋体"/>
                <w:sz w:val="18"/>
                <w:szCs w:val="18"/>
              </w:rPr>
              <w:t>80</w:t>
            </w: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417" w:type="dxa"/>
            <w:gridSpan w:val="4"/>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天然气</w:t>
            </w:r>
          </w:p>
        </w:tc>
        <w:tc>
          <w:tcPr>
            <w:tcW w:w="4315" w:type="dxa"/>
            <w:gridSpan w:val="5"/>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氢气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36"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温度</w:t>
            </w:r>
            <w:r>
              <w:rPr>
                <w:rFonts w:ascii="宋体" w:hAnsi="宋体"/>
                <w:sz w:val="18"/>
                <w:szCs w:val="18"/>
              </w:rPr>
              <w:t>,</w:t>
            </w:r>
            <w:r>
              <w:rPr>
                <w:rFonts w:hint="eastAsia" w:ascii="宋体" w:hAnsi="宋体"/>
                <w:sz w:val="18"/>
                <w:szCs w:val="18"/>
              </w:rPr>
              <w:t>℃</w:t>
            </w:r>
          </w:p>
        </w:tc>
        <w:tc>
          <w:tcPr>
            <w:tcW w:w="1494" w:type="dxa"/>
            <w:gridSpan w:val="2"/>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压力,MP</w:t>
            </w:r>
            <w:r>
              <w:rPr>
                <w:rFonts w:ascii="宋体" w:hAnsi="宋体"/>
                <w:sz w:val="18"/>
                <w:szCs w:val="18"/>
              </w:rPr>
              <w:t>a</w:t>
            </w:r>
          </w:p>
        </w:tc>
        <w:tc>
          <w:tcPr>
            <w:tcW w:w="1587"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流量,N</w:t>
            </w:r>
            <w:r>
              <w:rPr>
                <w:rFonts w:ascii="宋体" w:hAnsi="宋体"/>
                <w:sz w:val="18"/>
                <w:szCs w:val="18"/>
              </w:rPr>
              <w:t>m</w:t>
            </w:r>
            <w:r>
              <w:rPr>
                <w:rFonts w:ascii="宋体" w:hAnsi="宋体"/>
                <w:sz w:val="18"/>
                <w:szCs w:val="18"/>
                <w:vertAlign w:val="superscript"/>
              </w:rPr>
              <w:t>3</w:t>
            </w:r>
            <w:r>
              <w:rPr>
                <w:rFonts w:hint="eastAsia" w:ascii="宋体" w:hAnsi="宋体"/>
                <w:sz w:val="18"/>
                <w:szCs w:val="18"/>
              </w:rPr>
              <w:t>/</w:t>
            </w:r>
            <w:r>
              <w:rPr>
                <w:rFonts w:ascii="宋体" w:hAnsi="宋体"/>
                <w:sz w:val="18"/>
                <w:szCs w:val="18"/>
              </w:rPr>
              <w:t>h</w:t>
            </w:r>
          </w:p>
        </w:tc>
        <w:tc>
          <w:tcPr>
            <w:tcW w:w="1545" w:type="dxa"/>
            <w:gridSpan w:val="2"/>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温度</w:t>
            </w:r>
            <w:r>
              <w:rPr>
                <w:rFonts w:ascii="宋体" w:hAnsi="宋体"/>
                <w:sz w:val="18"/>
                <w:szCs w:val="18"/>
              </w:rPr>
              <w:t>,</w:t>
            </w:r>
            <w:r>
              <w:rPr>
                <w:rFonts w:hint="eastAsia" w:ascii="宋体" w:hAnsi="宋体"/>
                <w:sz w:val="18"/>
                <w:szCs w:val="18"/>
              </w:rPr>
              <w:t>℃</w:t>
            </w:r>
          </w:p>
        </w:tc>
        <w:tc>
          <w:tcPr>
            <w:tcW w:w="1343" w:type="dxa"/>
            <w:gridSpan w:val="2"/>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压力,MP</w:t>
            </w:r>
            <w:r>
              <w:rPr>
                <w:rFonts w:ascii="宋体" w:hAnsi="宋体"/>
                <w:sz w:val="18"/>
                <w:szCs w:val="18"/>
              </w:rPr>
              <w:t>a</w:t>
            </w:r>
          </w:p>
        </w:tc>
        <w:tc>
          <w:tcPr>
            <w:tcW w:w="1427"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流量,N</w:t>
            </w:r>
            <w:r>
              <w:rPr>
                <w:rFonts w:ascii="宋体" w:hAnsi="宋体"/>
                <w:sz w:val="18"/>
                <w:szCs w:val="18"/>
              </w:rPr>
              <w:t>m</w:t>
            </w:r>
            <w:r>
              <w:rPr>
                <w:rFonts w:ascii="宋体" w:hAnsi="宋体"/>
                <w:sz w:val="18"/>
                <w:szCs w:val="18"/>
                <w:vertAlign w:val="superscript"/>
              </w:rPr>
              <w:t>3</w:t>
            </w:r>
            <w:r>
              <w:rPr>
                <w:rFonts w:hint="eastAsia" w:ascii="宋体" w:hAnsi="宋体"/>
                <w:sz w:val="18"/>
                <w:szCs w:val="18"/>
              </w:rPr>
              <w:t>/</w:t>
            </w:r>
            <w:r>
              <w:rPr>
                <w:rFonts w:ascii="宋体" w:hAnsi="宋体"/>
                <w:sz w:val="18"/>
                <w:szCs w:val="1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36" w:type="dxa"/>
            <w:vAlign w:val="center"/>
          </w:tcPr>
          <w:p>
            <w:pPr>
              <w:widowControl/>
              <w:spacing w:before="120" w:beforeLines="50" w:after="120" w:afterLines="50"/>
              <w:jc w:val="center"/>
              <w:outlineLvl w:val="2"/>
              <w:rPr>
                <w:rFonts w:ascii="宋体" w:hAnsi="宋体"/>
                <w:sz w:val="18"/>
                <w:szCs w:val="18"/>
              </w:rPr>
            </w:pPr>
          </w:p>
        </w:tc>
        <w:tc>
          <w:tcPr>
            <w:tcW w:w="1494" w:type="dxa"/>
            <w:gridSpan w:val="2"/>
            <w:vAlign w:val="center"/>
          </w:tcPr>
          <w:p>
            <w:pPr>
              <w:widowControl/>
              <w:spacing w:before="120" w:beforeLines="50" w:after="120" w:afterLines="50"/>
              <w:jc w:val="center"/>
              <w:outlineLvl w:val="2"/>
              <w:rPr>
                <w:rFonts w:ascii="宋体" w:hAnsi="宋体"/>
                <w:sz w:val="18"/>
                <w:szCs w:val="18"/>
              </w:rPr>
            </w:pPr>
          </w:p>
        </w:tc>
        <w:tc>
          <w:tcPr>
            <w:tcW w:w="1587" w:type="dxa"/>
            <w:vAlign w:val="center"/>
          </w:tcPr>
          <w:p>
            <w:pPr>
              <w:widowControl/>
              <w:spacing w:before="120" w:beforeLines="50" w:after="120" w:afterLines="50"/>
              <w:jc w:val="center"/>
              <w:outlineLvl w:val="2"/>
              <w:rPr>
                <w:rFonts w:ascii="宋体" w:hAnsi="宋体"/>
                <w:sz w:val="18"/>
                <w:szCs w:val="18"/>
              </w:rPr>
            </w:pPr>
          </w:p>
        </w:tc>
        <w:tc>
          <w:tcPr>
            <w:tcW w:w="1545" w:type="dxa"/>
            <w:gridSpan w:val="2"/>
            <w:vAlign w:val="center"/>
          </w:tcPr>
          <w:p>
            <w:pPr>
              <w:widowControl/>
              <w:spacing w:before="120" w:beforeLines="50" w:after="120" w:afterLines="50"/>
              <w:jc w:val="center"/>
              <w:outlineLvl w:val="2"/>
              <w:rPr>
                <w:rFonts w:ascii="宋体" w:hAnsi="宋体"/>
                <w:sz w:val="18"/>
                <w:szCs w:val="18"/>
              </w:rPr>
            </w:pPr>
          </w:p>
        </w:tc>
        <w:tc>
          <w:tcPr>
            <w:tcW w:w="1343" w:type="dxa"/>
            <w:gridSpan w:val="2"/>
            <w:vAlign w:val="center"/>
          </w:tcPr>
          <w:p>
            <w:pPr>
              <w:widowControl/>
              <w:spacing w:before="120" w:beforeLines="50" w:after="120" w:afterLines="50"/>
              <w:jc w:val="center"/>
              <w:outlineLvl w:val="2"/>
              <w:rPr>
                <w:rFonts w:ascii="宋体" w:hAnsi="宋体"/>
                <w:sz w:val="18"/>
                <w:szCs w:val="18"/>
              </w:rPr>
            </w:pPr>
          </w:p>
        </w:tc>
        <w:tc>
          <w:tcPr>
            <w:tcW w:w="1427" w:type="dxa"/>
            <w:vAlign w:val="center"/>
          </w:tcPr>
          <w:p>
            <w:pPr>
              <w:widowControl/>
              <w:spacing w:before="120" w:beforeLines="50" w:after="120" w:afterLines="50"/>
              <w:jc w:val="center"/>
              <w:outlineLvl w:val="2"/>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732" w:type="dxa"/>
            <w:gridSpan w:val="9"/>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测试结果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30" w:type="dxa"/>
            <w:gridSpan w:val="3"/>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设计流量的2</w:t>
            </w:r>
            <w:r>
              <w:rPr>
                <w:rFonts w:ascii="宋体" w:hAnsi="宋体"/>
                <w:sz w:val="18"/>
                <w:szCs w:val="18"/>
              </w:rPr>
              <w:t>0</w:t>
            </w:r>
            <w:r>
              <w:rPr>
                <w:rFonts w:hint="eastAsia" w:ascii="宋体" w:hAnsi="宋体"/>
                <w:sz w:val="18"/>
                <w:szCs w:val="18"/>
              </w:rPr>
              <w:t>%</w:t>
            </w:r>
          </w:p>
        </w:tc>
        <w:tc>
          <w:tcPr>
            <w:tcW w:w="3132" w:type="dxa"/>
            <w:gridSpan w:val="3"/>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设计流量的</w:t>
            </w:r>
            <w:r>
              <w:rPr>
                <w:rFonts w:ascii="宋体" w:hAnsi="宋体"/>
                <w:sz w:val="18"/>
                <w:szCs w:val="18"/>
              </w:rPr>
              <w:t>50</w:t>
            </w:r>
            <w:r>
              <w:rPr>
                <w:rFonts w:hint="eastAsia" w:ascii="宋体" w:hAnsi="宋体"/>
                <w:sz w:val="18"/>
                <w:szCs w:val="18"/>
              </w:rPr>
              <w:t>%</w:t>
            </w:r>
          </w:p>
        </w:tc>
        <w:tc>
          <w:tcPr>
            <w:tcW w:w="2770" w:type="dxa"/>
            <w:gridSpan w:val="3"/>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设计流量的</w:t>
            </w:r>
            <w:r>
              <w:rPr>
                <w:rFonts w:ascii="宋体" w:hAnsi="宋体"/>
                <w:sz w:val="18"/>
                <w:szCs w:val="18"/>
              </w:rPr>
              <w:t>80</w:t>
            </w: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36"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采样点</w:t>
            </w:r>
          </w:p>
        </w:tc>
        <w:tc>
          <w:tcPr>
            <w:tcW w:w="1494" w:type="dxa"/>
            <w:gridSpan w:val="2"/>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氢气组分</w:t>
            </w:r>
            <w:r>
              <w:rPr>
                <w:rFonts w:ascii="宋体" w:hAnsi="宋体"/>
                <w:sz w:val="18"/>
                <w:szCs w:val="18"/>
              </w:rPr>
              <w:t>,</w:t>
            </w:r>
            <w:r>
              <w:rPr>
                <w:rFonts w:hint="eastAsia" w:ascii="宋体" w:hAnsi="宋体"/>
                <w:sz w:val="18"/>
                <w:szCs w:val="18"/>
              </w:rPr>
              <w:t>%</w:t>
            </w:r>
          </w:p>
        </w:tc>
        <w:tc>
          <w:tcPr>
            <w:tcW w:w="1587"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采样点</w:t>
            </w:r>
          </w:p>
        </w:tc>
        <w:tc>
          <w:tcPr>
            <w:tcW w:w="1545" w:type="dxa"/>
            <w:gridSpan w:val="2"/>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氢气组分</w:t>
            </w:r>
            <w:r>
              <w:rPr>
                <w:rFonts w:ascii="宋体" w:hAnsi="宋体"/>
                <w:sz w:val="18"/>
                <w:szCs w:val="18"/>
              </w:rPr>
              <w:t>,</w:t>
            </w:r>
            <w:r>
              <w:rPr>
                <w:rFonts w:hint="eastAsia" w:ascii="宋体" w:hAnsi="宋体"/>
                <w:sz w:val="18"/>
                <w:szCs w:val="18"/>
              </w:rPr>
              <w:t>%</w:t>
            </w:r>
          </w:p>
        </w:tc>
        <w:tc>
          <w:tcPr>
            <w:tcW w:w="1343" w:type="dxa"/>
            <w:gridSpan w:val="2"/>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采样点</w:t>
            </w:r>
          </w:p>
        </w:tc>
        <w:tc>
          <w:tcPr>
            <w:tcW w:w="1427"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氢气组分</w:t>
            </w:r>
            <w:r>
              <w:rPr>
                <w:rFonts w:ascii="宋体" w:hAnsi="宋体"/>
                <w:sz w:val="18"/>
                <w:szCs w:val="18"/>
              </w:rPr>
              <w:t>,</w:t>
            </w: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36"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C</w:t>
            </w:r>
            <w:r>
              <w:rPr>
                <w:rFonts w:ascii="宋体" w:hAnsi="宋体"/>
                <w:sz w:val="18"/>
                <w:szCs w:val="18"/>
              </w:rPr>
              <w:t>1</w:t>
            </w:r>
            <w:r>
              <w:rPr>
                <w:rFonts w:hint="eastAsia" w:ascii="宋体" w:hAnsi="宋体"/>
                <w:sz w:val="18"/>
                <w:szCs w:val="18"/>
              </w:rPr>
              <w:t>点</w:t>
            </w:r>
          </w:p>
        </w:tc>
        <w:tc>
          <w:tcPr>
            <w:tcW w:w="1494" w:type="dxa"/>
            <w:gridSpan w:val="2"/>
            <w:vAlign w:val="center"/>
          </w:tcPr>
          <w:p>
            <w:pPr>
              <w:widowControl/>
              <w:spacing w:before="120" w:beforeLines="50" w:after="120" w:afterLines="50"/>
              <w:jc w:val="center"/>
              <w:outlineLvl w:val="2"/>
              <w:rPr>
                <w:rFonts w:ascii="宋体" w:hAnsi="宋体"/>
                <w:sz w:val="18"/>
                <w:szCs w:val="18"/>
              </w:rPr>
            </w:pPr>
          </w:p>
        </w:tc>
        <w:tc>
          <w:tcPr>
            <w:tcW w:w="1587"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C</w:t>
            </w:r>
            <w:r>
              <w:rPr>
                <w:rFonts w:ascii="宋体" w:hAnsi="宋体"/>
                <w:sz w:val="18"/>
                <w:szCs w:val="18"/>
              </w:rPr>
              <w:t>1</w:t>
            </w:r>
            <w:r>
              <w:rPr>
                <w:rFonts w:hint="eastAsia" w:ascii="宋体" w:hAnsi="宋体"/>
                <w:sz w:val="18"/>
                <w:szCs w:val="18"/>
              </w:rPr>
              <w:t>点</w:t>
            </w:r>
          </w:p>
        </w:tc>
        <w:tc>
          <w:tcPr>
            <w:tcW w:w="1545" w:type="dxa"/>
            <w:gridSpan w:val="2"/>
            <w:vAlign w:val="center"/>
          </w:tcPr>
          <w:p>
            <w:pPr>
              <w:widowControl/>
              <w:spacing w:before="120" w:beforeLines="50" w:after="120" w:afterLines="50"/>
              <w:jc w:val="center"/>
              <w:outlineLvl w:val="2"/>
              <w:rPr>
                <w:rFonts w:ascii="宋体" w:hAnsi="宋体"/>
                <w:sz w:val="18"/>
                <w:szCs w:val="18"/>
              </w:rPr>
            </w:pPr>
          </w:p>
        </w:tc>
        <w:tc>
          <w:tcPr>
            <w:tcW w:w="1343" w:type="dxa"/>
            <w:gridSpan w:val="2"/>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C</w:t>
            </w:r>
            <w:r>
              <w:rPr>
                <w:rFonts w:ascii="宋体" w:hAnsi="宋体"/>
                <w:sz w:val="18"/>
                <w:szCs w:val="18"/>
              </w:rPr>
              <w:t>1</w:t>
            </w:r>
            <w:r>
              <w:rPr>
                <w:rFonts w:hint="eastAsia" w:ascii="宋体" w:hAnsi="宋体"/>
                <w:sz w:val="18"/>
                <w:szCs w:val="18"/>
              </w:rPr>
              <w:t>点</w:t>
            </w:r>
          </w:p>
        </w:tc>
        <w:tc>
          <w:tcPr>
            <w:tcW w:w="1427" w:type="dxa"/>
            <w:vAlign w:val="center"/>
          </w:tcPr>
          <w:p>
            <w:pPr>
              <w:widowControl/>
              <w:spacing w:before="120" w:beforeLines="50" w:after="120" w:afterLines="50"/>
              <w:jc w:val="center"/>
              <w:outlineLvl w:val="2"/>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30" w:type="dxa"/>
            <w:gridSpan w:val="3"/>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设计流量的2</w:t>
            </w:r>
            <w:r>
              <w:rPr>
                <w:rFonts w:ascii="宋体" w:hAnsi="宋体"/>
                <w:sz w:val="18"/>
                <w:szCs w:val="18"/>
              </w:rPr>
              <w:t>0</w:t>
            </w:r>
            <w:r>
              <w:rPr>
                <w:rFonts w:hint="eastAsia" w:ascii="宋体" w:hAnsi="宋体"/>
                <w:sz w:val="18"/>
                <w:szCs w:val="18"/>
              </w:rPr>
              <w:t>%</w:t>
            </w:r>
          </w:p>
        </w:tc>
        <w:tc>
          <w:tcPr>
            <w:tcW w:w="3132" w:type="dxa"/>
            <w:gridSpan w:val="3"/>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设计流量的</w:t>
            </w:r>
            <w:r>
              <w:rPr>
                <w:rFonts w:ascii="宋体" w:hAnsi="宋体"/>
                <w:sz w:val="18"/>
                <w:szCs w:val="18"/>
              </w:rPr>
              <w:t>50</w:t>
            </w:r>
            <w:r>
              <w:rPr>
                <w:rFonts w:hint="eastAsia" w:ascii="宋体" w:hAnsi="宋体"/>
                <w:sz w:val="18"/>
                <w:szCs w:val="18"/>
              </w:rPr>
              <w:t>%</w:t>
            </w:r>
          </w:p>
        </w:tc>
        <w:tc>
          <w:tcPr>
            <w:tcW w:w="2770" w:type="dxa"/>
            <w:gridSpan w:val="3"/>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设计流量的</w:t>
            </w:r>
            <w:r>
              <w:rPr>
                <w:rFonts w:ascii="宋体" w:hAnsi="宋体"/>
                <w:sz w:val="18"/>
                <w:szCs w:val="18"/>
              </w:rPr>
              <w:t>80</w:t>
            </w: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36"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采样点</w:t>
            </w:r>
          </w:p>
        </w:tc>
        <w:tc>
          <w:tcPr>
            <w:tcW w:w="1494" w:type="dxa"/>
            <w:gridSpan w:val="2"/>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氢气组分</w:t>
            </w:r>
            <w:r>
              <w:rPr>
                <w:rFonts w:ascii="宋体" w:hAnsi="宋体"/>
                <w:sz w:val="18"/>
                <w:szCs w:val="18"/>
              </w:rPr>
              <w:t>,</w:t>
            </w:r>
            <w:r>
              <w:rPr>
                <w:rFonts w:hint="eastAsia" w:ascii="宋体" w:hAnsi="宋体"/>
                <w:sz w:val="18"/>
                <w:szCs w:val="18"/>
              </w:rPr>
              <w:t>%</w:t>
            </w:r>
          </w:p>
        </w:tc>
        <w:tc>
          <w:tcPr>
            <w:tcW w:w="1587"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采样点</w:t>
            </w:r>
          </w:p>
        </w:tc>
        <w:tc>
          <w:tcPr>
            <w:tcW w:w="1545" w:type="dxa"/>
            <w:gridSpan w:val="2"/>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氢气组分</w:t>
            </w:r>
            <w:r>
              <w:rPr>
                <w:rFonts w:ascii="宋体" w:hAnsi="宋体"/>
                <w:sz w:val="18"/>
                <w:szCs w:val="18"/>
              </w:rPr>
              <w:t>,</w:t>
            </w:r>
            <w:r>
              <w:rPr>
                <w:rFonts w:hint="eastAsia" w:ascii="宋体" w:hAnsi="宋体"/>
                <w:sz w:val="18"/>
                <w:szCs w:val="18"/>
              </w:rPr>
              <w:t>%</w:t>
            </w:r>
          </w:p>
        </w:tc>
        <w:tc>
          <w:tcPr>
            <w:tcW w:w="1343" w:type="dxa"/>
            <w:gridSpan w:val="2"/>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采样点</w:t>
            </w:r>
          </w:p>
        </w:tc>
        <w:tc>
          <w:tcPr>
            <w:tcW w:w="1427"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氢气组分</w:t>
            </w:r>
            <w:r>
              <w:rPr>
                <w:rFonts w:ascii="宋体" w:hAnsi="宋体"/>
                <w:sz w:val="18"/>
                <w:szCs w:val="18"/>
              </w:rPr>
              <w:t>,</w:t>
            </w: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36"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C</w:t>
            </w:r>
            <w:r>
              <w:rPr>
                <w:rFonts w:ascii="宋体" w:hAnsi="宋体"/>
                <w:sz w:val="18"/>
                <w:szCs w:val="18"/>
              </w:rPr>
              <w:t>2</w:t>
            </w:r>
            <w:r>
              <w:rPr>
                <w:rFonts w:hint="eastAsia" w:ascii="宋体" w:hAnsi="宋体"/>
                <w:sz w:val="18"/>
                <w:szCs w:val="18"/>
              </w:rPr>
              <w:t>点</w:t>
            </w:r>
          </w:p>
        </w:tc>
        <w:tc>
          <w:tcPr>
            <w:tcW w:w="1494" w:type="dxa"/>
            <w:gridSpan w:val="2"/>
            <w:vAlign w:val="center"/>
          </w:tcPr>
          <w:p>
            <w:pPr>
              <w:widowControl/>
              <w:spacing w:before="120" w:beforeLines="50" w:after="120" w:afterLines="50"/>
              <w:jc w:val="center"/>
              <w:outlineLvl w:val="2"/>
              <w:rPr>
                <w:rFonts w:ascii="宋体" w:hAnsi="宋体"/>
                <w:sz w:val="18"/>
                <w:szCs w:val="18"/>
              </w:rPr>
            </w:pPr>
          </w:p>
        </w:tc>
        <w:tc>
          <w:tcPr>
            <w:tcW w:w="1587"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C</w:t>
            </w:r>
            <w:r>
              <w:rPr>
                <w:rFonts w:ascii="宋体" w:hAnsi="宋体"/>
                <w:sz w:val="18"/>
                <w:szCs w:val="18"/>
              </w:rPr>
              <w:t>2</w:t>
            </w:r>
            <w:r>
              <w:rPr>
                <w:rFonts w:hint="eastAsia" w:ascii="宋体" w:hAnsi="宋体"/>
                <w:sz w:val="18"/>
                <w:szCs w:val="18"/>
              </w:rPr>
              <w:t>点</w:t>
            </w:r>
          </w:p>
        </w:tc>
        <w:tc>
          <w:tcPr>
            <w:tcW w:w="1545" w:type="dxa"/>
            <w:gridSpan w:val="2"/>
            <w:vAlign w:val="center"/>
          </w:tcPr>
          <w:p>
            <w:pPr>
              <w:widowControl/>
              <w:spacing w:before="120" w:beforeLines="50" w:after="120" w:afterLines="50"/>
              <w:jc w:val="center"/>
              <w:outlineLvl w:val="2"/>
              <w:rPr>
                <w:rFonts w:ascii="宋体" w:hAnsi="宋体"/>
                <w:sz w:val="18"/>
                <w:szCs w:val="18"/>
              </w:rPr>
            </w:pPr>
          </w:p>
        </w:tc>
        <w:tc>
          <w:tcPr>
            <w:tcW w:w="1343" w:type="dxa"/>
            <w:gridSpan w:val="2"/>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C</w:t>
            </w:r>
            <w:r>
              <w:rPr>
                <w:rFonts w:ascii="宋体" w:hAnsi="宋体"/>
                <w:sz w:val="18"/>
                <w:szCs w:val="18"/>
              </w:rPr>
              <w:t>2</w:t>
            </w:r>
            <w:r>
              <w:rPr>
                <w:rFonts w:hint="eastAsia" w:ascii="宋体" w:hAnsi="宋体"/>
                <w:sz w:val="18"/>
                <w:szCs w:val="18"/>
              </w:rPr>
              <w:t>点</w:t>
            </w:r>
          </w:p>
        </w:tc>
        <w:tc>
          <w:tcPr>
            <w:tcW w:w="1427" w:type="dxa"/>
            <w:vAlign w:val="center"/>
          </w:tcPr>
          <w:p>
            <w:pPr>
              <w:widowControl/>
              <w:spacing w:before="120" w:beforeLines="50" w:after="120" w:afterLines="50"/>
              <w:jc w:val="center"/>
              <w:outlineLvl w:val="2"/>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36"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C</w:t>
            </w:r>
            <w:r>
              <w:rPr>
                <w:rFonts w:ascii="宋体" w:hAnsi="宋体"/>
                <w:sz w:val="18"/>
                <w:szCs w:val="18"/>
              </w:rPr>
              <w:t>3</w:t>
            </w:r>
            <w:r>
              <w:rPr>
                <w:rFonts w:hint="eastAsia" w:ascii="宋体" w:hAnsi="宋体"/>
                <w:sz w:val="18"/>
                <w:szCs w:val="18"/>
              </w:rPr>
              <w:t>点</w:t>
            </w:r>
          </w:p>
        </w:tc>
        <w:tc>
          <w:tcPr>
            <w:tcW w:w="1494" w:type="dxa"/>
            <w:gridSpan w:val="2"/>
            <w:vAlign w:val="center"/>
          </w:tcPr>
          <w:p>
            <w:pPr>
              <w:widowControl/>
              <w:spacing w:before="120" w:beforeLines="50" w:after="120" w:afterLines="50"/>
              <w:jc w:val="center"/>
              <w:outlineLvl w:val="2"/>
              <w:rPr>
                <w:rFonts w:ascii="宋体" w:hAnsi="宋体"/>
                <w:sz w:val="18"/>
                <w:szCs w:val="18"/>
              </w:rPr>
            </w:pPr>
          </w:p>
        </w:tc>
        <w:tc>
          <w:tcPr>
            <w:tcW w:w="1587"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C</w:t>
            </w:r>
            <w:r>
              <w:rPr>
                <w:rFonts w:ascii="宋体" w:hAnsi="宋体"/>
                <w:sz w:val="18"/>
                <w:szCs w:val="18"/>
              </w:rPr>
              <w:t>3</w:t>
            </w:r>
            <w:r>
              <w:rPr>
                <w:rFonts w:hint="eastAsia" w:ascii="宋体" w:hAnsi="宋体"/>
                <w:sz w:val="18"/>
                <w:szCs w:val="18"/>
              </w:rPr>
              <w:t>点</w:t>
            </w:r>
          </w:p>
        </w:tc>
        <w:tc>
          <w:tcPr>
            <w:tcW w:w="1545" w:type="dxa"/>
            <w:gridSpan w:val="2"/>
            <w:vAlign w:val="center"/>
          </w:tcPr>
          <w:p>
            <w:pPr>
              <w:widowControl/>
              <w:spacing w:before="120" w:beforeLines="50" w:after="120" w:afterLines="50"/>
              <w:jc w:val="center"/>
              <w:outlineLvl w:val="2"/>
              <w:rPr>
                <w:rFonts w:ascii="宋体" w:hAnsi="宋体"/>
                <w:sz w:val="18"/>
                <w:szCs w:val="18"/>
              </w:rPr>
            </w:pPr>
          </w:p>
        </w:tc>
        <w:tc>
          <w:tcPr>
            <w:tcW w:w="1343" w:type="dxa"/>
            <w:gridSpan w:val="2"/>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C</w:t>
            </w:r>
            <w:r>
              <w:rPr>
                <w:rFonts w:ascii="宋体" w:hAnsi="宋体"/>
                <w:sz w:val="18"/>
                <w:szCs w:val="18"/>
              </w:rPr>
              <w:t>3</w:t>
            </w:r>
            <w:r>
              <w:rPr>
                <w:rFonts w:hint="eastAsia" w:ascii="宋体" w:hAnsi="宋体"/>
                <w:sz w:val="18"/>
                <w:szCs w:val="18"/>
              </w:rPr>
              <w:t>点</w:t>
            </w:r>
          </w:p>
        </w:tc>
        <w:tc>
          <w:tcPr>
            <w:tcW w:w="1427" w:type="dxa"/>
            <w:vAlign w:val="center"/>
          </w:tcPr>
          <w:p>
            <w:pPr>
              <w:widowControl/>
              <w:spacing w:before="120" w:beforeLines="50" w:after="120" w:afterLines="50"/>
              <w:jc w:val="center"/>
              <w:outlineLvl w:val="2"/>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36"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C</w:t>
            </w:r>
            <w:r>
              <w:rPr>
                <w:rFonts w:ascii="宋体" w:hAnsi="宋体"/>
                <w:sz w:val="18"/>
                <w:szCs w:val="18"/>
              </w:rPr>
              <w:t>4</w:t>
            </w:r>
            <w:r>
              <w:rPr>
                <w:rFonts w:hint="eastAsia" w:ascii="宋体" w:hAnsi="宋体"/>
                <w:sz w:val="18"/>
                <w:szCs w:val="18"/>
              </w:rPr>
              <w:t>点</w:t>
            </w:r>
          </w:p>
        </w:tc>
        <w:tc>
          <w:tcPr>
            <w:tcW w:w="1494" w:type="dxa"/>
            <w:gridSpan w:val="2"/>
            <w:vAlign w:val="center"/>
          </w:tcPr>
          <w:p>
            <w:pPr>
              <w:widowControl/>
              <w:spacing w:before="120" w:beforeLines="50" w:after="120" w:afterLines="50"/>
              <w:jc w:val="center"/>
              <w:outlineLvl w:val="2"/>
              <w:rPr>
                <w:rFonts w:ascii="宋体" w:hAnsi="宋体"/>
                <w:sz w:val="18"/>
                <w:szCs w:val="18"/>
              </w:rPr>
            </w:pPr>
          </w:p>
        </w:tc>
        <w:tc>
          <w:tcPr>
            <w:tcW w:w="1587"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C</w:t>
            </w:r>
            <w:r>
              <w:rPr>
                <w:rFonts w:ascii="宋体" w:hAnsi="宋体"/>
                <w:sz w:val="18"/>
                <w:szCs w:val="18"/>
              </w:rPr>
              <w:t>4</w:t>
            </w:r>
            <w:r>
              <w:rPr>
                <w:rFonts w:hint="eastAsia" w:ascii="宋体" w:hAnsi="宋体"/>
                <w:sz w:val="18"/>
                <w:szCs w:val="18"/>
              </w:rPr>
              <w:t>点</w:t>
            </w:r>
          </w:p>
        </w:tc>
        <w:tc>
          <w:tcPr>
            <w:tcW w:w="1545" w:type="dxa"/>
            <w:gridSpan w:val="2"/>
            <w:vAlign w:val="center"/>
          </w:tcPr>
          <w:p>
            <w:pPr>
              <w:widowControl/>
              <w:spacing w:before="120" w:beforeLines="50" w:after="120" w:afterLines="50"/>
              <w:jc w:val="center"/>
              <w:outlineLvl w:val="2"/>
              <w:rPr>
                <w:rFonts w:ascii="宋体" w:hAnsi="宋体"/>
                <w:sz w:val="18"/>
                <w:szCs w:val="18"/>
              </w:rPr>
            </w:pPr>
          </w:p>
        </w:tc>
        <w:tc>
          <w:tcPr>
            <w:tcW w:w="1343" w:type="dxa"/>
            <w:gridSpan w:val="2"/>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C</w:t>
            </w:r>
            <w:r>
              <w:rPr>
                <w:rFonts w:ascii="宋体" w:hAnsi="宋体"/>
                <w:sz w:val="18"/>
                <w:szCs w:val="18"/>
              </w:rPr>
              <w:t>4</w:t>
            </w:r>
            <w:r>
              <w:rPr>
                <w:rFonts w:hint="eastAsia" w:ascii="宋体" w:hAnsi="宋体"/>
                <w:sz w:val="18"/>
                <w:szCs w:val="18"/>
              </w:rPr>
              <w:t>点</w:t>
            </w:r>
          </w:p>
        </w:tc>
        <w:tc>
          <w:tcPr>
            <w:tcW w:w="1427" w:type="dxa"/>
            <w:vAlign w:val="center"/>
          </w:tcPr>
          <w:p>
            <w:pPr>
              <w:widowControl/>
              <w:spacing w:before="120" w:beforeLines="50" w:after="120" w:afterLines="50"/>
              <w:jc w:val="center"/>
              <w:outlineLvl w:val="2"/>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36"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C</w:t>
            </w:r>
            <w:r>
              <w:rPr>
                <w:rFonts w:ascii="宋体" w:hAnsi="宋体"/>
                <w:sz w:val="18"/>
                <w:szCs w:val="18"/>
              </w:rPr>
              <w:t>5</w:t>
            </w:r>
            <w:r>
              <w:rPr>
                <w:rFonts w:hint="eastAsia" w:ascii="宋体" w:hAnsi="宋体"/>
                <w:sz w:val="18"/>
                <w:szCs w:val="18"/>
              </w:rPr>
              <w:t>点</w:t>
            </w:r>
          </w:p>
        </w:tc>
        <w:tc>
          <w:tcPr>
            <w:tcW w:w="1494" w:type="dxa"/>
            <w:gridSpan w:val="2"/>
            <w:vAlign w:val="center"/>
          </w:tcPr>
          <w:p>
            <w:pPr>
              <w:widowControl/>
              <w:spacing w:before="120" w:beforeLines="50" w:after="120" w:afterLines="50"/>
              <w:jc w:val="center"/>
              <w:outlineLvl w:val="2"/>
              <w:rPr>
                <w:rFonts w:ascii="宋体" w:hAnsi="宋体"/>
                <w:sz w:val="18"/>
                <w:szCs w:val="18"/>
              </w:rPr>
            </w:pPr>
          </w:p>
        </w:tc>
        <w:tc>
          <w:tcPr>
            <w:tcW w:w="1587"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C</w:t>
            </w:r>
            <w:r>
              <w:rPr>
                <w:rFonts w:ascii="宋体" w:hAnsi="宋体"/>
                <w:sz w:val="18"/>
                <w:szCs w:val="18"/>
              </w:rPr>
              <w:t>5</w:t>
            </w:r>
            <w:r>
              <w:rPr>
                <w:rFonts w:hint="eastAsia" w:ascii="宋体" w:hAnsi="宋体"/>
                <w:sz w:val="18"/>
                <w:szCs w:val="18"/>
              </w:rPr>
              <w:t>点</w:t>
            </w:r>
          </w:p>
        </w:tc>
        <w:tc>
          <w:tcPr>
            <w:tcW w:w="1545" w:type="dxa"/>
            <w:gridSpan w:val="2"/>
            <w:vAlign w:val="center"/>
          </w:tcPr>
          <w:p>
            <w:pPr>
              <w:widowControl/>
              <w:spacing w:before="120" w:beforeLines="50" w:after="120" w:afterLines="50"/>
              <w:jc w:val="center"/>
              <w:outlineLvl w:val="2"/>
              <w:rPr>
                <w:rFonts w:ascii="宋体" w:hAnsi="宋体"/>
                <w:sz w:val="18"/>
                <w:szCs w:val="18"/>
              </w:rPr>
            </w:pPr>
          </w:p>
        </w:tc>
        <w:tc>
          <w:tcPr>
            <w:tcW w:w="1343" w:type="dxa"/>
            <w:gridSpan w:val="2"/>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C</w:t>
            </w:r>
            <w:r>
              <w:rPr>
                <w:rFonts w:ascii="宋体" w:hAnsi="宋体"/>
                <w:sz w:val="18"/>
                <w:szCs w:val="18"/>
              </w:rPr>
              <w:t>5</w:t>
            </w:r>
            <w:r>
              <w:rPr>
                <w:rFonts w:hint="eastAsia" w:ascii="宋体" w:hAnsi="宋体"/>
                <w:sz w:val="18"/>
                <w:szCs w:val="18"/>
              </w:rPr>
              <w:t>点</w:t>
            </w:r>
          </w:p>
        </w:tc>
        <w:tc>
          <w:tcPr>
            <w:tcW w:w="1427" w:type="dxa"/>
            <w:vAlign w:val="center"/>
          </w:tcPr>
          <w:p>
            <w:pPr>
              <w:widowControl/>
              <w:spacing w:before="120" w:beforeLines="50" w:after="120" w:afterLines="50"/>
              <w:jc w:val="center"/>
              <w:outlineLvl w:val="2"/>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36"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C</w:t>
            </w:r>
            <w:r>
              <w:rPr>
                <w:rFonts w:ascii="宋体" w:hAnsi="宋体"/>
                <w:sz w:val="18"/>
                <w:szCs w:val="18"/>
              </w:rPr>
              <w:t>6</w:t>
            </w:r>
            <w:r>
              <w:rPr>
                <w:rFonts w:hint="eastAsia" w:ascii="宋体" w:hAnsi="宋体"/>
                <w:sz w:val="18"/>
                <w:szCs w:val="18"/>
              </w:rPr>
              <w:t>点</w:t>
            </w:r>
          </w:p>
        </w:tc>
        <w:tc>
          <w:tcPr>
            <w:tcW w:w="1494" w:type="dxa"/>
            <w:gridSpan w:val="2"/>
            <w:vAlign w:val="center"/>
          </w:tcPr>
          <w:p>
            <w:pPr>
              <w:widowControl/>
              <w:spacing w:before="120" w:beforeLines="50" w:after="120" w:afterLines="50"/>
              <w:jc w:val="center"/>
              <w:outlineLvl w:val="2"/>
              <w:rPr>
                <w:rFonts w:ascii="宋体" w:hAnsi="宋体"/>
                <w:sz w:val="18"/>
                <w:szCs w:val="18"/>
              </w:rPr>
            </w:pPr>
          </w:p>
        </w:tc>
        <w:tc>
          <w:tcPr>
            <w:tcW w:w="1587"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C</w:t>
            </w:r>
            <w:r>
              <w:rPr>
                <w:rFonts w:ascii="宋体" w:hAnsi="宋体"/>
                <w:sz w:val="18"/>
                <w:szCs w:val="18"/>
              </w:rPr>
              <w:t>6</w:t>
            </w:r>
            <w:r>
              <w:rPr>
                <w:rFonts w:hint="eastAsia" w:ascii="宋体" w:hAnsi="宋体"/>
                <w:sz w:val="18"/>
                <w:szCs w:val="18"/>
              </w:rPr>
              <w:t>点</w:t>
            </w:r>
          </w:p>
        </w:tc>
        <w:tc>
          <w:tcPr>
            <w:tcW w:w="1545" w:type="dxa"/>
            <w:gridSpan w:val="2"/>
            <w:vAlign w:val="center"/>
          </w:tcPr>
          <w:p>
            <w:pPr>
              <w:widowControl/>
              <w:spacing w:before="120" w:beforeLines="50" w:after="120" w:afterLines="50"/>
              <w:jc w:val="center"/>
              <w:outlineLvl w:val="2"/>
              <w:rPr>
                <w:rFonts w:ascii="宋体" w:hAnsi="宋体"/>
                <w:sz w:val="18"/>
                <w:szCs w:val="18"/>
              </w:rPr>
            </w:pPr>
          </w:p>
        </w:tc>
        <w:tc>
          <w:tcPr>
            <w:tcW w:w="1343" w:type="dxa"/>
            <w:gridSpan w:val="2"/>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C</w:t>
            </w:r>
            <w:r>
              <w:rPr>
                <w:rFonts w:ascii="宋体" w:hAnsi="宋体"/>
                <w:sz w:val="18"/>
                <w:szCs w:val="18"/>
              </w:rPr>
              <w:t>6</w:t>
            </w:r>
            <w:r>
              <w:rPr>
                <w:rFonts w:hint="eastAsia" w:ascii="宋体" w:hAnsi="宋体"/>
                <w:sz w:val="18"/>
                <w:szCs w:val="18"/>
              </w:rPr>
              <w:t>点</w:t>
            </w:r>
          </w:p>
        </w:tc>
        <w:tc>
          <w:tcPr>
            <w:tcW w:w="1427" w:type="dxa"/>
            <w:vAlign w:val="center"/>
          </w:tcPr>
          <w:p>
            <w:pPr>
              <w:widowControl/>
              <w:spacing w:before="120" w:beforeLines="50" w:after="120" w:afterLines="50"/>
              <w:jc w:val="center"/>
              <w:outlineLvl w:val="2"/>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36"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C</w:t>
            </w:r>
            <w:r>
              <w:rPr>
                <w:rFonts w:ascii="宋体" w:hAnsi="宋体"/>
                <w:sz w:val="18"/>
                <w:szCs w:val="18"/>
              </w:rPr>
              <w:t>7</w:t>
            </w:r>
            <w:r>
              <w:rPr>
                <w:rFonts w:hint="eastAsia" w:ascii="宋体" w:hAnsi="宋体"/>
                <w:sz w:val="18"/>
                <w:szCs w:val="18"/>
              </w:rPr>
              <w:t>点</w:t>
            </w:r>
          </w:p>
        </w:tc>
        <w:tc>
          <w:tcPr>
            <w:tcW w:w="1494" w:type="dxa"/>
            <w:gridSpan w:val="2"/>
            <w:vAlign w:val="center"/>
          </w:tcPr>
          <w:p>
            <w:pPr>
              <w:widowControl/>
              <w:spacing w:before="120" w:beforeLines="50" w:after="120" w:afterLines="50"/>
              <w:jc w:val="center"/>
              <w:outlineLvl w:val="2"/>
              <w:rPr>
                <w:rFonts w:ascii="宋体" w:hAnsi="宋体"/>
                <w:sz w:val="18"/>
                <w:szCs w:val="18"/>
              </w:rPr>
            </w:pPr>
          </w:p>
        </w:tc>
        <w:tc>
          <w:tcPr>
            <w:tcW w:w="1587"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C</w:t>
            </w:r>
            <w:r>
              <w:rPr>
                <w:rFonts w:ascii="宋体" w:hAnsi="宋体"/>
                <w:sz w:val="18"/>
                <w:szCs w:val="18"/>
              </w:rPr>
              <w:t>7</w:t>
            </w:r>
            <w:r>
              <w:rPr>
                <w:rFonts w:hint="eastAsia" w:ascii="宋体" w:hAnsi="宋体"/>
                <w:sz w:val="18"/>
                <w:szCs w:val="18"/>
              </w:rPr>
              <w:t>点</w:t>
            </w:r>
          </w:p>
        </w:tc>
        <w:tc>
          <w:tcPr>
            <w:tcW w:w="1545" w:type="dxa"/>
            <w:gridSpan w:val="2"/>
            <w:vAlign w:val="center"/>
          </w:tcPr>
          <w:p>
            <w:pPr>
              <w:widowControl/>
              <w:spacing w:before="120" w:beforeLines="50" w:after="120" w:afterLines="50"/>
              <w:jc w:val="center"/>
              <w:outlineLvl w:val="2"/>
              <w:rPr>
                <w:rFonts w:ascii="宋体" w:hAnsi="宋体"/>
                <w:sz w:val="18"/>
                <w:szCs w:val="18"/>
              </w:rPr>
            </w:pPr>
          </w:p>
        </w:tc>
        <w:tc>
          <w:tcPr>
            <w:tcW w:w="1343" w:type="dxa"/>
            <w:gridSpan w:val="2"/>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C</w:t>
            </w:r>
            <w:r>
              <w:rPr>
                <w:rFonts w:ascii="宋体" w:hAnsi="宋体"/>
                <w:sz w:val="18"/>
                <w:szCs w:val="18"/>
              </w:rPr>
              <w:t>7</w:t>
            </w:r>
            <w:r>
              <w:rPr>
                <w:rFonts w:hint="eastAsia" w:ascii="宋体" w:hAnsi="宋体"/>
                <w:sz w:val="18"/>
                <w:szCs w:val="18"/>
              </w:rPr>
              <w:t>点</w:t>
            </w:r>
          </w:p>
        </w:tc>
        <w:tc>
          <w:tcPr>
            <w:tcW w:w="1427" w:type="dxa"/>
            <w:vAlign w:val="center"/>
          </w:tcPr>
          <w:p>
            <w:pPr>
              <w:widowControl/>
              <w:spacing w:before="120" w:beforeLines="50" w:after="120" w:afterLines="50"/>
              <w:jc w:val="center"/>
              <w:outlineLvl w:val="2"/>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36"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C</w:t>
            </w:r>
            <w:r>
              <w:rPr>
                <w:rFonts w:ascii="宋体" w:hAnsi="宋体"/>
                <w:sz w:val="18"/>
                <w:szCs w:val="18"/>
              </w:rPr>
              <w:t>8</w:t>
            </w:r>
            <w:r>
              <w:rPr>
                <w:rFonts w:hint="eastAsia" w:ascii="宋体" w:hAnsi="宋体"/>
                <w:sz w:val="18"/>
                <w:szCs w:val="18"/>
              </w:rPr>
              <w:t>点</w:t>
            </w:r>
          </w:p>
        </w:tc>
        <w:tc>
          <w:tcPr>
            <w:tcW w:w="1494" w:type="dxa"/>
            <w:gridSpan w:val="2"/>
            <w:vAlign w:val="center"/>
          </w:tcPr>
          <w:p>
            <w:pPr>
              <w:widowControl/>
              <w:spacing w:before="120" w:beforeLines="50" w:after="120" w:afterLines="50"/>
              <w:jc w:val="center"/>
              <w:outlineLvl w:val="2"/>
              <w:rPr>
                <w:rFonts w:ascii="宋体" w:hAnsi="宋体"/>
                <w:sz w:val="18"/>
                <w:szCs w:val="18"/>
              </w:rPr>
            </w:pPr>
          </w:p>
        </w:tc>
        <w:tc>
          <w:tcPr>
            <w:tcW w:w="1587"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C</w:t>
            </w:r>
            <w:r>
              <w:rPr>
                <w:rFonts w:ascii="宋体" w:hAnsi="宋体"/>
                <w:sz w:val="18"/>
                <w:szCs w:val="18"/>
              </w:rPr>
              <w:t>8</w:t>
            </w:r>
            <w:r>
              <w:rPr>
                <w:rFonts w:hint="eastAsia" w:ascii="宋体" w:hAnsi="宋体"/>
                <w:sz w:val="18"/>
                <w:szCs w:val="18"/>
              </w:rPr>
              <w:t>点</w:t>
            </w:r>
          </w:p>
        </w:tc>
        <w:tc>
          <w:tcPr>
            <w:tcW w:w="1545" w:type="dxa"/>
            <w:gridSpan w:val="2"/>
            <w:vAlign w:val="center"/>
          </w:tcPr>
          <w:p>
            <w:pPr>
              <w:widowControl/>
              <w:spacing w:before="120" w:beforeLines="50" w:after="120" w:afterLines="50"/>
              <w:jc w:val="center"/>
              <w:outlineLvl w:val="2"/>
              <w:rPr>
                <w:rFonts w:ascii="宋体" w:hAnsi="宋体"/>
                <w:sz w:val="18"/>
                <w:szCs w:val="18"/>
              </w:rPr>
            </w:pPr>
          </w:p>
        </w:tc>
        <w:tc>
          <w:tcPr>
            <w:tcW w:w="1343" w:type="dxa"/>
            <w:gridSpan w:val="2"/>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C</w:t>
            </w:r>
            <w:r>
              <w:rPr>
                <w:rFonts w:ascii="宋体" w:hAnsi="宋体"/>
                <w:sz w:val="18"/>
                <w:szCs w:val="18"/>
              </w:rPr>
              <w:t>8</w:t>
            </w:r>
            <w:r>
              <w:rPr>
                <w:rFonts w:hint="eastAsia" w:ascii="宋体" w:hAnsi="宋体"/>
                <w:sz w:val="18"/>
                <w:szCs w:val="18"/>
              </w:rPr>
              <w:t>点</w:t>
            </w:r>
          </w:p>
        </w:tc>
        <w:tc>
          <w:tcPr>
            <w:tcW w:w="1427" w:type="dxa"/>
            <w:vAlign w:val="center"/>
          </w:tcPr>
          <w:p>
            <w:pPr>
              <w:widowControl/>
              <w:spacing w:before="120" w:beforeLines="50" w:after="120" w:afterLines="50"/>
              <w:jc w:val="center"/>
              <w:outlineLvl w:val="2"/>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336"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各点平均</w:t>
            </w:r>
          </w:p>
        </w:tc>
        <w:tc>
          <w:tcPr>
            <w:tcW w:w="1494" w:type="dxa"/>
            <w:gridSpan w:val="2"/>
            <w:vAlign w:val="center"/>
          </w:tcPr>
          <w:p>
            <w:pPr>
              <w:widowControl/>
              <w:spacing w:before="120" w:beforeLines="50" w:after="120" w:afterLines="50"/>
              <w:jc w:val="center"/>
              <w:outlineLvl w:val="2"/>
              <w:rPr>
                <w:rFonts w:ascii="宋体" w:hAnsi="宋体"/>
                <w:sz w:val="18"/>
                <w:szCs w:val="18"/>
              </w:rPr>
            </w:pPr>
          </w:p>
        </w:tc>
        <w:tc>
          <w:tcPr>
            <w:tcW w:w="1587" w:type="dxa"/>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各点平均</w:t>
            </w:r>
          </w:p>
        </w:tc>
        <w:tc>
          <w:tcPr>
            <w:tcW w:w="1545" w:type="dxa"/>
            <w:gridSpan w:val="2"/>
            <w:vAlign w:val="center"/>
          </w:tcPr>
          <w:p>
            <w:pPr>
              <w:widowControl/>
              <w:spacing w:before="120" w:beforeLines="50" w:after="120" w:afterLines="50"/>
              <w:jc w:val="center"/>
              <w:outlineLvl w:val="2"/>
              <w:rPr>
                <w:rFonts w:ascii="宋体" w:hAnsi="宋体"/>
                <w:sz w:val="18"/>
                <w:szCs w:val="18"/>
              </w:rPr>
            </w:pPr>
          </w:p>
        </w:tc>
        <w:tc>
          <w:tcPr>
            <w:tcW w:w="1343" w:type="dxa"/>
            <w:gridSpan w:val="2"/>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各点平均</w:t>
            </w:r>
          </w:p>
        </w:tc>
        <w:tc>
          <w:tcPr>
            <w:tcW w:w="1427" w:type="dxa"/>
            <w:vAlign w:val="center"/>
          </w:tcPr>
          <w:p>
            <w:pPr>
              <w:widowControl/>
              <w:spacing w:before="120" w:beforeLines="50" w:after="120" w:afterLines="50"/>
              <w:jc w:val="center"/>
              <w:outlineLvl w:val="2"/>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30" w:type="dxa"/>
            <w:gridSpan w:val="3"/>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混合均匀度</w:t>
            </w:r>
            <w:r>
              <w:rPr>
                <w:rFonts w:ascii="宋体" w:hAnsi="宋体"/>
                <w:sz w:val="18"/>
                <w:szCs w:val="18"/>
              </w:rPr>
              <w:t>,</w:t>
            </w:r>
            <w:r>
              <w:rPr>
                <w:rFonts w:hint="eastAsia" w:ascii="宋体" w:hAnsi="宋体"/>
                <w:sz w:val="18"/>
                <w:szCs w:val="18"/>
              </w:rPr>
              <w:t>%</w:t>
            </w:r>
          </w:p>
        </w:tc>
        <w:tc>
          <w:tcPr>
            <w:tcW w:w="3132" w:type="dxa"/>
            <w:gridSpan w:val="3"/>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混合均匀度</w:t>
            </w:r>
            <w:r>
              <w:rPr>
                <w:rFonts w:ascii="宋体" w:hAnsi="宋体"/>
                <w:sz w:val="18"/>
                <w:szCs w:val="18"/>
              </w:rPr>
              <w:t>,</w:t>
            </w:r>
            <w:r>
              <w:rPr>
                <w:rFonts w:hint="eastAsia" w:ascii="宋体" w:hAnsi="宋体"/>
                <w:sz w:val="18"/>
                <w:szCs w:val="18"/>
              </w:rPr>
              <w:t>%</w:t>
            </w:r>
          </w:p>
        </w:tc>
        <w:tc>
          <w:tcPr>
            <w:tcW w:w="2770" w:type="dxa"/>
            <w:gridSpan w:val="3"/>
            <w:vAlign w:val="center"/>
          </w:tcPr>
          <w:p>
            <w:pPr>
              <w:widowControl/>
              <w:spacing w:before="120" w:beforeLines="50" w:after="120" w:afterLines="50"/>
              <w:jc w:val="center"/>
              <w:outlineLvl w:val="2"/>
              <w:rPr>
                <w:rFonts w:ascii="宋体" w:hAnsi="宋体"/>
                <w:sz w:val="18"/>
                <w:szCs w:val="18"/>
              </w:rPr>
            </w:pPr>
            <w:r>
              <w:rPr>
                <w:rFonts w:hint="eastAsia" w:ascii="宋体" w:hAnsi="宋体"/>
                <w:sz w:val="18"/>
                <w:szCs w:val="18"/>
              </w:rPr>
              <w:t>混合均匀度</w:t>
            </w:r>
            <w:r>
              <w:rPr>
                <w:rFonts w:ascii="宋体" w:hAnsi="宋体"/>
                <w:sz w:val="18"/>
                <w:szCs w:val="18"/>
              </w:rPr>
              <w:t>,</w:t>
            </w: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830" w:type="dxa"/>
            <w:gridSpan w:val="3"/>
            <w:vAlign w:val="center"/>
          </w:tcPr>
          <w:p>
            <w:pPr>
              <w:widowControl/>
              <w:spacing w:before="120" w:beforeLines="50" w:after="120" w:afterLines="50"/>
              <w:jc w:val="center"/>
              <w:outlineLvl w:val="2"/>
              <w:rPr>
                <w:rFonts w:ascii="宋体" w:hAnsi="宋体"/>
                <w:sz w:val="18"/>
                <w:szCs w:val="18"/>
              </w:rPr>
            </w:pPr>
          </w:p>
        </w:tc>
        <w:tc>
          <w:tcPr>
            <w:tcW w:w="3132" w:type="dxa"/>
            <w:gridSpan w:val="3"/>
            <w:vAlign w:val="center"/>
          </w:tcPr>
          <w:p>
            <w:pPr>
              <w:widowControl/>
              <w:spacing w:before="120" w:beforeLines="50" w:after="120" w:afterLines="50"/>
              <w:jc w:val="center"/>
              <w:outlineLvl w:val="2"/>
              <w:rPr>
                <w:rFonts w:ascii="宋体" w:hAnsi="宋体"/>
                <w:sz w:val="18"/>
                <w:szCs w:val="18"/>
              </w:rPr>
            </w:pPr>
          </w:p>
        </w:tc>
        <w:tc>
          <w:tcPr>
            <w:tcW w:w="2770" w:type="dxa"/>
            <w:gridSpan w:val="3"/>
            <w:vAlign w:val="center"/>
          </w:tcPr>
          <w:p>
            <w:pPr>
              <w:widowControl/>
              <w:spacing w:before="120" w:beforeLines="50" w:after="120" w:afterLines="50"/>
              <w:jc w:val="center"/>
              <w:outlineLvl w:val="2"/>
              <w:rPr>
                <w:rFonts w:ascii="宋体" w:hAnsi="宋体"/>
                <w:sz w:val="18"/>
                <w:szCs w:val="18"/>
              </w:rPr>
            </w:pPr>
          </w:p>
        </w:tc>
      </w:tr>
    </w:tbl>
    <w:p>
      <w:pPr>
        <w:widowControl/>
        <w:spacing w:before="120" w:beforeLines="50" w:after="120" w:afterLines="50"/>
        <w:jc w:val="left"/>
        <w:outlineLvl w:val="2"/>
        <w:rPr>
          <w:rFonts w:ascii="宋体" w:hAnsi="宋体"/>
          <w:u w:val="single"/>
        </w:rPr>
      </w:pPr>
      <w:r>
        <w:rPr>
          <w:rFonts w:hint="eastAsia" w:ascii="宋体" w:hAnsi="宋体"/>
        </w:rPr>
        <w:t>试验</w:t>
      </w:r>
      <w:r>
        <w:rPr>
          <w:rFonts w:hint="eastAsia" w:ascii="宋体" w:hAnsi="宋体"/>
          <w:u w:val="single"/>
        </w:rPr>
        <w:t xml:space="preserve"> </w:t>
      </w:r>
      <w:r>
        <w:rPr>
          <w:rFonts w:ascii="宋体" w:hAnsi="宋体"/>
          <w:u w:val="single"/>
        </w:rPr>
        <w:t xml:space="preserve">                     </w:t>
      </w:r>
      <w:r>
        <w:rPr>
          <w:rFonts w:ascii="宋体" w:hAnsi="宋体"/>
        </w:rPr>
        <w:t xml:space="preserve">  </w:t>
      </w:r>
      <w:r>
        <w:rPr>
          <w:rFonts w:hint="eastAsia" w:ascii="宋体" w:hAnsi="宋体"/>
        </w:rPr>
        <w:t>校对</w:t>
      </w:r>
      <w:r>
        <w:rPr>
          <w:rFonts w:hint="eastAsia" w:ascii="宋体" w:hAnsi="宋体"/>
          <w:u w:val="single"/>
        </w:rPr>
        <w:t xml:space="preserve"> </w:t>
      </w:r>
      <w:r>
        <w:rPr>
          <w:rFonts w:ascii="宋体" w:hAnsi="宋体"/>
          <w:u w:val="single"/>
        </w:rPr>
        <w:t xml:space="preserve">                  </w:t>
      </w:r>
      <w:r>
        <w:rPr>
          <w:rFonts w:ascii="宋体" w:hAnsi="宋体"/>
        </w:rPr>
        <w:t xml:space="preserve">  </w:t>
      </w:r>
      <w:r>
        <w:rPr>
          <w:rFonts w:hint="eastAsia" w:ascii="宋体" w:hAnsi="宋体"/>
        </w:rPr>
        <w:t>审核</w:t>
      </w:r>
      <w:r>
        <w:rPr>
          <w:rFonts w:hint="eastAsia" w:ascii="宋体" w:hAnsi="宋体"/>
          <w:u w:val="single"/>
        </w:rPr>
        <w:t xml:space="preserve"> </w:t>
      </w:r>
      <w:r>
        <w:rPr>
          <w:rFonts w:ascii="宋体" w:hAnsi="宋体"/>
          <w:u w:val="single"/>
        </w:rPr>
        <w:t xml:space="preserve">                  </w:t>
      </w:r>
      <w:r>
        <w:rPr>
          <w:rFonts w:ascii="宋体" w:hAnsi="宋体"/>
        </w:rPr>
        <w:t xml:space="preserve"> </w:t>
      </w:r>
    </w:p>
    <w:p>
      <w:pPr>
        <w:widowControl/>
        <w:spacing w:before="120" w:beforeLines="50" w:after="120" w:afterLines="50"/>
        <w:jc w:val="left"/>
        <w:outlineLvl w:val="2"/>
        <w:rPr>
          <w:rFonts w:ascii="宋体" w:hAnsi="宋体"/>
        </w:rPr>
      </w:pPr>
      <w:r>
        <w:rPr>
          <w:rFonts w:hint="eastAsia" w:ascii="宋体" w:hAnsi="宋体"/>
        </w:rPr>
        <w:t>日期</w:t>
      </w:r>
      <w:r>
        <w:rPr>
          <w:rFonts w:hint="eastAsia" w:ascii="宋体" w:hAnsi="宋体"/>
          <w:u w:val="single"/>
        </w:rPr>
        <w:t xml:space="preserve"> </w:t>
      </w:r>
      <w:r>
        <w:rPr>
          <w:rFonts w:ascii="宋体" w:hAnsi="宋体"/>
          <w:u w:val="single"/>
        </w:rPr>
        <w:t xml:space="preserve">                     </w:t>
      </w:r>
      <w:r>
        <w:rPr>
          <w:rFonts w:ascii="宋体" w:hAnsi="宋体"/>
        </w:rPr>
        <w:t xml:space="preserve">  </w:t>
      </w:r>
      <w:r>
        <w:rPr>
          <w:rFonts w:hint="eastAsia" w:ascii="宋体" w:hAnsi="宋体"/>
        </w:rPr>
        <w:t>日期</w:t>
      </w:r>
      <w:r>
        <w:rPr>
          <w:rFonts w:hint="eastAsia" w:ascii="宋体" w:hAnsi="宋体"/>
          <w:u w:val="single"/>
        </w:rPr>
        <w:t xml:space="preserve"> </w:t>
      </w:r>
      <w:r>
        <w:rPr>
          <w:rFonts w:ascii="宋体" w:hAnsi="宋体"/>
          <w:u w:val="single"/>
        </w:rPr>
        <w:t xml:space="preserve">                  </w:t>
      </w:r>
      <w:r>
        <w:rPr>
          <w:rFonts w:ascii="宋体" w:hAnsi="宋体"/>
        </w:rPr>
        <w:t xml:space="preserve">  </w:t>
      </w:r>
      <w:r>
        <w:rPr>
          <w:rFonts w:hint="eastAsia" w:ascii="宋体" w:hAnsi="宋体"/>
        </w:rPr>
        <w:t>日期</w:t>
      </w:r>
      <w:r>
        <w:rPr>
          <w:rFonts w:hint="eastAsia" w:ascii="宋体" w:hAnsi="宋体"/>
          <w:u w:val="single"/>
        </w:rPr>
        <w:t xml:space="preserve"> </w:t>
      </w:r>
      <w:r>
        <w:rPr>
          <w:rFonts w:ascii="宋体" w:hAnsi="宋体"/>
          <w:u w:val="single"/>
        </w:rPr>
        <w:t xml:space="preserve">                  </w:t>
      </w:r>
      <w:r>
        <w:rPr>
          <w:rFonts w:ascii="宋体" w:hAnsi="宋体"/>
        </w:rPr>
        <w:t xml:space="preserve"> </w:t>
      </w:r>
    </w:p>
    <w:p>
      <w:pPr>
        <w:widowControl/>
        <w:spacing w:before="120" w:beforeLines="50" w:after="120" w:afterLines="50"/>
        <w:jc w:val="right"/>
        <w:outlineLvl w:val="2"/>
        <w:rPr>
          <w:rFonts w:ascii="宋体" w:hAnsi="宋体"/>
        </w:rPr>
      </w:pPr>
    </w:p>
    <w:p>
      <w:pPr>
        <w:widowControl/>
        <w:spacing w:before="120" w:beforeLines="50" w:after="120" w:afterLines="50"/>
        <w:ind w:right="720"/>
        <w:jc w:val="center"/>
        <w:outlineLvl w:val="2"/>
        <w:rPr>
          <w:rFonts w:ascii="宋体" w:hAnsi="宋体"/>
        </w:rPr>
      </w:pPr>
      <w:r>
        <w:rPr>
          <w:rFonts w:ascii="宋体" w:hAnsi="宋体"/>
        </w:rPr>
        <w:t xml:space="preserve">                                              </w:t>
      </w:r>
      <w:r>
        <w:rPr>
          <w:rFonts w:hint="eastAsia" w:ascii="宋体" w:hAnsi="宋体"/>
        </w:rPr>
        <w:t>检测单位名称</w:t>
      </w:r>
    </w:p>
    <w:p>
      <w:pPr>
        <w:widowControl/>
        <w:spacing w:before="120" w:beforeLines="50" w:after="120" w:afterLines="50"/>
        <w:ind w:right="1140"/>
        <w:jc w:val="center"/>
        <w:outlineLvl w:val="2"/>
        <w:rPr>
          <w:rFonts w:ascii="宋体" w:hAnsi="宋体"/>
        </w:rPr>
      </w:pPr>
      <w:r>
        <w:rPr>
          <w:rFonts w:hint="eastAsia" w:ascii="宋体" w:hAnsi="宋体"/>
        </w:rPr>
        <w:t xml:space="preserve"> </w:t>
      </w:r>
      <w:r>
        <w:rPr>
          <w:rFonts w:ascii="宋体" w:hAnsi="宋体"/>
        </w:rPr>
        <w:t xml:space="preserve">                                            </w:t>
      </w:r>
      <w:r>
        <w:rPr>
          <w:rFonts w:hint="eastAsia" w:ascii="宋体" w:hAnsi="宋体"/>
        </w:rPr>
        <w:t>盖章</w:t>
      </w:r>
    </w:p>
    <w:p>
      <w:pPr>
        <w:pStyle w:val="179"/>
        <w:numPr>
          <w:ilvl w:val="0"/>
          <w:numId w:val="0"/>
        </w:numPr>
        <w:ind w:left="851"/>
        <w:jc w:val="center"/>
      </w:pPr>
      <w:r>
        <w:rPr>
          <w:rFonts w:hint="eastAsia"/>
        </w:rPr>
        <w:drawing>
          <wp:inline distT="0" distB="0" distL="0" distR="0">
            <wp:extent cx="1485900" cy="317500"/>
            <wp:effectExtent l="0" t="0" r="0" b="6350"/>
            <wp:docPr id="31" name="图片 3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42">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p>
    <w:p>
      <w:pPr>
        <w:pStyle w:val="61"/>
        <w:ind w:firstLine="420"/>
      </w:pPr>
    </w:p>
    <w:p>
      <w:pPr>
        <w:pStyle w:val="61"/>
        <w:ind w:firstLine="420"/>
      </w:pPr>
    </w:p>
    <w:bookmarkEnd w:id="235"/>
    <w:p>
      <w:pPr>
        <w:rPr>
          <w:rFonts w:ascii="黑体" w:hAnsi="Times New Roman" w:eastAsia="黑体"/>
          <w:kern w:val="0"/>
          <w:szCs w:val="20"/>
        </w:rPr>
      </w:pPr>
    </w:p>
    <w:sectPr>
      <w:pgSz w:w="11906" w:h="16838"/>
      <w:pgMar w:top="1928" w:right="1134" w:bottom="1134" w:left="1134" w:header="1418" w:footer="1134" w:gutter="284"/>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隶书">
    <w:panose1 w:val="02010509060101010101"/>
    <w:charset w:val="86"/>
    <w:family w:val="modern"/>
    <w:pitch w:val="default"/>
    <w:sig w:usb0="00000001" w:usb1="080E0000" w:usb2="00000000" w:usb3="00000000" w:csb0="00040000" w:csb1="00000000"/>
  </w:font>
  <w:font w:name="汉仪中黑简">
    <w:altName w:val="Microsoft YaHei UI"/>
    <w:panose1 w:val="00000000000000000000"/>
    <w:charset w:val="86"/>
    <w:family w:val="modern"/>
    <w:pitch w:val="default"/>
    <w:sig w:usb0="00000000" w:usb1="00000000" w:usb2="00000012" w:usb3="00000000" w:csb0="00040000" w:csb1="00000000"/>
  </w:font>
  <w:font w:name="Microsoft YaHei UI">
    <w:panose1 w:val="020B0503020204020204"/>
    <w:charset w:val="86"/>
    <w:family w:val="auto"/>
    <w:pitch w:val="default"/>
    <w:sig w:usb0="80000287" w:usb1="2ACF3C50" w:usb2="00000016" w:usb3="00000000" w:csb0="0004001F"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spacing w:before="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r>
      <w:fldChar w:fldCharType="begin"/>
    </w:r>
    <w:r>
      <w:instrText xml:space="preserve">PAGE   \* MERGEFORMAT</w:instrText>
    </w:r>
    <w:r>
      <w:fldChar w:fldCharType="separate"/>
    </w:r>
    <w:r>
      <w:rPr>
        <w:lang w:val="zh-CN"/>
      </w:rPr>
      <w:t>43</w:t>
    </w:r>
    <w:r>
      <w:fldChar w:fldCharType="end"/>
    </w: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r>
      <w:fldChar w:fldCharType="begin"/>
    </w:r>
    <w:r>
      <w:instrText xml:space="preserve">PAGE   \* MERGEFORMAT</w:instrText>
    </w:r>
    <w:r>
      <w:fldChar w:fldCharType="separate"/>
    </w:r>
    <w:r>
      <w:rPr>
        <w:lang w:val="zh-CN"/>
      </w:rPr>
      <w:t>57</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fldChar w:fldCharType="begin"/>
    </w:r>
    <w:r>
      <w:instrText xml:space="preserve">PAGE   \* MERGEFORMAT</w:instrText>
    </w:r>
    <w:r>
      <w:fldChar w:fldCharType="separate"/>
    </w:r>
    <w:r>
      <w:rPr>
        <w:lang w:val="zh-CN"/>
      </w:rPr>
      <w:t>42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spacing w:before="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right"/>
    </w:pPr>
    <w:r>
      <w:fldChar w:fldCharType="begin"/>
    </w:r>
    <w:r>
      <w:instrText xml:space="preserve"> STYLEREF  标准文件_文件编号  \* MERGEFORMAT </w:instrText>
    </w:r>
    <w:r>
      <w:fldChar w:fldCharType="separate"/>
    </w:r>
    <w:r>
      <w:rPr>
        <w:b/>
      </w:rPr>
      <w:t>错误！文档中没有指定样式的文字。</w:t>
    </w:r>
    <w:r>
      <w:fldChar w:fldCharType="end"/>
    </w:r>
  </w:p>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right"/>
    </w:pPr>
    <w:r>
      <w:fldChar w:fldCharType="begin"/>
    </w:r>
    <w:r>
      <w:instrText xml:space="preserve"> STYLEREF  标准文件_文件编号  \* MERGEFORMAT </w:instrText>
    </w:r>
    <w:r>
      <w:fldChar w:fldCharType="separate"/>
    </w:r>
    <w:r>
      <w:rPr>
        <w:b/>
      </w:rPr>
      <w:t>错误！文档中没有指定样式的文字。</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9"/>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4"/>
      <w:suff w:val="nothing"/>
      <w:lvlText w:val="%1%2.%3　"/>
      <w:lvlJc w:val="left"/>
      <w:pPr>
        <w:ind w:left="0" w:firstLine="0"/>
      </w:pPr>
    </w:lvl>
    <w:lvl w:ilvl="3" w:tentative="0">
      <w:start w:val="1"/>
      <w:numFmt w:val="decimal"/>
      <w:pStyle w:val="123"/>
      <w:suff w:val="nothing"/>
      <w:lvlText w:val="%1%2.%3.%4　"/>
      <w:lvlJc w:val="left"/>
      <w:pPr>
        <w:ind w:left="0" w:firstLine="0"/>
      </w:pPr>
    </w:lvl>
    <w:lvl w:ilvl="4" w:tentative="0">
      <w:start w:val="1"/>
      <w:numFmt w:val="decimal"/>
      <w:pStyle w:val="158"/>
      <w:suff w:val="nothing"/>
      <w:lvlText w:val="%1%2.%3.%4.%5　"/>
      <w:lvlJc w:val="left"/>
      <w:pPr>
        <w:ind w:left="0" w:firstLine="0"/>
      </w:pPr>
    </w:lvl>
    <w:lvl w:ilvl="5" w:tentative="0">
      <w:start w:val="1"/>
      <w:numFmt w:val="decimal"/>
      <w:pStyle w:val="160"/>
      <w:suff w:val="nothing"/>
      <w:lvlText w:val="%1%2.%3.%4.%5.%6　"/>
      <w:lvlJc w:val="left"/>
      <w:pPr>
        <w:ind w:left="0" w:firstLine="0"/>
      </w:pPr>
    </w:lvl>
    <w:lvl w:ilvl="6" w:tentative="0">
      <w:start w:val="1"/>
      <w:numFmt w:val="decimal"/>
      <w:pStyle w:val="163"/>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5"/>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4"/>
      <w:lvlText w:val="%1"/>
      <w:lvlJc w:val="left"/>
      <w:pPr>
        <w:ind w:left="425" w:hanging="425"/>
      </w:pPr>
      <w:rPr>
        <w:rFonts w:hint="eastAsia"/>
      </w:rPr>
    </w:lvl>
    <w:lvl w:ilvl="1" w:tentative="0">
      <w:start w:val="1"/>
      <w:numFmt w:val="decimal"/>
      <w:pStyle w:val="205"/>
      <w:suff w:val="nothing"/>
      <w:lvlText w:val="%10.%2 "/>
      <w:lvlJc w:val="left"/>
      <w:pPr>
        <w:ind w:left="0" w:firstLine="0"/>
      </w:pPr>
      <w:rPr>
        <w:rFonts w:hint="eastAsia" w:ascii="黑体" w:eastAsia="黑体" w:hAnsiTheme="minorHAnsi"/>
        <w:b w:val="0"/>
        <w:i w:val="0"/>
        <w:sz w:val="21"/>
      </w:rPr>
    </w:lvl>
    <w:lvl w:ilvl="2" w:tentative="0">
      <w:start w:val="1"/>
      <w:numFmt w:val="decimal"/>
      <w:pStyle w:val="206"/>
      <w:suff w:val="nothing"/>
      <w:lvlText w:val="%10.%2.%3 "/>
      <w:lvlJc w:val="left"/>
      <w:pPr>
        <w:ind w:left="0" w:firstLine="0"/>
      </w:pPr>
      <w:rPr>
        <w:rFonts w:hint="eastAsia" w:ascii="黑体" w:eastAsia="黑体" w:hAnsiTheme="minorHAnsi"/>
        <w:b w:val="0"/>
        <w:i w:val="0"/>
        <w:sz w:val="21"/>
      </w:rPr>
    </w:lvl>
    <w:lvl w:ilvl="3" w:tentative="0">
      <w:start w:val="1"/>
      <w:numFmt w:val="decimal"/>
      <w:pStyle w:val="207"/>
      <w:suff w:val="nothing"/>
      <w:lvlText w:val="%10.%2.%3.%4 "/>
      <w:lvlJc w:val="left"/>
      <w:pPr>
        <w:ind w:left="0" w:firstLine="0"/>
      </w:pPr>
      <w:rPr>
        <w:rFonts w:hint="eastAsia" w:ascii="黑体" w:eastAsia="黑体" w:hAnsiTheme="minorHAnsi"/>
        <w:b w:val="0"/>
        <w:i w:val="0"/>
        <w:sz w:val="21"/>
      </w:rPr>
    </w:lvl>
    <w:lvl w:ilvl="4" w:tentative="0">
      <w:start w:val="1"/>
      <w:numFmt w:val="decimal"/>
      <w:pStyle w:val="208"/>
      <w:suff w:val="nothing"/>
      <w:lvlText w:val="%10.%2.%3.%4.%5 "/>
      <w:lvlJc w:val="left"/>
      <w:pPr>
        <w:ind w:left="0" w:firstLine="0"/>
      </w:pPr>
      <w:rPr>
        <w:rFonts w:hint="eastAsia" w:ascii="黑体" w:eastAsia="黑体" w:hAnsiTheme="minorHAnsi"/>
        <w:b w:val="0"/>
        <w:i w:val="0"/>
        <w:sz w:val="21"/>
      </w:rPr>
    </w:lvl>
    <w:lvl w:ilvl="5" w:tentative="0">
      <w:start w:val="1"/>
      <w:numFmt w:val="decimal"/>
      <w:pStyle w:val="209"/>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6"/>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72"/>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4"/>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5"/>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90"/>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7"/>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1FC91163"/>
    <w:multiLevelType w:val="multilevel"/>
    <w:tmpl w:val="1FC91163"/>
    <w:lvl w:ilvl="0" w:tentative="0">
      <w:start w:val="1"/>
      <w:numFmt w:val="decimal"/>
      <w:pStyle w:val="238"/>
      <w:suff w:val="nothing"/>
      <w:lvlText w:val="%1　"/>
      <w:lvlJc w:val="left"/>
      <w:pPr>
        <w:ind w:left="142" w:firstLine="0"/>
      </w:pPr>
      <w:rPr>
        <w:rFonts w:hint="eastAsia" w:ascii="黑体" w:hAnsi="Times New Roman" w:eastAsia="黑体"/>
        <w:b w:val="0"/>
        <w:i w:val="0"/>
        <w:sz w:val="21"/>
        <w:szCs w:val="21"/>
      </w:rPr>
    </w:lvl>
    <w:lvl w:ilvl="1" w:tentative="0">
      <w:start w:val="1"/>
      <w:numFmt w:val="decimal"/>
      <w:pStyle w:val="237"/>
      <w:suff w:val="nothing"/>
      <w:lvlText w:val="%1.%2　"/>
      <w:lvlJc w:val="left"/>
      <w:pPr>
        <w:ind w:left="284"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239"/>
      <w:suff w:val="nothing"/>
      <w:lvlText w:val="%1.%2.%3　"/>
      <w:lvlJc w:val="left"/>
      <w:pPr>
        <w:ind w:left="1276" w:firstLine="0"/>
      </w:pPr>
      <w:rPr>
        <w:rFonts w:hint="eastAsia" w:ascii="黑体" w:hAnsi="Times New Roman" w:eastAsia="黑体"/>
        <w:b w:val="0"/>
        <w:i w:val="0"/>
        <w:strike w:val="0"/>
        <w:sz w:val="21"/>
      </w:rPr>
    </w:lvl>
    <w:lvl w:ilvl="3" w:tentative="0">
      <w:start w:val="1"/>
      <w:numFmt w:val="decimal"/>
      <w:suff w:val="nothing"/>
      <w:lvlText w:val="%1.%2.%3.%4　"/>
      <w:lvlJc w:val="left"/>
      <w:pPr>
        <w:ind w:left="0" w:firstLine="0"/>
      </w:pPr>
      <w:rPr>
        <w:rFonts w:hint="eastAsia" w:ascii="黑体" w:hAnsi="Times New Roman" w:eastAsia="黑体"/>
        <w:b w:val="0"/>
        <w:i w:val="0"/>
        <w:strike w:val="0"/>
        <w:sz w:val="21"/>
      </w:rPr>
    </w:lvl>
    <w:lvl w:ilvl="4" w:tentative="0">
      <w:start w:val="1"/>
      <w:numFmt w:val="decimal"/>
      <w:pStyle w:val="240"/>
      <w:suff w:val="nothing"/>
      <w:lvlText w:val="%1.%2.%3.%4.%5　"/>
      <w:lvlJc w:val="left"/>
      <w:pPr>
        <w:ind w:left="0" w:firstLine="0"/>
      </w:pPr>
      <w:rPr>
        <w:rFonts w:hint="eastAsia" w:ascii="黑体" w:hAnsi="Times New Roman" w:eastAsia="黑体"/>
        <w:b w:val="0"/>
        <w:i w:val="0"/>
        <w:sz w:val="21"/>
      </w:rPr>
    </w:lvl>
    <w:lvl w:ilvl="5" w:tentative="0">
      <w:start w:val="1"/>
      <w:numFmt w:val="decimal"/>
      <w:pStyle w:val="241"/>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1">
    <w:nsid w:val="22827D5B"/>
    <w:multiLevelType w:val="multilevel"/>
    <w:tmpl w:val="22827D5B"/>
    <w:lvl w:ilvl="0" w:tentative="0">
      <w:start w:val="1"/>
      <w:numFmt w:val="none"/>
      <w:pStyle w:val="256"/>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12">
    <w:nsid w:val="22AE1DF1"/>
    <w:multiLevelType w:val="multilevel"/>
    <w:tmpl w:val="22AE1DF1"/>
    <w:lvl w:ilvl="0" w:tentative="0">
      <w:start w:val="1"/>
      <w:numFmt w:val="lowerLetter"/>
      <w:pStyle w:val="248"/>
      <w:lvlText w:val="%1)"/>
      <w:lvlJc w:val="left"/>
      <w:pPr>
        <w:tabs>
          <w:tab w:val="left" w:pos="840"/>
        </w:tabs>
        <w:ind w:left="839" w:hanging="419"/>
      </w:pPr>
      <w:rPr>
        <w:rFonts w:hint="eastAsia" w:ascii="宋体" w:eastAsia="宋体"/>
        <w:b w:val="0"/>
        <w:i w:val="0"/>
        <w:sz w:val="21"/>
        <w:szCs w:val="21"/>
      </w:rPr>
    </w:lvl>
    <w:lvl w:ilvl="1" w:tentative="0">
      <w:start w:val="1"/>
      <w:numFmt w:val="decimal"/>
      <w:pStyle w:val="247"/>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2C5917C3"/>
    <w:multiLevelType w:val="multilevel"/>
    <w:tmpl w:val="2C5917C3"/>
    <w:lvl w:ilvl="0" w:tentative="0">
      <w:start w:val="1"/>
      <w:numFmt w:val="none"/>
      <w:pStyle w:val="137"/>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2"/>
      <w:lvlText w:val=""/>
      <w:lvlJc w:val="left"/>
      <w:pPr>
        <w:ind w:left="851" w:hanging="431"/>
      </w:pPr>
      <w:rPr>
        <w:rFonts w:hint="default" w:ascii="Symbol" w:hAnsi="Symbol"/>
        <w:sz w:val="21"/>
      </w:rPr>
    </w:lvl>
    <w:lvl w:ilvl="2" w:tentative="0">
      <w:start w:val="1"/>
      <w:numFmt w:val="bullet"/>
      <w:pStyle w:val="177"/>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4">
    <w:nsid w:val="32F04FB2"/>
    <w:multiLevelType w:val="multilevel"/>
    <w:tmpl w:val="32F04FB2"/>
    <w:lvl w:ilvl="0" w:tentative="0">
      <w:start w:val="1"/>
      <w:numFmt w:val="lowerLetter"/>
      <w:pStyle w:val="106"/>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5">
    <w:nsid w:val="44C50F90"/>
    <w:multiLevelType w:val="multilevel"/>
    <w:tmpl w:val="44C50F90"/>
    <w:lvl w:ilvl="0" w:tentative="0">
      <w:start w:val="1"/>
      <w:numFmt w:val="lowerLetter"/>
      <w:pStyle w:val="179"/>
      <w:lvlText w:val="%1)"/>
      <w:lvlJc w:val="left"/>
      <w:pPr>
        <w:tabs>
          <w:tab w:val="left" w:pos="851"/>
        </w:tabs>
        <w:ind w:left="851" w:hanging="426"/>
      </w:pPr>
      <w:rPr>
        <w:rFonts w:hint="eastAsia" w:ascii="宋体" w:hAnsi="Times New Roman" w:eastAsia="宋体"/>
        <w:sz w:val="21"/>
      </w:rPr>
    </w:lvl>
    <w:lvl w:ilvl="1" w:tentative="0">
      <w:start w:val="1"/>
      <w:numFmt w:val="decimal"/>
      <w:pStyle w:val="114"/>
      <w:lvlText w:val="%2)"/>
      <w:lvlJc w:val="left"/>
      <w:pPr>
        <w:tabs>
          <w:tab w:val="left" w:pos="1276"/>
        </w:tabs>
        <w:ind w:left="1276" w:hanging="425"/>
      </w:pPr>
      <w:rPr>
        <w:rFonts w:hint="eastAsia" w:ascii="宋体" w:hAnsi="Times New Roman" w:eastAsia="宋体"/>
        <w:sz w:val="21"/>
      </w:rPr>
    </w:lvl>
    <w:lvl w:ilvl="2" w:tentative="0">
      <w:start w:val="1"/>
      <w:numFmt w:val="decimal"/>
      <w:pStyle w:val="122"/>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6">
    <w:nsid w:val="48802D1C"/>
    <w:multiLevelType w:val="multilevel"/>
    <w:tmpl w:val="48802D1C"/>
    <w:lvl w:ilvl="0" w:tentative="0">
      <w:start w:val="1"/>
      <w:numFmt w:val="upperLetter"/>
      <w:pStyle w:val="203"/>
      <w:lvlText w:val="%1"/>
      <w:lvlJc w:val="left"/>
      <w:pPr>
        <w:ind w:left="420" w:hanging="420"/>
      </w:pPr>
      <w:rPr>
        <w:rFonts w:hint="eastAsia"/>
      </w:rPr>
    </w:lvl>
    <w:lvl w:ilvl="1" w:tentative="0">
      <w:start w:val="1"/>
      <w:numFmt w:val="decimal"/>
      <w:pStyle w:val="88"/>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
    <w:nsid w:val="4B733A5F"/>
    <w:multiLevelType w:val="multilevel"/>
    <w:tmpl w:val="4B733A5F"/>
    <w:lvl w:ilvl="0" w:tentative="0">
      <w:start w:val="1"/>
      <w:numFmt w:val="decimal"/>
      <w:pStyle w:val="188"/>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8">
    <w:nsid w:val="4E5D0534"/>
    <w:multiLevelType w:val="multilevel"/>
    <w:tmpl w:val="4E5D0534"/>
    <w:lvl w:ilvl="0" w:tentative="0">
      <w:start w:val="1"/>
      <w:numFmt w:val="decimal"/>
      <w:pStyle w:val="121"/>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9">
    <w:nsid w:val="54632751"/>
    <w:multiLevelType w:val="multilevel"/>
    <w:tmpl w:val="54632751"/>
    <w:lvl w:ilvl="0" w:tentative="0">
      <w:start w:val="1"/>
      <w:numFmt w:val="none"/>
      <w:pStyle w:val="98"/>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20">
    <w:nsid w:val="557C2AF5"/>
    <w:multiLevelType w:val="multilevel"/>
    <w:tmpl w:val="557C2AF5"/>
    <w:lvl w:ilvl="0" w:tentative="0">
      <w:start w:val="1"/>
      <w:numFmt w:val="decimal"/>
      <w:pStyle w:val="119"/>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1">
    <w:nsid w:val="5603797C"/>
    <w:multiLevelType w:val="multilevel"/>
    <w:tmpl w:val="5603797C"/>
    <w:lvl w:ilvl="0" w:tentative="0">
      <w:start w:val="1"/>
      <w:numFmt w:val="upperLetter"/>
      <w:pStyle w:val="204"/>
      <w:suff w:val="space"/>
      <w:lvlText w:val="%1"/>
      <w:lvlJc w:val="left"/>
      <w:pPr>
        <w:ind w:left="425" w:hanging="425"/>
      </w:pPr>
      <w:rPr>
        <w:rFonts w:hint="eastAsia"/>
      </w:rPr>
    </w:lvl>
    <w:lvl w:ilvl="1" w:tentative="0">
      <w:start w:val="1"/>
      <w:numFmt w:val="decimal"/>
      <w:pStyle w:val="82"/>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2">
    <w:nsid w:val="564D2089"/>
    <w:multiLevelType w:val="multilevel"/>
    <w:tmpl w:val="564D2089"/>
    <w:lvl w:ilvl="0" w:tentative="0">
      <w:start w:val="1"/>
      <w:numFmt w:val="none"/>
      <w:pStyle w:val="116"/>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644622F9"/>
    <w:multiLevelType w:val="multilevel"/>
    <w:tmpl w:val="644622F9"/>
    <w:lvl w:ilvl="0" w:tentative="0">
      <w:start w:val="1"/>
      <w:numFmt w:val="upperRoman"/>
      <w:pStyle w:val="173"/>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4">
    <w:nsid w:val="646260FA"/>
    <w:multiLevelType w:val="multilevel"/>
    <w:tmpl w:val="646260FA"/>
    <w:lvl w:ilvl="0" w:tentative="0">
      <w:start w:val="1"/>
      <w:numFmt w:val="decimal"/>
      <w:pStyle w:val="117"/>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5">
    <w:nsid w:val="654A26C9"/>
    <w:multiLevelType w:val="multilevel"/>
    <w:tmpl w:val="654A26C9"/>
    <w:lvl w:ilvl="0" w:tentative="0">
      <w:start w:val="1"/>
      <w:numFmt w:val="none"/>
      <w:pStyle w:val="194"/>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6">
    <w:nsid w:val="657D3FBC"/>
    <w:multiLevelType w:val="multilevel"/>
    <w:tmpl w:val="657D3FBC"/>
    <w:lvl w:ilvl="0" w:tentative="0">
      <w:start w:val="1"/>
      <w:numFmt w:val="upperLetter"/>
      <w:pStyle w:val="81"/>
      <w:suff w:val="nothing"/>
      <w:lvlText w:val="附录%1"/>
      <w:lvlJc w:val="left"/>
      <w:pPr>
        <w:ind w:left="0" w:firstLine="0"/>
      </w:pPr>
      <w:rPr>
        <w:rFonts w:hint="eastAsia"/>
        <w:spacing w:val="100"/>
      </w:rPr>
    </w:lvl>
    <w:lvl w:ilvl="1" w:tentative="0">
      <w:start w:val="1"/>
      <w:numFmt w:val="decimal"/>
      <w:pStyle w:val="83"/>
      <w:suff w:val="nothing"/>
      <w:lvlText w:val="%1.%2　"/>
      <w:lvlJc w:val="left"/>
      <w:pPr>
        <w:ind w:left="0" w:firstLine="0"/>
      </w:pPr>
      <w:rPr>
        <w:rFonts w:hint="eastAsia" w:ascii="黑体" w:eastAsia="黑体"/>
        <w:b w:val="0"/>
        <w:i w:val="0"/>
        <w:sz w:val="21"/>
      </w:rPr>
    </w:lvl>
    <w:lvl w:ilvl="2" w:tentative="0">
      <w:start w:val="1"/>
      <w:numFmt w:val="decimal"/>
      <w:pStyle w:val="84"/>
      <w:suff w:val="nothing"/>
      <w:lvlText w:val="%1.%2.%3　"/>
      <w:lvlJc w:val="left"/>
      <w:pPr>
        <w:ind w:left="0" w:firstLine="0"/>
      </w:pPr>
      <w:rPr>
        <w:rFonts w:hint="eastAsia" w:ascii="黑体" w:eastAsia="黑体"/>
        <w:b w:val="0"/>
        <w:i w:val="0"/>
        <w:sz w:val="21"/>
      </w:rPr>
    </w:lvl>
    <w:lvl w:ilvl="3" w:tentative="0">
      <w:start w:val="1"/>
      <w:numFmt w:val="decimal"/>
      <w:pStyle w:val="86"/>
      <w:suff w:val="nothing"/>
      <w:lvlText w:val="%1.%2.%3.%4　"/>
      <w:lvlJc w:val="left"/>
      <w:pPr>
        <w:ind w:left="0" w:firstLine="0"/>
      </w:pPr>
      <w:rPr>
        <w:rFonts w:hint="eastAsia" w:ascii="黑体" w:eastAsia="黑体"/>
        <w:b w:val="0"/>
        <w:i w:val="0"/>
        <w:sz w:val="21"/>
      </w:rPr>
    </w:lvl>
    <w:lvl w:ilvl="4" w:tentative="0">
      <w:start w:val="1"/>
      <w:numFmt w:val="decimal"/>
      <w:pStyle w:val="87"/>
      <w:suff w:val="nothing"/>
      <w:lvlText w:val="%1.%2.%3.%4.%5　"/>
      <w:lvlJc w:val="left"/>
      <w:pPr>
        <w:ind w:left="0" w:firstLine="0"/>
      </w:pPr>
      <w:rPr>
        <w:rFonts w:hint="eastAsia" w:ascii="黑体" w:eastAsia="黑体"/>
        <w:b w:val="0"/>
        <w:i w:val="0"/>
        <w:sz w:val="21"/>
      </w:rPr>
    </w:lvl>
    <w:lvl w:ilvl="5" w:tentative="0">
      <w:start w:val="1"/>
      <w:numFmt w:val="decimal"/>
      <w:pStyle w:val="89"/>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7">
    <w:nsid w:val="69506ABF"/>
    <w:multiLevelType w:val="multilevel"/>
    <w:tmpl w:val="69506ABF"/>
    <w:lvl w:ilvl="0" w:tentative="0">
      <w:start w:val="1"/>
      <w:numFmt w:val="bullet"/>
      <w:pStyle w:val="193"/>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8">
    <w:nsid w:val="6CA41985"/>
    <w:multiLevelType w:val="multilevel"/>
    <w:tmpl w:val="6CA41985"/>
    <w:lvl w:ilvl="0" w:tentative="0">
      <w:start w:val="1"/>
      <w:numFmt w:val="decimal"/>
      <w:pStyle w:val="102"/>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6CE42AC1"/>
    <w:multiLevelType w:val="multilevel"/>
    <w:tmpl w:val="6CE42AC1"/>
    <w:lvl w:ilvl="0" w:tentative="0">
      <w:start w:val="1"/>
      <w:numFmt w:val="lowerLetter"/>
      <w:pStyle w:val="178"/>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6CEA2025"/>
    <w:multiLevelType w:val="multilevel"/>
    <w:tmpl w:val="6CEA2025"/>
    <w:lvl w:ilvl="0" w:tentative="0">
      <w:start w:val="1"/>
      <w:numFmt w:val="none"/>
      <w:pStyle w:val="157"/>
      <w:suff w:val="nothing"/>
      <w:lvlText w:val="%1"/>
      <w:lvlJc w:val="left"/>
      <w:pPr>
        <w:ind w:left="0" w:firstLine="0"/>
      </w:pPr>
      <w:rPr>
        <w:rFonts w:hint="eastAsia"/>
      </w:rPr>
    </w:lvl>
    <w:lvl w:ilvl="1" w:tentative="0">
      <w:start w:val="1"/>
      <w:numFmt w:val="decimal"/>
      <w:pStyle w:val="109"/>
      <w:suff w:val="nothing"/>
      <w:lvlText w:val="%1%2　"/>
      <w:lvlJc w:val="left"/>
      <w:pPr>
        <w:ind w:left="0" w:firstLine="0"/>
      </w:pPr>
      <w:rPr>
        <w:rFonts w:hint="eastAsia" w:ascii="黑体" w:eastAsia="黑体"/>
        <w:b w:val="0"/>
        <w:i w:val="0"/>
        <w:sz w:val="21"/>
      </w:rPr>
    </w:lvl>
    <w:lvl w:ilvl="2" w:tentative="0">
      <w:start w:val="1"/>
      <w:numFmt w:val="decimal"/>
      <w:pStyle w:val="110"/>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pStyle w:val="70"/>
      <w:suff w:val="nothing"/>
      <w:lvlText w:val="%1%2.%3.%4　"/>
      <w:lvlJc w:val="left"/>
      <w:pPr>
        <w:ind w:left="0" w:firstLine="0"/>
      </w:pPr>
      <w:rPr>
        <w:rFonts w:hint="eastAsia" w:ascii="黑体" w:eastAsia="黑体"/>
        <w:b w:val="0"/>
        <w:i w:val="0"/>
        <w:sz w:val="21"/>
      </w:rPr>
    </w:lvl>
    <w:lvl w:ilvl="4" w:tentative="0">
      <w:start w:val="1"/>
      <w:numFmt w:val="decimal"/>
      <w:pStyle w:val="99"/>
      <w:suff w:val="nothing"/>
      <w:lvlText w:val="%1%2.%3.%4.%5　"/>
      <w:lvlJc w:val="left"/>
      <w:pPr>
        <w:ind w:left="0" w:firstLine="0"/>
      </w:pPr>
      <w:rPr>
        <w:rFonts w:hint="eastAsia" w:ascii="黑体" w:eastAsia="黑体"/>
        <w:b w:val="0"/>
        <w:i w:val="0"/>
        <w:sz w:val="21"/>
      </w:rPr>
    </w:lvl>
    <w:lvl w:ilvl="5" w:tentative="0">
      <w:start w:val="1"/>
      <w:numFmt w:val="decimal"/>
      <w:pStyle w:val="103"/>
      <w:suff w:val="nothing"/>
      <w:lvlText w:val="%1%2.%3.%4.%5.%6　"/>
      <w:lvlJc w:val="left"/>
      <w:pPr>
        <w:ind w:left="0" w:firstLine="0"/>
      </w:pPr>
      <w:rPr>
        <w:rFonts w:hint="eastAsia" w:ascii="黑体" w:eastAsia="黑体"/>
        <w:b w:val="0"/>
        <w:i w:val="0"/>
        <w:sz w:val="21"/>
      </w:rPr>
    </w:lvl>
    <w:lvl w:ilvl="6" w:tentative="0">
      <w:start w:val="1"/>
      <w:numFmt w:val="decimal"/>
      <w:pStyle w:val="108"/>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1">
    <w:nsid w:val="6DBF04F4"/>
    <w:multiLevelType w:val="multilevel"/>
    <w:tmpl w:val="6DBF04F4"/>
    <w:lvl w:ilvl="0" w:tentative="0">
      <w:start w:val="1"/>
      <w:numFmt w:val="none"/>
      <w:pStyle w:val="184"/>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2">
    <w:nsid w:val="6DF35F19"/>
    <w:multiLevelType w:val="multilevel"/>
    <w:tmpl w:val="6DF35F19"/>
    <w:lvl w:ilvl="0" w:tentative="0">
      <w:start w:val="1"/>
      <w:numFmt w:val="decimal"/>
      <w:pStyle w:val="120"/>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3">
    <w:nsid w:val="76933334"/>
    <w:multiLevelType w:val="multilevel"/>
    <w:tmpl w:val="76933334"/>
    <w:lvl w:ilvl="0" w:tentative="0">
      <w:start w:val="1"/>
      <w:numFmt w:val="none"/>
      <w:pStyle w:val="144"/>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4">
    <w:nsid w:val="7FAB07CD"/>
    <w:multiLevelType w:val="multilevel"/>
    <w:tmpl w:val="7FAB07CD"/>
    <w:lvl w:ilvl="0" w:tentative="0">
      <w:start w:val="3"/>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0"/>
  </w:num>
  <w:num w:numId="3">
    <w:abstractNumId w:val="5"/>
  </w:num>
  <w:num w:numId="4">
    <w:abstractNumId w:val="26"/>
  </w:num>
  <w:num w:numId="5">
    <w:abstractNumId w:val="21"/>
  </w:num>
  <w:num w:numId="6">
    <w:abstractNumId w:val="16"/>
  </w:num>
  <w:num w:numId="7">
    <w:abstractNumId w:val="8"/>
  </w:num>
  <w:num w:numId="8">
    <w:abstractNumId w:val="3"/>
  </w:num>
  <w:num w:numId="9">
    <w:abstractNumId w:val="9"/>
  </w:num>
  <w:num w:numId="10">
    <w:abstractNumId w:val="19"/>
  </w:num>
  <w:num w:numId="11">
    <w:abstractNumId w:val="28"/>
  </w:num>
  <w:num w:numId="12">
    <w:abstractNumId w:val="14"/>
  </w:num>
  <w:num w:numId="13">
    <w:abstractNumId w:val="15"/>
  </w:num>
  <w:num w:numId="14">
    <w:abstractNumId w:val="7"/>
  </w:num>
  <w:num w:numId="15">
    <w:abstractNumId w:val="22"/>
  </w:num>
  <w:num w:numId="16">
    <w:abstractNumId w:val="24"/>
  </w:num>
  <w:num w:numId="17">
    <w:abstractNumId w:val="20"/>
  </w:num>
  <w:num w:numId="18">
    <w:abstractNumId w:val="32"/>
  </w:num>
  <w:num w:numId="19">
    <w:abstractNumId w:val="18"/>
  </w:num>
  <w:num w:numId="20">
    <w:abstractNumId w:val="1"/>
  </w:num>
  <w:num w:numId="21">
    <w:abstractNumId w:val="13"/>
  </w:num>
  <w:num w:numId="22">
    <w:abstractNumId w:val="33"/>
  </w:num>
  <w:num w:numId="23">
    <w:abstractNumId w:val="23"/>
  </w:num>
  <w:num w:numId="24">
    <w:abstractNumId w:val="6"/>
  </w:num>
  <w:num w:numId="25">
    <w:abstractNumId w:val="29"/>
  </w:num>
  <w:num w:numId="26">
    <w:abstractNumId w:val="31"/>
  </w:num>
  <w:num w:numId="27">
    <w:abstractNumId w:val="2"/>
  </w:num>
  <w:num w:numId="28">
    <w:abstractNumId w:val="4"/>
  </w:num>
  <w:num w:numId="29">
    <w:abstractNumId w:val="17"/>
  </w:num>
  <w:num w:numId="30">
    <w:abstractNumId w:val="27"/>
  </w:num>
  <w:num w:numId="31">
    <w:abstractNumId w:val="25"/>
  </w:num>
  <w:num w:numId="32">
    <w:abstractNumId w:val="10"/>
  </w:num>
  <w:num w:numId="33">
    <w:abstractNumId w:val="12"/>
  </w:num>
  <w:num w:numId="34">
    <w:abstractNumId w:val="11"/>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NotDisplayPageBoundaries w:val="1"/>
  <w:bordersDoNotSurroundHeader w:val="1"/>
  <w:bordersDoNotSurroundFooter w:val="1"/>
  <w:hideSpellingErrors/>
  <w:attachedTemplate r:id="rId1"/>
  <w:documentProtection w:edit="forms"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I5OTlmZTcyMGVlZmVkNzkyNjE5ODczMTcxNDk0N2YifQ=="/>
  </w:docVars>
  <w:rsids>
    <w:rsidRoot w:val="000174A3"/>
    <w:rsid w:val="0000040A"/>
    <w:rsid w:val="00000A94"/>
    <w:rsid w:val="00001972"/>
    <w:rsid w:val="00001D9A"/>
    <w:rsid w:val="00001FBD"/>
    <w:rsid w:val="00002BCA"/>
    <w:rsid w:val="00007B3A"/>
    <w:rsid w:val="000107E0"/>
    <w:rsid w:val="00011FDE"/>
    <w:rsid w:val="00012FFD"/>
    <w:rsid w:val="00014162"/>
    <w:rsid w:val="00014340"/>
    <w:rsid w:val="00015281"/>
    <w:rsid w:val="00016A9C"/>
    <w:rsid w:val="000174A3"/>
    <w:rsid w:val="000207D4"/>
    <w:rsid w:val="00022184"/>
    <w:rsid w:val="00022762"/>
    <w:rsid w:val="000238E0"/>
    <w:rsid w:val="000249DB"/>
    <w:rsid w:val="00024A6F"/>
    <w:rsid w:val="0002595E"/>
    <w:rsid w:val="000303C3"/>
    <w:rsid w:val="0003101A"/>
    <w:rsid w:val="000331D3"/>
    <w:rsid w:val="00033810"/>
    <w:rsid w:val="000346A5"/>
    <w:rsid w:val="000359C3"/>
    <w:rsid w:val="00035A7D"/>
    <w:rsid w:val="000365ED"/>
    <w:rsid w:val="0003766F"/>
    <w:rsid w:val="0004249A"/>
    <w:rsid w:val="00042A30"/>
    <w:rsid w:val="00043282"/>
    <w:rsid w:val="00044286"/>
    <w:rsid w:val="00046978"/>
    <w:rsid w:val="00047AA4"/>
    <w:rsid w:val="00047F28"/>
    <w:rsid w:val="000503AA"/>
    <w:rsid w:val="000506A1"/>
    <w:rsid w:val="000515DD"/>
    <w:rsid w:val="0005265A"/>
    <w:rsid w:val="000539DD"/>
    <w:rsid w:val="00053BD3"/>
    <w:rsid w:val="00054074"/>
    <w:rsid w:val="000556ED"/>
    <w:rsid w:val="00055FE2"/>
    <w:rsid w:val="0005616F"/>
    <w:rsid w:val="00060508"/>
    <w:rsid w:val="00060C2E"/>
    <w:rsid w:val="00061033"/>
    <w:rsid w:val="000619E9"/>
    <w:rsid w:val="000622D4"/>
    <w:rsid w:val="000626E2"/>
    <w:rsid w:val="0006357D"/>
    <w:rsid w:val="00067F1E"/>
    <w:rsid w:val="00071CC0"/>
    <w:rsid w:val="00071CFC"/>
    <w:rsid w:val="00073C8C"/>
    <w:rsid w:val="00073DD6"/>
    <w:rsid w:val="00077B64"/>
    <w:rsid w:val="00080A1C"/>
    <w:rsid w:val="00082317"/>
    <w:rsid w:val="00083D2C"/>
    <w:rsid w:val="00086AA1"/>
    <w:rsid w:val="00087649"/>
    <w:rsid w:val="00087A77"/>
    <w:rsid w:val="00090CA6"/>
    <w:rsid w:val="00092B8A"/>
    <w:rsid w:val="00092FB0"/>
    <w:rsid w:val="000934C5"/>
    <w:rsid w:val="00093D25"/>
    <w:rsid w:val="00093DAB"/>
    <w:rsid w:val="0009472A"/>
    <w:rsid w:val="00094D73"/>
    <w:rsid w:val="00096D63"/>
    <w:rsid w:val="00096E90"/>
    <w:rsid w:val="000A0B60"/>
    <w:rsid w:val="000A0EB8"/>
    <w:rsid w:val="000A19FC"/>
    <w:rsid w:val="000A296B"/>
    <w:rsid w:val="000A5F48"/>
    <w:rsid w:val="000A7311"/>
    <w:rsid w:val="000B060F"/>
    <w:rsid w:val="000B1592"/>
    <w:rsid w:val="000B1FF2"/>
    <w:rsid w:val="000B3CDA"/>
    <w:rsid w:val="000B69A0"/>
    <w:rsid w:val="000B6A0B"/>
    <w:rsid w:val="000C0F6C"/>
    <w:rsid w:val="000C11DB"/>
    <w:rsid w:val="000C1492"/>
    <w:rsid w:val="000C2FBD"/>
    <w:rsid w:val="000C4B41"/>
    <w:rsid w:val="000C57D6"/>
    <w:rsid w:val="000C6362"/>
    <w:rsid w:val="000C7666"/>
    <w:rsid w:val="000D0A9C"/>
    <w:rsid w:val="000D1795"/>
    <w:rsid w:val="000D18FA"/>
    <w:rsid w:val="000D329A"/>
    <w:rsid w:val="000D38C9"/>
    <w:rsid w:val="000D4B9C"/>
    <w:rsid w:val="000D4EB6"/>
    <w:rsid w:val="000D753B"/>
    <w:rsid w:val="000E110C"/>
    <w:rsid w:val="000E48CF"/>
    <w:rsid w:val="000E4C56"/>
    <w:rsid w:val="000E4C9E"/>
    <w:rsid w:val="000E5FB7"/>
    <w:rsid w:val="000E6FD7"/>
    <w:rsid w:val="000E7144"/>
    <w:rsid w:val="000F06E1"/>
    <w:rsid w:val="000F0E3C"/>
    <w:rsid w:val="000F19D5"/>
    <w:rsid w:val="000F2868"/>
    <w:rsid w:val="000F2A39"/>
    <w:rsid w:val="000F4050"/>
    <w:rsid w:val="000F4AEA"/>
    <w:rsid w:val="000F67E9"/>
    <w:rsid w:val="00104926"/>
    <w:rsid w:val="00110120"/>
    <w:rsid w:val="00113B1E"/>
    <w:rsid w:val="0011711C"/>
    <w:rsid w:val="00121F8A"/>
    <w:rsid w:val="00124E4F"/>
    <w:rsid w:val="001258F1"/>
    <w:rsid w:val="001260B7"/>
    <w:rsid w:val="001265CB"/>
    <w:rsid w:val="001275DC"/>
    <w:rsid w:val="001321C6"/>
    <w:rsid w:val="001325C4"/>
    <w:rsid w:val="00133010"/>
    <w:rsid w:val="001338EE"/>
    <w:rsid w:val="00133AAE"/>
    <w:rsid w:val="00135323"/>
    <w:rsid w:val="001356C4"/>
    <w:rsid w:val="00137565"/>
    <w:rsid w:val="00141114"/>
    <w:rsid w:val="00142969"/>
    <w:rsid w:val="00143453"/>
    <w:rsid w:val="00143756"/>
    <w:rsid w:val="001446C2"/>
    <w:rsid w:val="001457E7"/>
    <w:rsid w:val="00145D9D"/>
    <w:rsid w:val="00146388"/>
    <w:rsid w:val="001529E5"/>
    <w:rsid w:val="00152FB3"/>
    <w:rsid w:val="00153C7E"/>
    <w:rsid w:val="00155416"/>
    <w:rsid w:val="00156732"/>
    <w:rsid w:val="001568B6"/>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36AB"/>
    <w:rsid w:val="001852C9"/>
    <w:rsid w:val="001859E8"/>
    <w:rsid w:val="00187A0B"/>
    <w:rsid w:val="00190087"/>
    <w:rsid w:val="001913C4"/>
    <w:rsid w:val="00192361"/>
    <w:rsid w:val="0019348F"/>
    <w:rsid w:val="00193A07"/>
    <w:rsid w:val="00194C95"/>
    <w:rsid w:val="00194EEA"/>
    <w:rsid w:val="00195C34"/>
    <w:rsid w:val="00195C79"/>
    <w:rsid w:val="00196EF5"/>
    <w:rsid w:val="001A0CD2"/>
    <w:rsid w:val="001A1A53"/>
    <w:rsid w:val="001A234A"/>
    <w:rsid w:val="001A4CF3"/>
    <w:rsid w:val="001A6696"/>
    <w:rsid w:val="001B06E8"/>
    <w:rsid w:val="001B330E"/>
    <w:rsid w:val="001B6F83"/>
    <w:rsid w:val="001B71D0"/>
    <w:rsid w:val="001B71EE"/>
    <w:rsid w:val="001C04A8"/>
    <w:rsid w:val="001C2C03"/>
    <w:rsid w:val="001C42F7"/>
    <w:rsid w:val="001C4530"/>
    <w:rsid w:val="001C49E5"/>
    <w:rsid w:val="001C680C"/>
    <w:rsid w:val="001C7FEA"/>
    <w:rsid w:val="001D0499"/>
    <w:rsid w:val="001D0BBE"/>
    <w:rsid w:val="001D0ED4"/>
    <w:rsid w:val="001D212F"/>
    <w:rsid w:val="001D29D7"/>
    <w:rsid w:val="001D2DE7"/>
    <w:rsid w:val="001D411C"/>
    <w:rsid w:val="001D67BA"/>
    <w:rsid w:val="001E1B6A"/>
    <w:rsid w:val="001E213A"/>
    <w:rsid w:val="001E2484"/>
    <w:rsid w:val="001E3CC4"/>
    <w:rsid w:val="001E4882"/>
    <w:rsid w:val="001E73AB"/>
    <w:rsid w:val="001F092D"/>
    <w:rsid w:val="001F143A"/>
    <w:rsid w:val="001F1605"/>
    <w:rsid w:val="001F2508"/>
    <w:rsid w:val="001F4816"/>
    <w:rsid w:val="001F69B4"/>
    <w:rsid w:val="001F77C7"/>
    <w:rsid w:val="001F7F6B"/>
    <w:rsid w:val="00200183"/>
    <w:rsid w:val="00200333"/>
    <w:rsid w:val="0020107D"/>
    <w:rsid w:val="00202AA4"/>
    <w:rsid w:val="002031F7"/>
    <w:rsid w:val="00203D17"/>
    <w:rsid w:val="002040E6"/>
    <w:rsid w:val="0020527B"/>
    <w:rsid w:val="00205F2C"/>
    <w:rsid w:val="00210B15"/>
    <w:rsid w:val="002142EA"/>
    <w:rsid w:val="00214514"/>
    <w:rsid w:val="00214E4A"/>
    <w:rsid w:val="00215708"/>
    <w:rsid w:val="00215ADD"/>
    <w:rsid w:val="002204BB"/>
    <w:rsid w:val="00221B79"/>
    <w:rsid w:val="00221C6B"/>
    <w:rsid w:val="002239A3"/>
    <w:rsid w:val="002253A1"/>
    <w:rsid w:val="00225CF8"/>
    <w:rsid w:val="0022794E"/>
    <w:rsid w:val="00232F91"/>
    <w:rsid w:val="00233D64"/>
    <w:rsid w:val="0023482A"/>
    <w:rsid w:val="002359CB"/>
    <w:rsid w:val="00243514"/>
    <w:rsid w:val="00243540"/>
    <w:rsid w:val="0024497B"/>
    <w:rsid w:val="0024515B"/>
    <w:rsid w:val="00246021"/>
    <w:rsid w:val="0024666E"/>
    <w:rsid w:val="002477A5"/>
    <w:rsid w:val="00247F52"/>
    <w:rsid w:val="00250B25"/>
    <w:rsid w:val="00250BBE"/>
    <w:rsid w:val="002515C2"/>
    <w:rsid w:val="0025194F"/>
    <w:rsid w:val="00257406"/>
    <w:rsid w:val="00260AB8"/>
    <w:rsid w:val="00261253"/>
    <w:rsid w:val="0026148A"/>
    <w:rsid w:val="00262696"/>
    <w:rsid w:val="00263D25"/>
    <w:rsid w:val="002643C3"/>
    <w:rsid w:val="00264A0C"/>
    <w:rsid w:val="00265439"/>
    <w:rsid w:val="00266EEB"/>
    <w:rsid w:val="00267EF4"/>
    <w:rsid w:val="00270CB8"/>
    <w:rsid w:val="00272B08"/>
    <w:rsid w:val="00281BB8"/>
    <w:rsid w:val="00281E9E"/>
    <w:rsid w:val="00282405"/>
    <w:rsid w:val="00285170"/>
    <w:rsid w:val="00285361"/>
    <w:rsid w:val="00287851"/>
    <w:rsid w:val="00287A66"/>
    <w:rsid w:val="002909C1"/>
    <w:rsid w:val="00292D60"/>
    <w:rsid w:val="00292DE9"/>
    <w:rsid w:val="00293B30"/>
    <w:rsid w:val="00294D34"/>
    <w:rsid w:val="00294E3B"/>
    <w:rsid w:val="0029509B"/>
    <w:rsid w:val="00296193"/>
    <w:rsid w:val="00296C66"/>
    <w:rsid w:val="00296EBE"/>
    <w:rsid w:val="002974E3"/>
    <w:rsid w:val="002A084B"/>
    <w:rsid w:val="002A1260"/>
    <w:rsid w:val="002A1589"/>
    <w:rsid w:val="002A1608"/>
    <w:rsid w:val="002A25DC"/>
    <w:rsid w:val="002A286D"/>
    <w:rsid w:val="002A2DE2"/>
    <w:rsid w:val="002A3AAB"/>
    <w:rsid w:val="002A4CEA"/>
    <w:rsid w:val="002A5977"/>
    <w:rsid w:val="002A5A13"/>
    <w:rsid w:val="002A6FF8"/>
    <w:rsid w:val="002A757F"/>
    <w:rsid w:val="002A7F44"/>
    <w:rsid w:val="002B0C40"/>
    <w:rsid w:val="002B1966"/>
    <w:rsid w:val="002B41D4"/>
    <w:rsid w:val="002B4508"/>
    <w:rsid w:val="002B5779"/>
    <w:rsid w:val="002B7332"/>
    <w:rsid w:val="002B73AB"/>
    <w:rsid w:val="002B7F51"/>
    <w:rsid w:val="002C09E7"/>
    <w:rsid w:val="002C1E06"/>
    <w:rsid w:val="002C2CC5"/>
    <w:rsid w:val="002C3F07"/>
    <w:rsid w:val="002C5278"/>
    <w:rsid w:val="002C7287"/>
    <w:rsid w:val="002C7EBB"/>
    <w:rsid w:val="002D06C1"/>
    <w:rsid w:val="002D42B5"/>
    <w:rsid w:val="002D4F1A"/>
    <w:rsid w:val="002D6EC6"/>
    <w:rsid w:val="002D79AC"/>
    <w:rsid w:val="002E039D"/>
    <w:rsid w:val="002E1257"/>
    <w:rsid w:val="002E2D9F"/>
    <w:rsid w:val="002E3985"/>
    <w:rsid w:val="002E4D5A"/>
    <w:rsid w:val="002E55C2"/>
    <w:rsid w:val="002E6326"/>
    <w:rsid w:val="002F30E0"/>
    <w:rsid w:val="002F35E4"/>
    <w:rsid w:val="002F3730"/>
    <w:rsid w:val="002F38E1"/>
    <w:rsid w:val="002F5EEE"/>
    <w:rsid w:val="002F7AF6"/>
    <w:rsid w:val="00300E63"/>
    <w:rsid w:val="00302F5F"/>
    <w:rsid w:val="0030441D"/>
    <w:rsid w:val="00304E52"/>
    <w:rsid w:val="00306063"/>
    <w:rsid w:val="00307C9D"/>
    <w:rsid w:val="0031230B"/>
    <w:rsid w:val="00313B85"/>
    <w:rsid w:val="00316DBF"/>
    <w:rsid w:val="00317988"/>
    <w:rsid w:val="00317FDC"/>
    <w:rsid w:val="003221B4"/>
    <w:rsid w:val="0032258D"/>
    <w:rsid w:val="003225A6"/>
    <w:rsid w:val="00322E62"/>
    <w:rsid w:val="00324D13"/>
    <w:rsid w:val="00324EDD"/>
    <w:rsid w:val="003331E4"/>
    <w:rsid w:val="00336721"/>
    <w:rsid w:val="00336C64"/>
    <w:rsid w:val="00336F7D"/>
    <w:rsid w:val="00337162"/>
    <w:rsid w:val="0034194F"/>
    <w:rsid w:val="00344605"/>
    <w:rsid w:val="00344DF8"/>
    <w:rsid w:val="003453A9"/>
    <w:rsid w:val="00346D25"/>
    <w:rsid w:val="003474AA"/>
    <w:rsid w:val="00350D1D"/>
    <w:rsid w:val="0035189D"/>
    <w:rsid w:val="00352C83"/>
    <w:rsid w:val="00352F1A"/>
    <w:rsid w:val="00356026"/>
    <w:rsid w:val="0036107C"/>
    <w:rsid w:val="003615D2"/>
    <w:rsid w:val="0036429C"/>
    <w:rsid w:val="00364A53"/>
    <w:rsid w:val="003654CB"/>
    <w:rsid w:val="00365AA9"/>
    <w:rsid w:val="00365F86"/>
    <w:rsid w:val="00365F87"/>
    <w:rsid w:val="00366E89"/>
    <w:rsid w:val="003705F4"/>
    <w:rsid w:val="00370D58"/>
    <w:rsid w:val="00371316"/>
    <w:rsid w:val="003715CC"/>
    <w:rsid w:val="003730AE"/>
    <w:rsid w:val="00375189"/>
    <w:rsid w:val="0037663D"/>
    <w:rsid w:val="00376713"/>
    <w:rsid w:val="00381815"/>
    <w:rsid w:val="00381918"/>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1D1"/>
    <w:rsid w:val="003A1582"/>
    <w:rsid w:val="003A3D9C"/>
    <w:rsid w:val="003A4077"/>
    <w:rsid w:val="003A4AA7"/>
    <w:rsid w:val="003B09AD"/>
    <w:rsid w:val="003B1D38"/>
    <w:rsid w:val="003B1F18"/>
    <w:rsid w:val="003B24FA"/>
    <w:rsid w:val="003B3355"/>
    <w:rsid w:val="003B467B"/>
    <w:rsid w:val="003B5BF0"/>
    <w:rsid w:val="003B60BF"/>
    <w:rsid w:val="003B6BE3"/>
    <w:rsid w:val="003C010C"/>
    <w:rsid w:val="003C0A6C"/>
    <w:rsid w:val="003C14F8"/>
    <w:rsid w:val="003C2879"/>
    <w:rsid w:val="003C2FCE"/>
    <w:rsid w:val="003C3643"/>
    <w:rsid w:val="003C5A43"/>
    <w:rsid w:val="003D0519"/>
    <w:rsid w:val="003D0FF6"/>
    <w:rsid w:val="003D262C"/>
    <w:rsid w:val="003D39D7"/>
    <w:rsid w:val="003D464D"/>
    <w:rsid w:val="003D6D61"/>
    <w:rsid w:val="003E019F"/>
    <w:rsid w:val="003E091D"/>
    <w:rsid w:val="003E1C53"/>
    <w:rsid w:val="003E2A69"/>
    <w:rsid w:val="003E2D49"/>
    <w:rsid w:val="003E2FD4"/>
    <w:rsid w:val="003E49F6"/>
    <w:rsid w:val="003E660F"/>
    <w:rsid w:val="003F0841"/>
    <w:rsid w:val="003F23D3"/>
    <w:rsid w:val="003F275C"/>
    <w:rsid w:val="003F3F08"/>
    <w:rsid w:val="003F49F1"/>
    <w:rsid w:val="003F6272"/>
    <w:rsid w:val="00400E72"/>
    <w:rsid w:val="00401400"/>
    <w:rsid w:val="0040182C"/>
    <w:rsid w:val="00402DCC"/>
    <w:rsid w:val="00404869"/>
    <w:rsid w:val="00405884"/>
    <w:rsid w:val="00407D39"/>
    <w:rsid w:val="00411460"/>
    <w:rsid w:val="0041477A"/>
    <w:rsid w:val="00414C3F"/>
    <w:rsid w:val="004167A3"/>
    <w:rsid w:val="0043278E"/>
    <w:rsid w:val="00432DAA"/>
    <w:rsid w:val="00433354"/>
    <w:rsid w:val="00434305"/>
    <w:rsid w:val="00435DF7"/>
    <w:rsid w:val="0043741A"/>
    <w:rsid w:val="0044083F"/>
    <w:rsid w:val="00441AE7"/>
    <w:rsid w:val="00445574"/>
    <w:rsid w:val="004467FB"/>
    <w:rsid w:val="004517E3"/>
    <w:rsid w:val="00452D6B"/>
    <w:rsid w:val="004543A1"/>
    <w:rsid w:val="00454484"/>
    <w:rsid w:val="00454706"/>
    <w:rsid w:val="0045517B"/>
    <w:rsid w:val="00463B77"/>
    <w:rsid w:val="00463C5D"/>
    <w:rsid w:val="00463C7B"/>
    <w:rsid w:val="00464052"/>
    <w:rsid w:val="004644A6"/>
    <w:rsid w:val="004659BD"/>
    <w:rsid w:val="00470775"/>
    <w:rsid w:val="004746B1"/>
    <w:rsid w:val="0047583F"/>
    <w:rsid w:val="00475DE8"/>
    <w:rsid w:val="00481C44"/>
    <w:rsid w:val="00484936"/>
    <w:rsid w:val="00485AEC"/>
    <w:rsid w:val="00485C89"/>
    <w:rsid w:val="00486BE3"/>
    <w:rsid w:val="00487275"/>
    <w:rsid w:val="004905E4"/>
    <w:rsid w:val="00490A89"/>
    <w:rsid w:val="00490AB4"/>
    <w:rsid w:val="004913D8"/>
    <w:rsid w:val="004922E6"/>
    <w:rsid w:val="00492F02"/>
    <w:rsid w:val="004939AE"/>
    <w:rsid w:val="004A12DF"/>
    <w:rsid w:val="004A1BA8"/>
    <w:rsid w:val="004A2D8A"/>
    <w:rsid w:val="004A4B57"/>
    <w:rsid w:val="004A63FA"/>
    <w:rsid w:val="004A6A3D"/>
    <w:rsid w:val="004B0272"/>
    <w:rsid w:val="004B2701"/>
    <w:rsid w:val="004B2E1B"/>
    <w:rsid w:val="004B3AA8"/>
    <w:rsid w:val="004B3E93"/>
    <w:rsid w:val="004C1FBC"/>
    <w:rsid w:val="004C25A2"/>
    <w:rsid w:val="004C3F1D"/>
    <w:rsid w:val="004C458D"/>
    <w:rsid w:val="004C7556"/>
    <w:rsid w:val="004C7C9F"/>
    <w:rsid w:val="004C7E8B"/>
    <w:rsid w:val="004C7E9D"/>
    <w:rsid w:val="004C7F67"/>
    <w:rsid w:val="004D076D"/>
    <w:rsid w:val="004D0EF1"/>
    <w:rsid w:val="004D2253"/>
    <w:rsid w:val="004D4079"/>
    <w:rsid w:val="004D418A"/>
    <w:rsid w:val="004D4406"/>
    <w:rsid w:val="004D6D07"/>
    <w:rsid w:val="004D7C42"/>
    <w:rsid w:val="004E0465"/>
    <w:rsid w:val="004E127B"/>
    <w:rsid w:val="004E1C0A"/>
    <w:rsid w:val="004E2166"/>
    <w:rsid w:val="004E265F"/>
    <w:rsid w:val="004E30C5"/>
    <w:rsid w:val="004E4AA5"/>
    <w:rsid w:val="004E4AEE"/>
    <w:rsid w:val="004E59E3"/>
    <w:rsid w:val="004E6670"/>
    <w:rsid w:val="004E67C0"/>
    <w:rsid w:val="004F0CAF"/>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9F6"/>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04"/>
    <w:rsid w:val="0055013B"/>
    <w:rsid w:val="00551F6F"/>
    <w:rsid w:val="00554908"/>
    <w:rsid w:val="00555044"/>
    <w:rsid w:val="00561475"/>
    <w:rsid w:val="00561618"/>
    <w:rsid w:val="005617DC"/>
    <w:rsid w:val="00562308"/>
    <w:rsid w:val="0056487B"/>
    <w:rsid w:val="00564FB9"/>
    <w:rsid w:val="00570C75"/>
    <w:rsid w:val="00572CB8"/>
    <w:rsid w:val="00573D9E"/>
    <w:rsid w:val="00576FDD"/>
    <w:rsid w:val="005801E3"/>
    <w:rsid w:val="00580867"/>
    <w:rsid w:val="00581802"/>
    <w:rsid w:val="005836A8"/>
    <w:rsid w:val="0058409C"/>
    <w:rsid w:val="00584262"/>
    <w:rsid w:val="00586630"/>
    <w:rsid w:val="00586D95"/>
    <w:rsid w:val="00587ADD"/>
    <w:rsid w:val="00587B9B"/>
    <w:rsid w:val="00593A49"/>
    <w:rsid w:val="00596160"/>
    <w:rsid w:val="0059658D"/>
    <w:rsid w:val="005966E2"/>
    <w:rsid w:val="00597007"/>
    <w:rsid w:val="005A0966"/>
    <w:rsid w:val="005A11B7"/>
    <w:rsid w:val="005A260B"/>
    <w:rsid w:val="005A4A1B"/>
    <w:rsid w:val="005A4BD6"/>
    <w:rsid w:val="005A7830"/>
    <w:rsid w:val="005A7FCE"/>
    <w:rsid w:val="005B0F3F"/>
    <w:rsid w:val="005B191C"/>
    <w:rsid w:val="005B4903"/>
    <w:rsid w:val="005B51CE"/>
    <w:rsid w:val="005B5885"/>
    <w:rsid w:val="005B5CD7"/>
    <w:rsid w:val="005B6CF6"/>
    <w:rsid w:val="005B7422"/>
    <w:rsid w:val="005C29B8"/>
    <w:rsid w:val="005C5D58"/>
    <w:rsid w:val="005C5DC3"/>
    <w:rsid w:val="005C5F21"/>
    <w:rsid w:val="005C7156"/>
    <w:rsid w:val="005D019E"/>
    <w:rsid w:val="005D0C75"/>
    <w:rsid w:val="005D4171"/>
    <w:rsid w:val="005D6A95"/>
    <w:rsid w:val="005D6B2C"/>
    <w:rsid w:val="005D6D9C"/>
    <w:rsid w:val="005E112E"/>
    <w:rsid w:val="005E2335"/>
    <w:rsid w:val="005E34CA"/>
    <w:rsid w:val="005E3C18"/>
    <w:rsid w:val="005E4250"/>
    <w:rsid w:val="005E5065"/>
    <w:rsid w:val="005E6468"/>
    <w:rsid w:val="005E6812"/>
    <w:rsid w:val="005E7881"/>
    <w:rsid w:val="005E78E0"/>
    <w:rsid w:val="005F0D9C"/>
    <w:rsid w:val="005F284E"/>
    <w:rsid w:val="005F3C13"/>
    <w:rsid w:val="006015CE"/>
    <w:rsid w:val="00604784"/>
    <w:rsid w:val="00606419"/>
    <w:rsid w:val="00607D29"/>
    <w:rsid w:val="006118B7"/>
    <w:rsid w:val="00612952"/>
    <w:rsid w:val="00614CC1"/>
    <w:rsid w:val="00615A9D"/>
    <w:rsid w:val="00616E0F"/>
    <w:rsid w:val="006172C7"/>
    <w:rsid w:val="00617387"/>
    <w:rsid w:val="0062000C"/>
    <w:rsid w:val="006205D6"/>
    <w:rsid w:val="00624241"/>
    <w:rsid w:val="006252D8"/>
    <w:rsid w:val="006259BC"/>
    <w:rsid w:val="0062636B"/>
    <w:rsid w:val="00632182"/>
    <w:rsid w:val="00632AE0"/>
    <w:rsid w:val="0063372D"/>
    <w:rsid w:val="00633C17"/>
    <w:rsid w:val="00634D9E"/>
    <w:rsid w:val="00635F96"/>
    <w:rsid w:val="00636E3E"/>
    <w:rsid w:val="006379F7"/>
    <w:rsid w:val="00637E4D"/>
    <w:rsid w:val="00640620"/>
    <w:rsid w:val="00641769"/>
    <w:rsid w:val="00641A1F"/>
    <w:rsid w:val="006437A5"/>
    <w:rsid w:val="00645904"/>
    <w:rsid w:val="00651ACB"/>
    <w:rsid w:val="00651C47"/>
    <w:rsid w:val="00652AB2"/>
    <w:rsid w:val="006531CD"/>
    <w:rsid w:val="00653FED"/>
    <w:rsid w:val="00654944"/>
    <w:rsid w:val="00654EC0"/>
    <w:rsid w:val="0065525B"/>
    <w:rsid w:val="00655D4F"/>
    <w:rsid w:val="00656D29"/>
    <w:rsid w:val="00660484"/>
    <w:rsid w:val="006640E5"/>
    <w:rsid w:val="00664496"/>
    <w:rsid w:val="006646F1"/>
    <w:rsid w:val="00664929"/>
    <w:rsid w:val="00664F62"/>
    <w:rsid w:val="006655E1"/>
    <w:rsid w:val="00670771"/>
    <w:rsid w:val="00672060"/>
    <w:rsid w:val="00672BFD"/>
    <w:rsid w:val="006741AA"/>
    <w:rsid w:val="006770F4"/>
    <w:rsid w:val="00677A84"/>
    <w:rsid w:val="0068017E"/>
    <w:rsid w:val="0068026D"/>
    <w:rsid w:val="00680A27"/>
    <w:rsid w:val="006816A4"/>
    <w:rsid w:val="006819B8"/>
    <w:rsid w:val="006840A6"/>
    <w:rsid w:val="006850CD"/>
    <w:rsid w:val="0068528F"/>
    <w:rsid w:val="00685AAB"/>
    <w:rsid w:val="0069327F"/>
    <w:rsid w:val="00693962"/>
    <w:rsid w:val="00695FE7"/>
    <w:rsid w:val="0069691B"/>
    <w:rsid w:val="006A07AA"/>
    <w:rsid w:val="006A25E5"/>
    <w:rsid w:val="006A2B46"/>
    <w:rsid w:val="006A336D"/>
    <w:rsid w:val="006A37B9"/>
    <w:rsid w:val="006B2672"/>
    <w:rsid w:val="006B54BF"/>
    <w:rsid w:val="006B5F44"/>
    <w:rsid w:val="006B5F90"/>
    <w:rsid w:val="006B62E4"/>
    <w:rsid w:val="006C1BBA"/>
    <w:rsid w:val="006C2079"/>
    <w:rsid w:val="006C3F95"/>
    <w:rsid w:val="006C5A62"/>
    <w:rsid w:val="006C5D68"/>
    <w:rsid w:val="006C6976"/>
    <w:rsid w:val="006C6DD0"/>
    <w:rsid w:val="006D04EA"/>
    <w:rsid w:val="006D16C4"/>
    <w:rsid w:val="006D3E96"/>
    <w:rsid w:val="006D4515"/>
    <w:rsid w:val="006D4BB1"/>
    <w:rsid w:val="006D4E42"/>
    <w:rsid w:val="006D6593"/>
    <w:rsid w:val="006E7280"/>
    <w:rsid w:val="006F03A8"/>
    <w:rsid w:val="006F045E"/>
    <w:rsid w:val="006F2ACA"/>
    <w:rsid w:val="006F2ADC"/>
    <w:rsid w:val="006F2BFE"/>
    <w:rsid w:val="006F31E9"/>
    <w:rsid w:val="006F6284"/>
    <w:rsid w:val="007002C5"/>
    <w:rsid w:val="00701B06"/>
    <w:rsid w:val="00704387"/>
    <w:rsid w:val="00705CEF"/>
    <w:rsid w:val="00707274"/>
    <w:rsid w:val="00707669"/>
    <w:rsid w:val="007110DF"/>
    <w:rsid w:val="00711CBA"/>
    <w:rsid w:val="00711FB5"/>
    <w:rsid w:val="00712A01"/>
    <w:rsid w:val="00714F58"/>
    <w:rsid w:val="00722FBF"/>
    <w:rsid w:val="00722FC2"/>
    <w:rsid w:val="00724E1B"/>
    <w:rsid w:val="00724E5E"/>
    <w:rsid w:val="00725949"/>
    <w:rsid w:val="00725D9F"/>
    <w:rsid w:val="00727FA2"/>
    <w:rsid w:val="007322D9"/>
    <w:rsid w:val="00732BC0"/>
    <w:rsid w:val="0073720F"/>
    <w:rsid w:val="00737796"/>
    <w:rsid w:val="0074165C"/>
    <w:rsid w:val="00742C35"/>
    <w:rsid w:val="00742ED3"/>
    <w:rsid w:val="007432CA"/>
    <w:rsid w:val="007439EB"/>
    <w:rsid w:val="00743CB4"/>
    <w:rsid w:val="00743F0A"/>
    <w:rsid w:val="007444E8"/>
    <w:rsid w:val="0074548E"/>
    <w:rsid w:val="00745773"/>
    <w:rsid w:val="00746800"/>
    <w:rsid w:val="007501A8"/>
    <w:rsid w:val="00750D61"/>
    <w:rsid w:val="00750EE1"/>
    <w:rsid w:val="007524B9"/>
    <w:rsid w:val="00752B4D"/>
    <w:rsid w:val="00755402"/>
    <w:rsid w:val="00756B26"/>
    <w:rsid w:val="00756EDF"/>
    <w:rsid w:val="007600E3"/>
    <w:rsid w:val="00760A25"/>
    <w:rsid w:val="00765C43"/>
    <w:rsid w:val="00765EFB"/>
    <w:rsid w:val="007671CA"/>
    <w:rsid w:val="00767C61"/>
    <w:rsid w:val="0077008A"/>
    <w:rsid w:val="00773C1F"/>
    <w:rsid w:val="00774DA4"/>
    <w:rsid w:val="00776599"/>
    <w:rsid w:val="007810EC"/>
    <w:rsid w:val="0078114B"/>
    <w:rsid w:val="00781DD2"/>
    <w:rsid w:val="007823EF"/>
    <w:rsid w:val="00783ECF"/>
    <w:rsid w:val="0078413A"/>
    <w:rsid w:val="00785C27"/>
    <w:rsid w:val="00787048"/>
    <w:rsid w:val="00792337"/>
    <w:rsid w:val="007959E8"/>
    <w:rsid w:val="00795E9C"/>
    <w:rsid w:val="00796CF4"/>
    <w:rsid w:val="007A031C"/>
    <w:rsid w:val="007A0521"/>
    <w:rsid w:val="007A2E12"/>
    <w:rsid w:val="007A30AB"/>
    <w:rsid w:val="007A3475"/>
    <w:rsid w:val="007A41C8"/>
    <w:rsid w:val="007A54CE"/>
    <w:rsid w:val="007A5D3A"/>
    <w:rsid w:val="007A6FD9"/>
    <w:rsid w:val="007A7FFA"/>
    <w:rsid w:val="007B04EB"/>
    <w:rsid w:val="007B0D4F"/>
    <w:rsid w:val="007B4B1E"/>
    <w:rsid w:val="007B5A3D"/>
    <w:rsid w:val="007B5B95"/>
    <w:rsid w:val="007B6032"/>
    <w:rsid w:val="007B68EA"/>
    <w:rsid w:val="007B7453"/>
    <w:rsid w:val="007B7A9D"/>
    <w:rsid w:val="007C2D89"/>
    <w:rsid w:val="007C4593"/>
    <w:rsid w:val="007C5309"/>
    <w:rsid w:val="007C6069"/>
    <w:rsid w:val="007C67C7"/>
    <w:rsid w:val="007D005B"/>
    <w:rsid w:val="007D01E9"/>
    <w:rsid w:val="007D06C4"/>
    <w:rsid w:val="007D1352"/>
    <w:rsid w:val="007D2508"/>
    <w:rsid w:val="007D346A"/>
    <w:rsid w:val="007D6518"/>
    <w:rsid w:val="007D76BD"/>
    <w:rsid w:val="007E0BF1"/>
    <w:rsid w:val="007E5467"/>
    <w:rsid w:val="007F0ED8"/>
    <w:rsid w:val="007F0F63"/>
    <w:rsid w:val="007F2C0B"/>
    <w:rsid w:val="007F5CA8"/>
    <w:rsid w:val="007F75CE"/>
    <w:rsid w:val="008013A4"/>
    <w:rsid w:val="008027CE"/>
    <w:rsid w:val="00802F42"/>
    <w:rsid w:val="00804383"/>
    <w:rsid w:val="00804BB7"/>
    <w:rsid w:val="00804D41"/>
    <w:rsid w:val="0080663F"/>
    <w:rsid w:val="008071D7"/>
    <w:rsid w:val="00807FB8"/>
    <w:rsid w:val="00810257"/>
    <w:rsid w:val="008104F5"/>
    <w:rsid w:val="00811072"/>
    <w:rsid w:val="00811369"/>
    <w:rsid w:val="00815419"/>
    <w:rsid w:val="008163C8"/>
    <w:rsid w:val="008164A1"/>
    <w:rsid w:val="00817325"/>
    <w:rsid w:val="008174D5"/>
    <w:rsid w:val="008209E6"/>
    <w:rsid w:val="00821C6E"/>
    <w:rsid w:val="00821D19"/>
    <w:rsid w:val="00823303"/>
    <w:rsid w:val="008233B2"/>
    <w:rsid w:val="00823A9F"/>
    <w:rsid w:val="00823C85"/>
    <w:rsid w:val="00825138"/>
    <w:rsid w:val="008269DD"/>
    <w:rsid w:val="00830621"/>
    <w:rsid w:val="0083348C"/>
    <w:rsid w:val="00835805"/>
    <w:rsid w:val="008373D3"/>
    <w:rsid w:val="00840617"/>
    <w:rsid w:val="00840F84"/>
    <w:rsid w:val="008428C4"/>
    <w:rsid w:val="00842A47"/>
    <w:rsid w:val="008430CA"/>
    <w:rsid w:val="00843C13"/>
    <w:rsid w:val="00843DEF"/>
    <w:rsid w:val="00844833"/>
    <w:rsid w:val="008454F8"/>
    <w:rsid w:val="00845AFA"/>
    <w:rsid w:val="0085173A"/>
    <w:rsid w:val="008603CE"/>
    <w:rsid w:val="008620FC"/>
    <w:rsid w:val="008627A5"/>
    <w:rsid w:val="00863E05"/>
    <w:rsid w:val="00865ACA"/>
    <w:rsid w:val="00865D28"/>
    <w:rsid w:val="00865F85"/>
    <w:rsid w:val="008678FA"/>
    <w:rsid w:val="00867C10"/>
    <w:rsid w:val="0087002E"/>
    <w:rsid w:val="00870439"/>
    <w:rsid w:val="00870DA1"/>
    <w:rsid w:val="008710EB"/>
    <w:rsid w:val="00883F93"/>
    <w:rsid w:val="00884DB3"/>
    <w:rsid w:val="00885A9D"/>
    <w:rsid w:val="0088636A"/>
    <w:rsid w:val="008864F6"/>
    <w:rsid w:val="0089049D"/>
    <w:rsid w:val="008928C9"/>
    <w:rsid w:val="00892EB4"/>
    <w:rsid w:val="008930CB"/>
    <w:rsid w:val="008938DC"/>
    <w:rsid w:val="00893FD1"/>
    <w:rsid w:val="00894836"/>
    <w:rsid w:val="00895172"/>
    <w:rsid w:val="00895680"/>
    <w:rsid w:val="00896DFF"/>
    <w:rsid w:val="0089762C"/>
    <w:rsid w:val="008A1040"/>
    <w:rsid w:val="008A173B"/>
    <w:rsid w:val="008A1893"/>
    <w:rsid w:val="008A3F16"/>
    <w:rsid w:val="008A57E6"/>
    <w:rsid w:val="008A6F81"/>
    <w:rsid w:val="008A769A"/>
    <w:rsid w:val="008B0C9C"/>
    <w:rsid w:val="008B166D"/>
    <w:rsid w:val="008B17F4"/>
    <w:rsid w:val="008B3615"/>
    <w:rsid w:val="008B4AC4"/>
    <w:rsid w:val="008B50C8"/>
    <w:rsid w:val="008B5281"/>
    <w:rsid w:val="008B7A45"/>
    <w:rsid w:val="008B7E05"/>
    <w:rsid w:val="008C1797"/>
    <w:rsid w:val="008C219C"/>
    <w:rsid w:val="008C30ED"/>
    <w:rsid w:val="008C475E"/>
    <w:rsid w:val="008C4C37"/>
    <w:rsid w:val="008C619A"/>
    <w:rsid w:val="008D0CE8"/>
    <w:rsid w:val="008D15D7"/>
    <w:rsid w:val="008D2D1D"/>
    <w:rsid w:val="008D453D"/>
    <w:rsid w:val="008D53AD"/>
    <w:rsid w:val="008D562B"/>
    <w:rsid w:val="008D5733"/>
    <w:rsid w:val="008D622B"/>
    <w:rsid w:val="008D666C"/>
    <w:rsid w:val="008D7B54"/>
    <w:rsid w:val="008E0C9D"/>
    <w:rsid w:val="008E1648"/>
    <w:rsid w:val="008E1B3E"/>
    <w:rsid w:val="008E2319"/>
    <w:rsid w:val="008E2FAE"/>
    <w:rsid w:val="008E3404"/>
    <w:rsid w:val="008E4BB6"/>
    <w:rsid w:val="008E5518"/>
    <w:rsid w:val="008E579F"/>
    <w:rsid w:val="008E6A84"/>
    <w:rsid w:val="008E77AD"/>
    <w:rsid w:val="008F0CDC"/>
    <w:rsid w:val="008F17A3"/>
    <w:rsid w:val="008F1ED3"/>
    <w:rsid w:val="008F4C29"/>
    <w:rsid w:val="008F62CC"/>
    <w:rsid w:val="008F70BD"/>
    <w:rsid w:val="008F788F"/>
    <w:rsid w:val="008F7EA2"/>
    <w:rsid w:val="009004F7"/>
    <w:rsid w:val="0090065F"/>
    <w:rsid w:val="00902722"/>
    <w:rsid w:val="009027BC"/>
    <w:rsid w:val="009061AF"/>
    <w:rsid w:val="009062E6"/>
    <w:rsid w:val="0090647E"/>
    <w:rsid w:val="00911BE5"/>
    <w:rsid w:val="00911C15"/>
    <w:rsid w:val="0091216C"/>
    <w:rsid w:val="00913CA9"/>
    <w:rsid w:val="009145AE"/>
    <w:rsid w:val="009146CE"/>
    <w:rsid w:val="00914CA7"/>
    <w:rsid w:val="00915C3E"/>
    <w:rsid w:val="009161A8"/>
    <w:rsid w:val="009245AE"/>
    <w:rsid w:val="009245F5"/>
    <w:rsid w:val="009249EC"/>
    <w:rsid w:val="009273B3"/>
    <w:rsid w:val="009305B5"/>
    <w:rsid w:val="00932703"/>
    <w:rsid w:val="009378DD"/>
    <w:rsid w:val="009429D5"/>
    <w:rsid w:val="00942BF1"/>
    <w:rsid w:val="00945180"/>
    <w:rsid w:val="00945428"/>
    <w:rsid w:val="0094607B"/>
    <w:rsid w:val="00947D78"/>
    <w:rsid w:val="009515DE"/>
    <w:rsid w:val="00953604"/>
    <w:rsid w:val="00953839"/>
    <w:rsid w:val="009542F3"/>
    <w:rsid w:val="0095496B"/>
    <w:rsid w:val="00960086"/>
    <w:rsid w:val="00960F1E"/>
    <w:rsid w:val="009610DC"/>
    <w:rsid w:val="00961490"/>
    <w:rsid w:val="0096381A"/>
    <w:rsid w:val="00965E04"/>
    <w:rsid w:val="009674AD"/>
    <w:rsid w:val="00970CDC"/>
    <w:rsid w:val="0097526C"/>
    <w:rsid w:val="00975727"/>
    <w:rsid w:val="00977010"/>
    <w:rsid w:val="00977D02"/>
    <w:rsid w:val="00977FF9"/>
    <w:rsid w:val="009809BB"/>
    <w:rsid w:val="00981789"/>
    <w:rsid w:val="0098364B"/>
    <w:rsid w:val="00984AC4"/>
    <w:rsid w:val="00985537"/>
    <w:rsid w:val="009908A3"/>
    <w:rsid w:val="009911AF"/>
    <w:rsid w:val="00991875"/>
    <w:rsid w:val="00991F92"/>
    <w:rsid w:val="00992985"/>
    <w:rsid w:val="00993889"/>
    <w:rsid w:val="0099453F"/>
    <w:rsid w:val="00994B58"/>
    <w:rsid w:val="00994C8F"/>
    <w:rsid w:val="0099551B"/>
    <w:rsid w:val="00996BD2"/>
    <w:rsid w:val="00997BF1"/>
    <w:rsid w:val="009A089C"/>
    <w:rsid w:val="009A118E"/>
    <w:rsid w:val="009A21CD"/>
    <w:rsid w:val="009A278C"/>
    <w:rsid w:val="009A2BC2"/>
    <w:rsid w:val="009A37FD"/>
    <w:rsid w:val="009A3AB8"/>
    <w:rsid w:val="009A41DF"/>
    <w:rsid w:val="009A42C1"/>
    <w:rsid w:val="009A42D4"/>
    <w:rsid w:val="009A5429"/>
    <w:rsid w:val="009A709C"/>
    <w:rsid w:val="009A72AD"/>
    <w:rsid w:val="009B09E0"/>
    <w:rsid w:val="009B0BC5"/>
    <w:rsid w:val="009B0F8D"/>
    <w:rsid w:val="009B1247"/>
    <w:rsid w:val="009B49D0"/>
    <w:rsid w:val="009B6029"/>
    <w:rsid w:val="009B6971"/>
    <w:rsid w:val="009B73C3"/>
    <w:rsid w:val="009C1359"/>
    <w:rsid w:val="009C27F1"/>
    <w:rsid w:val="009C3152"/>
    <w:rsid w:val="009C3257"/>
    <w:rsid w:val="009C4CFA"/>
    <w:rsid w:val="009C5070"/>
    <w:rsid w:val="009C6983"/>
    <w:rsid w:val="009D112C"/>
    <w:rsid w:val="009D11DA"/>
    <w:rsid w:val="009D1385"/>
    <w:rsid w:val="009D24BF"/>
    <w:rsid w:val="009D2D57"/>
    <w:rsid w:val="009D47FA"/>
    <w:rsid w:val="009D4C5B"/>
    <w:rsid w:val="009D50D2"/>
    <w:rsid w:val="009D52B5"/>
    <w:rsid w:val="009D6BCA"/>
    <w:rsid w:val="009E0F62"/>
    <w:rsid w:val="009E4A58"/>
    <w:rsid w:val="009E57E9"/>
    <w:rsid w:val="009E5A2D"/>
    <w:rsid w:val="009E5AB2"/>
    <w:rsid w:val="009E6219"/>
    <w:rsid w:val="009F03B3"/>
    <w:rsid w:val="009F04FD"/>
    <w:rsid w:val="009F0F85"/>
    <w:rsid w:val="00A001A5"/>
    <w:rsid w:val="00A0096C"/>
    <w:rsid w:val="00A01757"/>
    <w:rsid w:val="00A028C0"/>
    <w:rsid w:val="00A02BAE"/>
    <w:rsid w:val="00A041FD"/>
    <w:rsid w:val="00A06A6B"/>
    <w:rsid w:val="00A07E47"/>
    <w:rsid w:val="00A10C26"/>
    <w:rsid w:val="00A129D0"/>
    <w:rsid w:val="00A12C33"/>
    <w:rsid w:val="00A138BA"/>
    <w:rsid w:val="00A14C8E"/>
    <w:rsid w:val="00A153D9"/>
    <w:rsid w:val="00A15F09"/>
    <w:rsid w:val="00A169B6"/>
    <w:rsid w:val="00A17F96"/>
    <w:rsid w:val="00A223E5"/>
    <w:rsid w:val="00A2271D"/>
    <w:rsid w:val="00A237D5"/>
    <w:rsid w:val="00A25A81"/>
    <w:rsid w:val="00A2662B"/>
    <w:rsid w:val="00A30EFC"/>
    <w:rsid w:val="00A31984"/>
    <w:rsid w:val="00A32D73"/>
    <w:rsid w:val="00A3367B"/>
    <w:rsid w:val="00A33C67"/>
    <w:rsid w:val="00A3597D"/>
    <w:rsid w:val="00A36DD1"/>
    <w:rsid w:val="00A4006C"/>
    <w:rsid w:val="00A40091"/>
    <w:rsid w:val="00A4030F"/>
    <w:rsid w:val="00A41C79"/>
    <w:rsid w:val="00A41CB5"/>
    <w:rsid w:val="00A42CDF"/>
    <w:rsid w:val="00A4452E"/>
    <w:rsid w:val="00A4472C"/>
    <w:rsid w:val="00A44E69"/>
    <w:rsid w:val="00A4661E"/>
    <w:rsid w:val="00A470D1"/>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0F59"/>
    <w:rsid w:val="00A91F82"/>
    <w:rsid w:val="00A9295B"/>
    <w:rsid w:val="00A93B09"/>
    <w:rsid w:val="00A952D7"/>
    <w:rsid w:val="00A963F7"/>
    <w:rsid w:val="00A96AD8"/>
    <w:rsid w:val="00A9790C"/>
    <w:rsid w:val="00AA052C"/>
    <w:rsid w:val="00AA1E45"/>
    <w:rsid w:val="00AA2294"/>
    <w:rsid w:val="00AA2D68"/>
    <w:rsid w:val="00AA4286"/>
    <w:rsid w:val="00AA456B"/>
    <w:rsid w:val="00AA48A5"/>
    <w:rsid w:val="00AA57F5"/>
    <w:rsid w:val="00AA672E"/>
    <w:rsid w:val="00AA6EC9"/>
    <w:rsid w:val="00AB4AF3"/>
    <w:rsid w:val="00AB6309"/>
    <w:rsid w:val="00AB6653"/>
    <w:rsid w:val="00AB6C5F"/>
    <w:rsid w:val="00AB7129"/>
    <w:rsid w:val="00AC27A6"/>
    <w:rsid w:val="00AC30F7"/>
    <w:rsid w:val="00AC3A5A"/>
    <w:rsid w:val="00AC48CE"/>
    <w:rsid w:val="00AC4D95"/>
    <w:rsid w:val="00AC5DF4"/>
    <w:rsid w:val="00AD0AEF"/>
    <w:rsid w:val="00AD11B7"/>
    <w:rsid w:val="00AD1A94"/>
    <w:rsid w:val="00AD1C05"/>
    <w:rsid w:val="00AD4126"/>
    <w:rsid w:val="00AD421C"/>
    <w:rsid w:val="00AD44FA"/>
    <w:rsid w:val="00AD5706"/>
    <w:rsid w:val="00AD6C41"/>
    <w:rsid w:val="00AE0547"/>
    <w:rsid w:val="00AE070A"/>
    <w:rsid w:val="00AE101C"/>
    <w:rsid w:val="00AE2A69"/>
    <w:rsid w:val="00AE37E5"/>
    <w:rsid w:val="00AE5972"/>
    <w:rsid w:val="00AE5EB4"/>
    <w:rsid w:val="00AE65C3"/>
    <w:rsid w:val="00AE6AAF"/>
    <w:rsid w:val="00AF0C18"/>
    <w:rsid w:val="00AF47C5"/>
    <w:rsid w:val="00AF5398"/>
    <w:rsid w:val="00AF6954"/>
    <w:rsid w:val="00B008CE"/>
    <w:rsid w:val="00B049AF"/>
    <w:rsid w:val="00B07242"/>
    <w:rsid w:val="00B10534"/>
    <w:rsid w:val="00B113DB"/>
    <w:rsid w:val="00B11D8A"/>
    <w:rsid w:val="00B12673"/>
    <w:rsid w:val="00B12981"/>
    <w:rsid w:val="00B147DD"/>
    <w:rsid w:val="00B156FD"/>
    <w:rsid w:val="00B21F61"/>
    <w:rsid w:val="00B261F1"/>
    <w:rsid w:val="00B265BC"/>
    <w:rsid w:val="00B303FC"/>
    <w:rsid w:val="00B3060B"/>
    <w:rsid w:val="00B31FB1"/>
    <w:rsid w:val="00B33952"/>
    <w:rsid w:val="00B33C5E"/>
    <w:rsid w:val="00B342F4"/>
    <w:rsid w:val="00B34369"/>
    <w:rsid w:val="00B34DC2"/>
    <w:rsid w:val="00B378E5"/>
    <w:rsid w:val="00B4346D"/>
    <w:rsid w:val="00B440F4"/>
    <w:rsid w:val="00B44157"/>
    <w:rsid w:val="00B447A5"/>
    <w:rsid w:val="00B4654C"/>
    <w:rsid w:val="00B47293"/>
    <w:rsid w:val="00B50E50"/>
    <w:rsid w:val="00B52120"/>
    <w:rsid w:val="00B532E3"/>
    <w:rsid w:val="00B54ABC"/>
    <w:rsid w:val="00B559CF"/>
    <w:rsid w:val="00B56FBE"/>
    <w:rsid w:val="00B60ACF"/>
    <w:rsid w:val="00B62B58"/>
    <w:rsid w:val="00B65149"/>
    <w:rsid w:val="00B65EAD"/>
    <w:rsid w:val="00B66567"/>
    <w:rsid w:val="00B66F52"/>
    <w:rsid w:val="00B66FE5"/>
    <w:rsid w:val="00B72880"/>
    <w:rsid w:val="00B752C7"/>
    <w:rsid w:val="00B758BF"/>
    <w:rsid w:val="00B77EC8"/>
    <w:rsid w:val="00B827A6"/>
    <w:rsid w:val="00B831CE"/>
    <w:rsid w:val="00B853E9"/>
    <w:rsid w:val="00B86677"/>
    <w:rsid w:val="00B86AA2"/>
    <w:rsid w:val="00B870E1"/>
    <w:rsid w:val="00B87131"/>
    <w:rsid w:val="00B907F4"/>
    <w:rsid w:val="00B9131F"/>
    <w:rsid w:val="00B939B1"/>
    <w:rsid w:val="00B96506"/>
    <w:rsid w:val="00B96D40"/>
    <w:rsid w:val="00B97386"/>
    <w:rsid w:val="00BA1E85"/>
    <w:rsid w:val="00BA263B"/>
    <w:rsid w:val="00BA42B2"/>
    <w:rsid w:val="00BA58D4"/>
    <w:rsid w:val="00BA5B9E"/>
    <w:rsid w:val="00BA7C9A"/>
    <w:rsid w:val="00BB58B6"/>
    <w:rsid w:val="00BB5F8F"/>
    <w:rsid w:val="00BB657A"/>
    <w:rsid w:val="00BC1A4E"/>
    <w:rsid w:val="00BC4761"/>
    <w:rsid w:val="00BC5DC7"/>
    <w:rsid w:val="00BC6B8B"/>
    <w:rsid w:val="00BC73D8"/>
    <w:rsid w:val="00BD352B"/>
    <w:rsid w:val="00BD52D7"/>
    <w:rsid w:val="00BD5AD2"/>
    <w:rsid w:val="00BD5DF9"/>
    <w:rsid w:val="00BE22F3"/>
    <w:rsid w:val="00BE2415"/>
    <w:rsid w:val="00BE2977"/>
    <w:rsid w:val="00BE3162"/>
    <w:rsid w:val="00BE5B52"/>
    <w:rsid w:val="00BE7B8D"/>
    <w:rsid w:val="00BF0993"/>
    <w:rsid w:val="00BF10A9"/>
    <w:rsid w:val="00BF1703"/>
    <w:rsid w:val="00BF231C"/>
    <w:rsid w:val="00BF3F55"/>
    <w:rsid w:val="00BF51E5"/>
    <w:rsid w:val="00BF74A6"/>
    <w:rsid w:val="00C013AD"/>
    <w:rsid w:val="00C016A3"/>
    <w:rsid w:val="00C01801"/>
    <w:rsid w:val="00C04904"/>
    <w:rsid w:val="00C056B3"/>
    <w:rsid w:val="00C0782A"/>
    <w:rsid w:val="00C103E5"/>
    <w:rsid w:val="00C1276E"/>
    <w:rsid w:val="00C13319"/>
    <w:rsid w:val="00C13EE9"/>
    <w:rsid w:val="00C21540"/>
    <w:rsid w:val="00C21906"/>
    <w:rsid w:val="00C21BFA"/>
    <w:rsid w:val="00C24C8D"/>
    <w:rsid w:val="00C25FE2"/>
    <w:rsid w:val="00C26B53"/>
    <w:rsid w:val="00C279B2"/>
    <w:rsid w:val="00C32C8F"/>
    <w:rsid w:val="00C33E50"/>
    <w:rsid w:val="00C34C20"/>
    <w:rsid w:val="00C35A3E"/>
    <w:rsid w:val="00C36D85"/>
    <w:rsid w:val="00C37E3A"/>
    <w:rsid w:val="00C42130"/>
    <w:rsid w:val="00C423A4"/>
    <w:rsid w:val="00C423E3"/>
    <w:rsid w:val="00C44BF5"/>
    <w:rsid w:val="00C46FB4"/>
    <w:rsid w:val="00C506F8"/>
    <w:rsid w:val="00C521D6"/>
    <w:rsid w:val="00C55232"/>
    <w:rsid w:val="00C55326"/>
    <w:rsid w:val="00C553A4"/>
    <w:rsid w:val="00C553D0"/>
    <w:rsid w:val="00C55A06"/>
    <w:rsid w:val="00C55D03"/>
    <w:rsid w:val="00C601BC"/>
    <w:rsid w:val="00C6329F"/>
    <w:rsid w:val="00C63340"/>
    <w:rsid w:val="00C643F9"/>
    <w:rsid w:val="00C64E95"/>
    <w:rsid w:val="00C66D1F"/>
    <w:rsid w:val="00C71372"/>
    <w:rsid w:val="00C72410"/>
    <w:rsid w:val="00C7287F"/>
    <w:rsid w:val="00C806DF"/>
    <w:rsid w:val="00C80CB8"/>
    <w:rsid w:val="00C816D5"/>
    <w:rsid w:val="00C819F8"/>
    <w:rsid w:val="00C8248C"/>
    <w:rsid w:val="00C84E33"/>
    <w:rsid w:val="00C86D6F"/>
    <w:rsid w:val="00C905FC"/>
    <w:rsid w:val="00C92D03"/>
    <w:rsid w:val="00C9319C"/>
    <w:rsid w:val="00C9435D"/>
    <w:rsid w:val="00C94DF2"/>
    <w:rsid w:val="00C96741"/>
    <w:rsid w:val="00C96BF7"/>
    <w:rsid w:val="00CA2D1B"/>
    <w:rsid w:val="00CA375D"/>
    <w:rsid w:val="00CA662A"/>
    <w:rsid w:val="00CA7AFD"/>
    <w:rsid w:val="00CA7C3C"/>
    <w:rsid w:val="00CB0189"/>
    <w:rsid w:val="00CB0BA2"/>
    <w:rsid w:val="00CB195B"/>
    <w:rsid w:val="00CB1A42"/>
    <w:rsid w:val="00CB1B0C"/>
    <w:rsid w:val="00CB2C0B"/>
    <w:rsid w:val="00CB517D"/>
    <w:rsid w:val="00CB6F85"/>
    <w:rsid w:val="00CC038D"/>
    <w:rsid w:val="00CC08DB"/>
    <w:rsid w:val="00CC1C42"/>
    <w:rsid w:val="00CC39FF"/>
    <w:rsid w:val="00CC3C2F"/>
    <w:rsid w:val="00CC4AC8"/>
    <w:rsid w:val="00CC5233"/>
    <w:rsid w:val="00CC5DE6"/>
    <w:rsid w:val="00CC6E4E"/>
    <w:rsid w:val="00CC6FE8"/>
    <w:rsid w:val="00CC7202"/>
    <w:rsid w:val="00CC77BD"/>
    <w:rsid w:val="00CD2808"/>
    <w:rsid w:val="00CD28BF"/>
    <w:rsid w:val="00CD4092"/>
    <w:rsid w:val="00CD4A20"/>
    <w:rsid w:val="00CD50A1"/>
    <w:rsid w:val="00CD519E"/>
    <w:rsid w:val="00CE0C4F"/>
    <w:rsid w:val="00CE30EA"/>
    <w:rsid w:val="00CE49A9"/>
    <w:rsid w:val="00CF048A"/>
    <w:rsid w:val="00CF155A"/>
    <w:rsid w:val="00CF2947"/>
    <w:rsid w:val="00CF686F"/>
    <w:rsid w:val="00CF6E60"/>
    <w:rsid w:val="00CF7BCA"/>
    <w:rsid w:val="00D008FD"/>
    <w:rsid w:val="00D0321C"/>
    <w:rsid w:val="00D035EC"/>
    <w:rsid w:val="00D03C7A"/>
    <w:rsid w:val="00D05013"/>
    <w:rsid w:val="00D06AB1"/>
    <w:rsid w:val="00D06FC1"/>
    <w:rsid w:val="00D072ED"/>
    <w:rsid w:val="00D07A16"/>
    <w:rsid w:val="00D1067E"/>
    <w:rsid w:val="00D10F50"/>
    <w:rsid w:val="00D11272"/>
    <w:rsid w:val="00D1255C"/>
    <w:rsid w:val="00D126F5"/>
    <w:rsid w:val="00D1489E"/>
    <w:rsid w:val="00D15859"/>
    <w:rsid w:val="00D179AE"/>
    <w:rsid w:val="00D20737"/>
    <w:rsid w:val="00D20A5A"/>
    <w:rsid w:val="00D21E81"/>
    <w:rsid w:val="00D223DE"/>
    <w:rsid w:val="00D23106"/>
    <w:rsid w:val="00D2493B"/>
    <w:rsid w:val="00D25E37"/>
    <w:rsid w:val="00D26594"/>
    <w:rsid w:val="00D2661A"/>
    <w:rsid w:val="00D27582"/>
    <w:rsid w:val="00D27EC4"/>
    <w:rsid w:val="00D32719"/>
    <w:rsid w:val="00D33333"/>
    <w:rsid w:val="00D352A2"/>
    <w:rsid w:val="00D356CE"/>
    <w:rsid w:val="00D41054"/>
    <w:rsid w:val="00D4162B"/>
    <w:rsid w:val="00D4514F"/>
    <w:rsid w:val="00D451E2"/>
    <w:rsid w:val="00D45389"/>
    <w:rsid w:val="00D45E89"/>
    <w:rsid w:val="00D45E8D"/>
    <w:rsid w:val="00D466AE"/>
    <w:rsid w:val="00D4734F"/>
    <w:rsid w:val="00D51BF3"/>
    <w:rsid w:val="00D66846"/>
    <w:rsid w:val="00D675FB"/>
    <w:rsid w:val="00D71F25"/>
    <w:rsid w:val="00D72A9C"/>
    <w:rsid w:val="00D74D3A"/>
    <w:rsid w:val="00D77031"/>
    <w:rsid w:val="00D806D6"/>
    <w:rsid w:val="00D84941"/>
    <w:rsid w:val="00D84FA1"/>
    <w:rsid w:val="00D851F0"/>
    <w:rsid w:val="00D86DB7"/>
    <w:rsid w:val="00D87BF5"/>
    <w:rsid w:val="00D90721"/>
    <w:rsid w:val="00D926D0"/>
    <w:rsid w:val="00D93030"/>
    <w:rsid w:val="00D93C41"/>
    <w:rsid w:val="00D950E1"/>
    <w:rsid w:val="00D952A6"/>
    <w:rsid w:val="00D97F99"/>
    <w:rsid w:val="00DA01E6"/>
    <w:rsid w:val="00DA1E08"/>
    <w:rsid w:val="00DA24F8"/>
    <w:rsid w:val="00DA28E8"/>
    <w:rsid w:val="00DA38D3"/>
    <w:rsid w:val="00DA3932"/>
    <w:rsid w:val="00DA3AFC"/>
    <w:rsid w:val="00DA64F8"/>
    <w:rsid w:val="00DA6C15"/>
    <w:rsid w:val="00DB0258"/>
    <w:rsid w:val="00DB38EE"/>
    <w:rsid w:val="00DB498B"/>
    <w:rsid w:val="00DB5444"/>
    <w:rsid w:val="00DB584B"/>
    <w:rsid w:val="00DB66CA"/>
    <w:rsid w:val="00DB6BCA"/>
    <w:rsid w:val="00DB6F54"/>
    <w:rsid w:val="00DB73F7"/>
    <w:rsid w:val="00DB7491"/>
    <w:rsid w:val="00DC0321"/>
    <w:rsid w:val="00DC2B52"/>
    <w:rsid w:val="00DC3067"/>
    <w:rsid w:val="00DC370B"/>
    <w:rsid w:val="00DC4BAA"/>
    <w:rsid w:val="00DC5B90"/>
    <w:rsid w:val="00DD00FF"/>
    <w:rsid w:val="00DD0619"/>
    <w:rsid w:val="00DD07FB"/>
    <w:rsid w:val="00DD25C6"/>
    <w:rsid w:val="00DD2F21"/>
    <w:rsid w:val="00DD4FE5"/>
    <w:rsid w:val="00DD54B0"/>
    <w:rsid w:val="00DD57EE"/>
    <w:rsid w:val="00DD58B8"/>
    <w:rsid w:val="00DD6BCC"/>
    <w:rsid w:val="00DD77BC"/>
    <w:rsid w:val="00DE0A4B"/>
    <w:rsid w:val="00DE2410"/>
    <w:rsid w:val="00DE2939"/>
    <w:rsid w:val="00DE404C"/>
    <w:rsid w:val="00DE5F9F"/>
    <w:rsid w:val="00DE6E81"/>
    <w:rsid w:val="00DE703F"/>
    <w:rsid w:val="00DE7595"/>
    <w:rsid w:val="00DF1961"/>
    <w:rsid w:val="00DF44DE"/>
    <w:rsid w:val="00E00029"/>
    <w:rsid w:val="00E01138"/>
    <w:rsid w:val="00E02DFB"/>
    <w:rsid w:val="00E030F9"/>
    <w:rsid w:val="00E0311A"/>
    <w:rsid w:val="00E03138"/>
    <w:rsid w:val="00E06404"/>
    <w:rsid w:val="00E06A33"/>
    <w:rsid w:val="00E11A85"/>
    <w:rsid w:val="00E12495"/>
    <w:rsid w:val="00E13A0C"/>
    <w:rsid w:val="00E15CCD"/>
    <w:rsid w:val="00E202EF"/>
    <w:rsid w:val="00E210B5"/>
    <w:rsid w:val="00E2552F"/>
    <w:rsid w:val="00E3137A"/>
    <w:rsid w:val="00E32CCF"/>
    <w:rsid w:val="00E34A98"/>
    <w:rsid w:val="00E35D1E"/>
    <w:rsid w:val="00E364F9"/>
    <w:rsid w:val="00E365FA"/>
    <w:rsid w:val="00E36789"/>
    <w:rsid w:val="00E36844"/>
    <w:rsid w:val="00E42638"/>
    <w:rsid w:val="00E44A83"/>
    <w:rsid w:val="00E502C1"/>
    <w:rsid w:val="00E502DD"/>
    <w:rsid w:val="00E50CE7"/>
    <w:rsid w:val="00E50D3A"/>
    <w:rsid w:val="00E51387"/>
    <w:rsid w:val="00E51E68"/>
    <w:rsid w:val="00E52EFD"/>
    <w:rsid w:val="00E5408A"/>
    <w:rsid w:val="00E54DCA"/>
    <w:rsid w:val="00E56800"/>
    <w:rsid w:val="00E60C63"/>
    <w:rsid w:val="00E61F86"/>
    <w:rsid w:val="00E62FF9"/>
    <w:rsid w:val="00E635D6"/>
    <w:rsid w:val="00E639BC"/>
    <w:rsid w:val="00E664CC"/>
    <w:rsid w:val="00E70388"/>
    <w:rsid w:val="00E70F92"/>
    <w:rsid w:val="00E74313"/>
    <w:rsid w:val="00E74C54"/>
    <w:rsid w:val="00E77A03"/>
    <w:rsid w:val="00E821C6"/>
    <w:rsid w:val="00E822E8"/>
    <w:rsid w:val="00E82554"/>
    <w:rsid w:val="00E82606"/>
    <w:rsid w:val="00E831C1"/>
    <w:rsid w:val="00E8362E"/>
    <w:rsid w:val="00E846C8"/>
    <w:rsid w:val="00E84957"/>
    <w:rsid w:val="00E84A55"/>
    <w:rsid w:val="00E85629"/>
    <w:rsid w:val="00E85BFF"/>
    <w:rsid w:val="00E90391"/>
    <w:rsid w:val="00E906C2"/>
    <w:rsid w:val="00E91ED2"/>
    <w:rsid w:val="00E92D93"/>
    <w:rsid w:val="00E9311F"/>
    <w:rsid w:val="00E934D1"/>
    <w:rsid w:val="00E94AF0"/>
    <w:rsid w:val="00E95D13"/>
    <w:rsid w:val="00E95DD3"/>
    <w:rsid w:val="00E969D5"/>
    <w:rsid w:val="00EA1C25"/>
    <w:rsid w:val="00EA58D1"/>
    <w:rsid w:val="00EA61BC"/>
    <w:rsid w:val="00EA681A"/>
    <w:rsid w:val="00EA735B"/>
    <w:rsid w:val="00EB1E69"/>
    <w:rsid w:val="00EB2086"/>
    <w:rsid w:val="00EB31ED"/>
    <w:rsid w:val="00EB5EDF"/>
    <w:rsid w:val="00EB60FE"/>
    <w:rsid w:val="00EB74DB"/>
    <w:rsid w:val="00EC5359"/>
    <w:rsid w:val="00EC5493"/>
    <w:rsid w:val="00EC562A"/>
    <w:rsid w:val="00ED067A"/>
    <w:rsid w:val="00ED279A"/>
    <w:rsid w:val="00ED2B50"/>
    <w:rsid w:val="00ED4C5B"/>
    <w:rsid w:val="00EE0350"/>
    <w:rsid w:val="00EE0719"/>
    <w:rsid w:val="00EE0E80"/>
    <w:rsid w:val="00EE6009"/>
    <w:rsid w:val="00EE613F"/>
    <w:rsid w:val="00EE7295"/>
    <w:rsid w:val="00EE7446"/>
    <w:rsid w:val="00EE7869"/>
    <w:rsid w:val="00EE7DC7"/>
    <w:rsid w:val="00EF054A"/>
    <w:rsid w:val="00EF3235"/>
    <w:rsid w:val="00EF7E72"/>
    <w:rsid w:val="00F03248"/>
    <w:rsid w:val="00F035F4"/>
    <w:rsid w:val="00F06D37"/>
    <w:rsid w:val="00F077BC"/>
    <w:rsid w:val="00F07B9D"/>
    <w:rsid w:val="00F11586"/>
    <w:rsid w:val="00F1183B"/>
    <w:rsid w:val="00F11C9F"/>
    <w:rsid w:val="00F12263"/>
    <w:rsid w:val="00F1409D"/>
    <w:rsid w:val="00F14214"/>
    <w:rsid w:val="00F157A9"/>
    <w:rsid w:val="00F16F00"/>
    <w:rsid w:val="00F25BB6"/>
    <w:rsid w:val="00F26B7E"/>
    <w:rsid w:val="00F26C36"/>
    <w:rsid w:val="00F27A3B"/>
    <w:rsid w:val="00F31867"/>
    <w:rsid w:val="00F32780"/>
    <w:rsid w:val="00F33817"/>
    <w:rsid w:val="00F354A5"/>
    <w:rsid w:val="00F35578"/>
    <w:rsid w:val="00F36937"/>
    <w:rsid w:val="00F4171C"/>
    <w:rsid w:val="00F420D5"/>
    <w:rsid w:val="00F44A30"/>
    <w:rsid w:val="00F44B35"/>
    <w:rsid w:val="00F451EA"/>
    <w:rsid w:val="00F4527E"/>
    <w:rsid w:val="00F45447"/>
    <w:rsid w:val="00F456C6"/>
    <w:rsid w:val="00F4577B"/>
    <w:rsid w:val="00F46496"/>
    <w:rsid w:val="00F46ED2"/>
    <w:rsid w:val="00F474D0"/>
    <w:rsid w:val="00F50179"/>
    <w:rsid w:val="00F515EE"/>
    <w:rsid w:val="00F56511"/>
    <w:rsid w:val="00F57C40"/>
    <w:rsid w:val="00F6194E"/>
    <w:rsid w:val="00F623AC"/>
    <w:rsid w:val="00F6412A"/>
    <w:rsid w:val="00F65893"/>
    <w:rsid w:val="00F66A4A"/>
    <w:rsid w:val="00F67643"/>
    <w:rsid w:val="00F703F1"/>
    <w:rsid w:val="00F71E22"/>
    <w:rsid w:val="00F72142"/>
    <w:rsid w:val="00F72AE7"/>
    <w:rsid w:val="00F731C4"/>
    <w:rsid w:val="00F73A27"/>
    <w:rsid w:val="00F8253F"/>
    <w:rsid w:val="00F828F2"/>
    <w:rsid w:val="00F8290A"/>
    <w:rsid w:val="00F833BA"/>
    <w:rsid w:val="00F84FD0"/>
    <w:rsid w:val="00F859A8"/>
    <w:rsid w:val="00F85E9C"/>
    <w:rsid w:val="00F86D87"/>
    <w:rsid w:val="00F901FE"/>
    <w:rsid w:val="00F9108B"/>
    <w:rsid w:val="00F91349"/>
    <w:rsid w:val="00F91745"/>
    <w:rsid w:val="00F93A8A"/>
    <w:rsid w:val="00F95248"/>
    <w:rsid w:val="00F956A9"/>
    <w:rsid w:val="00F963ED"/>
    <w:rsid w:val="00F966CF"/>
    <w:rsid w:val="00F96CAE"/>
    <w:rsid w:val="00F97C99"/>
    <w:rsid w:val="00FA5888"/>
    <w:rsid w:val="00FA662D"/>
    <w:rsid w:val="00FA73B1"/>
    <w:rsid w:val="00FB0AA0"/>
    <w:rsid w:val="00FB0CB9"/>
    <w:rsid w:val="00FB231D"/>
    <w:rsid w:val="00FB38BF"/>
    <w:rsid w:val="00FB45F1"/>
    <w:rsid w:val="00FB4A72"/>
    <w:rsid w:val="00FB54E8"/>
    <w:rsid w:val="00FB7054"/>
    <w:rsid w:val="00FB7BD4"/>
    <w:rsid w:val="00FC17B7"/>
    <w:rsid w:val="00FC2CB7"/>
    <w:rsid w:val="00FC4090"/>
    <w:rsid w:val="00FC414D"/>
    <w:rsid w:val="00FC55B4"/>
    <w:rsid w:val="00FC77E4"/>
    <w:rsid w:val="00FD00E6"/>
    <w:rsid w:val="00FD09A1"/>
    <w:rsid w:val="00FD2A7C"/>
    <w:rsid w:val="00FD45B6"/>
    <w:rsid w:val="00FD59EB"/>
    <w:rsid w:val="00FD7299"/>
    <w:rsid w:val="00FD7E3C"/>
    <w:rsid w:val="00FE1FBE"/>
    <w:rsid w:val="00FE3901"/>
    <w:rsid w:val="00FE39D3"/>
    <w:rsid w:val="00FE459C"/>
    <w:rsid w:val="00FE4BCE"/>
    <w:rsid w:val="00FE54AE"/>
    <w:rsid w:val="00FE576A"/>
    <w:rsid w:val="00FE7E79"/>
    <w:rsid w:val="00FF08C9"/>
    <w:rsid w:val="00FF1301"/>
    <w:rsid w:val="00FF1575"/>
    <w:rsid w:val="00FF2AFB"/>
    <w:rsid w:val="00FF3E7D"/>
    <w:rsid w:val="00FF574D"/>
    <w:rsid w:val="00FF5B99"/>
    <w:rsid w:val="00FF5E37"/>
    <w:rsid w:val="00FF730C"/>
    <w:rsid w:val="00FF73F4"/>
    <w:rsid w:val="00FF7CE4"/>
    <w:rsid w:val="00FF7E39"/>
    <w:rsid w:val="08252341"/>
    <w:rsid w:val="61F445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qFormat="1" w:unhideWhenUsed="0" w:uiPriority="0" w:semiHidden="0" w:name="index 3"/>
    <w:lsdException w:unhideWhenUsed="0" w:uiPriority="0" w:semiHidden="0" w:name="index 4"/>
    <w:lsdException w:unhideWhenUsed="0" w:uiPriority="0" w:semiHidden="0"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0"/>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1"/>
    <w:qFormat/>
    <w:uiPriority w:val="0"/>
    <w:pPr>
      <w:keepNext/>
      <w:keepLines/>
      <w:spacing w:before="260" w:after="260" w:line="416" w:lineRule="auto"/>
      <w:outlineLvl w:val="2"/>
    </w:pPr>
    <w:rPr>
      <w:b/>
      <w:bCs/>
      <w:sz w:val="32"/>
      <w:szCs w:val="32"/>
    </w:rPr>
  </w:style>
  <w:style w:type="paragraph" w:styleId="5">
    <w:name w:val="heading 4"/>
    <w:basedOn w:val="1"/>
    <w:next w:val="1"/>
    <w:link w:val="42"/>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3"/>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4"/>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5"/>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6"/>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7"/>
    <w:qFormat/>
    <w:uiPriority w:val="0"/>
    <w:pPr>
      <w:keepNext/>
      <w:keepLines/>
      <w:adjustRightInd/>
      <w:spacing w:before="240" w:after="64" w:line="320" w:lineRule="auto"/>
      <w:outlineLvl w:val="8"/>
    </w:pPr>
    <w:rPr>
      <w:rFonts w:ascii="Arial" w:hAnsi="Arial" w:eastAsia="黑体"/>
    </w:rPr>
  </w:style>
  <w:style w:type="character" w:default="1" w:styleId="33">
    <w:name w:val="Default Paragraph Font"/>
    <w:semiHidden/>
    <w:unhideWhenUsed/>
    <w:uiPriority w:val="1"/>
  </w:style>
  <w:style w:type="table" w:default="1" w:styleId="31">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index 5"/>
    <w:basedOn w:val="1"/>
    <w:next w:val="1"/>
    <w:uiPriority w:val="0"/>
    <w:pPr>
      <w:adjustRightInd/>
      <w:spacing w:line="240" w:lineRule="auto"/>
      <w:ind w:left="1050" w:hanging="210"/>
      <w:jc w:val="left"/>
    </w:pPr>
    <w:rPr>
      <w:sz w:val="20"/>
      <w:szCs w:val="20"/>
    </w:rPr>
  </w:style>
  <w:style w:type="paragraph" w:styleId="14">
    <w:name w:val="Body Text"/>
    <w:basedOn w:val="1"/>
    <w:link w:val="91"/>
    <w:uiPriority w:val="0"/>
    <w:pPr>
      <w:spacing w:after="120"/>
    </w:pPr>
  </w:style>
  <w:style w:type="paragraph" w:styleId="15">
    <w:name w:val="index 4"/>
    <w:basedOn w:val="1"/>
    <w:next w:val="1"/>
    <w:uiPriority w:val="0"/>
    <w:pPr>
      <w:adjustRightInd/>
      <w:spacing w:line="240" w:lineRule="auto"/>
      <w:ind w:left="840" w:hanging="210"/>
      <w:jc w:val="left"/>
    </w:pPr>
    <w:rPr>
      <w:sz w:val="20"/>
      <w:szCs w:val="20"/>
    </w:rPr>
  </w:style>
  <w:style w:type="paragraph" w:styleId="16">
    <w:name w:val="toc 5"/>
    <w:basedOn w:val="1"/>
    <w:next w:val="1"/>
    <w:unhideWhenUsed/>
    <w:qFormat/>
    <w:uiPriority w:val="39"/>
    <w:pPr>
      <w:ind w:left="839"/>
    </w:pPr>
    <w:rPr>
      <w:rFonts w:ascii="宋体"/>
    </w:rPr>
  </w:style>
  <w:style w:type="paragraph" w:styleId="17">
    <w:name w:val="toc 3"/>
    <w:basedOn w:val="1"/>
    <w:next w:val="1"/>
    <w:unhideWhenUsed/>
    <w:qFormat/>
    <w:uiPriority w:val="39"/>
    <w:pPr>
      <w:spacing w:line="300" w:lineRule="exact"/>
      <w:ind w:left="420"/>
    </w:pPr>
    <w:rPr>
      <w:rFonts w:ascii="宋体"/>
    </w:rPr>
  </w:style>
  <w:style w:type="paragraph" w:styleId="18">
    <w:name w:val="toc 8"/>
    <w:basedOn w:val="1"/>
    <w:next w:val="1"/>
    <w:unhideWhenUsed/>
    <w:qFormat/>
    <w:uiPriority w:val="39"/>
    <w:pPr>
      <w:adjustRightInd/>
      <w:spacing w:line="240" w:lineRule="auto"/>
      <w:ind w:left="2940" w:leftChars="1400"/>
    </w:pPr>
    <w:rPr>
      <w:rFonts w:asciiTheme="minorHAnsi" w:hAnsiTheme="minorHAnsi" w:eastAsiaTheme="minorEastAsia" w:cstheme="minorBidi"/>
      <w:szCs w:val="22"/>
    </w:rPr>
  </w:style>
  <w:style w:type="paragraph" w:styleId="19">
    <w:name w:val="index 3"/>
    <w:basedOn w:val="1"/>
    <w:next w:val="1"/>
    <w:qFormat/>
    <w:uiPriority w:val="0"/>
    <w:pPr>
      <w:adjustRightInd/>
      <w:spacing w:line="240" w:lineRule="auto"/>
      <w:ind w:left="630" w:hanging="210"/>
      <w:jc w:val="left"/>
    </w:pPr>
    <w:rPr>
      <w:sz w:val="20"/>
      <w:szCs w:val="20"/>
    </w:rPr>
  </w:style>
  <w:style w:type="paragraph" w:styleId="20">
    <w:name w:val="Balloon Text"/>
    <w:basedOn w:val="1"/>
    <w:link w:val="50"/>
    <w:semiHidden/>
    <w:unhideWhenUsed/>
    <w:qFormat/>
    <w:uiPriority w:val="99"/>
    <w:rPr>
      <w:sz w:val="18"/>
      <w:szCs w:val="18"/>
    </w:rPr>
  </w:style>
  <w:style w:type="paragraph" w:styleId="21">
    <w:name w:val="footer"/>
    <w:basedOn w:val="1"/>
    <w:link w:val="49"/>
    <w:qFormat/>
    <w:uiPriority w:val="99"/>
    <w:pPr>
      <w:tabs>
        <w:tab w:val="center" w:pos="4153"/>
        <w:tab w:val="right" w:pos="8306"/>
      </w:tabs>
      <w:adjustRightInd/>
      <w:snapToGrid w:val="0"/>
      <w:spacing w:line="240" w:lineRule="auto"/>
      <w:jc w:val="right"/>
    </w:pPr>
    <w:rPr>
      <w:rFonts w:ascii="宋体"/>
      <w:sz w:val="18"/>
      <w:szCs w:val="18"/>
    </w:rPr>
  </w:style>
  <w:style w:type="paragraph" w:styleId="22">
    <w:name w:val="header"/>
    <w:basedOn w:val="1"/>
    <w:next w:val="1"/>
    <w:link w:val="48"/>
    <w:qFormat/>
    <w:uiPriority w:val="99"/>
    <w:pPr>
      <w:tabs>
        <w:tab w:val="center" w:pos="4153"/>
        <w:tab w:val="right" w:pos="8306"/>
      </w:tabs>
      <w:adjustRightInd/>
      <w:snapToGrid w:val="0"/>
      <w:jc w:val="center"/>
    </w:pPr>
    <w:rPr>
      <w:sz w:val="18"/>
      <w:szCs w:val="18"/>
    </w:rPr>
  </w:style>
  <w:style w:type="paragraph" w:styleId="23">
    <w:name w:val="toc 1"/>
    <w:basedOn w:val="1"/>
    <w:next w:val="1"/>
    <w:unhideWhenUsed/>
    <w:uiPriority w:val="39"/>
    <w:rPr>
      <w:rFonts w:ascii="宋体"/>
    </w:rPr>
  </w:style>
  <w:style w:type="paragraph" w:styleId="24">
    <w:name w:val="toc 4"/>
    <w:basedOn w:val="1"/>
    <w:next w:val="1"/>
    <w:unhideWhenUsed/>
    <w:qFormat/>
    <w:uiPriority w:val="39"/>
    <w:pPr>
      <w:tabs>
        <w:tab w:val="right" w:leader="dot" w:pos="9344"/>
      </w:tabs>
      <w:spacing w:line="300" w:lineRule="exact"/>
      <w:ind w:left="629"/>
    </w:pPr>
    <w:rPr>
      <w:rFonts w:ascii="宋体"/>
    </w:rPr>
  </w:style>
  <w:style w:type="paragraph" w:styleId="25">
    <w:name w:val="footnote text"/>
    <w:basedOn w:val="1"/>
    <w:next w:val="1"/>
    <w:link w:val="104"/>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6">
    <w:name w:val="toc 6"/>
    <w:basedOn w:val="1"/>
    <w:next w:val="1"/>
    <w:unhideWhenUsed/>
    <w:qFormat/>
    <w:uiPriority w:val="39"/>
    <w:pPr>
      <w:spacing w:line="300" w:lineRule="exact"/>
      <w:ind w:left="1049"/>
    </w:pPr>
    <w:rPr>
      <w:rFonts w:ascii="宋体"/>
    </w:rPr>
  </w:style>
  <w:style w:type="paragraph" w:styleId="27">
    <w:name w:val="table of figures"/>
    <w:basedOn w:val="1"/>
    <w:next w:val="1"/>
    <w:semiHidden/>
    <w:uiPriority w:val="0"/>
    <w:pPr>
      <w:adjustRightInd/>
      <w:spacing w:line="240" w:lineRule="auto"/>
      <w:jc w:val="left"/>
    </w:pPr>
    <w:rPr>
      <w:szCs w:val="24"/>
    </w:rPr>
  </w:style>
  <w:style w:type="paragraph" w:styleId="28">
    <w:name w:val="toc 2"/>
    <w:basedOn w:val="1"/>
    <w:next w:val="1"/>
    <w:unhideWhenUsed/>
    <w:uiPriority w:val="39"/>
    <w:pPr>
      <w:tabs>
        <w:tab w:val="right" w:leader="dot" w:pos="9344"/>
      </w:tabs>
      <w:spacing w:line="300" w:lineRule="exact"/>
      <w:ind w:left="210"/>
    </w:pPr>
    <w:rPr>
      <w:rFonts w:ascii="宋体"/>
    </w:rPr>
  </w:style>
  <w:style w:type="paragraph" w:styleId="29">
    <w:name w:val="toc 9"/>
    <w:basedOn w:val="1"/>
    <w:next w:val="1"/>
    <w:unhideWhenUsed/>
    <w:qFormat/>
    <w:uiPriority w:val="39"/>
    <w:pPr>
      <w:adjustRightInd/>
      <w:spacing w:line="240" w:lineRule="auto"/>
      <w:ind w:left="3360" w:leftChars="1600"/>
    </w:pPr>
    <w:rPr>
      <w:rFonts w:asciiTheme="minorHAnsi" w:hAnsiTheme="minorHAnsi" w:eastAsiaTheme="minorEastAsia" w:cstheme="minorBidi"/>
      <w:szCs w:val="22"/>
    </w:rPr>
  </w:style>
  <w:style w:type="paragraph" w:styleId="30">
    <w:name w:val="Title"/>
    <w:basedOn w:val="1"/>
    <w:link w:val="53"/>
    <w:qFormat/>
    <w:uiPriority w:val="0"/>
    <w:pPr>
      <w:spacing w:before="240" w:after="60"/>
      <w:jc w:val="center"/>
      <w:outlineLvl w:val="0"/>
    </w:pPr>
    <w:rPr>
      <w:rFonts w:ascii="Arial" w:hAnsi="Arial" w:cs="Arial"/>
      <w:b/>
      <w:bCs/>
      <w:sz w:val="32"/>
      <w:szCs w:val="32"/>
    </w:rPr>
  </w:style>
  <w:style w:type="table" w:styleId="32">
    <w:name w:val="Table Grid"/>
    <w:basedOn w:val="31"/>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qFormat/>
    <w:uiPriority w:val="22"/>
    <w:rPr>
      <w:b/>
      <w:bCs/>
    </w:rPr>
  </w:style>
  <w:style w:type="character" w:styleId="35">
    <w:name w:val="page number"/>
    <w:uiPriority w:val="0"/>
    <w:rPr>
      <w:rFonts w:ascii="宋体" w:hAnsi="Times New Roman" w:eastAsia="宋体"/>
      <w:sz w:val="18"/>
    </w:rPr>
  </w:style>
  <w:style w:type="character" w:styleId="36">
    <w:name w:val="Emphasis"/>
    <w:qFormat/>
    <w:uiPriority w:val="20"/>
    <w:rPr>
      <w:i/>
      <w:iCs/>
    </w:rPr>
  </w:style>
  <w:style w:type="character" w:styleId="37">
    <w:name w:val="Hyperlink"/>
    <w:qFormat/>
    <w:uiPriority w:val="99"/>
    <w:rPr>
      <w:rFonts w:ascii="宋体" w:hAnsi="Times New Roman" w:eastAsia="宋体"/>
      <w:color w:val="auto"/>
      <w:spacing w:val="0"/>
      <w:w w:val="100"/>
      <w:position w:val="0"/>
      <w:sz w:val="21"/>
      <w:u w:val="none"/>
      <w:vertAlign w:val="baseline"/>
    </w:rPr>
  </w:style>
  <w:style w:type="character" w:styleId="38">
    <w:name w:val="footnote reference"/>
    <w:semiHidden/>
    <w:qFormat/>
    <w:uiPriority w:val="0"/>
    <w:rPr>
      <w:rFonts w:ascii="宋体" w:hAnsi="宋体" w:eastAsia="宋体" w:cs="Times New Roman"/>
      <w:spacing w:val="0"/>
      <w:sz w:val="18"/>
      <w:vertAlign w:val="superscript"/>
    </w:rPr>
  </w:style>
  <w:style w:type="character" w:customStyle="1" w:styleId="39">
    <w:name w:val="标题 1 字符"/>
    <w:link w:val="2"/>
    <w:qFormat/>
    <w:uiPriority w:val="0"/>
    <w:rPr>
      <w:b/>
      <w:bCs/>
      <w:kern w:val="44"/>
      <w:sz w:val="44"/>
      <w:szCs w:val="44"/>
    </w:rPr>
  </w:style>
  <w:style w:type="character" w:customStyle="1" w:styleId="40">
    <w:name w:val="标题 2 字符"/>
    <w:link w:val="3"/>
    <w:qFormat/>
    <w:uiPriority w:val="99"/>
    <w:rPr>
      <w:rFonts w:ascii="Arial" w:hAnsi="Arial" w:eastAsia="黑体"/>
      <w:b/>
      <w:bCs/>
      <w:kern w:val="2"/>
      <w:sz w:val="32"/>
      <w:szCs w:val="32"/>
    </w:rPr>
  </w:style>
  <w:style w:type="character" w:customStyle="1" w:styleId="41">
    <w:name w:val="标题 3 字符"/>
    <w:link w:val="4"/>
    <w:qFormat/>
    <w:uiPriority w:val="0"/>
    <w:rPr>
      <w:b/>
      <w:bCs/>
      <w:kern w:val="2"/>
      <w:sz w:val="32"/>
      <w:szCs w:val="32"/>
    </w:rPr>
  </w:style>
  <w:style w:type="character" w:customStyle="1" w:styleId="42">
    <w:name w:val="标题 4 字符"/>
    <w:link w:val="5"/>
    <w:qFormat/>
    <w:uiPriority w:val="0"/>
    <w:rPr>
      <w:rFonts w:ascii="Arial" w:hAnsi="Arial" w:eastAsia="黑体"/>
      <w:b/>
      <w:bCs/>
      <w:kern w:val="2"/>
      <w:sz w:val="28"/>
      <w:szCs w:val="28"/>
    </w:rPr>
  </w:style>
  <w:style w:type="character" w:customStyle="1" w:styleId="43">
    <w:name w:val="标题 5 字符"/>
    <w:link w:val="6"/>
    <w:qFormat/>
    <w:uiPriority w:val="0"/>
    <w:rPr>
      <w:b/>
      <w:bCs/>
      <w:kern w:val="2"/>
      <w:sz w:val="28"/>
      <w:szCs w:val="28"/>
    </w:rPr>
  </w:style>
  <w:style w:type="character" w:customStyle="1" w:styleId="44">
    <w:name w:val="标题 6 字符"/>
    <w:link w:val="7"/>
    <w:qFormat/>
    <w:uiPriority w:val="0"/>
    <w:rPr>
      <w:rFonts w:ascii="Arial" w:hAnsi="Arial" w:eastAsia="黑体"/>
      <w:b/>
      <w:bCs/>
      <w:kern w:val="2"/>
      <w:sz w:val="24"/>
      <w:szCs w:val="24"/>
    </w:rPr>
  </w:style>
  <w:style w:type="character" w:customStyle="1" w:styleId="45">
    <w:name w:val="标题 7 字符"/>
    <w:link w:val="8"/>
    <w:qFormat/>
    <w:uiPriority w:val="0"/>
    <w:rPr>
      <w:b/>
      <w:bCs/>
      <w:kern w:val="2"/>
      <w:sz w:val="24"/>
      <w:szCs w:val="24"/>
    </w:rPr>
  </w:style>
  <w:style w:type="character" w:customStyle="1" w:styleId="46">
    <w:name w:val="标题 8 字符"/>
    <w:link w:val="9"/>
    <w:qFormat/>
    <w:uiPriority w:val="0"/>
    <w:rPr>
      <w:rFonts w:ascii="Arial" w:hAnsi="Arial" w:eastAsia="黑体"/>
      <w:kern w:val="2"/>
      <w:sz w:val="24"/>
      <w:szCs w:val="24"/>
    </w:rPr>
  </w:style>
  <w:style w:type="character" w:customStyle="1" w:styleId="47">
    <w:name w:val="标题 9 字符"/>
    <w:link w:val="10"/>
    <w:qFormat/>
    <w:uiPriority w:val="0"/>
    <w:rPr>
      <w:rFonts w:ascii="Arial" w:hAnsi="Arial" w:eastAsia="黑体"/>
      <w:kern w:val="2"/>
      <w:sz w:val="21"/>
      <w:szCs w:val="21"/>
    </w:rPr>
  </w:style>
  <w:style w:type="character" w:customStyle="1" w:styleId="48">
    <w:name w:val="页眉 字符"/>
    <w:link w:val="22"/>
    <w:qFormat/>
    <w:uiPriority w:val="99"/>
    <w:rPr>
      <w:kern w:val="2"/>
      <w:sz w:val="18"/>
      <w:szCs w:val="18"/>
    </w:rPr>
  </w:style>
  <w:style w:type="character" w:customStyle="1" w:styleId="49">
    <w:name w:val="页脚 字符"/>
    <w:link w:val="21"/>
    <w:qFormat/>
    <w:uiPriority w:val="99"/>
    <w:rPr>
      <w:rFonts w:ascii="宋体"/>
      <w:kern w:val="2"/>
      <w:sz w:val="18"/>
      <w:szCs w:val="18"/>
    </w:rPr>
  </w:style>
  <w:style w:type="character" w:customStyle="1" w:styleId="50">
    <w:name w:val="批注框文本 字符"/>
    <w:link w:val="20"/>
    <w:semiHidden/>
    <w:qFormat/>
    <w:uiPriority w:val="99"/>
    <w:rPr>
      <w:kern w:val="2"/>
      <w:sz w:val="18"/>
      <w:szCs w:val="18"/>
    </w:rPr>
  </w:style>
  <w:style w:type="paragraph" w:styleId="51">
    <w:name w:val="Quote"/>
    <w:basedOn w:val="1"/>
    <w:next w:val="1"/>
    <w:link w:val="52"/>
    <w:qFormat/>
    <w:uiPriority w:val="29"/>
    <w:rPr>
      <w:i/>
      <w:iCs/>
      <w:color w:val="000000"/>
    </w:rPr>
  </w:style>
  <w:style w:type="character" w:customStyle="1" w:styleId="52">
    <w:name w:val="引用 字符"/>
    <w:link w:val="51"/>
    <w:qFormat/>
    <w:uiPriority w:val="29"/>
    <w:rPr>
      <w:i/>
      <w:iCs/>
      <w:color w:val="000000"/>
      <w:kern w:val="2"/>
      <w:sz w:val="21"/>
      <w:szCs w:val="21"/>
    </w:rPr>
  </w:style>
  <w:style w:type="character" w:customStyle="1" w:styleId="53">
    <w:name w:val="标题 字符"/>
    <w:link w:val="30"/>
    <w:qFormat/>
    <w:uiPriority w:val="0"/>
    <w:rPr>
      <w:rFonts w:ascii="Arial" w:hAnsi="Arial" w:cs="Arial"/>
      <w:b/>
      <w:bCs/>
      <w:kern w:val="2"/>
      <w:sz w:val="32"/>
      <w:szCs w:val="32"/>
    </w:rPr>
  </w:style>
  <w:style w:type="paragraph" w:customStyle="1" w:styleId="54">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5">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6">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7">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8">
    <w:name w:val="标准书眉一"/>
    <w:qFormat/>
    <w:uiPriority w:val="0"/>
    <w:pPr>
      <w:jc w:val="both"/>
    </w:pPr>
    <w:rPr>
      <w:rFonts w:ascii="Times New Roman" w:hAnsi="Times New Roman" w:eastAsia="宋体" w:cs="Times New Roman"/>
      <w:lang w:val="en-US" w:eastAsia="zh-CN" w:bidi="ar-SA"/>
    </w:rPr>
  </w:style>
  <w:style w:type="paragraph" w:customStyle="1" w:styleId="59">
    <w:name w:val="标准文件_ICS"/>
    <w:basedOn w:val="1"/>
    <w:qFormat/>
    <w:uiPriority w:val="0"/>
    <w:pPr>
      <w:spacing w:line="0" w:lineRule="atLeast"/>
    </w:pPr>
    <w:rPr>
      <w:rFonts w:ascii="黑体" w:hAnsi="宋体" w:eastAsia="黑体"/>
    </w:rPr>
  </w:style>
  <w:style w:type="paragraph" w:customStyle="1" w:styleId="60">
    <w:name w:val="标准文件_标准正文"/>
    <w:basedOn w:val="1"/>
    <w:next w:val="61"/>
    <w:qFormat/>
    <w:uiPriority w:val="0"/>
    <w:pPr>
      <w:snapToGrid w:val="0"/>
      <w:ind w:firstLine="200" w:firstLineChars="200"/>
    </w:pPr>
    <w:rPr>
      <w:kern w:val="0"/>
    </w:rPr>
  </w:style>
  <w:style w:type="paragraph" w:customStyle="1" w:styleId="61">
    <w:name w:val="标准文件_段"/>
    <w:link w:val="189"/>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2">
    <w:name w:val="标准文件_版本"/>
    <w:basedOn w:val="60"/>
    <w:qFormat/>
    <w:uiPriority w:val="0"/>
    <w:pPr>
      <w:adjustRightInd/>
      <w:snapToGrid/>
      <w:ind w:firstLine="0" w:firstLineChars="0"/>
    </w:pPr>
    <w:rPr>
      <w:rFonts w:ascii="宋体" w:hAnsi="宋体"/>
      <w:kern w:val="2"/>
    </w:rPr>
  </w:style>
  <w:style w:type="paragraph" w:customStyle="1" w:styleId="63">
    <w:name w:val="标准文件_标准部门"/>
    <w:basedOn w:val="1"/>
    <w:qFormat/>
    <w:uiPriority w:val="0"/>
    <w:pPr>
      <w:jc w:val="center"/>
    </w:pPr>
    <w:rPr>
      <w:rFonts w:ascii="黑体" w:eastAsia="黑体"/>
      <w:kern w:val="0"/>
      <w:sz w:val="44"/>
    </w:rPr>
  </w:style>
  <w:style w:type="paragraph" w:customStyle="1" w:styleId="64">
    <w:name w:val="标准文件_标准代替"/>
    <w:basedOn w:val="1"/>
    <w:next w:val="1"/>
    <w:qFormat/>
    <w:uiPriority w:val="0"/>
    <w:pPr>
      <w:spacing w:line="310" w:lineRule="exact"/>
      <w:jc w:val="right"/>
    </w:pPr>
    <w:rPr>
      <w:rFonts w:ascii="宋体" w:hAnsi="宋体"/>
      <w:kern w:val="0"/>
    </w:rPr>
  </w:style>
  <w:style w:type="paragraph" w:customStyle="1" w:styleId="65">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6">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7">
    <w:name w:val="标准文件_页眉偶数页"/>
    <w:basedOn w:val="66"/>
    <w:next w:val="1"/>
    <w:qFormat/>
    <w:uiPriority w:val="0"/>
    <w:pPr>
      <w:jc w:val="left"/>
    </w:pPr>
  </w:style>
  <w:style w:type="paragraph" w:customStyle="1" w:styleId="68">
    <w:name w:val="标准文件_参考文献标题"/>
    <w:basedOn w:val="1"/>
    <w:next w:val="1"/>
    <w:qFormat/>
    <w:uiPriority w:val="0"/>
    <w:pPr>
      <w:widowControl/>
      <w:shd w:val="clear" w:color="FFFFFF" w:fill="FFFFFF"/>
      <w:adjustRightInd/>
      <w:spacing w:before="560" w:after="50" w:afterLines="50" w:line="240" w:lineRule="auto"/>
      <w:jc w:val="center"/>
      <w:outlineLvl w:val="0"/>
    </w:pPr>
    <w:rPr>
      <w:rFonts w:ascii="黑体" w:eastAsia="黑体"/>
      <w:kern w:val="0"/>
    </w:rPr>
  </w:style>
  <w:style w:type="paragraph" w:customStyle="1" w:styleId="69">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70">
    <w:name w:val="标准文件_二级条标题"/>
    <w:next w:val="61"/>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71">
    <w:name w:val="标准文件_发布"/>
    <w:qFormat/>
    <w:uiPriority w:val="0"/>
    <w:rPr>
      <w:rFonts w:ascii="黑体" w:eastAsia="黑体"/>
      <w:spacing w:val="0"/>
      <w:w w:val="100"/>
      <w:position w:val="3"/>
      <w:sz w:val="28"/>
    </w:rPr>
  </w:style>
  <w:style w:type="paragraph" w:customStyle="1" w:styleId="72">
    <w:name w:val="标准文件_方框数字列项"/>
    <w:basedOn w:val="61"/>
    <w:qFormat/>
    <w:uiPriority w:val="0"/>
    <w:pPr>
      <w:numPr>
        <w:ilvl w:val="0"/>
        <w:numId w:val="3"/>
      </w:numPr>
      <w:ind w:firstLine="0" w:firstLineChars="0"/>
    </w:pPr>
  </w:style>
  <w:style w:type="paragraph" w:customStyle="1" w:styleId="73">
    <w:name w:val="标准文件_封面标准编号"/>
    <w:basedOn w:val="1"/>
    <w:next w:val="64"/>
    <w:qFormat/>
    <w:uiPriority w:val="0"/>
    <w:pPr>
      <w:spacing w:line="310" w:lineRule="exact"/>
      <w:jc w:val="right"/>
    </w:pPr>
    <w:rPr>
      <w:rFonts w:ascii="黑体" w:eastAsia="黑体"/>
      <w:kern w:val="0"/>
      <w:sz w:val="28"/>
    </w:rPr>
  </w:style>
  <w:style w:type="paragraph" w:customStyle="1" w:styleId="74">
    <w:name w:val="标准文件_封面标准分类号"/>
    <w:basedOn w:val="1"/>
    <w:qFormat/>
    <w:uiPriority w:val="0"/>
    <w:rPr>
      <w:rFonts w:ascii="黑体" w:eastAsia="黑体"/>
      <w:b/>
      <w:kern w:val="0"/>
      <w:sz w:val="28"/>
    </w:rPr>
  </w:style>
  <w:style w:type="paragraph" w:customStyle="1" w:styleId="75">
    <w:name w:val="标准文件_封面标准名称"/>
    <w:basedOn w:val="1"/>
    <w:qFormat/>
    <w:uiPriority w:val="0"/>
    <w:pPr>
      <w:spacing w:line="240" w:lineRule="auto"/>
      <w:jc w:val="center"/>
    </w:pPr>
    <w:rPr>
      <w:rFonts w:ascii="黑体" w:eastAsia="黑体"/>
      <w:kern w:val="0"/>
      <w:sz w:val="52"/>
    </w:rPr>
  </w:style>
  <w:style w:type="paragraph" w:customStyle="1" w:styleId="76">
    <w:name w:val="标准文件_封面标准英文名称"/>
    <w:basedOn w:val="1"/>
    <w:qFormat/>
    <w:uiPriority w:val="0"/>
    <w:pPr>
      <w:spacing w:line="240" w:lineRule="auto"/>
      <w:jc w:val="center"/>
    </w:pPr>
    <w:rPr>
      <w:rFonts w:ascii="黑体" w:eastAsia="黑体"/>
      <w:b/>
      <w:sz w:val="28"/>
    </w:rPr>
  </w:style>
  <w:style w:type="paragraph" w:customStyle="1" w:styleId="77">
    <w:name w:val="标准文件_封面发布日期"/>
    <w:basedOn w:val="1"/>
    <w:qFormat/>
    <w:uiPriority w:val="0"/>
    <w:pPr>
      <w:spacing w:line="310" w:lineRule="exact"/>
    </w:pPr>
    <w:rPr>
      <w:rFonts w:ascii="黑体" w:eastAsia="黑体"/>
      <w:kern w:val="0"/>
      <w:sz w:val="28"/>
    </w:rPr>
  </w:style>
  <w:style w:type="paragraph" w:customStyle="1" w:styleId="78">
    <w:name w:val="标准文件_封面密级"/>
    <w:basedOn w:val="1"/>
    <w:qFormat/>
    <w:uiPriority w:val="0"/>
    <w:rPr>
      <w:rFonts w:eastAsia="黑体"/>
      <w:sz w:val="32"/>
    </w:rPr>
  </w:style>
  <w:style w:type="paragraph" w:customStyle="1" w:styleId="79">
    <w:name w:val="标准文件_封面实施日期"/>
    <w:basedOn w:val="1"/>
    <w:qFormat/>
    <w:uiPriority w:val="0"/>
    <w:pPr>
      <w:spacing w:line="310" w:lineRule="exact"/>
      <w:jc w:val="right"/>
    </w:pPr>
    <w:rPr>
      <w:rFonts w:ascii="黑体" w:eastAsia="黑体"/>
      <w:sz w:val="28"/>
    </w:rPr>
  </w:style>
  <w:style w:type="paragraph" w:customStyle="1" w:styleId="80">
    <w:name w:val="标准文件_封面抬头"/>
    <w:basedOn w:val="61"/>
    <w:qFormat/>
    <w:uiPriority w:val="0"/>
    <w:pPr>
      <w:adjustRightInd w:val="0"/>
      <w:spacing w:line="800" w:lineRule="exact"/>
      <w:ind w:firstLine="0" w:firstLineChars="0"/>
      <w:jc w:val="distribute"/>
    </w:pPr>
    <w:rPr>
      <w:rFonts w:ascii="黑体" w:eastAsia="黑体"/>
      <w:b/>
      <w:sz w:val="64"/>
    </w:rPr>
  </w:style>
  <w:style w:type="paragraph" w:customStyle="1" w:styleId="81">
    <w:name w:val="标准文件_附录标识"/>
    <w:next w:val="61"/>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82">
    <w:name w:val="标准文件_附录表标题"/>
    <w:next w:val="61"/>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83">
    <w:name w:val="标准文件_附录一级条标题"/>
    <w:next w:val="61"/>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4">
    <w:name w:val="标准文件_附录二级条标题"/>
    <w:basedOn w:val="83"/>
    <w:next w:val="61"/>
    <w:qFormat/>
    <w:uiPriority w:val="0"/>
    <w:pPr>
      <w:widowControl/>
      <w:numPr>
        <w:ilvl w:val="2"/>
      </w:numPr>
      <w:wordWrap w:val="0"/>
      <w:overflowPunct w:val="0"/>
      <w:autoSpaceDE w:val="0"/>
      <w:autoSpaceDN w:val="0"/>
      <w:textAlignment w:val="baseline"/>
      <w:outlineLvl w:val="3"/>
    </w:pPr>
  </w:style>
  <w:style w:type="paragraph" w:customStyle="1" w:styleId="85">
    <w:name w:val="标准文件_附录公式"/>
    <w:basedOn w:val="60"/>
    <w:next w:val="60"/>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6">
    <w:name w:val="标准文件_附录三级条标题"/>
    <w:next w:val="61"/>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7">
    <w:name w:val="标准文件_附录四级条标题"/>
    <w:next w:val="61"/>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8">
    <w:name w:val="标准文件_附录图标题"/>
    <w:next w:val="61"/>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9">
    <w:name w:val="标准文件_附录五级条标题"/>
    <w:next w:val="61"/>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90">
    <w:name w:val="标准文件_附录英文标识"/>
    <w:next w:val="14"/>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1">
    <w:name w:val="正文文本 字符"/>
    <w:link w:val="14"/>
    <w:qFormat/>
    <w:uiPriority w:val="0"/>
    <w:rPr>
      <w:kern w:val="2"/>
      <w:sz w:val="21"/>
      <w:szCs w:val="21"/>
    </w:rPr>
  </w:style>
  <w:style w:type="paragraph" w:customStyle="1" w:styleId="92">
    <w:name w:val="标准文件_附录章标题"/>
    <w:next w:val="61"/>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3">
    <w:name w:val="标准文件_公式后的破折号"/>
    <w:basedOn w:val="61"/>
    <w:next w:val="61"/>
    <w:qFormat/>
    <w:uiPriority w:val="0"/>
    <w:pPr>
      <w:ind w:left="488" w:leftChars="200" w:hanging="289" w:hangingChars="290"/>
    </w:pPr>
  </w:style>
  <w:style w:type="paragraph" w:customStyle="1" w:styleId="94">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5">
    <w:name w:val="标准文件_目次、标准名称标题"/>
    <w:basedOn w:val="94"/>
    <w:next w:val="61"/>
    <w:qFormat/>
    <w:uiPriority w:val="0"/>
    <w:pPr>
      <w:spacing w:line="460" w:lineRule="exact"/>
      <w:ind w:left="0" w:firstLine="0"/>
    </w:pPr>
  </w:style>
  <w:style w:type="paragraph" w:customStyle="1" w:styleId="96">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7">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8">
    <w:name w:val="标准文件_破折号列项（二级）"/>
    <w:basedOn w:val="97"/>
    <w:qFormat/>
    <w:uiPriority w:val="0"/>
    <w:pPr>
      <w:numPr>
        <w:numId w:val="10"/>
      </w:numPr>
    </w:pPr>
  </w:style>
  <w:style w:type="paragraph" w:customStyle="1" w:styleId="99">
    <w:name w:val="标准文件_三级条标题"/>
    <w:basedOn w:val="70"/>
    <w:next w:val="61"/>
    <w:qFormat/>
    <w:uiPriority w:val="0"/>
    <w:pPr>
      <w:widowControl/>
      <w:numPr>
        <w:ilvl w:val="4"/>
      </w:numPr>
      <w:outlineLvl w:val="3"/>
    </w:pPr>
  </w:style>
  <w:style w:type="character" w:customStyle="1" w:styleId="100">
    <w:name w:val="不明显参考1"/>
    <w:qFormat/>
    <w:uiPriority w:val="31"/>
    <w:rPr>
      <w:smallCaps/>
      <w:color w:val="C0504D"/>
      <w:u w:val="single"/>
    </w:rPr>
  </w:style>
  <w:style w:type="paragraph" w:customStyle="1" w:styleId="101">
    <w:name w:val="标准文件_示例后续"/>
    <w:basedOn w:val="1"/>
    <w:qFormat/>
    <w:uiPriority w:val="0"/>
    <w:pPr>
      <w:adjustRightInd/>
      <w:spacing w:line="240" w:lineRule="auto"/>
      <w:ind w:firstLine="200" w:firstLineChars="200"/>
    </w:pPr>
    <w:rPr>
      <w:sz w:val="18"/>
      <w:szCs w:val="24"/>
    </w:rPr>
  </w:style>
  <w:style w:type="paragraph" w:customStyle="1" w:styleId="102">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3">
    <w:name w:val="标准文件_四级条标题"/>
    <w:next w:val="61"/>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4">
    <w:name w:val="脚注文本 字符"/>
    <w:link w:val="25"/>
    <w:semiHidden/>
    <w:qFormat/>
    <w:uiPriority w:val="0"/>
    <w:rPr>
      <w:rFonts w:ascii="宋体"/>
      <w:kern w:val="2"/>
      <w:sz w:val="18"/>
      <w:szCs w:val="18"/>
    </w:rPr>
  </w:style>
  <w:style w:type="paragraph" w:customStyle="1" w:styleId="105">
    <w:name w:val="标准文件_条文脚注"/>
    <w:basedOn w:val="25"/>
    <w:qFormat/>
    <w:uiPriority w:val="0"/>
    <w:pPr>
      <w:adjustRightInd w:val="0"/>
      <w:spacing w:line="240" w:lineRule="auto"/>
      <w:ind w:left="0" w:leftChars="0" w:firstLine="200" w:firstLineChars="200"/>
      <w:jc w:val="both"/>
    </w:pPr>
    <w:rPr>
      <w:rFonts w:hAnsi="宋体"/>
    </w:rPr>
  </w:style>
  <w:style w:type="paragraph" w:customStyle="1" w:styleId="106">
    <w:name w:val="标准文件_图表脚注"/>
    <w:basedOn w:val="1"/>
    <w:next w:val="61"/>
    <w:qFormat/>
    <w:uiPriority w:val="0"/>
    <w:pPr>
      <w:numPr>
        <w:ilvl w:val="0"/>
        <w:numId w:val="12"/>
      </w:numPr>
      <w:spacing w:line="240" w:lineRule="auto"/>
      <w:jc w:val="left"/>
    </w:pPr>
    <w:rPr>
      <w:rFonts w:ascii="宋体" w:hAnsi="宋体"/>
      <w:sz w:val="18"/>
    </w:rPr>
  </w:style>
  <w:style w:type="character" w:customStyle="1" w:styleId="107">
    <w:name w:val="标准文件_图表脚注内容"/>
    <w:qFormat/>
    <w:uiPriority w:val="0"/>
    <w:rPr>
      <w:rFonts w:ascii="宋体" w:hAnsi="宋体" w:eastAsia="宋体" w:cs="Times New Roman"/>
      <w:spacing w:val="0"/>
      <w:sz w:val="18"/>
      <w:vertAlign w:val="superscript"/>
    </w:rPr>
  </w:style>
  <w:style w:type="paragraph" w:customStyle="1" w:styleId="108">
    <w:name w:val="标准文件_五级条标题"/>
    <w:next w:val="61"/>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9">
    <w:name w:val="标准文件_章标题"/>
    <w:next w:val="61"/>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10">
    <w:name w:val="标准文件_一级条标题"/>
    <w:basedOn w:val="109"/>
    <w:next w:val="61"/>
    <w:qFormat/>
    <w:uiPriority w:val="0"/>
    <w:pPr>
      <w:numPr>
        <w:ilvl w:val="2"/>
      </w:numPr>
      <w:spacing w:before="50" w:beforeLines="50" w:after="50" w:afterLines="50"/>
      <w:outlineLvl w:val="1"/>
    </w:pPr>
  </w:style>
  <w:style w:type="paragraph" w:customStyle="1" w:styleId="111">
    <w:name w:val="标准文件_一致程度"/>
    <w:basedOn w:val="1"/>
    <w:qFormat/>
    <w:uiPriority w:val="0"/>
    <w:pPr>
      <w:spacing w:line="440" w:lineRule="exact"/>
      <w:jc w:val="center"/>
    </w:pPr>
    <w:rPr>
      <w:sz w:val="28"/>
    </w:rPr>
  </w:style>
  <w:style w:type="paragraph" w:customStyle="1" w:styleId="112">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3">
    <w:name w:val="标准文件_英文图表脚注"/>
    <w:basedOn w:val="60"/>
    <w:uiPriority w:val="0"/>
    <w:pPr>
      <w:widowControl/>
      <w:adjustRightInd/>
      <w:snapToGrid/>
      <w:spacing w:line="240" w:lineRule="auto"/>
      <w:ind w:left="79" w:hanging="79" w:hangingChars="80"/>
    </w:pPr>
    <w:rPr>
      <w:rFonts w:ascii="宋体" w:hAnsi="宋体"/>
    </w:rPr>
  </w:style>
  <w:style w:type="paragraph" w:customStyle="1" w:styleId="114">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5">
    <w:name w:val="标准文件_英文注："/>
    <w:basedOn w:val="1"/>
    <w:next w:val="61"/>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6">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7">
    <w:name w:val="标准文件_正文表标题"/>
    <w:next w:val="61"/>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8">
    <w:name w:val="标准文件_正文公式"/>
    <w:basedOn w:val="1"/>
    <w:next w:val="60"/>
    <w:qFormat/>
    <w:uiPriority w:val="0"/>
    <w:pPr>
      <w:tabs>
        <w:tab w:val="center" w:pos="4678"/>
        <w:tab w:val="right" w:leader="middleDot" w:pos="9356"/>
      </w:tabs>
      <w:spacing w:line="240" w:lineRule="auto"/>
    </w:pPr>
    <w:rPr>
      <w:rFonts w:ascii="宋体" w:hAnsi="宋体"/>
    </w:rPr>
  </w:style>
  <w:style w:type="paragraph" w:customStyle="1" w:styleId="119">
    <w:name w:val="标准文件_正文图标题"/>
    <w:next w:val="61"/>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20">
    <w:name w:val="标准文件_正文英文表标题"/>
    <w:next w:val="61"/>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1">
    <w:name w:val="标准文件_正文英文图标题"/>
    <w:next w:val="61"/>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2">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3">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4">
    <w:name w:val="发布部门"/>
    <w:next w:val="61"/>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5">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6">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7">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8">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9">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30">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31">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2">
    <w:name w:val="封面正文"/>
    <w:qFormat/>
    <w:uiPriority w:val="0"/>
    <w:pPr>
      <w:jc w:val="both"/>
    </w:pPr>
    <w:rPr>
      <w:rFonts w:ascii="Times New Roman" w:hAnsi="Times New Roman" w:eastAsia="宋体" w:cs="Times New Roman"/>
      <w:lang w:val="en-US" w:eastAsia="zh-CN" w:bidi="ar-SA"/>
    </w:rPr>
  </w:style>
  <w:style w:type="paragraph" w:customStyle="1" w:styleId="133">
    <w:name w:val="附录二级无标题条"/>
    <w:basedOn w:val="1"/>
    <w:next w:val="61"/>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4">
    <w:name w:val="附录三级无标题条"/>
    <w:basedOn w:val="133"/>
    <w:next w:val="61"/>
    <w:qFormat/>
    <w:uiPriority w:val="0"/>
    <w:pPr>
      <w:outlineLvl w:val="4"/>
    </w:pPr>
  </w:style>
  <w:style w:type="paragraph" w:customStyle="1" w:styleId="135">
    <w:name w:val="附录四级无标题条"/>
    <w:basedOn w:val="134"/>
    <w:next w:val="61"/>
    <w:qFormat/>
    <w:uiPriority w:val="0"/>
    <w:pPr>
      <w:outlineLvl w:val="5"/>
    </w:pPr>
  </w:style>
  <w:style w:type="paragraph" w:customStyle="1" w:styleId="136">
    <w:name w:val="附录图"/>
    <w:next w:val="61"/>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7">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8">
    <w:name w:val="附录五级无标题条"/>
    <w:basedOn w:val="135"/>
    <w:next w:val="61"/>
    <w:qFormat/>
    <w:uiPriority w:val="0"/>
    <w:pPr>
      <w:outlineLvl w:val="6"/>
    </w:pPr>
  </w:style>
  <w:style w:type="paragraph" w:customStyle="1" w:styleId="139">
    <w:name w:val="附录性质"/>
    <w:basedOn w:val="1"/>
    <w:qFormat/>
    <w:uiPriority w:val="0"/>
    <w:pPr>
      <w:widowControl/>
      <w:adjustRightInd/>
      <w:jc w:val="center"/>
    </w:pPr>
    <w:rPr>
      <w:rFonts w:ascii="黑体" w:eastAsia="黑体"/>
    </w:rPr>
  </w:style>
  <w:style w:type="paragraph" w:customStyle="1" w:styleId="140">
    <w:name w:val="附录一级无标题条"/>
    <w:basedOn w:val="92"/>
    <w:next w:val="61"/>
    <w:qFormat/>
    <w:uiPriority w:val="0"/>
    <w:pPr>
      <w:autoSpaceDN w:val="0"/>
      <w:outlineLvl w:val="2"/>
    </w:pPr>
    <w:rPr>
      <w:rFonts w:ascii="宋体" w:hAnsi="宋体" w:eastAsia="宋体"/>
    </w:rPr>
  </w:style>
  <w:style w:type="character" w:customStyle="1" w:styleId="141">
    <w:name w:val="个人答复风格"/>
    <w:qFormat/>
    <w:uiPriority w:val="0"/>
    <w:rPr>
      <w:rFonts w:ascii="Arial" w:hAnsi="Arial" w:eastAsia="宋体" w:cs="Arial"/>
      <w:color w:val="auto"/>
      <w:spacing w:val="0"/>
      <w:sz w:val="20"/>
    </w:rPr>
  </w:style>
  <w:style w:type="character" w:customStyle="1" w:styleId="142">
    <w:name w:val="个人撰写风格"/>
    <w:qFormat/>
    <w:uiPriority w:val="0"/>
    <w:rPr>
      <w:rFonts w:ascii="Arial" w:hAnsi="Arial" w:eastAsia="宋体" w:cs="Arial"/>
      <w:color w:val="auto"/>
      <w:spacing w:val="0"/>
      <w:sz w:val="20"/>
    </w:rPr>
  </w:style>
  <w:style w:type="paragraph" w:customStyle="1" w:styleId="143">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4">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5">
    <w:name w:val="列项·"/>
    <w:basedOn w:val="61"/>
    <w:qFormat/>
    <w:uiPriority w:val="0"/>
    <w:pPr>
      <w:tabs>
        <w:tab w:val="left" w:pos="840"/>
      </w:tabs>
    </w:pPr>
  </w:style>
  <w:style w:type="paragraph" w:customStyle="1" w:styleId="146">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7">
    <w:name w:val="目录 21"/>
    <w:basedOn w:val="1"/>
    <w:next w:val="1"/>
    <w:semiHidden/>
    <w:qFormat/>
    <w:uiPriority w:val="0"/>
    <w:pPr>
      <w:adjustRightInd/>
      <w:spacing w:line="240" w:lineRule="auto"/>
      <w:jc w:val="left"/>
    </w:pPr>
    <w:rPr>
      <w:bCs/>
      <w:iCs/>
    </w:rPr>
  </w:style>
  <w:style w:type="paragraph" w:customStyle="1" w:styleId="148">
    <w:name w:val="目录 31"/>
    <w:basedOn w:val="1"/>
    <w:next w:val="1"/>
    <w:semiHidden/>
    <w:qFormat/>
    <w:uiPriority w:val="0"/>
    <w:pPr>
      <w:spacing w:line="240" w:lineRule="auto"/>
    </w:pPr>
    <w:rPr>
      <w:rFonts w:ascii="宋体" w:hAnsi="宋体"/>
      <w:iCs/>
    </w:rPr>
  </w:style>
  <w:style w:type="paragraph" w:customStyle="1" w:styleId="149">
    <w:name w:val="目录 41"/>
    <w:basedOn w:val="1"/>
    <w:next w:val="1"/>
    <w:semiHidden/>
    <w:qFormat/>
    <w:uiPriority w:val="0"/>
    <w:pPr>
      <w:adjustRightInd/>
      <w:spacing w:line="240" w:lineRule="auto"/>
      <w:jc w:val="left"/>
    </w:pPr>
  </w:style>
  <w:style w:type="paragraph" w:customStyle="1" w:styleId="150">
    <w:name w:val="目录 51"/>
    <w:basedOn w:val="1"/>
    <w:next w:val="1"/>
    <w:semiHidden/>
    <w:qFormat/>
    <w:uiPriority w:val="0"/>
    <w:pPr>
      <w:spacing w:line="240" w:lineRule="auto"/>
    </w:pPr>
    <w:rPr>
      <w:rFonts w:ascii="宋体" w:hAnsi="宋体"/>
    </w:rPr>
  </w:style>
  <w:style w:type="paragraph" w:customStyle="1" w:styleId="151">
    <w:name w:val="目录 61"/>
    <w:basedOn w:val="1"/>
    <w:next w:val="1"/>
    <w:semiHidden/>
    <w:qFormat/>
    <w:uiPriority w:val="0"/>
    <w:pPr>
      <w:adjustRightInd/>
      <w:spacing w:line="240" w:lineRule="auto"/>
      <w:jc w:val="left"/>
    </w:pPr>
  </w:style>
  <w:style w:type="paragraph" w:customStyle="1" w:styleId="152">
    <w:name w:val="目录 71"/>
    <w:basedOn w:val="151"/>
    <w:semiHidden/>
    <w:qFormat/>
    <w:uiPriority w:val="0"/>
    <w:pPr>
      <w:ind w:left="1260"/>
    </w:pPr>
  </w:style>
  <w:style w:type="paragraph" w:customStyle="1" w:styleId="153">
    <w:name w:val="目录 81"/>
    <w:basedOn w:val="152"/>
    <w:semiHidden/>
    <w:qFormat/>
    <w:uiPriority w:val="0"/>
    <w:pPr>
      <w:ind w:left="1470"/>
    </w:pPr>
  </w:style>
  <w:style w:type="paragraph" w:customStyle="1" w:styleId="154">
    <w:name w:val="目录 91"/>
    <w:basedOn w:val="153"/>
    <w:semiHidden/>
    <w:qFormat/>
    <w:uiPriority w:val="0"/>
    <w:pPr>
      <w:ind w:left="1680"/>
    </w:pPr>
  </w:style>
  <w:style w:type="paragraph" w:customStyle="1" w:styleId="155">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6">
    <w:name w:val="其他发布部门"/>
    <w:basedOn w:val="124"/>
    <w:qFormat/>
    <w:uiPriority w:val="0"/>
    <w:pPr>
      <w:framePr w:wrap="around"/>
      <w:spacing w:line="0" w:lineRule="atLeast"/>
    </w:pPr>
    <w:rPr>
      <w:rFonts w:ascii="黑体" w:eastAsia="黑体"/>
      <w:b w:val="0"/>
    </w:rPr>
  </w:style>
  <w:style w:type="paragraph" w:customStyle="1" w:styleId="157">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8">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9">
    <w:name w:val="实施日期"/>
    <w:basedOn w:val="125"/>
    <w:qFormat/>
    <w:uiPriority w:val="0"/>
    <w:pPr>
      <w:framePr w:hSpace="0" w:wrap="around" w:xAlign="right"/>
      <w:jc w:val="right"/>
    </w:pPr>
  </w:style>
  <w:style w:type="paragraph" w:customStyle="1" w:styleId="160">
    <w:name w:val="四级无标题条"/>
    <w:basedOn w:val="1"/>
    <w:qFormat/>
    <w:uiPriority w:val="0"/>
    <w:pPr>
      <w:numPr>
        <w:ilvl w:val="5"/>
        <w:numId w:val="20"/>
      </w:numPr>
      <w:adjustRightInd/>
      <w:spacing w:line="240" w:lineRule="auto"/>
    </w:pPr>
    <w:rPr>
      <w:rFonts w:ascii="宋体" w:hAnsi="宋体"/>
      <w:szCs w:val="24"/>
    </w:rPr>
  </w:style>
  <w:style w:type="paragraph" w:customStyle="1" w:styleId="161">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2">
    <w:name w:val="无标题条"/>
    <w:next w:val="61"/>
    <w:qFormat/>
    <w:uiPriority w:val="0"/>
    <w:pPr>
      <w:jc w:val="both"/>
    </w:pPr>
    <w:rPr>
      <w:rFonts w:ascii="宋体" w:hAnsi="宋体" w:eastAsia="宋体" w:cs="Times New Roman"/>
      <w:sz w:val="21"/>
      <w:lang w:val="en-US" w:eastAsia="zh-CN" w:bidi="ar-SA"/>
    </w:rPr>
  </w:style>
  <w:style w:type="paragraph" w:customStyle="1" w:styleId="163">
    <w:name w:val="五级无标题条"/>
    <w:basedOn w:val="1"/>
    <w:qFormat/>
    <w:uiPriority w:val="0"/>
    <w:pPr>
      <w:numPr>
        <w:ilvl w:val="6"/>
        <w:numId w:val="20"/>
      </w:numPr>
      <w:adjustRightInd/>
    </w:pPr>
    <w:rPr>
      <w:szCs w:val="24"/>
    </w:rPr>
  </w:style>
  <w:style w:type="paragraph" w:customStyle="1" w:styleId="164">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5">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6">
    <w:name w:val="注×:后续"/>
    <w:basedOn w:val="165"/>
    <w:qFormat/>
    <w:uiPriority w:val="0"/>
    <w:pPr>
      <w:ind w:left="1406" w:leftChars="0" w:hanging="499" w:firstLineChars="0"/>
    </w:pPr>
  </w:style>
  <w:style w:type="paragraph" w:customStyle="1" w:styleId="167">
    <w:name w:val="标准文件_一级无标题"/>
    <w:basedOn w:val="110"/>
    <w:qFormat/>
    <w:uiPriority w:val="0"/>
    <w:pPr>
      <w:spacing w:before="0" w:beforeLines="0" w:after="0" w:afterLines="0"/>
      <w:outlineLvl w:val="9"/>
    </w:pPr>
    <w:rPr>
      <w:rFonts w:ascii="宋体" w:eastAsia="宋体"/>
    </w:rPr>
  </w:style>
  <w:style w:type="paragraph" w:customStyle="1" w:styleId="168">
    <w:name w:val="标准文件_五级无标题"/>
    <w:basedOn w:val="108"/>
    <w:qFormat/>
    <w:uiPriority w:val="0"/>
    <w:pPr>
      <w:spacing w:before="0" w:beforeLines="0" w:after="0" w:afterLines="0"/>
      <w:outlineLvl w:val="9"/>
    </w:pPr>
    <w:rPr>
      <w:rFonts w:ascii="宋体" w:eastAsia="宋体"/>
    </w:rPr>
  </w:style>
  <w:style w:type="paragraph" w:customStyle="1" w:styleId="169">
    <w:name w:val="标准文件_三级无标题"/>
    <w:basedOn w:val="99"/>
    <w:qFormat/>
    <w:uiPriority w:val="0"/>
    <w:pPr>
      <w:spacing w:before="0" w:beforeLines="0" w:after="0" w:afterLines="0"/>
      <w:outlineLvl w:val="9"/>
    </w:pPr>
    <w:rPr>
      <w:rFonts w:ascii="宋体" w:eastAsia="宋体"/>
    </w:rPr>
  </w:style>
  <w:style w:type="paragraph" w:customStyle="1" w:styleId="170">
    <w:name w:val="标准文件_二级无标题"/>
    <w:basedOn w:val="70"/>
    <w:qFormat/>
    <w:uiPriority w:val="0"/>
    <w:pPr>
      <w:spacing w:before="0" w:beforeLines="0" w:after="0" w:afterLines="0"/>
      <w:outlineLvl w:val="9"/>
    </w:pPr>
    <w:rPr>
      <w:rFonts w:ascii="宋体" w:eastAsia="宋体"/>
    </w:rPr>
  </w:style>
  <w:style w:type="paragraph" w:customStyle="1" w:styleId="171">
    <w:name w:val="标准_四级无标题"/>
    <w:basedOn w:val="103"/>
    <w:next w:val="61"/>
    <w:qFormat/>
    <w:uiPriority w:val="0"/>
    <w:rPr>
      <w:rFonts w:eastAsia="宋体"/>
    </w:rPr>
  </w:style>
  <w:style w:type="paragraph" w:customStyle="1" w:styleId="172">
    <w:name w:val="标准文件_四级无标题"/>
    <w:basedOn w:val="103"/>
    <w:qFormat/>
    <w:uiPriority w:val="0"/>
    <w:pPr>
      <w:spacing w:before="0" w:beforeLines="0" w:after="0" w:afterLines="0"/>
      <w:outlineLvl w:val="9"/>
    </w:pPr>
    <w:rPr>
      <w:rFonts w:ascii="宋体" w:hAnsi="黑体" w:eastAsia="宋体"/>
      <w:szCs w:val="52"/>
    </w:rPr>
  </w:style>
  <w:style w:type="paragraph" w:customStyle="1" w:styleId="173">
    <w:name w:val="标准文件_大写罗马数字编号列项"/>
    <w:basedOn w:val="61"/>
    <w:qFormat/>
    <w:uiPriority w:val="0"/>
    <w:pPr>
      <w:numPr>
        <w:ilvl w:val="0"/>
        <w:numId w:val="23"/>
      </w:numPr>
      <w:ind w:firstLine="0" w:firstLineChars="0"/>
    </w:pPr>
    <w:rPr>
      <w:rFonts w:ascii="Times New Roman" w:cs="Arial"/>
      <w:szCs w:val="28"/>
    </w:rPr>
  </w:style>
  <w:style w:type="paragraph" w:customStyle="1" w:styleId="174">
    <w:name w:val="标准文件_小写罗马数字编号列项"/>
    <w:basedOn w:val="61"/>
    <w:qFormat/>
    <w:uiPriority w:val="0"/>
    <w:pPr>
      <w:numPr>
        <w:ilvl w:val="0"/>
        <w:numId w:val="24"/>
      </w:numPr>
      <w:ind w:firstLine="0" w:firstLineChars="0"/>
    </w:pPr>
    <w:rPr>
      <w:rFonts w:cs="Arial"/>
      <w:szCs w:val="28"/>
    </w:rPr>
  </w:style>
  <w:style w:type="paragraph" w:customStyle="1" w:styleId="175">
    <w:name w:val="标准文件_附录标题"/>
    <w:basedOn w:val="81"/>
    <w:qFormat/>
    <w:uiPriority w:val="0"/>
    <w:pPr>
      <w:numPr>
        <w:numId w:val="0"/>
      </w:numPr>
      <w:spacing w:after="280"/>
      <w:outlineLvl w:val="9"/>
    </w:pPr>
  </w:style>
  <w:style w:type="paragraph" w:customStyle="1" w:styleId="176">
    <w:name w:val="标准文件_二级项"/>
    <w:qFormat/>
    <w:uiPriority w:val="0"/>
    <w:rPr>
      <w:rFonts w:ascii="宋体" w:hAnsi="Times New Roman" w:eastAsia="宋体" w:cs="Times New Roman"/>
      <w:sz w:val="21"/>
      <w:lang w:val="en-US" w:eastAsia="zh-CN" w:bidi="ar-SA"/>
    </w:rPr>
  </w:style>
  <w:style w:type="paragraph" w:customStyle="1" w:styleId="177">
    <w:name w:val="标准文件_三级项"/>
    <w:basedOn w:val="1"/>
    <w:qFormat/>
    <w:uiPriority w:val="0"/>
    <w:pPr>
      <w:numPr>
        <w:ilvl w:val="2"/>
        <w:numId w:val="21"/>
      </w:numPr>
      <w:spacing w:line="536870612" w:lineRule="auto"/>
    </w:pPr>
    <w:rPr>
      <w:rFonts w:ascii="Times New Roman" w:hAnsi="Times New Roman"/>
    </w:rPr>
  </w:style>
  <w:style w:type="paragraph" w:customStyle="1" w:styleId="178">
    <w:name w:val="图表脚注说明"/>
    <w:basedOn w:val="1"/>
    <w:next w:val="61"/>
    <w:qFormat/>
    <w:uiPriority w:val="0"/>
    <w:pPr>
      <w:numPr>
        <w:ilvl w:val="0"/>
        <w:numId w:val="25"/>
      </w:numPr>
      <w:adjustRightInd/>
      <w:spacing w:line="240" w:lineRule="auto"/>
    </w:pPr>
    <w:rPr>
      <w:rFonts w:ascii="宋体" w:hAnsi="Times New Roman"/>
      <w:sz w:val="18"/>
      <w:szCs w:val="18"/>
    </w:rPr>
  </w:style>
  <w:style w:type="paragraph" w:customStyle="1" w:styleId="179">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80">
    <w:name w:val="标准文件_索引字母"/>
    <w:next w:val="61"/>
    <w:qFormat/>
    <w:uiPriority w:val="0"/>
    <w:pPr>
      <w:jc w:val="center"/>
    </w:pPr>
    <w:rPr>
      <w:rFonts w:ascii="宋体" w:hAnsi="宋体" w:eastAsia="Times New Roman" w:cs="Times New Roman"/>
      <w:b/>
      <w:kern w:val="2"/>
      <w:sz w:val="21"/>
      <w:lang w:val="en-US" w:eastAsia="zh-CN" w:bidi="ar-SA"/>
    </w:rPr>
  </w:style>
  <w:style w:type="paragraph" w:customStyle="1" w:styleId="181">
    <w:name w:val="标准文件_附录前"/>
    <w:next w:val="61"/>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2">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83">
    <w:name w:val="标准文件_表格"/>
    <w:basedOn w:val="61"/>
    <w:qFormat/>
    <w:uiPriority w:val="0"/>
    <w:pPr>
      <w:ind w:firstLine="0" w:firstLineChars="0"/>
      <w:jc w:val="center"/>
    </w:pPr>
    <w:rPr>
      <w:sz w:val="18"/>
    </w:rPr>
  </w:style>
  <w:style w:type="paragraph" w:customStyle="1" w:styleId="184">
    <w:name w:val="标准文件_注："/>
    <w:next w:val="61"/>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5">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6">
    <w:name w:val="标准文件_示例："/>
    <w:next w:val="187"/>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7">
    <w:name w:val="标准文件_示例内容"/>
    <w:basedOn w:val="61"/>
    <w:qFormat/>
    <w:uiPriority w:val="0"/>
    <w:pPr>
      <w:ind w:firstLine="420"/>
    </w:pPr>
    <w:rPr>
      <w:sz w:val="18"/>
    </w:rPr>
  </w:style>
  <w:style w:type="paragraph" w:customStyle="1" w:styleId="188">
    <w:name w:val="标准文件_示例×："/>
    <w:basedOn w:val="1"/>
    <w:next w:val="187"/>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9">
    <w:name w:val="标准文件_段 Char"/>
    <w:link w:val="61"/>
    <w:qFormat/>
    <w:uiPriority w:val="0"/>
    <w:rPr>
      <w:rFonts w:ascii="宋体" w:hAnsi="Times New Roman"/>
      <w:sz w:val="21"/>
    </w:rPr>
  </w:style>
  <w:style w:type="paragraph" w:customStyle="1" w:styleId="190">
    <w:name w:val="标准文件_表格续"/>
    <w:basedOn w:val="61"/>
    <w:next w:val="61"/>
    <w:qFormat/>
    <w:uiPriority w:val="0"/>
    <w:pPr>
      <w:jc w:val="center"/>
    </w:pPr>
    <w:rPr>
      <w:rFonts w:ascii="黑体" w:hAnsi="黑体" w:eastAsia="黑体"/>
    </w:rPr>
  </w:style>
  <w:style w:type="character" w:styleId="191">
    <w:name w:val="Placeholder Text"/>
    <w:basedOn w:val="33"/>
    <w:semiHidden/>
    <w:qFormat/>
    <w:uiPriority w:val="99"/>
    <w:rPr>
      <w:color w:val="808080"/>
    </w:rPr>
  </w:style>
  <w:style w:type="paragraph" w:customStyle="1" w:styleId="192">
    <w:name w:val="标准文件_二级项2"/>
    <w:basedOn w:val="61"/>
    <w:qFormat/>
    <w:uiPriority w:val="0"/>
    <w:pPr>
      <w:numPr>
        <w:ilvl w:val="1"/>
        <w:numId w:val="21"/>
      </w:numPr>
      <w:ind w:firstLine="0" w:firstLineChars="0"/>
    </w:pPr>
  </w:style>
  <w:style w:type="paragraph" w:customStyle="1" w:styleId="193">
    <w:name w:val="标准文件_三级项2"/>
    <w:basedOn w:val="61"/>
    <w:qFormat/>
    <w:uiPriority w:val="0"/>
    <w:pPr>
      <w:numPr>
        <w:ilvl w:val="0"/>
        <w:numId w:val="30"/>
      </w:numPr>
      <w:spacing w:line="300" w:lineRule="exact"/>
      <w:ind w:firstLineChars="0"/>
    </w:pPr>
    <w:rPr>
      <w:rFonts w:ascii="Times New Roman"/>
    </w:rPr>
  </w:style>
  <w:style w:type="paragraph" w:customStyle="1" w:styleId="194">
    <w:name w:val="标准文件_一级项2"/>
    <w:basedOn w:val="61"/>
    <w:qFormat/>
    <w:uiPriority w:val="0"/>
    <w:pPr>
      <w:numPr>
        <w:ilvl w:val="0"/>
        <w:numId w:val="31"/>
      </w:numPr>
      <w:spacing w:line="300" w:lineRule="exact"/>
      <w:ind w:firstLineChars="0"/>
    </w:pPr>
    <w:rPr>
      <w:rFonts w:ascii="Times New Roman"/>
    </w:rPr>
  </w:style>
  <w:style w:type="paragraph" w:customStyle="1" w:styleId="195">
    <w:name w:val="标准文件_提示"/>
    <w:basedOn w:val="61"/>
    <w:next w:val="61"/>
    <w:qFormat/>
    <w:uiPriority w:val="0"/>
    <w:pPr>
      <w:ind w:firstLine="420"/>
    </w:pPr>
    <w:rPr>
      <w:rFonts w:ascii="黑体" w:eastAsia="黑体"/>
    </w:rPr>
  </w:style>
  <w:style w:type="character" w:customStyle="1" w:styleId="196">
    <w:name w:val="标准文件_来源"/>
    <w:basedOn w:val="33"/>
    <w:qFormat/>
    <w:uiPriority w:val="1"/>
    <w:rPr>
      <w:rFonts w:eastAsia="宋体"/>
      <w:sz w:val="21"/>
    </w:rPr>
  </w:style>
  <w:style w:type="paragraph" w:customStyle="1" w:styleId="197">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8">
    <w:name w:val="其他发布日期"/>
    <w:basedOn w:val="125"/>
    <w:qFormat/>
    <w:uiPriority w:val="0"/>
    <w:pPr>
      <w:framePr w:w="3997" w:h="471" w:hRule="exact" w:hSpace="0" w:vSpace="181" w:wrap="around" w:vAnchor="page" w:hAnchor="page" w:x="1419" w:y="14097"/>
    </w:pPr>
  </w:style>
  <w:style w:type="paragraph" w:customStyle="1" w:styleId="199">
    <w:name w:val="其他实施日期"/>
    <w:basedOn w:val="159"/>
    <w:qFormat/>
    <w:uiPriority w:val="0"/>
    <w:pPr>
      <w:framePr w:w="3997" w:h="471" w:hRule="exact" w:vSpace="181" w:wrap="around" w:vAnchor="page" w:hAnchor="page" w:x="7089" w:y="14097"/>
    </w:pPr>
  </w:style>
  <w:style w:type="paragraph" w:customStyle="1" w:styleId="200">
    <w:name w:val="标准文件_文件编号"/>
    <w:basedOn w:val="61"/>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01">
    <w:name w:val="标准文件_替换文件编号"/>
    <w:basedOn w:val="200"/>
    <w:qFormat/>
    <w:uiPriority w:val="0"/>
    <w:pPr>
      <w:framePr/>
      <w:spacing w:before="57"/>
    </w:pPr>
    <w:rPr>
      <w:sz w:val="21"/>
    </w:rPr>
  </w:style>
  <w:style w:type="paragraph" w:customStyle="1" w:styleId="202">
    <w:name w:val="标准文件_文件名称"/>
    <w:basedOn w:val="61"/>
    <w:next w:val="61"/>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3">
    <w:name w:val="标准文件_附录图标号"/>
    <w:basedOn w:val="61"/>
    <w:next w:val="61"/>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4">
    <w:name w:val="标准文件_附录表标号"/>
    <w:basedOn w:val="61"/>
    <w:next w:val="61"/>
    <w:qFormat/>
    <w:uiPriority w:val="0"/>
    <w:pPr>
      <w:numPr>
        <w:ilvl w:val="0"/>
        <w:numId w:val="5"/>
      </w:numPr>
      <w:spacing w:line="14" w:lineRule="exact"/>
      <w:ind w:firstLine="0" w:firstLineChars="0"/>
      <w:jc w:val="center"/>
    </w:pPr>
    <w:rPr>
      <w:rFonts w:eastAsia="黑体"/>
      <w:vanish/>
      <w:sz w:val="2"/>
    </w:rPr>
  </w:style>
  <w:style w:type="paragraph" w:customStyle="1" w:styleId="205">
    <w:name w:val="标准文件_引言一级条标题"/>
    <w:basedOn w:val="61"/>
    <w:next w:val="61"/>
    <w:qFormat/>
    <w:uiPriority w:val="0"/>
    <w:pPr>
      <w:numPr>
        <w:ilvl w:val="1"/>
        <w:numId w:val="8"/>
      </w:numPr>
      <w:spacing w:before="50" w:beforeLines="50" w:after="50" w:afterLines="50"/>
      <w:ind w:firstLineChars="0"/>
    </w:pPr>
    <w:rPr>
      <w:rFonts w:ascii="黑体" w:eastAsia="黑体"/>
    </w:rPr>
  </w:style>
  <w:style w:type="paragraph" w:customStyle="1" w:styleId="206">
    <w:name w:val="标准文件_引言二级条标题"/>
    <w:basedOn w:val="61"/>
    <w:next w:val="61"/>
    <w:qFormat/>
    <w:uiPriority w:val="0"/>
    <w:pPr>
      <w:numPr>
        <w:ilvl w:val="2"/>
        <w:numId w:val="8"/>
      </w:numPr>
      <w:spacing w:before="50" w:beforeLines="50" w:after="50" w:afterLines="50"/>
      <w:ind w:firstLineChars="0"/>
    </w:pPr>
    <w:rPr>
      <w:rFonts w:ascii="黑体" w:eastAsia="黑体"/>
    </w:rPr>
  </w:style>
  <w:style w:type="paragraph" w:customStyle="1" w:styleId="207">
    <w:name w:val="标准文件_引言三级条标题"/>
    <w:basedOn w:val="61"/>
    <w:next w:val="61"/>
    <w:qFormat/>
    <w:uiPriority w:val="0"/>
    <w:pPr>
      <w:numPr>
        <w:ilvl w:val="3"/>
        <w:numId w:val="8"/>
      </w:numPr>
      <w:spacing w:before="50" w:beforeLines="50" w:after="50" w:afterLines="50"/>
      <w:ind w:firstLineChars="0"/>
    </w:pPr>
    <w:rPr>
      <w:rFonts w:ascii="黑体" w:eastAsia="黑体"/>
    </w:rPr>
  </w:style>
  <w:style w:type="paragraph" w:customStyle="1" w:styleId="208">
    <w:name w:val="标准文件_引言四级条标题"/>
    <w:basedOn w:val="61"/>
    <w:next w:val="61"/>
    <w:qFormat/>
    <w:uiPriority w:val="0"/>
    <w:pPr>
      <w:numPr>
        <w:ilvl w:val="4"/>
        <w:numId w:val="8"/>
      </w:numPr>
      <w:spacing w:before="50" w:beforeLines="50" w:after="50" w:afterLines="50"/>
      <w:ind w:firstLineChars="0"/>
    </w:pPr>
    <w:rPr>
      <w:rFonts w:ascii="黑体" w:eastAsia="黑体"/>
    </w:rPr>
  </w:style>
  <w:style w:type="paragraph" w:customStyle="1" w:styleId="209">
    <w:name w:val="标准文件_引言五级条标题"/>
    <w:basedOn w:val="61"/>
    <w:next w:val="61"/>
    <w:qFormat/>
    <w:uiPriority w:val="0"/>
    <w:pPr>
      <w:numPr>
        <w:ilvl w:val="5"/>
        <w:numId w:val="8"/>
      </w:numPr>
      <w:spacing w:before="50" w:beforeLines="50" w:after="50" w:afterLines="50"/>
      <w:ind w:firstLineChars="0"/>
    </w:pPr>
    <w:rPr>
      <w:rFonts w:ascii="黑体" w:eastAsia="黑体"/>
    </w:rPr>
  </w:style>
  <w:style w:type="paragraph" w:customStyle="1" w:styleId="210">
    <w:name w:val="标准文件_注后"/>
    <w:basedOn w:val="61"/>
    <w:qFormat/>
    <w:uiPriority w:val="0"/>
    <w:pPr>
      <w:ind w:left="811" w:firstLine="0" w:firstLineChars="0"/>
    </w:pPr>
    <w:rPr>
      <w:sz w:val="18"/>
    </w:rPr>
  </w:style>
  <w:style w:type="paragraph" w:customStyle="1" w:styleId="211">
    <w:name w:val="标准文件_注X后"/>
    <w:basedOn w:val="61"/>
    <w:qFormat/>
    <w:uiPriority w:val="0"/>
    <w:pPr>
      <w:ind w:left="811" w:firstLine="0" w:firstLineChars="0"/>
    </w:pPr>
    <w:rPr>
      <w:sz w:val="18"/>
    </w:rPr>
  </w:style>
  <w:style w:type="paragraph" w:customStyle="1" w:styleId="212">
    <w:name w:val="标准文件_示例后"/>
    <w:basedOn w:val="61"/>
    <w:qFormat/>
    <w:uiPriority w:val="0"/>
    <w:pPr>
      <w:ind w:left="964" w:firstLine="0" w:firstLineChars="0"/>
    </w:pPr>
    <w:rPr>
      <w:sz w:val="18"/>
    </w:rPr>
  </w:style>
  <w:style w:type="paragraph" w:customStyle="1" w:styleId="213">
    <w:name w:val="标准文件_示例X后"/>
    <w:basedOn w:val="61"/>
    <w:link w:val="214"/>
    <w:qFormat/>
    <w:uiPriority w:val="0"/>
    <w:pPr>
      <w:ind w:left="1049" w:firstLine="0" w:firstLineChars="0"/>
    </w:pPr>
    <w:rPr>
      <w:sz w:val="18"/>
    </w:rPr>
  </w:style>
  <w:style w:type="character" w:customStyle="1" w:styleId="214">
    <w:name w:val="标准文件_示例X后 字符"/>
    <w:basedOn w:val="189"/>
    <w:link w:val="213"/>
    <w:qFormat/>
    <w:uiPriority w:val="0"/>
    <w:rPr>
      <w:rFonts w:ascii="宋体" w:hAnsi="Times New Roman"/>
      <w:sz w:val="18"/>
    </w:rPr>
  </w:style>
  <w:style w:type="paragraph" w:customStyle="1" w:styleId="215">
    <w:name w:val="标准文件_索引项"/>
    <w:basedOn w:val="61"/>
    <w:next w:val="61"/>
    <w:qFormat/>
    <w:uiPriority w:val="0"/>
    <w:pPr>
      <w:tabs>
        <w:tab w:val="right" w:leader="dot" w:pos="9356"/>
      </w:tabs>
      <w:ind w:left="210" w:hanging="210" w:firstLineChars="0"/>
      <w:jc w:val="left"/>
    </w:pPr>
  </w:style>
  <w:style w:type="paragraph" w:customStyle="1" w:styleId="216">
    <w:name w:val="标准文件_附录一级无标题"/>
    <w:basedOn w:val="83"/>
    <w:qFormat/>
    <w:uiPriority w:val="0"/>
    <w:pPr>
      <w:spacing w:before="0" w:beforeLines="0" w:after="0" w:afterLines="0" w:line="276" w:lineRule="auto"/>
      <w:outlineLvl w:val="9"/>
    </w:pPr>
    <w:rPr>
      <w:rFonts w:ascii="宋体" w:eastAsia="宋体"/>
    </w:rPr>
  </w:style>
  <w:style w:type="paragraph" w:customStyle="1" w:styleId="217">
    <w:name w:val="标准文件_附录二级无标题"/>
    <w:basedOn w:val="84"/>
    <w:qFormat/>
    <w:uiPriority w:val="0"/>
    <w:pPr>
      <w:spacing w:before="0" w:beforeLines="0" w:after="0" w:afterLines="0" w:line="276" w:lineRule="auto"/>
      <w:outlineLvl w:val="9"/>
    </w:pPr>
    <w:rPr>
      <w:rFonts w:ascii="宋体" w:eastAsia="宋体"/>
    </w:rPr>
  </w:style>
  <w:style w:type="paragraph" w:customStyle="1" w:styleId="218">
    <w:name w:val="标准文件_附录三级无标题"/>
    <w:basedOn w:val="86"/>
    <w:qFormat/>
    <w:uiPriority w:val="0"/>
    <w:pPr>
      <w:spacing w:before="0" w:beforeLines="0" w:after="0" w:afterLines="0" w:line="276" w:lineRule="auto"/>
      <w:outlineLvl w:val="9"/>
    </w:pPr>
    <w:rPr>
      <w:rFonts w:ascii="宋体" w:eastAsia="宋体"/>
    </w:rPr>
  </w:style>
  <w:style w:type="paragraph" w:customStyle="1" w:styleId="219">
    <w:name w:val="标准文件_附录四级无标题"/>
    <w:basedOn w:val="87"/>
    <w:qFormat/>
    <w:uiPriority w:val="0"/>
    <w:pPr>
      <w:spacing w:before="0" w:beforeLines="0" w:after="0" w:afterLines="0" w:line="276" w:lineRule="auto"/>
      <w:outlineLvl w:val="9"/>
    </w:pPr>
    <w:rPr>
      <w:rFonts w:ascii="宋体" w:eastAsia="宋体"/>
    </w:rPr>
  </w:style>
  <w:style w:type="paragraph" w:customStyle="1" w:styleId="220">
    <w:name w:val="标准文件_附录五级无标题"/>
    <w:basedOn w:val="89"/>
    <w:qFormat/>
    <w:uiPriority w:val="0"/>
    <w:pPr>
      <w:spacing w:before="0" w:beforeLines="0" w:after="0" w:afterLines="0" w:line="276" w:lineRule="auto"/>
      <w:outlineLvl w:val="9"/>
    </w:pPr>
    <w:rPr>
      <w:rFonts w:ascii="宋体" w:eastAsia="宋体"/>
    </w:rPr>
  </w:style>
  <w:style w:type="paragraph" w:customStyle="1" w:styleId="221">
    <w:name w:val="标准文件_引言一级无标题"/>
    <w:basedOn w:val="205"/>
    <w:next w:val="61"/>
    <w:qFormat/>
    <w:uiPriority w:val="0"/>
    <w:pPr>
      <w:spacing w:before="0" w:beforeLines="0" w:after="0" w:afterLines="0" w:line="276" w:lineRule="auto"/>
    </w:pPr>
    <w:rPr>
      <w:rFonts w:ascii="宋体" w:eastAsia="宋体"/>
    </w:rPr>
  </w:style>
  <w:style w:type="paragraph" w:customStyle="1" w:styleId="222">
    <w:name w:val="标准文件_引言二级无标题"/>
    <w:basedOn w:val="206"/>
    <w:next w:val="61"/>
    <w:qFormat/>
    <w:uiPriority w:val="0"/>
    <w:pPr>
      <w:spacing w:before="0" w:beforeLines="0" w:after="0" w:afterLines="0" w:line="276" w:lineRule="auto"/>
    </w:pPr>
    <w:rPr>
      <w:rFonts w:ascii="宋体" w:eastAsia="宋体"/>
    </w:rPr>
  </w:style>
  <w:style w:type="paragraph" w:customStyle="1" w:styleId="223">
    <w:name w:val="标准文件_引言三级无标题"/>
    <w:basedOn w:val="207"/>
    <w:qFormat/>
    <w:uiPriority w:val="0"/>
    <w:pPr>
      <w:spacing w:before="0" w:beforeLines="0" w:after="0" w:afterLines="0" w:line="276" w:lineRule="auto"/>
    </w:pPr>
    <w:rPr>
      <w:rFonts w:ascii="宋体" w:eastAsia="宋体"/>
    </w:rPr>
  </w:style>
  <w:style w:type="paragraph" w:customStyle="1" w:styleId="224">
    <w:name w:val="标准文件_引言四级无标题"/>
    <w:basedOn w:val="208"/>
    <w:next w:val="61"/>
    <w:qFormat/>
    <w:uiPriority w:val="0"/>
    <w:pPr>
      <w:spacing w:before="0" w:beforeLines="0" w:after="0" w:afterLines="0" w:line="276" w:lineRule="auto"/>
    </w:pPr>
    <w:rPr>
      <w:rFonts w:ascii="宋体" w:eastAsia="宋体"/>
    </w:rPr>
  </w:style>
  <w:style w:type="paragraph" w:customStyle="1" w:styleId="225">
    <w:name w:val="标准文件_引言五级无标题"/>
    <w:basedOn w:val="209"/>
    <w:next w:val="61"/>
    <w:qFormat/>
    <w:uiPriority w:val="0"/>
    <w:pPr>
      <w:spacing w:before="0" w:beforeLines="0" w:after="0" w:afterLines="0" w:line="276" w:lineRule="auto"/>
    </w:pPr>
    <w:rPr>
      <w:rFonts w:ascii="宋体" w:eastAsia="宋体"/>
    </w:rPr>
  </w:style>
  <w:style w:type="paragraph" w:customStyle="1" w:styleId="226">
    <w:name w:val="标准文件_索引标题"/>
    <w:basedOn w:val="68"/>
    <w:next w:val="61"/>
    <w:qFormat/>
    <w:uiPriority w:val="0"/>
    <w:rPr>
      <w:rFonts w:hAnsi="黑体"/>
    </w:rPr>
  </w:style>
  <w:style w:type="paragraph" w:customStyle="1" w:styleId="227">
    <w:name w:val="标准文件_脚注内容"/>
    <w:basedOn w:val="61"/>
    <w:qFormat/>
    <w:uiPriority w:val="0"/>
    <w:pPr>
      <w:ind w:left="400" w:leftChars="200" w:hanging="200" w:hangingChars="200"/>
    </w:pPr>
    <w:rPr>
      <w:sz w:val="15"/>
    </w:rPr>
  </w:style>
  <w:style w:type="paragraph" w:customStyle="1" w:styleId="228">
    <w:name w:val="标准文件_术语条一"/>
    <w:basedOn w:val="167"/>
    <w:next w:val="61"/>
    <w:qFormat/>
    <w:uiPriority w:val="0"/>
  </w:style>
  <w:style w:type="paragraph" w:customStyle="1" w:styleId="229">
    <w:name w:val="标准文件_术语条二"/>
    <w:basedOn w:val="170"/>
    <w:next w:val="61"/>
    <w:qFormat/>
    <w:uiPriority w:val="0"/>
  </w:style>
  <w:style w:type="paragraph" w:customStyle="1" w:styleId="230">
    <w:name w:val="标准文件_术语条三"/>
    <w:basedOn w:val="169"/>
    <w:next w:val="61"/>
    <w:qFormat/>
    <w:uiPriority w:val="0"/>
  </w:style>
  <w:style w:type="paragraph" w:customStyle="1" w:styleId="231">
    <w:name w:val="标准文件_术语条四"/>
    <w:basedOn w:val="172"/>
    <w:next w:val="61"/>
    <w:qFormat/>
    <w:uiPriority w:val="0"/>
  </w:style>
  <w:style w:type="paragraph" w:customStyle="1" w:styleId="232">
    <w:name w:val="标准文件_术语条五"/>
    <w:basedOn w:val="168"/>
    <w:next w:val="61"/>
    <w:qFormat/>
    <w:uiPriority w:val="0"/>
  </w:style>
  <w:style w:type="paragraph" w:customStyle="1" w:styleId="23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4">
    <w:name w:val="发布"/>
    <w:basedOn w:val="33"/>
    <w:qFormat/>
    <w:uiPriority w:val="0"/>
    <w:rPr>
      <w:rFonts w:ascii="黑体" w:eastAsia="黑体"/>
      <w:spacing w:val="85"/>
      <w:w w:val="100"/>
      <w:position w:val="3"/>
      <w:sz w:val="28"/>
      <w:szCs w:val="28"/>
    </w:rPr>
  </w:style>
  <w:style w:type="paragraph" w:customStyle="1" w:styleId="235">
    <w:name w:val="段"/>
    <w:link w:val="236"/>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36">
    <w:name w:val="段 Char"/>
    <w:link w:val="235"/>
    <w:qFormat/>
    <w:uiPriority w:val="0"/>
    <w:rPr>
      <w:rFonts w:ascii="宋体" w:hAnsi="Times New Roman"/>
      <w:sz w:val="21"/>
    </w:rPr>
  </w:style>
  <w:style w:type="paragraph" w:customStyle="1" w:styleId="237">
    <w:name w:val="一级条标题"/>
    <w:next w:val="235"/>
    <w:link w:val="242"/>
    <w:qFormat/>
    <w:uiPriority w:val="0"/>
    <w:pPr>
      <w:numPr>
        <w:ilvl w:val="1"/>
        <w:numId w:val="32"/>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238">
    <w:name w:val="章标题"/>
    <w:next w:val="235"/>
    <w:qFormat/>
    <w:uiPriority w:val="0"/>
    <w:pPr>
      <w:numPr>
        <w:ilvl w:val="0"/>
        <w:numId w:val="32"/>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239">
    <w:name w:val="二级条标题"/>
    <w:basedOn w:val="237"/>
    <w:next w:val="235"/>
    <w:link w:val="250"/>
    <w:qFormat/>
    <w:uiPriority w:val="0"/>
    <w:pPr>
      <w:numPr>
        <w:ilvl w:val="2"/>
      </w:numPr>
      <w:tabs>
        <w:tab w:val="left" w:pos="1963"/>
      </w:tabs>
      <w:spacing w:before="50" w:after="50"/>
      <w:ind w:left="1963" w:hanging="420"/>
      <w:outlineLvl w:val="3"/>
    </w:pPr>
  </w:style>
  <w:style w:type="paragraph" w:customStyle="1" w:styleId="240">
    <w:name w:val="四级条标题"/>
    <w:basedOn w:val="1"/>
    <w:next w:val="235"/>
    <w:qFormat/>
    <w:uiPriority w:val="0"/>
    <w:pPr>
      <w:widowControl/>
      <w:numPr>
        <w:ilvl w:val="4"/>
        <w:numId w:val="32"/>
      </w:numPr>
      <w:adjustRightInd/>
      <w:spacing w:before="50" w:beforeLines="50" w:after="50" w:afterLines="50" w:line="240" w:lineRule="auto"/>
      <w:jc w:val="left"/>
      <w:outlineLvl w:val="5"/>
    </w:pPr>
    <w:rPr>
      <w:rFonts w:ascii="黑体" w:hAnsi="Times New Roman" w:eastAsia="黑体"/>
      <w:kern w:val="0"/>
    </w:rPr>
  </w:style>
  <w:style w:type="paragraph" w:customStyle="1" w:styleId="241">
    <w:name w:val="五级条标题"/>
    <w:basedOn w:val="240"/>
    <w:next w:val="235"/>
    <w:qFormat/>
    <w:uiPriority w:val="0"/>
    <w:pPr>
      <w:numPr>
        <w:ilvl w:val="5"/>
      </w:numPr>
      <w:outlineLvl w:val="6"/>
    </w:pPr>
  </w:style>
  <w:style w:type="character" w:customStyle="1" w:styleId="242">
    <w:name w:val="一级条标题 Char"/>
    <w:link w:val="237"/>
    <w:qFormat/>
    <w:uiPriority w:val="0"/>
    <w:rPr>
      <w:rFonts w:ascii="黑体" w:hAnsi="Times New Roman" w:eastAsia="黑体"/>
      <w:sz w:val="21"/>
      <w:szCs w:val="21"/>
    </w:rPr>
  </w:style>
  <w:style w:type="paragraph" w:customStyle="1" w:styleId="243">
    <w:name w:val="一级无"/>
    <w:basedOn w:val="237"/>
    <w:qFormat/>
    <w:uiPriority w:val="0"/>
    <w:pPr>
      <w:numPr>
        <w:ilvl w:val="0"/>
        <w:numId w:val="0"/>
      </w:numPr>
      <w:spacing w:before="0" w:beforeLines="0" w:after="0" w:afterLines="0"/>
    </w:pPr>
    <w:rPr>
      <w:rFonts w:ascii="宋体" w:eastAsia="宋体"/>
    </w:rPr>
  </w:style>
  <w:style w:type="paragraph" w:customStyle="1" w:styleId="244">
    <w:name w:val="正文图标题"/>
    <w:next w:val="235"/>
    <w:link w:val="245"/>
    <w:qFormat/>
    <w:uiPriority w:val="0"/>
    <w:pPr>
      <w:spacing w:before="156" w:beforeLines="50" w:after="156" w:afterLines="50"/>
      <w:jc w:val="center"/>
    </w:pPr>
    <w:rPr>
      <w:rFonts w:ascii="黑体" w:hAnsi="Times New Roman" w:eastAsia="黑体" w:cs="Times New Roman"/>
      <w:sz w:val="21"/>
      <w:lang w:val="en-US" w:eastAsia="zh-CN" w:bidi="ar-SA"/>
    </w:rPr>
  </w:style>
  <w:style w:type="character" w:customStyle="1" w:styleId="245">
    <w:name w:val="正文图标题 Char"/>
    <w:link w:val="244"/>
    <w:qFormat/>
    <w:uiPriority w:val="0"/>
    <w:rPr>
      <w:rFonts w:ascii="黑体" w:hAnsi="Times New Roman" w:eastAsia="黑体"/>
      <w:sz w:val="21"/>
    </w:rPr>
  </w:style>
  <w:style w:type="paragraph" w:customStyle="1" w:styleId="246">
    <w:name w:val="示例"/>
    <w:next w:val="1"/>
    <w:qFormat/>
    <w:uiPriority w:val="0"/>
    <w:pPr>
      <w:widowControl w:val="0"/>
      <w:ind w:firstLine="363"/>
      <w:jc w:val="both"/>
    </w:pPr>
    <w:rPr>
      <w:rFonts w:ascii="宋体" w:hAnsi="Times New Roman" w:eastAsia="宋体" w:cs="Times New Roman"/>
      <w:sz w:val="18"/>
      <w:szCs w:val="18"/>
      <w:lang w:val="en-US" w:eastAsia="zh-CN" w:bidi="ar-SA"/>
    </w:rPr>
  </w:style>
  <w:style w:type="paragraph" w:customStyle="1" w:styleId="247">
    <w:name w:val="数字编号列项（二级）"/>
    <w:qFormat/>
    <w:uiPriority w:val="0"/>
    <w:pPr>
      <w:numPr>
        <w:ilvl w:val="1"/>
        <w:numId w:val="33"/>
      </w:numPr>
      <w:jc w:val="both"/>
    </w:pPr>
    <w:rPr>
      <w:rFonts w:ascii="宋体" w:hAnsi="Times New Roman" w:eastAsia="宋体" w:cs="Times New Roman"/>
      <w:sz w:val="21"/>
      <w:lang w:val="en-US" w:eastAsia="zh-CN" w:bidi="ar-SA"/>
    </w:rPr>
  </w:style>
  <w:style w:type="paragraph" w:customStyle="1" w:styleId="248">
    <w:name w:val="字母编号列项（一级）"/>
    <w:qFormat/>
    <w:uiPriority w:val="0"/>
    <w:pPr>
      <w:numPr>
        <w:ilvl w:val="0"/>
        <w:numId w:val="33"/>
      </w:numPr>
      <w:jc w:val="both"/>
    </w:pPr>
    <w:rPr>
      <w:rFonts w:ascii="宋体" w:hAnsi="Times New Roman" w:eastAsia="宋体" w:cs="Times New Roman"/>
      <w:sz w:val="21"/>
      <w:lang w:val="en-US" w:eastAsia="zh-CN" w:bidi="ar-SA"/>
    </w:rPr>
  </w:style>
  <w:style w:type="paragraph" w:customStyle="1" w:styleId="249">
    <w:name w:val="三级无"/>
    <w:basedOn w:val="1"/>
    <w:qFormat/>
    <w:uiPriority w:val="0"/>
    <w:pPr>
      <w:widowControl/>
      <w:adjustRightInd/>
      <w:spacing w:line="240" w:lineRule="auto"/>
      <w:jc w:val="left"/>
      <w:outlineLvl w:val="4"/>
    </w:pPr>
    <w:rPr>
      <w:rFonts w:ascii="宋体" w:hAnsi="Times New Roman"/>
      <w:kern w:val="0"/>
    </w:rPr>
  </w:style>
  <w:style w:type="character" w:customStyle="1" w:styleId="250">
    <w:name w:val="二级条标题 Char"/>
    <w:basedOn w:val="242"/>
    <w:link w:val="239"/>
    <w:qFormat/>
    <w:uiPriority w:val="0"/>
    <w:rPr>
      <w:rFonts w:ascii="黑体" w:hAnsi="Times New Roman" w:eastAsia="黑体"/>
      <w:sz w:val="21"/>
      <w:szCs w:val="21"/>
    </w:rPr>
  </w:style>
  <w:style w:type="paragraph" w:customStyle="1" w:styleId="251">
    <w:name w:val="注："/>
    <w:next w:val="235"/>
    <w:qFormat/>
    <w:uiPriority w:val="0"/>
    <w:pPr>
      <w:widowControl w:val="0"/>
      <w:autoSpaceDE w:val="0"/>
      <w:autoSpaceDN w:val="0"/>
      <w:ind w:left="726" w:hanging="363"/>
      <w:jc w:val="both"/>
    </w:pPr>
    <w:rPr>
      <w:rFonts w:ascii="宋体" w:hAnsi="Times New Roman" w:eastAsia="宋体" w:cs="Times New Roman"/>
      <w:sz w:val="18"/>
      <w:szCs w:val="18"/>
      <w:lang w:val="en-US" w:eastAsia="zh-CN" w:bidi="ar-SA"/>
    </w:rPr>
  </w:style>
  <w:style w:type="paragraph" w:customStyle="1" w:styleId="252">
    <w:name w:val="附录公式编号制表符"/>
    <w:basedOn w:val="1"/>
    <w:next w:val="235"/>
    <w:qFormat/>
    <w:uiPriority w:val="0"/>
    <w:pPr>
      <w:widowControl/>
      <w:tabs>
        <w:tab w:val="center" w:pos="4201"/>
        <w:tab w:val="right" w:leader="dot" w:pos="9298"/>
      </w:tabs>
      <w:autoSpaceDE w:val="0"/>
      <w:autoSpaceDN w:val="0"/>
      <w:adjustRightInd/>
      <w:spacing w:line="240" w:lineRule="auto"/>
    </w:pPr>
    <w:rPr>
      <w:rFonts w:ascii="宋体" w:hAnsi="Times New Roman"/>
      <w:kern w:val="0"/>
      <w:szCs w:val="20"/>
    </w:rPr>
  </w:style>
  <w:style w:type="paragraph" w:customStyle="1" w:styleId="253">
    <w:name w:val="前言、引言标题"/>
    <w:next w:val="235"/>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54">
    <w:name w:val="首示例"/>
    <w:next w:val="235"/>
    <w:qFormat/>
    <w:uiPriority w:val="0"/>
    <w:pPr>
      <w:tabs>
        <w:tab w:val="left" w:pos="360"/>
      </w:tabs>
    </w:pPr>
    <w:rPr>
      <w:rFonts w:ascii="宋体" w:hAnsi="宋体" w:eastAsia="宋体" w:cs="Times New Roman"/>
      <w:kern w:val="2"/>
      <w:sz w:val="18"/>
      <w:szCs w:val="18"/>
      <w:lang w:val="en-US" w:eastAsia="zh-CN" w:bidi="ar-SA"/>
    </w:rPr>
  </w:style>
  <w:style w:type="character" w:customStyle="1" w:styleId="255">
    <w:name w:val="标题 1 Char"/>
    <w:qFormat/>
    <w:uiPriority w:val="9"/>
    <w:rPr>
      <w:rFonts w:ascii="宋体" w:hAnsi="宋体" w:cs="宋体"/>
      <w:b/>
      <w:bCs/>
      <w:kern w:val="36"/>
      <w:sz w:val="48"/>
      <w:szCs w:val="48"/>
    </w:rPr>
  </w:style>
  <w:style w:type="paragraph" w:customStyle="1" w:styleId="256">
    <w:name w:val="注：（正文）"/>
    <w:basedOn w:val="251"/>
    <w:next w:val="235"/>
    <w:qFormat/>
    <w:uiPriority w:val="0"/>
    <w:pPr>
      <w:numPr>
        <w:ilvl w:val="0"/>
        <w:numId w:val="34"/>
      </w:numPr>
    </w:pPr>
  </w:style>
  <w:style w:type="paragraph" w:customStyle="1" w:styleId="257">
    <w:name w:val="2.tubiao-neirong"/>
    <w:basedOn w:val="1"/>
    <w:link w:val="258"/>
    <w:qFormat/>
    <w:uiPriority w:val="0"/>
    <w:pPr>
      <w:adjustRightInd/>
      <w:spacing w:line="240" w:lineRule="auto"/>
      <w:jc w:val="center"/>
    </w:pPr>
    <w:rPr>
      <w:rFonts w:ascii="宋体" w:hAnsi="宋体"/>
    </w:rPr>
  </w:style>
  <w:style w:type="character" w:customStyle="1" w:styleId="258">
    <w:name w:val="2.tubiao-neirong 字符"/>
    <w:link w:val="257"/>
    <w:qFormat/>
    <w:uiPriority w:val="0"/>
    <w:rPr>
      <w:rFonts w:ascii="宋体" w:hAnsi="宋体"/>
      <w:kern w:val="2"/>
      <w:sz w:val="21"/>
      <w:szCs w:val="21"/>
    </w:rPr>
  </w:style>
  <w:style w:type="paragraph" w:customStyle="1" w:styleId="259">
    <w:name w:val="示例×："/>
    <w:basedOn w:val="238"/>
    <w:qFormat/>
    <w:uiPriority w:val="0"/>
    <w:pPr>
      <w:numPr>
        <w:numId w:val="0"/>
      </w:numPr>
      <w:spacing w:before="0" w:beforeLines="0" w:after="0" w:afterLines="0"/>
      <w:ind w:firstLine="363"/>
      <w:outlineLvl w:val="9"/>
    </w:pPr>
    <w:rPr>
      <w:rFonts w:ascii="宋体" w:eastAsia="宋体"/>
      <w:sz w:val="18"/>
      <w:szCs w:val="18"/>
    </w:rPr>
  </w:style>
  <w:style w:type="paragraph" w:customStyle="1" w:styleId="260">
    <w:name w:val="1-tubiaoti"/>
    <w:basedOn w:val="1"/>
    <w:link w:val="261"/>
    <w:qFormat/>
    <w:uiPriority w:val="0"/>
    <w:pPr>
      <w:snapToGrid w:val="0"/>
      <w:spacing w:line="360" w:lineRule="auto"/>
      <w:jc w:val="center"/>
    </w:pPr>
    <w:rPr>
      <w:rFonts w:ascii="黑体" w:hAnsi="宋体" w:eastAsia="黑体"/>
      <w:bCs/>
      <w:lang w:val="zh-CN"/>
    </w:rPr>
  </w:style>
  <w:style w:type="character" w:customStyle="1" w:styleId="261">
    <w:name w:val="1-tubiaoti 字符"/>
    <w:link w:val="260"/>
    <w:qFormat/>
    <w:uiPriority w:val="0"/>
    <w:rPr>
      <w:rFonts w:ascii="黑体" w:hAnsi="宋体" w:eastAsia="黑体"/>
      <w:bCs/>
      <w:kern w:val="2"/>
      <w:sz w:val="21"/>
      <w:szCs w:val="21"/>
      <w:lang w:val="zh-C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7" Type="http://schemas.openxmlformats.org/officeDocument/2006/relationships/glossaryDocument" Target="glossary/document.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7.jpe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jpeg"/><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jpe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7E7ABCB7A2B4B63BEE127568C2A4C53"/>
        <w:style w:val=""/>
        <w:category>
          <w:name w:val="常规"/>
          <w:gallery w:val="placeholder"/>
        </w:category>
        <w:types>
          <w:type w:val="bbPlcHdr"/>
        </w:types>
        <w:behaviors>
          <w:behavior w:val="content"/>
        </w:behaviors>
        <w:description w:val=""/>
        <w:guid w:val="{3826E1A2-9FA9-424A-962C-2E5D414046A2}"/>
      </w:docPartPr>
      <w:docPartBody>
        <w:p>
          <w:pPr>
            <w:pStyle w:val="5"/>
          </w:pPr>
          <w:r>
            <w:rPr>
              <w:rStyle w:val="4"/>
              <w:rFonts w:hint="eastAsia"/>
            </w:rPr>
            <w:t>单击或点击此处输入文字。</w:t>
          </w:r>
        </w:p>
      </w:docPartBody>
    </w:docPart>
    <w:docPart>
      <w:docPartPr>
        <w:name w:val="BFE2BFEA334142DFB6D6B9D00FD86820"/>
        <w:style w:val=""/>
        <w:category>
          <w:name w:val="常规"/>
          <w:gallery w:val="placeholder"/>
        </w:category>
        <w:types>
          <w:type w:val="bbPlcHdr"/>
        </w:types>
        <w:behaviors>
          <w:behavior w:val="content"/>
        </w:behaviors>
        <w:description w:val=""/>
        <w:guid w:val="{13B57218-5DE5-4A9D-80F5-039F9B534B77}"/>
      </w:docPartPr>
      <w:docPartBody>
        <w:p>
          <w:pPr>
            <w:pStyle w:val="6"/>
          </w:pPr>
          <w:r>
            <w:rPr>
              <w:rStyle w:val="4"/>
              <w:rFonts w:hint="eastAsia"/>
            </w:rPr>
            <w:t>选择一项。</w:t>
          </w:r>
        </w:p>
      </w:docPartBody>
    </w:docPart>
    <w:docPart>
      <w:docPartPr>
        <w:name w:val="5BF99D944D0C499489DF2F326602BFCF"/>
        <w:style w:val=""/>
        <w:category>
          <w:name w:val="常规"/>
          <w:gallery w:val="placeholder"/>
        </w:category>
        <w:types>
          <w:type w:val="bbPlcHdr"/>
        </w:types>
        <w:behaviors>
          <w:behavior w:val="content"/>
        </w:behaviors>
        <w:description w:val=""/>
        <w:guid w:val="{6301F6EE-F65B-475D-BFF6-5F5D1E84F01A}"/>
      </w:docPartPr>
      <w:docPartBody>
        <w:p>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oNotDisplayPageBoundaries w:val="1"/>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C24"/>
    <w:rsid w:val="00067165"/>
    <w:rsid w:val="00145F27"/>
    <w:rsid w:val="006873A7"/>
    <w:rsid w:val="007A0D4C"/>
    <w:rsid w:val="00831667"/>
    <w:rsid w:val="00AA163B"/>
    <w:rsid w:val="00BB6FD0"/>
    <w:rsid w:val="00C81D41"/>
    <w:rsid w:val="00CF23E6"/>
    <w:rsid w:val="00E07D6F"/>
    <w:rsid w:val="00E45B0E"/>
    <w:rsid w:val="00E528FA"/>
    <w:rsid w:val="00F11C24"/>
    <w:rsid w:val="00FE01A3"/>
    <w:rsid w:val="00FF78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07E7ABCB7A2B4B63BEE127568C2A4C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BFE2BFEA334142DFB6D6B9D00FD868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5BF99D944D0C499489DF2F326602BFCF"/>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88E2A9-FF21-4F8F-A21E-36CB4B6478D2}">
  <ds:schemaRefs/>
</ds:datastoreItem>
</file>

<file path=docProps/app.xml><?xml version="1.0" encoding="utf-8"?>
<Properties xmlns="http://schemas.openxmlformats.org/officeDocument/2006/extended-properties" xmlns:vt="http://schemas.openxmlformats.org/officeDocument/2006/docPropsVTypes">
  <Template>团体标准</Template>
  <Company>PCMI</Company>
  <Pages>62</Pages>
  <Words>8761</Words>
  <Characters>49942</Characters>
  <Lines>416</Lines>
  <Paragraphs>117</Paragraphs>
  <TotalTime>12</TotalTime>
  <ScaleCrop>false</ScaleCrop>
  <LinksUpToDate>false</LinksUpToDate>
  <CharactersWithSpaces>58586</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2025-08-27T01:29:00Z</dcterms:created>
  <dc:creator>cppmuser</dc:creator>
  <dc:description>&lt;config cover="true" show_menu="true" version="1.0.0" doctype="SDKXY"&gt;_x000d_
&lt;/config&gt;</dc:description>
  <cp:lastModifiedBy>jiang</cp:lastModifiedBy>
  <cp:lastPrinted>2025-09-17T09:02:00Z</cp:lastPrinted>
  <dcterms:modified xsi:type="dcterms:W3CDTF">2025-09-22T08:42:27Z</dcterms:modified>
  <dc:title>团体标准</dc:title>
  <cp:revision>2148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2052-11.8.2.10972</vt:lpwstr>
  </property>
  <property fmtid="{D5CDD505-2E9C-101B-9397-08002B2CF9AE}" pid="15" name="ICV">
    <vt:lpwstr>6F9FEF725BE24742BC8AE483E08A7403_12</vt:lpwstr>
  </property>
</Properties>
</file>