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C54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2FB1B10">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DEB218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67.140.10</w:t>
            </w:r>
            <w:r>
              <w:rPr>
                <w:rFonts w:ascii="黑体" w:hAnsi="黑体" w:eastAsia="黑体"/>
                <w:sz w:val="21"/>
                <w:szCs w:val="21"/>
              </w:rPr>
              <w:fldChar w:fldCharType="end"/>
            </w:r>
            <w:bookmarkEnd w:id="0"/>
          </w:p>
        </w:tc>
      </w:tr>
      <w:tr w14:paraId="5E35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4115D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D27C8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5089A2F">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14:paraId="6051E0E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55</w:t>
            </w:r>
            <w:r>
              <w:rPr>
                <w:rFonts w:ascii="黑体" w:hAnsi="黑体" w:eastAsia="黑体"/>
                <w:sz w:val="21"/>
                <w:szCs w:val="21"/>
              </w:rPr>
              <w:fldChar w:fldCharType="end"/>
            </w:r>
            <w:bookmarkEnd w:id="2"/>
          </w:p>
        </w:tc>
      </w:tr>
    </w:tbl>
    <w:p w14:paraId="2ECFF3B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4CC2090">
      <w:pPr>
        <w:pStyle w:val="195"/>
        <w:frameP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10643219">
      <w:pPr>
        <w:pStyle w:val="196"/>
        <w:framePr/>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36636DD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362F543">
      <w:pPr>
        <w:pStyle w:val="50"/>
        <w:framePr w:w="9639" w:h="6976" w:hRule="exact" w:hSpace="0" w:vSpace="0" w:wrap="around" w:hAnchor="page" w:y="6408"/>
        <w:jc w:val="center"/>
        <w:rPr>
          <w:rFonts w:ascii="黑体" w:hAnsi="黑体" w:eastAsia="黑体"/>
          <w:b w:val="0"/>
          <w:bCs w:val="0"/>
          <w:w w:val="100"/>
        </w:rPr>
      </w:pPr>
    </w:p>
    <w:p w14:paraId="4630A08F">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防城金花茶质量等级</w:t>
      </w:r>
      <w:r>
        <w:fldChar w:fldCharType="end"/>
      </w:r>
      <w:bookmarkEnd w:id="8"/>
    </w:p>
    <w:p w14:paraId="6191A343">
      <w:pPr>
        <w:framePr w:w="9639" w:h="6974" w:hRule="exact" w:wrap="around" w:vAnchor="page" w:hAnchor="page" w:x="1419" w:y="6408" w:anchorLock="1"/>
        <w:ind w:left="-1418"/>
      </w:pPr>
    </w:p>
    <w:p w14:paraId="3F3ADA3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9"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Quality grades for Fangcheng golden camellia</w:t>
      </w:r>
      <w:r>
        <w:rPr>
          <w:rFonts w:ascii="黑体" w:hAnsi="黑体" w:eastAsia="黑体"/>
          <w:szCs w:val="28"/>
        </w:rPr>
        <w:fldChar w:fldCharType="end"/>
      </w:r>
      <w:bookmarkEnd w:id="9"/>
    </w:p>
    <w:p w14:paraId="64870659">
      <w:pPr>
        <w:framePr w:w="9639" w:h="6974" w:hRule="exact" w:wrap="around" w:vAnchor="page" w:hAnchor="page" w:x="1419" w:y="6408" w:anchorLock="1"/>
        <w:spacing w:line="760" w:lineRule="exact"/>
        <w:ind w:left="-1418"/>
      </w:pPr>
    </w:p>
    <w:p w14:paraId="5CA1BD1F">
      <w:pPr>
        <w:pStyle w:val="125"/>
        <w:framePr w:w="9639" w:h="6974" w:hRule="exact" w:wrap="around" w:vAnchor="page" w:hAnchor="page" w:x="1419" w:y="6408" w:anchorLock="1"/>
        <w:textAlignment w:val="bottom"/>
        <w:rPr>
          <w:rFonts w:eastAsia="黑体"/>
          <w:szCs w:val="28"/>
        </w:rPr>
      </w:pPr>
    </w:p>
    <w:p w14:paraId="391C1BF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037E6B2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7303DDC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D31735E">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4FE5715">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56F5AB45">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广西标准化协会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F97E06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75336B6">
      <w:pPr>
        <w:pStyle w:val="89"/>
        <w:spacing w:before="560" w:after="360"/>
      </w:pPr>
      <w:bookmarkStart w:id="20" w:name="_Toc205395412"/>
      <w:bookmarkStart w:id="21" w:name="BookMark2"/>
      <w:r>
        <w:rPr>
          <w:spacing w:val="320"/>
        </w:rPr>
        <w:t>前</w:t>
      </w:r>
      <w:r>
        <w:t>言</w:t>
      </w:r>
      <w:bookmarkEnd w:id="20"/>
    </w:p>
    <w:p w14:paraId="2B356F45">
      <w:pPr>
        <w:pStyle w:val="56"/>
        <w:ind w:firstLine="420"/>
      </w:pPr>
      <w:r>
        <w:rPr>
          <w:rFonts w:hint="eastAsia"/>
        </w:rPr>
        <w:t>本文件参照GB/T 1.1—2020《标准化工作导则  第1部分：标准化文件的结构和起草规则》的规定起草。</w:t>
      </w:r>
    </w:p>
    <w:p w14:paraId="5C20AB38">
      <w:pPr>
        <w:pStyle w:val="56"/>
        <w:ind w:firstLine="420"/>
      </w:pPr>
      <w:r>
        <w:rPr>
          <w:rFonts w:hint="eastAsia"/>
        </w:rPr>
        <w:t>请注意本文件的某些内容可能涉及专利。本文件的发布机构不承担识别专利的责任。</w:t>
      </w:r>
    </w:p>
    <w:p w14:paraId="1014336C">
      <w:pPr>
        <w:pStyle w:val="56"/>
        <w:ind w:firstLine="420"/>
      </w:pPr>
      <w:r>
        <w:rPr>
          <w:rFonts w:hint="eastAsia"/>
        </w:rPr>
        <w:t>本文件由防城港市市场监督管理局提出、归口并宣贯。</w:t>
      </w:r>
    </w:p>
    <w:p w14:paraId="3B407FBC">
      <w:pPr>
        <w:pStyle w:val="56"/>
        <w:ind w:firstLine="420"/>
      </w:pPr>
      <w:r>
        <w:rPr>
          <w:rFonts w:hint="eastAsia"/>
        </w:rPr>
        <w:t>本文件起草单位：防城港市市场监督管理局、防城港市检验检测中心、广西国茗金花茶科技有限公司、防城港望洲顶惠农金花茶有限公司、广西玉叶金花茶有限公司、广西阿池隘金花茶有限公司、广西标准协会。</w:t>
      </w:r>
    </w:p>
    <w:p w14:paraId="78926B83">
      <w:pPr>
        <w:pStyle w:val="56"/>
        <w:ind w:firstLine="420"/>
        <w:rPr>
          <w:rFonts w:hint="eastAsia" w:eastAsia="宋体"/>
          <w:lang w:eastAsia="zh-CN"/>
        </w:rPr>
      </w:pPr>
      <w:r>
        <w:rPr>
          <w:rFonts w:hint="eastAsia"/>
        </w:rPr>
        <w:t>本文件主要起草人：徐瑞晗、戴大雄、林泉泉、李燕、路燕、覃俭、王珂、符笋、黄载杰、黄永春、谢孙武、谢满禄</w:t>
      </w:r>
      <w:r>
        <w:rPr>
          <w:rFonts w:hint="eastAsia"/>
          <w:lang w:eastAsia="zh-CN"/>
        </w:rPr>
        <w:t>。</w:t>
      </w:r>
    </w:p>
    <w:p w14:paraId="6C6690BF">
      <w:pPr>
        <w:pStyle w:val="56"/>
        <w:ind w:firstLine="420"/>
      </w:pPr>
    </w:p>
    <w:p w14:paraId="2105A666">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p>
    <w:bookmarkEnd w:id="21"/>
    <w:p w14:paraId="02C6381B">
      <w:pPr>
        <w:spacing w:line="20" w:lineRule="exact"/>
        <w:jc w:val="center"/>
        <w:rPr>
          <w:rFonts w:ascii="黑体" w:hAnsi="黑体" w:eastAsia="黑体"/>
          <w:sz w:val="32"/>
          <w:szCs w:val="32"/>
        </w:rPr>
      </w:pPr>
      <w:bookmarkStart w:id="22" w:name="BookMark4"/>
    </w:p>
    <w:p w14:paraId="1D11ED24">
      <w:pPr>
        <w:spacing w:line="20" w:lineRule="exact"/>
        <w:jc w:val="center"/>
        <w:rPr>
          <w:rFonts w:ascii="黑体" w:hAnsi="黑体" w:eastAsia="黑体"/>
          <w:sz w:val="32"/>
          <w:szCs w:val="32"/>
        </w:rPr>
      </w:pPr>
    </w:p>
    <w:sdt>
      <w:sdtPr>
        <w:tag w:val="NEW_STAND_NAME"/>
        <w:id w:val="595910757"/>
        <w:lock w:val="sdtLocked"/>
        <w:placeholder>
          <w:docPart w:val="1371A9A5E5414EE3ACC30BE7CD9F995A"/>
        </w:placeholder>
      </w:sdtPr>
      <w:sdtContent>
        <w:p w14:paraId="27BB3831">
          <w:pPr>
            <w:pStyle w:val="177"/>
            <w:spacing w:before="240" w:beforeLines="100" w:after="528" w:afterLines="220"/>
          </w:pPr>
          <w:bookmarkStart w:id="23" w:name="NEW_STAND_NAME"/>
          <w:r>
            <w:rPr>
              <w:rFonts w:hint="eastAsia"/>
            </w:rPr>
            <w:t>防城金花茶质量等级</w:t>
          </w:r>
        </w:p>
      </w:sdtContent>
    </w:sdt>
    <w:bookmarkEnd w:id="23"/>
    <w:p w14:paraId="7AF9A858">
      <w:pPr>
        <w:pStyle w:val="104"/>
        <w:spacing w:before="240" w:after="240"/>
      </w:pPr>
      <w:bookmarkStart w:id="24" w:name="_Toc26648465"/>
      <w:bookmarkStart w:id="25" w:name="_Toc24884211"/>
      <w:bookmarkStart w:id="26" w:name="_Toc26986530"/>
      <w:bookmarkStart w:id="27" w:name="_Toc24884218"/>
      <w:bookmarkStart w:id="28" w:name="_Toc97192964"/>
      <w:bookmarkStart w:id="29" w:name="_Toc205395413"/>
      <w:bookmarkStart w:id="30" w:name="_Toc26718930"/>
      <w:bookmarkStart w:id="31" w:name="_Toc17233325"/>
      <w:bookmarkStart w:id="32" w:name="_Toc17233333"/>
      <w:bookmarkStart w:id="33" w:name="_Toc26986771"/>
      <w:r>
        <w:rPr>
          <w:rFonts w:hint="eastAsia"/>
        </w:rPr>
        <w:t>范围</w:t>
      </w:r>
      <w:bookmarkEnd w:id="24"/>
      <w:bookmarkEnd w:id="25"/>
      <w:bookmarkEnd w:id="26"/>
      <w:bookmarkEnd w:id="27"/>
      <w:bookmarkEnd w:id="28"/>
      <w:bookmarkEnd w:id="29"/>
      <w:bookmarkEnd w:id="30"/>
      <w:bookmarkEnd w:id="31"/>
      <w:bookmarkEnd w:id="32"/>
      <w:bookmarkEnd w:id="33"/>
    </w:p>
    <w:p w14:paraId="0D9C7231">
      <w:pPr>
        <w:pStyle w:val="56"/>
        <w:ind w:firstLine="420"/>
      </w:pPr>
      <w:bookmarkStart w:id="34" w:name="_Toc17233334"/>
      <w:bookmarkStart w:id="35" w:name="_Toc24884212"/>
      <w:bookmarkStart w:id="36" w:name="_Toc24884219"/>
      <w:bookmarkStart w:id="37" w:name="_Toc17233326"/>
      <w:bookmarkStart w:id="38" w:name="_Toc26648466"/>
      <w:r>
        <w:rPr>
          <w:rFonts w:hint="eastAsia"/>
        </w:rPr>
        <w:t>本文件规定了防城金花茶的质量要求以及包装、标签、标志、运输和贮存的要求，描述了相应的检验方法和检验规则。</w:t>
      </w:r>
    </w:p>
    <w:p w14:paraId="698A5FF1">
      <w:pPr>
        <w:pStyle w:val="56"/>
        <w:ind w:firstLine="420"/>
      </w:pPr>
      <w:r>
        <w:rPr>
          <w:rFonts w:hint="eastAsia"/>
        </w:rPr>
        <w:t>本文件适用于防城金花茶的质量等级划分。</w:t>
      </w:r>
    </w:p>
    <w:p w14:paraId="7391C250">
      <w:pPr>
        <w:pStyle w:val="104"/>
        <w:spacing w:before="240" w:after="240"/>
      </w:pPr>
      <w:bookmarkStart w:id="39" w:name="_Toc26718931"/>
      <w:bookmarkStart w:id="40" w:name="_Toc26986531"/>
      <w:bookmarkStart w:id="41" w:name="_Toc26986772"/>
      <w:bookmarkStart w:id="42" w:name="_Toc97192965"/>
      <w:bookmarkStart w:id="43" w:name="_Toc205395414"/>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99E504AB4F4B499496ED2E63301551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FFB318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0F7642">
      <w:pPr>
        <w:pStyle w:val="56"/>
        <w:ind w:firstLine="420"/>
      </w:pPr>
      <w:r>
        <w:rPr>
          <w:rFonts w:hint="eastAsia"/>
        </w:rPr>
        <w:t>GB 2760  食品安全国家标准  食品添加剂使用标准</w:t>
      </w:r>
    </w:p>
    <w:p w14:paraId="4DE48715">
      <w:pPr>
        <w:pStyle w:val="56"/>
        <w:ind w:firstLine="420"/>
      </w:pPr>
      <w:r>
        <w:rPr>
          <w:rFonts w:hint="eastAsia"/>
        </w:rPr>
        <w:t>GB 5009.3  食品安全国家标准  食品中水分的测定</w:t>
      </w:r>
    </w:p>
    <w:p w14:paraId="618AEFEC">
      <w:pPr>
        <w:pStyle w:val="56"/>
        <w:ind w:firstLine="420"/>
      </w:pPr>
      <w:r>
        <w:rPr>
          <w:rFonts w:hint="eastAsia"/>
        </w:rPr>
        <w:t>GB 5009.4  食品安全国家标准  食品中灰分的测定</w:t>
      </w:r>
    </w:p>
    <w:p w14:paraId="5DF1BA2E">
      <w:pPr>
        <w:pStyle w:val="56"/>
        <w:ind w:firstLine="420"/>
      </w:pPr>
      <w:r>
        <w:rPr>
          <w:rFonts w:hint="eastAsia"/>
        </w:rPr>
        <w:t>GB/T 8302  茶  取样</w:t>
      </w:r>
    </w:p>
    <w:p w14:paraId="4F8DDEFC">
      <w:pPr>
        <w:pStyle w:val="56"/>
        <w:ind w:firstLine="420"/>
      </w:pPr>
      <w:r>
        <w:rPr>
          <w:rFonts w:hint="eastAsia"/>
        </w:rPr>
        <w:t>GB/T 8303  茶  磨碎试样的制备及其干物质含量测定</w:t>
      </w:r>
    </w:p>
    <w:p w14:paraId="14567CA6">
      <w:pPr>
        <w:pStyle w:val="56"/>
        <w:ind w:firstLine="420"/>
      </w:pPr>
      <w:r>
        <w:rPr>
          <w:rFonts w:hint="eastAsia"/>
        </w:rPr>
        <w:t>GB/T 8305  茶  水浸出物测定</w:t>
      </w:r>
    </w:p>
    <w:p w14:paraId="5AD3A1EE">
      <w:pPr>
        <w:pStyle w:val="56"/>
        <w:ind w:firstLine="420"/>
      </w:pPr>
      <w:r>
        <w:rPr>
          <w:rFonts w:hint="eastAsia"/>
        </w:rPr>
        <w:t>GB/T 23776  茶叶感官审评方法</w:t>
      </w:r>
    </w:p>
    <w:p w14:paraId="331DCBD5">
      <w:pPr>
        <w:pStyle w:val="56"/>
        <w:ind w:firstLine="420"/>
      </w:pPr>
      <w:r>
        <w:rPr>
          <w:rFonts w:hint="eastAsia"/>
        </w:rPr>
        <w:t>SN/T 4592  出口食品中总黄酮的测定</w:t>
      </w:r>
    </w:p>
    <w:p w14:paraId="5FF6C47E">
      <w:pPr>
        <w:pStyle w:val="56"/>
        <w:ind w:firstLine="420"/>
      </w:pPr>
      <w:r>
        <w:t>DBS 45/033</w:t>
      </w:r>
      <w:r>
        <w:rPr>
          <w:rFonts w:hint="eastAsia"/>
        </w:rPr>
        <w:t xml:space="preserve">  食品安全地方标准  金花茶叶茶</w:t>
      </w:r>
    </w:p>
    <w:p w14:paraId="259A4A0B">
      <w:pPr>
        <w:pStyle w:val="56"/>
        <w:ind w:firstLine="420"/>
      </w:pPr>
      <w:r>
        <w:t>DBS 45/069</w:t>
      </w:r>
      <w:r>
        <w:rPr>
          <w:rFonts w:hint="eastAsia"/>
        </w:rPr>
        <w:t xml:space="preserve">  食品安全地方标准  金花茶花</w:t>
      </w:r>
    </w:p>
    <w:p w14:paraId="5E5724A0">
      <w:pPr>
        <w:pStyle w:val="56"/>
        <w:ind w:firstLine="420"/>
      </w:pPr>
      <w:r>
        <w:rPr>
          <w:rFonts w:hint="eastAsia"/>
        </w:rPr>
        <w:t>DB45/T 909  地理标志产品  防城金花茶</w:t>
      </w:r>
    </w:p>
    <w:p w14:paraId="540EBAB3">
      <w:pPr>
        <w:pStyle w:val="104"/>
        <w:spacing w:before="240" w:after="240"/>
      </w:pPr>
      <w:bookmarkStart w:id="44" w:name="_Toc97192966"/>
      <w:bookmarkStart w:id="45" w:name="_Toc205395415"/>
      <w:r>
        <w:rPr>
          <w:rFonts w:hint="eastAsia"/>
          <w:szCs w:val="21"/>
        </w:rPr>
        <w:t>术语和定义</w:t>
      </w:r>
      <w:bookmarkEnd w:id="44"/>
      <w:bookmarkEnd w:id="45"/>
    </w:p>
    <w:sdt>
      <w:sdtPr>
        <w:id w:val="-1909835108"/>
        <w:placeholder>
          <w:docPart w:val="0D23BC3B7DFF4AAEBDFCEC416B6895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71B794C">
          <w:pPr>
            <w:pStyle w:val="56"/>
            <w:ind w:firstLine="420"/>
          </w:pPr>
          <w:bookmarkStart w:id="46" w:name="_Toc26986532"/>
          <w:bookmarkEnd w:id="46"/>
          <w:r>
            <w:t>本文件没有需要界定的术语和定义。</w:t>
          </w:r>
        </w:p>
      </w:sdtContent>
    </w:sdt>
    <w:p w14:paraId="0BC37025">
      <w:pPr>
        <w:pStyle w:val="104"/>
        <w:spacing w:before="240" w:after="240"/>
      </w:pPr>
      <w:bookmarkStart w:id="47" w:name="_Toc205395416"/>
      <w:r>
        <w:rPr>
          <w:rFonts w:hint="eastAsia"/>
        </w:rPr>
        <w:t>质量要求</w:t>
      </w:r>
      <w:bookmarkEnd w:id="47"/>
    </w:p>
    <w:p w14:paraId="47C2773F">
      <w:pPr>
        <w:pStyle w:val="105"/>
        <w:spacing w:before="120" w:after="120"/>
      </w:pPr>
      <w:bookmarkStart w:id="48" w:name="_Toc205395417"/>
      <w:r>
        <w:rPr>
          <w:rFonts w:hint="eastAsia"/>
        </w:rPr>
        <w:t>感官要求</w:t>
      </w:r>
      <w:bookmarkEnd w:id="48"/>
    </w:p>
    <w:p w14:paraId="6D8F20F4">
      <w:pPr>
        <w:pStyle w:val="65"/>
        <w:spacing w:before="120" w:after="120"/>
      </w:pPr>
      <w:r>
        <w:rPr>
          <w:rFonts w:hint="eastAsia"/>
        </w:rPr>
        <w:t>基本要求</w:t>
      </w:r>
    </w:p>
    <w:p w14:paraId="14820F7E">
      <w:pPr>
        <w:pStyle w:val="56"/>
        <w:ind w:firstLine="420"/>
      </w:pPr>
      <w:r>
        <w:rPr>
          <w:rFonts w:hint="eastAsia"/>
          <w:szCs w:val="18"/>
        </w:rPr>
        <w:t>无虫蛀，</w:t>
      </w:r>
      <w:r>
        <w:rPr>
          <w:rFonts w:hint="eastAsia"/>
        </w:rPr>
        <w:t>无异味，无异嗅，无霉变。</w:t>
      </w:r>
    </w:p>
    <w:p w14:paraId="5971CD35">
      <w:pPr>
        <w:pStyle w:val="65"/>
        <w:spacing w:before="120" w:after="120"/>
      </w:pPr>
      <w:r>
        <w:rPr>
          <w:rFonts w:hint="eastAsia"/>
        </w:rPr>
        <w:t>花茶</w:t>
      </w:r>
    </w:p>
    <w:p w14:paraId="0986FDFE">
      <w:pPr>
        <w:pStyle w:val="56"/>
        <w:ind w:firstLine="420"/>
      </w:pPr>
      <w:r>
        <w:rPr>
          <w:rFonts w:hint="eastAsia"/>
        </w:rPr>
        <w:t>见表1。</w:t>
      </w:r>
    </w:p>
    <w:p w14:paraId="036A34AF">
      <w:pPr>
        <w:pStyle w:val="56"/>
        <w:ind w:firstLine="420"/>
      </w:pPr>
      <w:r>
        <w:br w:type="page"/>
      </w:r>
    </w:p>
    <w:p w14:paraId="6BDFD249">
      <w:pPr>
        <w:pStyle w:val="112"/>
        <w:spacing w:before="120" w:after="120"/>
      </w:pPr>
      <w:r>
        <w:rPr>
          <w:rFonts w:hint="eastAsia"/>
        </w:rPr>
        <w:t>花茶感官要求</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41"/>
        <w:gridCol w:w="2117"/>
        <w:gridCol w:w="2122"/>
        <w:gridCol w:w="1982"/>
        <w:gridCol w:w="1912"/>
      </w:tblGrid>
      <w:tr w14:paraId="6B65E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62" w:type="pct"/>
            <w:vMerge w:val="restart"/>
            <w:tcBorders>
              <w:top w:val="single" w:color="auto" w:sz="8" w:space="0"/>
              <w:bottom w:val="single" w:color="auto" w:sz="4" w:space="0"/>
            </w:tcBorders>
            <w:shd w:val="clear" w:color="auto" w:fill="auto"/>
            <w:vAlign w:val="center"/>
          </w:tcPr>
          <w:p w14:paraId="6D31F6F8">
            <w:pPr>
              <w:pStyle w:val="178"/>
              <w:rPr>
                <w:szCs w:val="18"/>
              </w:rPr>
            </w:pPr>
            <w:r>
              <w:rPr>
                <w:rFonts w:hint="eastAsia"/>
                <w:szCs w:val="18"/>
              </w:rPr>
              <w:t>项目</w:t>
            </w:r>
          </w:p>
        </w:tc>
        <w:tc>
          <w:tcPr>
            <w:tcW w:w="4338" w:type="pct"/>
            <w:gridSpan w:val="4"/>
            <w:tcBorders>
              <w:top w:val="single" w:color="auto" w:sz="8" w:space="0"/>
              <w:bottom w:val="single" w:color="auto" w:sz="4" w:space="0"/>
            </w:tcBorders>
            <w:shd w:val="clear" w:color="auto" w:fill="auto"/>
            <w:vAlign w:val="center"/>
          </w:tcPr>
          <w:p w14:paraId="0F5C4DA2">
            <w:pPr>
              <w:pStyle w:val="178"/>
              <w:rPr>
                <w:szCs w:val="18"/>
              </w:rPr>
            </w:pPr>
            <w:r>
              <w:rPr>
                <w:rFonts w:hint="eastAsia"/>
                <w:szCs w:val="18"/>
              </w:rPr>
              <w:t>等级</w:t>
            </w:r>
          </w:p>
        </w:tc>
      </w:tr>
      <w:tr w14:paraId="229E5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662" w:type="pct"/>
            <w:vMerge w:val="continue"/>
            <w:tcBorders>
              <w:top w:val="single" w:color="auto" w:sz="4" w:space="0"/>
              <w:bottom w:val="single" w:color="auto" w:sz="8" w:space="0"/>
            </w:tcBorders>
            <w:shd w:val="clear" w:color="auto" w:fill="auto"/>
            <w:vAlign w:val="center"/>
          </w:tcPr>
          <w:p w14:paraId="4EAF97F3">
            <w:pPr>
              <w:pStyle w:val="178"/>
              <w:rPr>
                <w:szCs w:val="18"/>
              </w:rPr>
            </w:pPr>
          </w:p>
        </w:tc>
        <w:tc>
          <w:tcPr>
            <w:tcW w:w="1129" w:type="pct"/>
            <w:tcBorders>
              <w:top w:val="single" w:color="auto" w:sz="4" w:space="0"/>
              <w:bottom w:val="single" w:color="auto" w:sz="8" w:space="0"/>
            </w:tcBorders>
            <w:shd w:val="clear" w:color="auto" w:fill="auto"/>
            <w:vAlign w:val="center"/>
          </w:tcPr>
          <w:p w14:paraId="6FE361B4">
            <w:pPr>
              <w:pStyle w:val="178"/>
              <w:rPr>
                <w:szCs w:val="18"/>
              </w:rPr>
            </w:pPr>
            <w:r>
              <w:rPr>
                <w:rFonts w:hint="eastAsia"/>
                <w:szCs w:val="18"/>
              </w:rPr>
              <w:t>特级</w:t>
            </w:r>
          </w:p>
        </w:tc>
        <w:tc>
          <w:tcPr>
            <w:tcW w:w="1132" w:type="pct"/>
            <w:tcBorders>
              <w:top w:val="single" w:color="auto" w:sz="4" w:space="0"/>
              <w:bottom w:val="single" w:color="auto" w:sz="8" w:space="0"/>
            </w:tcBorders>
            <w:shd w:val="clear" w:color="auto" w:fill="auto"/>
            <w:vAlign w:val="center"/>
          </w:tcPr>
          <w:p w14:paraId="2E44FF58">
            <w:pPr>
              <w:pStyle w:val="178"/>
              <w:rPr>
                <w:szCs w:val="18"/>
              </w:rPr>
            </w:pPr>
            <w:r>
              <w:rPr>
                <w:rFonts w:hint="eastAsia"/>
                <w:szCs w:val="18"/>
              </w:rPr>
              <w:t>一级</w:t>
            </w:r>
          </w:p>
        </w:tc>
        <w:tc>
          <w:tcPr>
            <w:tcW w:w="1057" w:type="pct"/>
            <w:tcBorders>
              <w:top w:val="single" w:color="auto" w:sz="4" w:space="0"/>
              <w:bottom w:val="single" w:color="auto" w:sz="8" w:space="0"/>
            </w:tcBorders>
            <w:shd w:val="clear" w:color="auto" w:fill="auto"/>
            <w:vAlign w:val="center"/>
          </w:tcPr>
          <w:p w14:paraId="30BCA818">
            <w:pPr>
              <w:pStyle w:val="178"/>
              <w:rPr>
                <w:szCs w:val="18"/>
              </w:rPr>
            </w:pPr>
            <w:r>
              <w:rPr>
                <w:rFonts w:hint="eastAsia"/>
                <w:szCs w:val="18"/>
              </w:rPr>
              <w:t>二级</w:t>
            </w:r>
          </w:p>
        </w:tc>
        <w:tc>
          <w:tcPr>
            <w:tcW w:w="1019" w:type="pct"/>
            <w:tcBorders>
              <w:top w:val="single" w:color="auto" w:sz="4" w:space="0"/>
              <w:bottom w:val="single" w:color="auto" w:sz="8" w:space="0"/>
            </w:tcBorders>
            <w:shd w:val="clear" w:color="auto" w:fill="auto"/>
            <w:vAlign w:val="center"/>
          </w:tcPr>
          <w:p w14:paraId="52F11278">
            <w:pPr>
              <w:pStyle w:val="178"/>
              <w:rPr>
                <w:szCs w:val="18"/>
              </w:rPr>
            </w:pPr>
            <w:r>
              <w:rPr>
                <w:rFonts w:hint="eastAsia"/>
                <w:szCs w:val="18"/>
              </w:rPr>
              <w:t>三级</w:t>
            </w:r>
          </w:p>
        </w:tc>
      </w:tr>
      <w:tr w14:paraId="10EDD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62" w:type="pct"/>
            <w:tcBorders>
              <w:top w:val="single" w:color="auto" w:sz="8" w:space="0"/>
            </w:tcBorders>
            <w:shd w:val="clear" w:color="auto" w:fill="auto"/>
            <w:vAlign w:val="center"/>
          </w:tcPr>
          <w:p w14:paraId="084FC77C">
            <w:pPr>
              <w:pStyle w:val="178"/>
              <w:rPr>
                <w:szCs w:val="18"/>
              </w:rPr>
            </w:pPr>
            <w:r>
              <w:rPr>
                <w:rFonts w:hint="eastAsia"/>
                <w:szCs w:val="18"/>
              </w:rPr>
              <w:t>组织形态</w:t>
            </w:r>
          </w:p>
        </w:tc>
        <w:tc>
          <w:tcPr>
            <w:tcW w:w="1129" w:type="pct"/>
            <w:tcBorders>
              <w:top w:val="single" w:color="auto" w:sz="8" w:space="0"/>
            </w:tcBorders>
            <w:shd w:val="clear" w:color="auto" w:fill="auto"/>
            <w:vAlign w:val="center"/>
          </w:tcPr>
          <w:p w14:paraId="75CB79D9">
            <w:pPr>
              <w:pStyle w:val="178"/>
              <w:ind w:left="63" w:leftChars="30" w:right="63" w:rightChars="30" w:firstLine="180" w:firstLineChars="100"/>
              <w:jc w:val="both"/>
              <w:rPr>
                <w:szCs w:val="18"/>
              </w:rPr>
            </w:pPr>
            <w:r>
              <w:rPr>
                <w:rFonts w:hint="eastAsia"/>
                <w:szCs w:val="18"/>
              </w:rPr>
              <w:t>花型优美，微开，外层花瓣、花托完整，花瓣厚实，无碎屑</w:t>
            </w:r>
          </w:p>
        </w:tc>
        <w:tc>
          <w:tcPr>
            <w:tcW w:w="1132" w:type="pct"/>
            <w:tcBorders>
              <w:top w:val="single" w:color="auto" w:sz="8" w:space="0"/>
            </w:tcBorders>
            <w:shd w:val="clear" w:color="auto" w:fill="auto"/>
            <w:vAlign w:val="center"/>
          </w:tcPr>
          <w:p w14:paraId="22AAF629">
            <w:pPr>
              <w:pStyle w:val="178"/>
              <w:ind w:left="63" w:leftChars="30" w:right="63" w:rightChars="30" w:firstLine="180" w:firstLineChars="100"/>
              <w:jc w:val="both"/>
              <w:rPr>
                <w:szCs w:val="18"/>
              </w:rPr>
            </w:pPr>
            <w:r>
              <w:rPr>
                <w:rFonts w:hint="eastAsia"/>
                <w:szCs w:val="18"/>
              </w:rPr>
              <w:t>花型良好，杯口形状，半开或接近半开状态，外层花瓣、花托较完整，花瓣厚实，无碎屑</w:t>
            </w:r>
          </w:p>
        </w:tc>
        <w:tc>
          <w:tcPr>
            <w:tcW w:w="1057" w:type="pct"/>
            <w:tcBorders>
              <w:top w:val="single" w:color="auto" w:sz="8" w:space="0"/>
            </w:tcBorders>
            <w:shd w:val="clear" w:color="auto" w:fill="auto"/>
            <w:vAlign w:val="center"/>
          </w:tcPr>
          <w:p w14:paraId="2C9F4CC4">
            <w:pPr>
              <w:pStyle w:val="178"/>
              <w:ind w:left="63" w:leftChars="30" w:right="63" w:rightChars="30" w:firstLine="180" w:firstLineChars="100"/>
              <w:jc w:val="both"/>
              <w:rPr>
                <w:szCs w:val="18"/>
              </w:rPr>
            </w:pPr>
            <w:r>
              <w:rPr>
                <w:rFonts w:hint="eastAsia"/>
                <w:szCs w:val="18"/>
              </w:rPr>
              <w:t>花型一般，全开或接近全开，允许有花蕊及花朵碎屑，花瓣、花托有少量损伤</w:t>
            </w:r>
          </w:p>
        </w:tc>
        <w:tc>
          <w:tcPr>
            <w:tcW w:w="1019" w:type="pct"/>
            <w:tcBorders>
              <w:top w:val="single" w:color="auto" w:sz="8" w:space="0"/>
            </w:tcBorders>
            <w:shd w:val="clear" w:color="auto" w:fill="auto"/>
            <w:vAlign w:val="center"/>
          </w:tcPr>
          <w:p w14:paraId="5AD6C242">
            <w:pPr>
              <w:pStyle w:val="178"/>
              <w:ind w:left="63" w:leftChars="30" w:right="63" w:rightChars="30" w:firstLine="180" w:firstLineChars="100"/>
              <w:jc w:val="both"/>
              <w:rPr>
                <w:szCs w:val="18"/>
              </w:rPr>
            </w:pPr>
            <w:r>
              <w:rPr>
                <w:rFonts w:hint="eastAsia"/>
                <w:szCs w:val="18"/>
              </w:rPr>
              <w:t>花型一般，未开，允许有花蕊及花朵碎屑，花瓣、花托有少量损伤</w:t>
            </w:r>
            <w:r>
              <w:rPr>
                <w:szCs w:val="18"/>
              </w:rPr>
              <w:t xml:space="preserve"> </w:t>
            </w:r>
          </w:p>
        </w:tc>
      </w:tr>
      <w:tr w14:paraId="532EF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62" w:type="pct"/>
            <w:shd w:val="clear" w:color="auto" w:fill="auto"/>
            <w:vAlign w:val="center"/>
          </w:tcPr>
          <w:p w14:paraId="54902305">
            <w:pPr>
              <w:pStyle w:val="178"/>
              <w:rPr>
                <w:szCs w:val="18"/>
              </w:rPr>
            </w:pPr>
            <w:r>
              <w:rPr>
                <w:rFonts w:hint="eastAsia"/>
                <w:szCs w:val="18"/>
              </w:rPr>
              <w:t>色泽</w:t>
            </w:r>
          </w:p>
        </w:tc>
        <w:tc>
          <w:tcPr>
            <w:tcW w:w="4338" w:type="pct"/>
            <w:gridSpan w:val="4"/>
            <w:shd w:val="clear" w:color="auto" w:fill="auto"/>
            <w:vAlign w:val="center"/>
          </w:tcPr>
          <w:p w14:paraId="47864566">
            <w:pPr>
              <w:pStyle w:val="178"/>
              <w:ind w:left="63" w:leftChars="30" w:right="63" w:rightChars="30" w:firstLine="180" w:firstLineChars="100"/>
              <w:jc w:val="both"/>
              <w:rPr>
                <w:szCs w:val="18"/>
              </w:rPr>
            </w:pPr>
            <w:r>
              <w:rPr>
                <w:rFonts w:hint="eastAsia"/>
                <w:szCs w:val="18"/>
              </w:rPr>
              <w:t>花托呈绿色，花瓣呈淡黄色或金黄色，外层花瓣具有防城金花茶特有的黑色小点</w:t>
            </w:r>
          </w:p>
        </w:tc>
      </w:tr>
      <w:tr w14:paraId="5218F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62" w:type="pct"/>
            <w:shd w:val="clear" w:color="auto" w:fill="auto"/>
            <w:vAlign w:val="center"/>
          </w:tcPr>
          <w:p w14:paraId="6BD3FEA4">
            <w:pPr>
              <w:pStyle w:val="178"/>
              <w:rPr>
                <w:szCs w:val="18"/>
              </w:rPr>
            </w:pPr>
            <w:r>
              <w:rPr>
                <w:rFonts w:hint="eastAsia"/>
                <w:szCs w:val="18"/>
              </w:rPr>
              <w:t>花径</w:t>
            </w:r>
          </w:p>
        </w:tc>
        <w:tc>
          <w:tcPr>
            <w:tcW w:w="2261" w:type="pct"/>
            <w:gridSpan w:val="2"/>
            <w:shd w:val="clear" w:color="auto" w:fill="auto"/>
            <w:vAlign w:val="center"/>
          </w:tcPr>
          <w:p w14:paraId="1A50FD95">
            <w:pPr>
              <w:pStyle w:val="56"/>
              <w:ind w:firstLine="360"/>
              <w:jc w:val="center"/>
              <w:rPr>
                <w:kern w:val="21"/>
                <w:sz w:val="18"/>
                <w:szCs w:val="18"/>
              </w:rPr>
            </w:pPr>
            <w:r>
              <w:rPr>
                <w:rFonts w:hint="eastAsia"/>
                <w:sz w:val="18"/>
                <w:szCs w:val="18"/>
              </w:rPr>
              <w:t>2</w:t>
            </w:r>
            <w:r>
              <w:rPr>
                <w:rFonts w:hint="eastAsia"/>
                <w:sz w:val="18"/>
                <w:szCs w:val="18"/>
                <w:vertAlign w:val="subscript"/>
              </w:rPr>
              <w:t xml:space="preserve"> </w:t>
            </w:r>
            <w:r>
              <w:rPr>
                <w:rFonts w:hint="eastAsia"/>
                <w:sz w:val="18"/>
                <w:szCs w:val="18"/>
              </w:rPr>
              <w:t>cm～6</w:t>
            </w:r>
            <w:r>
              <w:rPr>
                <w:rFonts w:hint="eastAsia"/>
                <w:sz w:val="18"/>
                <w:szCs w:val="18"/>
                <w:vertAlign w:val="subscript"/>
              </w:rPr>
              <w:t xml:space="preserve"> </w:t>
            </w:r>
            <w:r>
              <w:rPr>
                <w:rFonts w:hint="eastAsia"/>
                <w:sz w:val="18"/>
                <w:szCs w:val="18"/>
              </w:rPr>
              <w:t>cm</w:t>
            </w:r>
          </w:p>
        </w:tc>
        <w:tc>
          <w:tcPr>
            <w:tcW w:w="1057" w:type="pct"/>
            <w:shd w:val="clear" w:color="auto" w:fill="auto"/>
            <w:vAlign w:val="center"/>
          </w:tcPr>
          <w:p w14:paraId="56B326F8">
            <w:pPr>
              <w:pStyle w:val="178"/>
              <w:ind w:firstLine="180" w:firstLineChars="100"/>
              <w:rPr>
                <w:szCs w:val="18"/>
              </w:rPr>
            </w:pPr>
            <w:r>
              <w:rPr>
                <w:rFonts w:hint="eastAsia"/>
                <w:szCs w:val="18"/>
              </w:rPr>
              <w:t>≥2</w:t>
            </w:r>
            <w:r>
              <w:rPr>
                <w:rFonts w:hint="eastAsia"/>
                <w:szCs w:val="18"/>
                <w:vertAlign w:val="subscript"/>
              </w:rPr>
              <w:t xml:space="preserve"> </w:t>
            </w:r>
            <w:r>
              <w:rPr>
                <w:rFonts w:hint="eastAsia"/>
                <w:szCs w:val="18"/>
              </w:rPr>
              <w:t>cm</w:t>
            </w:r>
          </w:p>
        </w:tc>
        <w:tc>
          <w:tcPr>
            <w:tcW w:w="1019" w:type="pct"/>
            <w:shd w:val="clear" w:color="auto" w:fill="auto"/>
            <w:vAlign w:val="center"/>
          </w:tcPr>
          <w:p w14:paraId="4A52E6A3">
            <w:pPr>
              <w:pStyle w:val="178"/>
              <w:ind w:firstLine="180" w:firstLineChars="100"/>
              <w:rPr>
                <w:szCs w:val="18"/>
              </w:rPr>
            </w:pPr>
            <w:r>
              <w:rPr>
                <w:rFonts w:hint="eastAsia"/>
                <w:szCs w:val="18"/>
              </w:rPr>
              <w:t>≥1</w:t>
            </w:r>
            <w:r>
              <w:rPr>
                <w:rFonts w:hint="eastAsia"/>
                <w:szCs w:val="18"/>
                <w:vertAlign w:val="subscript"/>
              </w:rPr>
              <w:t xml:space="preserve"> </w:t>
            </w:r>
            <w:r>
              <w:rPr>
                <w:rFonts w:hint="eastAsia"/>
                <w:szCs w:val="18"/>
              </w:rPr>
              <w:t>cm</w:t>
            </w:r>
          </w:p>
        </w:tc>
      </w:tr>
      <w:tr w14:paraId="363D5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62" w:type="pct"/>
            <w:shd w:val="clear" w:color="auto" w:fill="auto"/>
            <w:vAlign w:val="center"/>
          </w:tcPr>
          <w:p w14:paraId="40311F38">
            <w:pPr>
              <w:pStyle w:val="178"/>
              <w:rPr>
                <w:szCs w:val="18"/>
              </w:rPr>
            </w:pPr>
            <w:r>
              <w:rPr>
                <w:rFonts w:hint="eastAsia"/>
                <w:szCs w:val="18"/>
              </w:rPr>
              <w:t>汤色</w:t>
            </w:r>
          </w:p>
        </w:tc>
        <w:tc>
          <w:tcPr>
            <w:tcW w:w="3318" w:type="pct"/>
            <w:gridSpan w:val="3"/>
            <w:shd w:val="clear" w:color="auto" w:fill="auto"/>
            <w:vAlign w:val="center"/>
          </w:tcPr>
          <w:p w14:paraId="0182DCA7">
            <w:pPr>
              <w:pStyle w:val="178"/>
              <w:ind w:left="63" w:leftChars="30" w:right="63" w:rightChars="30" w:firstLine="180" w:firstLineChars="100"/>
              <w:jc w:val="both"/>
              <w:rPr>
                <w:szCs w:val="18"/>
              </w:rPr>
            </w:pPr>
            <w:r>
              <w:rPr>
                <w:rFonts w:hint="eastAsia"/>
                <w:szCs w:val="18"/>
              </w:rPr>
              <w:t>淡黄色或金黄色，清澈明亮，具有明显的花粉颗粒</w:t>
            </w:r>
          </w:p>
        </w:tc>
        <w:tc>
          <w:tcPr>
            <w:tcW w:w="1019" w:type="pct"/>
            <w:shd w:val="clear" w:color="auto" w:fill="auto"/>
            <w:vAlign w:val="center"/>
          </w:tcPr>
          <w:p w14:paraId="67266052">
            <w:pPr>
              <w:pStyle w:val="178"/>
              <w:ind w:left="63" w:leftChars="30" w:right="63" w:rightChars="30" w:firstLine="180" w:firstLineChars="100"/>
              <w:jc w:val="both"/>
              <w:rPr>
                <w:szCs w:val="18"/>
              </w:rPr>
            </w:pPr>
            <w:r>
              <w:rPr>
                <w:rFonts w:hint="eastAsia"/>
                <w:szCs w:val="18"/>
              </w:rPr>
              <w:t>淡黄色，清澈明亮</w:t>
            </w:r>
          </w:p>
        </w:tc>
      </w:tr>
      <w:tr w14:paraId="4FDDB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62" w:type="pct"/>
            <w:shd w:val="clear" w:color="auto" w:fill="auto"/>
            <w:vAlign w:val="center"/>
          </w:tcPr>
          <w:p w14:paraId="0C82A9FD">
            <w:pPr>
              <w:pStyle w:val="178"/>
              <w:rPr>
                <w:szCs w:val="18"/>
              </w:rPr>
            </w:pPr>
            <w:r>
              <w:rPr>
                <w:rFonts w:hint="eastAsia"/>
                <w:szCs w:val="18"/>
              </w:rPr>
              <w:t>香气</w:t>
            </w:r>
          </w:p>
        </w:tc>
        <w:tc>
          <w:tcPr>
            <w:tcW w:w="2261" w:type="pct"/>
            <w:gridSpan w:val="2"/>
            <w:shd w:val="clear" w:color="auto" w:fill="auto"/>
            <w:vAlign w:val="center"/>
          </w:tcPr>
          <w:p w14:paraId="098CE674">
            <w:pPr>
              <w:pStyle w:val="178"/>
              <w:ind w:firstLine="180" w:firstLineChars="100"/>
              <w:jc w:val="both"/>
              <w:rPr>
                <w:kern w:val="21"/>
                <w:szCs w:val="18"/>
              </w:rPr>
            </w:pPr>
            <w:r>
              <w:rPr>
                <w:rFonts w:hint="eastAsia"/>
                <w:szCs w:val="18"/>
              </w:rPr>
              <w:t>具有明显清香或花蜜香</w:t>
            </w:r>
          </w:p>
        </w:tc>
        <w:tc>
          <w:tcPr>
            <w:tcW w:w="2076" w:type="pct"/>
            <w:gridSpan w:val="2"/>
            <w:shd w:val="clear" w:color="auto" w:fill="auto"/>
            <w:vAlign w:val="center"/>
          </w:tcPr>
          <w:p w14:paraId="429F6DD2">
            <w:pPr>
              <w:pStyle w:val="178"/>
              <w:ind w:firstLine="180" w:firstLineChars="100"/>
              <w:jc w:val="both"/>
              <w:rPr>
                <w:szCs w:val="18"/>
              </w:rPr>
            </w:pPr>
            <w:r>
              <w:rPr>
                <w:rFonts w:hint="eastAsia"/>
                <w:szCs w:val="18"/>
              </w:rPr>
              <w:t>有花香</w:t>
            </w:r>
          </w:p>
        </w:tc>
      </w:tr>
      <w:tr w14:paraId="01B02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62" w:type="pct"/>
            <w:shd w:val="clear" w:color="auto" w:fill="auto"/>
            <w:vAlign w:val="center"/>
          </w:tcPr>
          <w:p w14:paraId="28DA484E">
            <w:pPr>
              <w:pStyle w:val="178"/>
              <w:rPr>
                <w:szCs w:val="18"/>
              </w:rPr>
            </w:pPr>
            <w:r>
              <w:rPr>
                <w:rFonts w:hint="eastAsia"/>
                <w:szCs w:val="18"/>
              </w:rPr>
              <w:t>滋味</w:t>
            </w:r>
          </w:p>
        </w:tc>
        <w:tc>
          <w:tcPr>
            <w:tcW w:w="4338" w:type="pct"/>
            <w:gridSpan w:val="4"/>
            <w:shd w:val="clear" w:color="auto" w:fill="auto"/>
            <w:vAlign w:val="center"/>
          </w:tcPr>
          <w:p w14:paraId="7E049598">
            <w:pPr>
              <w:pStyle w:val="178"/>
              <w:ind w:firstLine="180" w:firstLineChars="100"/>
              <w:jc w:val="both"/>
              <w:rPr>
                <w:szCs w:val="18"/>
              </w:rPr>
            </w:pPr>
            <w:r>
              <w:rPr>
                <w:rFonts w:hint="eastAsia"/>
                <w:szCs w:val="18"/>
              </w:rPr>
              <w:t>清醇甘爽，有回甘</w:t>
            </w:r>
          </w:p>
        </w:tc>
      </w:tr>
      <w:tr w14:paraId="5245D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62" w:type="pct"/>
            <w:shd w:val="clear" w:color="auto" w:fill="auto"/>
            <w:vAlign w:val="center"/>
          </w:tcPr>
          <w:p w14:paraId="26004EEA">
            <w:pPr>
              <w:pStyle w:val="178"/>
              <w:rPr>
                <w:szCs w:val="18"/>
              </w:rPr>
            </w:pPr>
            <w:r>
              <w:rPr>
                <w:rFonts w:hint="eastAsia"/>
                <w:szCs w:val="18"/>
              </w:rPr>
              <w:t>杂质</w:t>
            </w:r>
          </w:p>
        </w:tc>
        <w:tc>
          <w:tcPr>
            <w:tcW w:w="4338" w:type="pct"/>
            <w:gridSpan w:val="4"/>
            <w:shd w:val="clear" w:color="auto" w:fill="auto"/>
            <w:vAlign w:val="center"/>
          </w:tcPr>
          <w:p w14:paraId="1979CE17">
            <w:pPr>
              <w:pStyle w:val="178"/>
              <w:ind w:firstLine="180" w:firstLineChars="100"/>
              <w:jc w:val="both"/>
              <w:rPr>
                <w:szCs w:val="18"/>
              </w:rPr>
            </w:pPr>
            <w:r>
              <w:rPr>
                <w:rFonts w:hint="eastAsia"/>
                <w:szCs w:val="18"/>
              </w:rPr>
              <w:t>无杂质</w:t>
            </w:r>
          </w:p>
        </w:tc>
      </w:tr>
    </w:tbl>
    <w:p w14:paraId="004759A3">
      <w:pPr>
        <w:pStyle w:val="65"/>
        <w:spacing w:before="120" w:after="120"/>
      </w:pPr>
      <w:r>
        <w:rPr>
          <w:rFonts w:hint="eastAsia"/>
        </w:rPr>
        <w:t>叶茶</w:t>
      </w:r>
    </w:p>
    <w:p w14:paraId="76796F1E">
      <w:pPr>
        <w:pStyle w:val="56"/>
        <w:ind w:firstLine="420"/>
      </w:pPr>
      <w:r>
        <w:rPr>
          <w:rFonts w:hint="eastAsia"/>
        </w:rPr>
        <w:t>见表2。</w:t>
      </w:r>
    </w:p>
    <w:p w14:paraId="2B071D7E">
      <w:pPr>
        <w:pStyle w:val="112"/>
        <w:spacing w:before="120" w:after="120"/>
      </w:pPr>
      <w:r>
        <w:rPr>
          <w:rFonts w:hint="eastAsia"/>
        </w:rPr>
        <w:t>叶茶感官要求</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04"/>
        <w:gridCol w:w="2602"/>
        <w:gridCol w:w="2628"/>
        <w:gridCol w:w="6"/>
        <w:gridCol w:w="2334"/>
      </w:tblGrid>
      <w:tr w14:paraId="72308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962" w:type="pct"/>
            <w:vMerge w:val="restart"/>
            <w:tcBorders>
              <w:top w:val="single" w:color="auto" w:sz="8" w:space="0"/>
              <w:bottom w:val="single" w:color="auto" w:sz="4" w:space="0"/>
            </w:tcBorders>
            <w:shd w:val="clear" w:color="auto" w:fill="auto"/>
            <w:vAlign w:val="center"/>
          </w:tcPr>
          <w:p w14:paraId="4082AF4A">
            <w:pPr>
              <w:pStyle w:val="178"/>
            </w:pPr>
            <w:r>
              <w:rPr>
                <w:rFonts w:hint="eastAsia"/>
              </w:rPr>
              <w:t>项目</w:t>
            </w:r>
          </w:p>
        </w:tc>
        <w:tc>
          <w:tcPr>
            <w:tcW w:w="4038" w:type="pct"/>
            <w:gridSpan w:val="4"/>
            <w:tcBorders>
              <w:top w:val="single" w:color="auto" w:sz="8" w:space="0"/>
              <w:bottom w:val="single" w:color="auto" w:sz="4" w:space="0"/>
            </w:tcBorders>
            <w:shd w:val="clear" w:color="auto" w:fill="auto"/>
            <w:vAlign w:val="center"/>
          </w:tcPr>
          <w:p w14:paraId="6AA25437">
            <w:pPr>
              <w:pStyle w:val="178"/>
            </w:pPr>
            <w:r>
              <w:rPr>
                <w:rFonts w:hint="eastAsia"/>
              </w:rPr>
              <w:t>等级</w:t>
            </w:r>
          </w:p>
        </w:tc>
      </w:tr>
      <w:tr w14:paraId="39667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2" w:type="pct"/>
            <w:vMerge w:val="continue"/>
            <w:tcBorders>
              <w:top w:val="single" w:color="auto" w:sz="4" w:space="0"/>
              <w:bottom w:val="single" w:color="auto" w:sz="8" w:space="0"/>
            </w:tcBorders>
            <w:shd w:val="clear" w:color="auto" w:fill="auto"/>
            <w:vAlign w:val="center"/>
          </w:tcPr>
          <w:p w14:paraId="09F27791">
            <w:pPr>
              <w:pStyle w:val="178"/>
            </w:pPr>
          </w:p>
        </w:tc>
        <w:tc>
          <w:tcPr>
            <w:tcW w:w="1388" w:type="pct"/>
            <w:tcBorders>
              <w:top w:val="single" w:color="auto" w:sz="4" w:space="0"/>
              <w:bottom w:val="single" w:color="auto" w:sz="8" w:space="0"/>
            </w:tcBorders>
            <w:shd w:val="clear" w:color="auto" w:fill="auto"/>
            <w:vAlign w:val="center"/>
          </w:tcPr>
          <w:p w14:paraId="4BAFF6D1">
            <w:pPr>
              <w:pStyle w:val="178"/>
            </w:pPr>
            <w:r>
              <w:rPr>
                <w:rFonts w:hint="eastAsia"/>
              </w:rPr>
              <w:t>特级</w:t>
            </w:r>
          </w:p>
        </w:tc>
        <w:tc>
          <w:tcPr>
            <w:tcW w:w="1402" w:type="pct"/>
            <w:tcBorders>
              <w:top w:val="single" w:color="auto" w:sz="4" w:space="0"/>
              <w:bottom w:val="single" w:color="auto" w:sz="8" w:space="0"/>
            </w:tcBorders>
            <w:shd w:val="clear" w:color="auto" w:fill="auto"/>
            <w:vAlign w:val="center"/>
          </w:tcPr>
          <w:p w14:paraId="4606A1FB">
            <w:pPr>
              <w:pStyle w:val="178"/>
            </w:pPr>
            <w:r>
              <w:rPr>
                <w:rFonts w:hint="eastAsia"/>
              </w:rPr>
              <w:t>一级</w:t>
            </w:r>
          </w:p>
        </w:tc>
        <w:tc>
          <w:tcPr>
            <w:tcW w:w="1248" w:type="pct"/>
            <w:gridSpan w:val="2"/>
            <w:tcBorders>
              <w:top w:val="single" w:color="auto" w:sz="4" w:space="0"/>
              <w:bottom w:val="single" w:color="auto" w:sz="8" w:space="0"/>
            </w:tcBorders>
            <w:shd w:val="clear" w:color="auto" w:fill="auto"/>
            <w:vAlign w:val="center"/>
          </w:tcPr>
          <w:p w14:paraId="219FDF97">
            <w:pPr>
              <w:pStyle w:val="178"/>
            </w:pPr>
            <w:r>
              <w:rPr>
                <w:rFonts w:hint="eastAsia"/>
              </w:rPr>
              <w:t>二级</w:t>
            </w:r>
          </w:p>
        </w:tc>
      </w:tr>
      <w:tr w14:paraId="111C7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962" w:type="pct"/>
            <w:tcBorders>
              <w:top w:val="single" w:color="auto" w:sz="8" w:space="0"/>
            </w:tcBorders>
            <w:shd w:val="clear" w:color="auto" w:fill="auto"/>
            <w:vAlign w:val="center"/>
          </w:tcPr>
          <w:p w14:paraId="58A99F28">
            <w:pPr>
              <w:pStyle w:val="178"/>
            </w:pPr>
            <w:r>
              <w:rPr>
                <w:rFonts w:hint="eastAsia"/>
              </w:rPr>
              <w:t>组织形态</w:t>
            </w:r>
          </w:p>
        </w:tc>
        <w:tc>
          <w:tcPr>
            <w:tcW w:w="1388" w:type="pct"/>
            <w:tcBorders>
              <w:top w:val="single" w:color="auto" w:sz="8" w:space="0"/>
            </w:tcBorders>
            <w:shd w:val="clear" w:color="auto" w:fill="auto"/>
            <w:vAlign w:val="center"/>
          </w:tcPr>
          <w:p w14:paraId="50ABCA7A">
            <w:pPr>
              <w:pStyle w:val="178"/>
              <w:ind w:left="63" w:leftChars="30" w:right="63" w:rightChars="30" w:firstLine="180" w:firstLineChars="100"/>
              <w:jc w:val="left"/>
            </w:pPr>
            <w:r>
              <w:rPr>
                <w:rFonts w:hint="eastAsia" w:hAnsi="宋体"/>
              </w:rPr>
              <w:t>嫩芽，叶片完整或切条，大小均匀，无黄斑</w:t>
            </w:r>
          </w:p>
        </w:tc>
        <w:tc>
          <w:tcPr>
            <w:tcW w:w="1402" w:type="pct"/>
            <w:tcBorders>
              <w:top w:val="single" w:color="auto" w:sz="8" w:space="0"/>
            </w:tcBorders>
            <w:shd w:val="clear" w:color="auto" w:fill="auto"/>
            <w:vAlign w:val="center"/>
          </w:tcPr>
          <w:p w14:paraId="0707947B">
            <w:pPr>
              <w:pStyle w:val="178"/>
              <w:ind w:right="63" w:rightChars="30" w:firstLine="180" w:firstLineChars="100"/>
              <w:jc w:val="left"/>
            </w:pPr>
            <w:r>
              <w:rPr>
                <w:rFonts w:hint="eastAsia" w:hAnsi="宋体"/>
              </w:rPr>
              <w:t>叶片完整或切条，大小较均匀，无黄斑</w:t>
            </w:r>
          </w:p>
        </w:tc>
        <w:tc>
          <w:tcPr>
            <w:tcW w:w="1248" w:type="pct"/>
            <w:gridSpan w:val="2"/>
            <w:tcBorders>
              <w:top w:val="single" w:color="auto" w:sz="8" w:space="0"/>
            </w:tcBorders>
            <w:shd w:val="clear" w:color="auto" w:fill="auto"/>
            <w:vAlign w:val="center"/>
          </w:tcPr>
          <w:p w14:paraId="7B20999E">
            <w:pPr>
              <w:pStyle w:val="178"/>
              <w:ind w:right="63" w:rightChars="30" w:firstLine="180" w:firstLineChars="100"/>
              <w:jc w:val="left"/>
              <w:rPr>
                <w:rFonts w:hAnsi="宋体"/>
              </w:rPr>
            </w:pPr>
            <w:r>
              <w:rPr>
                <w:rFonts w:hint="eastAsia" w:hAnsi="宋体"/>
              </w:rPr>
              <w:t>不完整叶片，有少量黄斑</w:t>
            </w:r>
          </w:p>
        </w:tc>
      </w:tr>
      <w:tr w14:paraId="12447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2" w:type="pct"/>
            <w:shd w:val="clear" w:color="auto" w:fill="auto"/>
            <w:vAlign w:val="center"/>
          </w:tcPr>
          <w:p w14:paraId="7C5D7DE1">
            <w:pPr>
              <w:pStyle w:val="178"/>
            </w:pPr>
            <w:r>
              <w:rPr>
                <w:rFonts w:hint="eastAsia" w:hAnsi="宋体"/>
              </w:rPr>
              <w:t>色泽</w:t>
            </w:r>
          </w:p>
        </w:tc>
        <w:tc>
          <w:tcPr>
            <w:tcW w:w="1388" w:type="pct"/>
            <w:shd w:val="clear" w:color="auto" w:fill="auto"/>
            <w:vAlign w:val="center"/>
          </w:tcPr>
          <w:p w14:paraId="4A4C6902">
            <w:pPr>
              <w:pStyle w:val="178"/>
              <w:ind w:left="63" w:leftChars="30" w:right="63" w:rightChars="30" w:firstLine="180" w:firstLineChars="100"/>
              <w:jc w:val="left"/>
            </w:pPr>
            <w:r>
              <w:rPr>
                <w:rFonts w:hint="eastAsia" w:hAnsi="宋体"/>
              </w:rPr>
              <w:t>紫色或嫩绿</w:t>
            </w:r>
          </w:p>
        </w:tc>
        <w:tc>
          <w:tcPr>
            <w:tcW w:w="1402" w:type="pct"/>
            <w:shd w:val="clear" w:color="auto" w:fill="auto"/>
            <w:vAlign w:val="center"/>
          </w:tcPr>
          <w:p w14:paraId="26962363">
            <w:pPr>
              <w:pStyle w:val="178"/>
              <w:ind w:right="63" w:rightChars="30" w:firstLine="180" w:firstLineChars="100"/>
              <w:jc w:val="left"/>
              <w:rPr>
                <w:rFonts w:hAnsi="宋体"/>
              </w:rPr>
            </w:pPr>
            <w:r>
              <w:rPr>
                <w:rFonts w:hint="eastAsia" w:hAnsi="宋体"/>
              </w:rPr>
              <w:t>翠绿色或绿色或绿黄</w:t>
            </w:r>
          </w:p>
        </w:tc>
        <w:tc>
          <w:tcPr>
            <w:tcW w:w="1248" w:type="pct"/>
            <w:gridSpan w:val="2"/>
            <w:shd w:val="clear" w:color="auto" w:fill="auto"/>
            <w:vAlign w:val="center"/>
          </w:tcPr>
          <w:p w14:paraId="16FB41AD">
            <w:pPr>
              <w:pStyle w:val="178"/>
              <w:ind w:left="63" w:leftChars="30" w:right="63" w:rightChars="30" w:firstLine="180" w:firstLineChars="100"/>
              <w:jc w:val="left"/>
            </w:pPr>
            <w:r>
              <w:rPr>
                <w:rFonts w:hint="eastAsia" w:hAnsi="宋体"/>
              </w:rPr>
              <w:t>翠绿色或绿色或绿黄或暗绿色</w:t>
            </w:r>
            <w:r>
              <w:rPr>
                <w:rFonts w:hint="eastAsia"/>
              </w:rPr>
              <w:t>，允许有少量杂色</w:t>
            </w:r>
          </w:p>
        </w:tc>
      </w:tr>
      <w:tr w14:paraId="26DB6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2" w:type="pct"/>
            <w:shd w:val="clear" w:color="auto" w:fill="auto"/>
            <w:vAlign w:val="center"/>
          </w:tcPr>
          <w:p w14:paraId="358D030D">
            <w:pPr>
              <w:pStyle w:val="178"/>
              <w:rPr>
                <w:rFonts w:hAnsi="宋体"/>
              </w:rPr>
            </w:pPr>
            <w:r>
              <w:rPr>
                <w:rFonts w:hint="eastAsia" w:hAnsi="宋体"/>
              </w:rPr>
              <w:t>汤色</w:t>
            </w:r>
          </w:p>
        </w:tc>
        <w:tc>
          <w:tcPr>
            <w:tcW w:w="1388" w:type="pct"/>
            <w:shd w:val="clear" w:color="auto" w:fill="auto"/>
            <w:vAlign w:val="center"/>
          </w:tcPr>
          <w:p w14:paraId="3C57AD5E">
            <w:pPr>
              <w:pStyle w:val="178"/>
              <w:ind w:firstLine="180" w:firstLineChars="100"/>
              <w:jc w:val="left"/>
            </w:pPr>
            <w:r>
              <w:rPr>
                <w:rFonts w:hint="eastAsia" w:hAnsi="宋体"/>
              </w:rPr>
              <w:t>淡紫色或黄绿色，清澈明亮</w:t>
            </w:r>
          </w:p>
        </w:tc>
        <w:tc>
          <w:tcPr>
            <w:tcW w:w="2650" w:type="pct"/>
            <w:gridSpan w:val="3"/>
            <w:shd w:val="clear" w:color="auto" w:fill="auto"/>
            <w:vAlign w:val="center"/>
          </w:tcPr>
          <w:p w14:paraId="57DD47F2">
            <w:pPr>
              <w:pStyle w:val="178"/>
              <w:ind w:firstLine="180" w:firstLineChars="100"/>
              <w:jc w:val="left"/>
              <w:rPr>
                <w:rFonts w:hAnsi="宋体"/>
              </w:rPr>
            </w:pPr>
            <w:r>
              <w:rPr>
                <w:rFonts w:hint="eastAsia"/>
              </w:rPr>
              <w:t>黄绿色，清澈明亮</w:t>
            </w:r>
          </w:p>
        </w:tc>
      </w:tr>
      <w:tr w14:paraId="20AA6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2" w:type="pct"/>
            <w:shd w:val="clear" w:color="auto" w:fill="auto"/>
            <w:vAlign w:val="center"/>
          </w:tcPr>
          <w:p w14:paraId="450909EE">
            <w:pPr>
              <w:pStyle w:val="178"/>
            </w:pPr>
            <w:r>
              <w:rPr>
                <w:rFonts w:hint="eastAsia" w:hAnsi="宋体"/>
              </w:rPr>
              <w:t>香气</w:t>
            </w:r>
          </w:p>
        </w:tc>
        <w:tc>
          <w:tcPr>
            <w:tcW w:w="2793" w:type="pct"/>
            <w:gridSpan w:val="3"/>
            <w:shd w:val="clear" w:color="auto" w:fill="auto"/>
            <w:vAlign w:val="center"/>
          </w:tcPr>
          <w:p w14:paraId="12AF4E04">
            <w:pPr>
              <w:pStyle w:val="178"/>
              <w:ind w:firstLine="180" w:firstLineChars="100"/>
              <w:rPr>
                <w:kern w:val="21"/>
              </w:rPr>
            </w:pPr>
            <w:r>
              <w:rPr>
                <w:rFonts w:hint="eastAsia"/>
              </w:rPr>
              <w:t>具有明显清香</w:t>
            </w:r>
          </w:p>
        </w:tc>
        <w:tc>
          <w:tcPr>
            <w:tcW w:w="1245" w:type="pct"/>
            <w:shd w:val="clear" w:color="auto" w:fill="auto"/>
            <w:vAlign w:val="center"/>
          </w:tcPr>
          <w:p w14:paraId="7E50E3AA">
            <w:pPr>
              <w:pStyle w:val="178"/>
              <w:ind w:firstLine="180" w:firstLineChars="100"/>
              <w:jc w:val="left"/>
              <w:rPr>
                <w:kern w:val="21"/>
              </w:rPr>
            </w:pPr>
            <w:r>
              <w:rPr>
                <w:rFonts w:hint="eastAsia" w:hAnsi="宋体"/>
              </w:rPr>
              <w:t>有清香</w:t>
            </w:r>
          </w:p>
        </w:tc>
      </w:tr>
      <w:tr w14:paraId="7C0EC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2" w:type="pct"/>
            <w:shd w:val="clear" w:color="auto" w:fill="auto"/>
            <w:vAlign w:val="center"/>
          </w:tcPr>
          <w:p w14:paraId="0BE2FC76">
            <w:pPr>
              <w:pStyle w:val="178"/>
              <w:rPr>
                <w:rFonts w:hAnsi="宋体"/>
              </w:rPr>
            </w:pPr>
            <w:r>
              <w:rPr>
                <w:rFonts w:hint="eastAsia" w:hAnsi="宋体"/>
              </w:rPr>
              <w:t>滋味</w:t>
            </w:r>
          </w:p>
        </w:tc>
        <w:tc>
          <w:tcPr>
            <w:tcW w:w="4038" w:type="pct"/>
            <w:gridSpan w:val="4"/>
            <w:shd w:val="clear" w:color="auto" w:fill="auto"/>
            <w:vAlign w:val="center"/>
          </w:tcPr>
          <w:p w14:paraId="3F10F22D">
            <w:pPr>
              <w:pStyle w:val="178"/>
              <w:ind w:firstLine="180" w:firstLineChars="100"/>
              <w:jc w:val="both"/>
              <w:rPr>
                <w:rFonts w:hAnsi="宋体"/>
              </w:rPr>
            </w:pPr>
            <w:r>
              <w:rPr>
                <w:rFonts w:hint="eastAsia"/>
              </w:rPr>
              <w:t>清醇甘爽，有回甘</w:t>
            </w:r>
          </w:p>
        </w:tc>
      </w:tr>
      <w:tr w14:paraId="5983E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2" w:type="pct"/>
            <w:shd w:val="clear" w:color="auto" w:fill="auto"/>
            <w:vAlign w:val="center"/>
          </w:tcPr>
          <w:p w14:paraId="6D53EC2B">
            <w:pPr>
              <w:pStyle w:val="178"/>
            </w:pPr>
            <w:r>
              <w:rPr>
                <w:rFonts w:hint="eastAsia"/>
              </w:rPr>
              <w:t>杂质</w:t>
            </w:r>
          </w:p>
        </w:tc>
        <w:tc>
          <w:tcPr>
            <w:tcW w:w="4038" w:type="pct"/>
            <w:gridSpan w:val="4"/>
            <w:shd w:val="clear" w:color="auto" w:fill="auto"/>
            <w:vAlign w:val="center"/>
          </w:tcPr>
          <w:p w14:paraId="0928EFFB">
            <w:pPr>
              <w:pStyle w:val="178"/>
              <w:ind w:firstLine="180" w:firstLineChars="100"/>
              <w:jc w:val="both"/>
            </w:pPr>
            <w:r>
              <w:rPr>
                <w:rFonts w:hint="eastAsia"/>
              </w:rPr>
              <w:t>无杂质</w:t>
            </w:r>
          </w:p>
        </w:tc>
      </w:tr>
    </w:tbl>
    <w:p w14:paraId="38FA7B3E">
      <w:pPr>
        <w:pStyle w:val="105"/>
        <w:spacing w:before="120" w:after="120"/>
      </w:pPr>
      <w:bookmarkStart w:id="49" w:name="_Toc205395418"/>
      <w:r>
        <w:rPr>
          <w:rFonts w:hint="eastAsia"/>
        </w:rPr>
        <w:t>理化指标</w:t>
      </w:r>
      <w:bookmarkEnd w:id="49"/>
    </w:p>
    <w:p w14:paraId="11E1BE5D">
      <w:pPr>
        <w:pStyle w:val="65"/>
        <w:spacing w:before="120" w:after="120"/>
      </w:pPr>
      <w:r>
        <w:rPr>
          <w:rFonts w:hint="eastAsia"/>
        </w:rPr>
        <w:t>花茶</w:t>
      </w:r>
    </w:p>
    <w:p w14:paraId="5148BC78">
      <w:pPr>
        <w:pStyle w:val="56"/>
        <w:ind w:firstLine="420"/>
      </w:pPr>
      <w:r>
        <w:rPr>
          <w:rFonts w:hint="eastAsia"/>
        </w:rPr>
        <w:t>见表3。</w:t>
      </w:r>
    </w:p>
    <w:p w14:paraId="028F23A4">
      <w:pPr>
        <w:pStyle w:val="112"/>
        <w:spacing w:before="120" w:after="120"/>
      </w:pPr>
      <w:r>
        <w:rPr>
          <w:rFonts w:hint="eastAsia"/>
        </w:rPr>
        <w:t>花茶理化指标</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263"/>
        <w:gridCol w:w="1417"/>
        <w:gridCol w:w="1132"/>
        <w:gridCol w:w="1277"/>
        <w:gridCol w:w="1285"/>
      </w:tblGrid>
      <w:tr w14:paraId="0BB8B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274" w:type="pct"/>
            <w:vMerge w:val="restart"/>
            <w:tcBorders>
              <w:top w:val="single" w:color="auto" w:sz="8" w:space="0"/>
              <w:bottom w:val="single" w:color="auto" w:sz="4" w:space="0"/>
            </w:tcBorders>
            <w:shd w:val="clear" w:color="auto" w:fill="auto"/>
            <w:vAlign w:val="center"/>
          </w:tcPr>
          <w:p w14:paraId="56D31ABE">
            <w:pPr>
              <w:pStyle w:val="178"/>
            </w:pPr>
            <w:r>
              <w:rPr>
                <w:rFonts w:hint="eastAsia"/>
              </w:rPr>
              <w:t>项目</w:t>
            </w:r>
          </w:p>
        </w:tc>
        <w:tc>
          <w:tcPr>
            <w:tcW w:w="2726" w:type="pct"/>
            <w:gridSpan w:val="4"/>
            <w:tcBorders>
              <w:top w:val="single" w:color="auto" w:sz="8" w:space="0"/>
              <w:bottom w:val="single" w:color="auto" w:sz="4" w:space="0"/>
            </w:tcBorders>
            <w:shd w:val="clear" w:color="auto" w:fill="auto"/>
            <w:vAlign w:val="center"/>
          </w:tcPr>
          <w:p w14:paraId="1D870AA5">
            <w:pPr>
              <w:pStyle w:val="178"/>
            </w:pPr>
            <w:r>
              <w:rPr>
                <w:rFonts w:hint="eastAsia"/>
              </w:rPr>
              <w:t>等级</w:t>
            </w:r>
          </w:p>
        </w:tc>
      </w:tr>
      <w:tr w14:paraId="1E521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74" w:type="pct"/>
            <w:vMerge w:val="continue"/>
            <w:tcBorders>
              <w:top w:val="single" w:color="auto" w:sz="4" w:space="0"/>
              <w:bottom w:val="single" w:color="auto" w:sz="8" w:space="0"/>
            </w:tcBorders>
            <w:shd w:val="clear" w:color="auto" w:fill="auto"/>
            <w:vAlign w:val="center"/>
          </w:tcPr>
          <w:p w14:paraId="331B14F9">
            <w:pPr>
              <w:pStyle w:val="178"/>
            </w:pPr>
          </w:p>
        </w:tc>
        <w:tc>
          <w:tcPr>
            <w:tcW w:w="756" w:type="pct"/>
            <w:tcBorders>
              <w:top w:val="single" w:color="auto" w:sz="4" w:space="0"/>
              <w:bottom w:val="single" w:color="auto" w:sz="8" w:space="0"/>
            </w:tcBorders>
            <w:shd w:val="clear" w:color="auto" w:fill="auto"/>
            <w:vAlign w:val="center"/>
          </w:tcPr>
          <w:p w14:paraId="1A44511C">
            <w:pPr>
              <w:pStyle w:val="178"/>
            </w:pPr>
            <w:r>
              <w:rPr>
                <w:rFonts w:hint="eastAsia"/>
              </w:rPr>
              <w:t>特级</w:t>
            </w:r>
          </w:p>
        </w:tc>
        <w:tc>
          <w:tcPr>
            <w:tcW w:w="604" w:type="pct"/>
            <w:tcBorders>
              <w:top w:val="single" w:color="auto" w:sz="4" w:space="0"/>
              <w:bottom w:val="single" w:color="auto" w:sz="8" w:space="0"/>
            </w:tcBorders>
            <w:shd w:val="clear" w:color="auto" w:fill="auto"/>
            <w:vAlign w:val="center"/>
          </w:tcPr>
          <w:p w14:paraId="445C529C">
            <w:pPr>
              <w:pStyle w:val="178"/>
            </w:pPr>
            <w:r>
              <w:rPr>
                <w:rFonts w:hint="eastAsia"/>
              </w:rPr>
              <w:t>一级</w:t>
            </w:r>
          </w:p>
        </w:tc>
        <w:tc>
          <w:tcPr>
            <w:tcW w:w="681" w:type="pct"/>
            <w:tcBorders>
              <w:top w:val="single" w:color="auto" w:sz="4" w:space="0"/>
              <w:bottom w:val="single" w:color="auto" w:sz="8" w:space="0"/>
            </w:tcBorders>
            <w:shd w:val="clear" w:color="auto" w:fill="auto"/>
            <w:vAlign w:val="center"/>
          </w:tcPr>
          <w:p w14:paraId="669B059A">
            <w:pPr>
              <w:pStyle w:val="178"/>
            </w:pPr>
            <w:r>
              <w:rPr>
                <w:rFonts w:hint="eastAsia"/>
              </w:rPr>
              <w:t>二级</w:t>
            </w:r>
          </w:p>
        </w:tc>
        <w:tc>
          <w:tcPr>
            <w:tcW w:w="685" w:type="pct"/>
            <w:tcBorders>
              <w:top w:val="single" w:color="auto" w:sz="4" w:space="0"/>
              <w:bottom w:val="single" w:color="auto" w:sz="8" w:space="0"/>
            </w:tcBorders>
            <w:shd w:val="clear" w:color="auto" w:fill="auto"/>
            <w:vAlign w:val="center"/>
          </w:tcPr>
          <w:p w14:paraId="2B739358">
            <w:pPr>
              <w:pStyle w:val="178"/>
            </w:pPr>
            <w:r>
              <w:rPr>
                <w:rFonts w:hint="eastAsia"/>
              </w:rPr>
              <w:t>三级</w:t>
            </w:r>
          </w:p>
        </w:tc>
      </w:tr>
      <w:tr w14:paraId="49D76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74" w:type="pct"/>
            <w:tcBorders>
              <w:top w:val="single" w:color="auto" w:sz="8" w:space="0"/>
            </w:tcBorders>
            <w:shd w:val="clear" w:color="auto" w:fill="auto"/>
            <w:vAlign w:val="center"/>
          </w:tcPr>
          <w:p w14:paraId="723CB85C">
            <w:pPr>
              <w:pStyle w:val="178"/>
              <w:ind w:firstLine="180" w:firstLineChars="100"/>
              <w:jc w:val="both"/>
            </w:pPr>
            <w:r>
              <w:rPr>
                <w:rFonts w:hint="eastAsia"/>
              </w:rPr>
              <w:t>总黄酮（以芦丁计）/（g/100</w:t>
            </w:r>
            <w:r>
              <w:rPr>
                <w:rFonts w:hint="eastAsia"/>
                <w:vertAlign w:val="subscript"/>
              </w:rPr>
              <w:t xml:space="preserve"> </w:t>
            </w:r>
            <w:r>
              <w:rPr>
                <w:rFonts w:hint="eastAsia"/>
              </w:rPr>
              <w:t>g）              ≥</w:t>
            </w:r>
          </w:p>
        </w:tc>
        <w:tc>
          <w:tcPr>
            <w:tcW w:w="756" w:type="pct"/>
            <w:tcBorders>
              <w:top w:val="single" w:color="auto" w:sz="8" w:space="0"/>
            </w:tcBorders>
            <w:shd w:val="clear" w:color="auto" w:fill="auto"/>
            <w:vAlign w:val="center"/>
          </w:tcPr>
          <w:p w14:paraId="5E8A0EF2">
            <w:pPr>
              <w:pStyle w:val="178"/>
            </w:pPr>
            <w:r>
              <w:rPr>
                <w:rFonts w:hint="eastAsia"/>
              </w:rPr>
              <w:t>0.3</w:t>
            </w:r>
          </w:p>
        </w:tc>
        <w:tc>
          <w:tcPr>
            <w:tcW w:w="1970" w:type="pct"/>
            <w:gridSpan w:val="3"/>
            <w:tcBorders>
              <w:top w:val="single" w:color="auto" w:sz="8" w:space="0"/>
            </w:tcBorders>
            <w:shd w:val="clear" w:color="auto" w:fill="auto"/>
            <w:vAlign w:val="center"/>
          </w:tcPr>
          <w:p w14:paraId="6378AB01">
            <w:pPr>
              <w:pStyle w:val="178"/>
            </w:pPr>
            <w:r>
              <w:rPr>
                <w:rFonts w:hint="eastAsia"/>
              </w:rPr>
              <w:t>0.2</w:t>
            </w:r>
          </w:p>
        </w:tc>
      </w:tr>
      <w:tr w14:paraId="1682D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74" w:type="pct"/>
            <w:shd w:val="clear" w:color="auto" w:fill="auto"/>
            <w:vAlign w:val="center"/>
          </w:tcPr>
          <w:p w14:paraId="7E1C9E7C">
            <w:pPr>
              <w:pStyle w:val="178"/>
              <w:ind w:firstLine="180" w:firstLineChars="100"/>
              <w:jc w:val="both"/>
            </w:pPr>
            <w:r>
              <w:rPr>
                <w:rFonts w:hint="eastAsia"/>
              </w:rPr>
              <w:t>总皂苷（以人参皂苷Re计）/（g/100</w:t>
            </w:r>
            <w:r>
              <w:rPr>
                <w:rFonts w:hint="eastAsia"/>
                <w:vertAlign w:val="subscript"/>
              </w:rPr>
              <w:t xml:space="preserve"> </w:t>
            </w:r>
            <w:r>
              <w:rPr>
                <w:rFonts w:hint="eastAsia"/>
              </w:rPr>
              <w:t>g）        ≥</w:t>
            </w:r>
          </w:p>
        </w:tc>
        <w:tc>
          <w:tcPr>
            <w:tcW w:w="756" w:type="pct"/>
            <w:shd w:val="clear" w:color="auto" w:fill="auto"/>
            <w:vAlign w:val="center"/>
          </w:tcPr>
          <w:p w14:paraId="699DF221">
            <w:pPr>
              <w:pStyle w:val="178"/>
            </w:pPr>
            <w:r>
              <w:rPr>
                <w:rFonts w:hint="eastAsia"/>
              </w:rPr>
              <w:t>0.3</w:t>
            </w:r>
          </w:p>
        </w:tc>
        <w:tc>
          <w:tcPr>
            <w:tcW w:w="1970" w:type="pct"/>
            <w:gridSpan w:val="3"/>
            <w:shd w:val="clear" w:color="auto" w:fill="auto"/>
            <w:vAlign w:val="center"/>
          </w:tcPr>
          <w:p w14:paraId="75EDB544">
            <w:pPr>
              <w:pStyle w:val="178"/>
            </w:pPr>
            <w:r>
              <w:rPr>
                <w:rFonts w:hint="eastAsia"/>
              </w:rPr>
              <w:t>0.2</w:t>
            </w:r>
          </w:p>
        </w:tc>
      </w:tr>
      <w:tr w14:paraId="2081F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74" w:type="pct"/>
            <w:shd w:val="clear" w:color="auto" w:fill="auto"/>
            <w:vAlign w:val="center"/>
          </w:tcPr>
          <w:p w14:paraId="6554617F">
            <w:pPr>
              <w:pStyle w:val="178"/>
              <w:ind w:firstLine="180" w:firstLineChars="100"/>
              <w:jc w:val="both"/>
            </w:pPr>
            <w:r>
              <w:rPr>
                <w:rFonts w:hint="eastAsia"/>
              </w:rPr>
              <w:t>水浸出物/（％）                             ≥</w:t>
            </w:r>
          </w:p>
        </w:tc>
        <w:tc>
          <w:tcPr>
            <w:tcW w:w="2726" w:type="pct"/>
            <w:gridSpan w:val="4"/>
            <w:shd w:val="clear" w:color="auto" w:fill="auto"/>
            <w:vAlign w:val="center"/>
          </w:tcPr>
          <w:p w14:paraId="083589DC">
            <w:pPr>
              <w:pStyle w:val="178"/>
            </w:pPr>
            <w:r>
              <w:rPr>
                <w:rFonts w:hint="eastAsia"/>
              </w:rPr>
              <w:t>22</w:t>
            </w:r>
          </w:p>
        </w:tc>
      </w:tr>
      <w:tr w14:paraId="48A6B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2274" w:type="pct"/>
            <w:shd w:val="clear" w:color="auto" w:fill="auto"/>
            <w:vAlign w:val="center"/>
          </w:tcPr>
          <w:p w14:paraId="3C1A2949">
            <w:pPr>
              <w:pStyle w:val="178"/>
              <w:ind w:firstLine="180" w:firstLineChars="100"/>
              <w:jc w:val="both"/>
            </w:pPr>
            <w:r>
              <w:rPr>
                <w:rFonts w:hint="eastAsia"/>
              </w:rPr>
              <w:t>水分/（g/100</w:t>
            </w:r>
            <w:r>
              <w:rPr>
                <w:rFonts w:hint="eastAsia"/>
                <w:vertAlign w:val="subscript"/>
              </w:rPr>
              <w:t xml:space="preserve"> </w:t>
            </w:r>
            <w:r>
              <w:rPr>
                <w:rFonts w:hint="eastAsia"/>
              </w:rPr>
              <w:t>g）                            ≤</w:t>
            </w:r>
          </w:p>
        </w:tc>
        <w:tc>
          <w:tcPr>
            <w:tcW w:w="2726" w:type="pct"/>
            <w:gridSpan w:val="4"/>
            <w:shd w:val="clear" w:color="auto" w:fill="auto"/>
            <w:vAlign w:val="center"/>
          </w:tcPr>
          <w:p w14:paraId="2F1185C8">
            <w:pPr>
              <w:pStyle w:val="178"/>
            </w:pPr>
            <w:r>
              <w:rPr>
                <w:rFonts w:hint="eastAsia"/>
              </w:rPr>
              <w:t>13</w:t>
            </w:r>
          </w:p>
        </w:tc>
      </w:tr>
      <w:tr w14:paraId="2ADDF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74" w:type="pct"/>
            <w:shd w:val="clear" w:color="auto" w:fill="auto"/>
            <w:vAlign w:val="center"/>
          </w:tcPr>
          <w:p w14:paraId="42125C42">
            <w:pPr>
              <w:pStyle w:val="178"/>
              <w:ind w:firstLine="180" w:firstLineChars="100"/>
              <w:jc w:val="both"/>
            </w:pPr>
            <w:r>
              <w:rPr>
                <w:rFonts w:hint="eastAsia"/>
              </w:rPr>
              <w:t>总灰分/（g/100</w:t>
            </w:r>
            <w:r>
              <w:rPr>
                <w:rFonts w:hint="eastAsia"/>
                <w:vertAlign w:val="subscript"/>
              </w:rPr>
              <w:t xml:space="preserve"> </w:t>
            </w:r>
            <w:r>
              <w:rPr>
                <w:rFonts w:hint="eastAsia"/>
              </w:rPr>
              <w:t>g）                          ≤</w:t>
            </w:r>
          </w:p>
        </w:tc>
        <w:tc>
          <w:tcPr>
            <w:tcW w:w="2726" w:type="pct"/>
            <w:gridSpan w:val="4"/>
            <w:shd w:val="clear" w:color="auto" w:fill="auto"/>
            <w:vAlign w:val="center"/>
          </w:tcPr>
          <w:p w14:paraId="563C4451">
            <w:pPr>
              <w:pStyle w:val="178"/>
            </w:pPr>
            <w:r>
              <w:rPr>
                <w:rFonts w:hint="eastAsia"/>
              </w:rPr>
              <w:t>8</w:t>
            </w:r>
          </w:p>
        </w:tc>
      </w:tr>
    </w:tbl>
    <w:p w14:paraId="76274923">
      <w:pPr>
        <w:pStyle w:val="65"/>
        <w:spacing w:before="120" w:after="120"/>
      </w:pPr>
      <w:r>
        <w:rPr>
          <w:rFonts w:hint="eastAsia"/>
        </w:rPr>
        <w:t>叶茶</w:t>
      </w:r>
    </w:p>
    <w:p w14:paraId="3AC8010A">
      <w:pPr>
        <w:pStyle w:val="56"/>
        <w:ind w:firstLine="420"/>
      </w:pPr>
      <w:r>
        <w:rPr>
          <w:rFonts w:hint="eastAsia"/>
        </w:rPr>
        <w:t>见表4。</w:t>
      </w:r>
    </w:p>
    <w:p w14:paraId="570D2232">
      <w:pPr>
        <w:pStyle w:val="56"/>
        <w:ind w:firstLine="420"/>
      </w:pPr>
    </w:p>
    <w:p w14:paraId="5F87AA43">
      <w:pPr>
        <w:pStyle w:val="56"/>
        <w:ind w:firstLine="0" w:firstLineChars="0"/>
        <w:rPr>
          <w:rFonts w:hint="eastAsia"/>
        </w:rPr>
      </w:pPr>
    </w:p>
    <w:p w14:paraId="453125C6">
      <w:pPr>
        <w:pStyle w:val="56"/>
        <w:ind w:firstLine="0" w:firstLineChars="0"/>
      </w:pPr>
    </w:p>
    <w:p w14:paraId="2A649A1F">
      <w:pPr>
        <w:pStyle w:val="112"/>
        <w:spacing w:before="120" w:after="120"/>
      </w:pPr>
      <w:r>
        <w:rPr>
          <w:rFonts w:hint="eastAsia"/>
        </w:rPr>
        <w:t>叶茶理化指标</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406"/>
        <w:gridCol w:w="1843"/>
        <w:gridCol w:w="1560"/>
        <w:gridCol w:w="1565"/>
      </w:tblGrid>
      <w:tr w14:paraId="50FF0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350" w:type="pct"/>
            <w:vMerge w:val="restart"/>
            <w:tcBorders>
              <w:top w:val="single" w:color="auto" w:sz="8" w:space="0"/>
              <w:bottom w:val="single" w:color="auto" w:sz="4" w:space="0"/>
            </w:tcBorders>
            <w:shd w:val="clear" w:color="auto" w:fill="auto"/>
            <w:vAlign w:val="center"/>
          </w:tcPr>
          <w:p w14:paraId="1CBF08CB">
            <w:pPr>
              <w:pStyle w:val="178"/>
            </w:pPr>
            <w:r>
              <w:rPr>
                <w:rFonts w:hint="eastAsia"/>
              </w:rPr>
              <w:t>项目</w:t>
            </w:r>
          </w:p>
        </w:tc>
        <w:tc>
          <w:tcPr>
            <w:tcW w:w="2650" w:type="pct"/>
            <w:gridSpan w:val="3"/>
            <w:tcBorders>
              <w:top w:val="single" w:color="auto" w:sz="8" w:space="0"/>
              <w:bottom w:val="single" w:color="auto" w:sz="4" w:space="0"/>
            </w:tcBorders>
            <w:shd w:val="clear" w:color="auto" w:fill="auto"/>
            <w:vAlign w:val="center"/>
          </w:tcPr>
          <w:p w14:paraId="4830FFC7">
            <w:pPr>
              <w:pStyle w:val="178"/>
            </w:pPr>
            <w:r>
              <w:rPr>
                <w:rFonts w:hint="eastAsia"/>
              </w:rPr>
              <w:t>等级</w:t>
            </w:r>
          </w:p>
        </w:tc>
      </w:tr>
      <w:tr w14:paraId="4A166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50" w:type="pct"/>
            <w:vMerge w:val="continue"/>
            <w:tcBorders>
              <w:top w:val="single" w:color="auto" w:sz="4" w:space="0"/>
              <w:bottom w:val="single" w:color="auto" w:sz="8" w:space="0"/>
            </w:tcBorders>
            <w:shd w:val="clear" w:color="auto" w:fill="auto"/>
            <w:vAlign w:val="center"/>
          </w:tcPr>
          <w:p w14:paraId="54259DA9">
            <w:pPr>
              <w:pStyle w:val="178"/>
            </w:pPr>
          </w:p>
        </w:tc>
        <w:tc>
          <w:tcPr>
            <w:tcW w:w="983" w:type="pct"/>
            <w:tcBorders>
              <w:top w:val="single" w:color="auto" w:sz="4" w:space="0"/>
              <w:bottom w:val="single" w:color="auto" w:sz="8" w:space="0"/>
            </w:tcBorders>
            <w:shd w:val="clear" w:color="auto" w:fill="auto"/>
            <w:vAlign w:val="center"/>
          </w:tcPr>
          <w:p w14:paraId="080E15A6">
            <w:pPr>
              <w:pStyle w:val="178"/>
            </w:pPr>
            <w:r>
              <w:rPr>
                <w:rFonts w:hint="eastAsia"/>
              </w:rPr>
              <w:t>特级</w:t>
            </w:r>
          </w:p>
        </w:tc>
        <w:tc>
          <w:tcPr>
            <w:tcW w:w="832" w:type="pct"/>
            <w:tcBorders>
              <w:top w:val="single" w:color="auto" w:sz="4" w:space="0"/>
              <w:bottom w:val="single" w:color="auto" w:sz="8" w:space="0"/>
            </w:tcBorders>
            <w:shd w:val="clear" w:color="auto" w:fill="auto"/>
            <w:vAlign w:val="center"/>
          </w:tcPr>
          <w:p w14:paraId="7674272D">
            <w:pPr>
              <w:pStyle w:val="178"/>
            </w:pPr>
            <w:r>
              <w:rPr>
                <w:rFonts w:hint="eastAsia"/>
              </w:rPr>
              <w:t>一级</w:t>
            </w:r>
          </w:p>
        </w:tc>
        <w:tc>
          <w:tcPr>
            <w:tcW w:w="836" w:type="pct"/>
            <w:tcBorders>
              <w:top w:val="single" w:color="auto" w:sz="4" w:space="0"/>
              <w:bottom w:val="single" w:color="auto" w:sz="8" w:space="0"/>
            </w:tcBorders>
            <w:shd w:val="clear" w:color="auto" w:fill="auto"/>
            <w:vAlign w:val="center"/>
          </w:tcPr>
          <w:p w14:paraId="63399618">
            <w:pPr>
              <w:pStyle w:val="178"/>
            </w:pPr>
            <w:r>
              <w:rPr>
                <w:rFonts w:hint="eastAsia"/>
              </w:rPr>
              <w:t>二级</w:t>
            </w:r>
          </w:p>
        </w:tc>
      </w:tr>
      <w:tr w14:paraId="7B001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50" w:type="pct"/>
            <w:tcBorders>
              <w:top w:val="single" w:color="auto" w:sz="8" w:space="0"/>
            </w:tcBorders>
            <w:shd w:val="clear" w:color="auto" w:fill="auto"/>
            <w:vAlign w:val="center"/>
          </w:tcPr>
          <w:p w14:paraId="0AD11E4B">
            <w:pPr>
              <w:pStyle w:val="178"/>
              <w:ind w:firstLine="180" w:firstLineChars="100"/>
              <w:jc w:val="both"/>
            </w:pPr>
            <w:r>
              <w:rPr>
                <w:rFonts w:hint="eastAsia"/>
              </w:rPr>
              <w:t>总黄酮（以芦丁计）/（g/100</w:t>
            </w:r>
            <w:r>
              <w:rPr>
                <w:rFonts w:hint="eastAsia"/>
                <w:vertAlign w:val="subscript"/>
              </w:rPr>
              <w:t xml:space="preserve"> </w:t>
            </w:r>
            <w:r>
              <w:rPr>
                <w:rFonts w:hint="eastAsia"/>
              </w:rPr>
              <w:t>g）              ≥</w:t>
            </w:r>
          </w:p>
        </w:tc>
        <w:tc>
          <w:tcPr>
            <w:tcW w:w="983" w:type="pct"/>
            <w:tcBorders>
              <w:top w:val="single" w:color="auto" w:sz="8" w:space="0"/>
            </w:tcBorders>
            <w:shd w:val="clear" w:color="auto" w:fill="auto"/>
            <w:vAlign w:val="center"/>
          </w:tcPr>
          <w:p w14:paraId="5347F541">
            <w:pPr>
              <w:pStyle w:val="178"/>
            </w:pPr>
            <w:r>
              <w:rPr>
                <w:rFonts w:hint="eastAsia"/>
              </w:rPr>
              <w:t>0.4</w:t>
            </w:r>
          </w:p>
        </w:tc>
        <w:tc>
          <w:tcPr>
            <w:tcW w:w="1668" w:type="pct"/>
            <w:gridSpan w:val="2"/>
            <w:tcBorders>
              <w:top w:val="single" w:color="auto" w:sz="8" w:space="0"/>
            </w:tcBorders>
            <w:shd w:val="clear" w:color="auto" w:fill="auto"/>
            <w:vAlign w:val="center"/>
          </w:tcPr>
          <w:p w14:paraId="52DCD0BE">
            <w:pPr>
              <w:pStyle w:val="178"/>
            </w:pPr>
            <w:r>
              <w:rPr>
                <w:rFonts w:hint="eastAsia"/>
              </w:rPr>
              <w:t>0.3</w:t>
            </w:r>
          </w:p>
        </w:tc>
      </w:tr>
      <w:tr w14:paraId="3610F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2350" w:type="pct"/>
            <w:shd w:val="clear" w:color="auto" w:fill="auto"/>
            <w:vAlign w:val="center"/>
          </w:tcPr>
          <w:p w14:paraId="333435F2">
            <w:pPr>
              <w:pStyle w:val="178"/>
              <w:ind w:firstLine="180" w:firstLineChars="100"/>
              <w:jc w:val="both"/>
            </w:pPr>
            <w:r>
              <w:rPr>
                <w:rFonts w:hint="eastAsia"/>
              </w:rPr>
              <w:t>总皂苷（以人参皂苷Re计）/（g/100</w:t>
            </w:r>
            <w:r>
              <w:rPr>
                <w:rFonts w:hint="eastAsia"/>
                <w:vertAlign w:val="subscript"/>
              </w:rPr>
              <w:t xml:space="preserve"> </w:t>
            </w:r>
            <w:r>
              <w:rPr>
                <w:rFonts w:hint="eastAsia"/>
              </w:rPr>
              <w:t>g）        ≥</w:t>
            </w:r>
          </w:p>
        </w:tc>
        <w:tc>
          <w:tcPr>
            <w:tcW w:w="983" w:type="pct"/>
            <w:shd w:val="clear" w:color="auto" w:fill="auto"/>
            <w:vAlign w:val="center"/>
          </w:tcPr>
          <w:p w14:paraId="69C9AABC">
            <w:pPr>
              <w:pStyle w:val="178"/>
            </w:pPr>
            <w:r>
              <w:rPr>
                <w:rFonts w:hint="eastAsia"/>
              </w:rPr>
              <w:t>0.4</w:t>
            </w:r>
          </w:p>
        </w:tc>
        <w:tc>
          <w:tcPr>
            <w:tcW w:w="1668" w:type="pct"/>
            <w:gridSpan w:val="2"/>
            <w:shd w:val="clear" w:color="auto" w:fill="auto"/>
            <w:vAlign w:val="center"/>
          </w:tcPr>
          <w:p w14:paraId="543BE8C0">
            <w:pPr>
              <w:pStyle w:val="178"/>
            </w:pPr>
            <w:r>
              <w:rPr>
                <w:rFonts w:hint="eastAsia"/>
              </w:rPr>
              <w:t>0.3</w:t>
            </w:r>
          </w:p>
        </w:tc>
      </w:tr>
      <w:tr w14:paraId="5F79B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50" w:type="pct"/>
            <w:shd w:val="clear" w:color="auto" w:fill="auto"/>
            <w:vAlign w:val="center"/>
          </w:tcPr>
          <w:p w14:paraId="75975BC5">
            <w:pPr>
              <w:pStyle w:val="178"/>
              <w:ind w:firstLine="180" w:firstLineChars="100"/>
              <w:jc w:val="both"/>
            </w:pPr>
            <w:r>
              <w:rPr>
                <w:rFonts w:hint="eastAsia"/>
              </w:rPr>
              <w:t>水浸出物/（％）                             ≥</w:t>
            </w:r>
          </w:p>
        </w:tc>
        <w:tc>
          <w:tcPr>
            <w:tcW w:w="2650" w:type="pct"/>
            <w:gridSpan w:val="3"/>
            <w:shd w:val="clear" w:color="auto" w:fill="auto"/>
            <w:vAlign w:val="center"/>
          </w:tcPr>
          <w:p w14:paraId="664C8223">
            <w:pPr>
              <w:pStyle w:val="178"/>
            </w:pPr>
            <w:r>
              <w:rPr>
                <w:rFonts w:hint="eastAsia"/>
              </w:rPr>
              <w:t>21</w:t>
            </w:r>
          </w:p>
        </w:tc>
      </w:tr>
      <w:tr w14:paraId="0D98C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50" w:type="pct"/>
            <w:shd w:val="clear" w:color="auto" w:fill="auto"/>
            <w:vAlign w:val="center"/>
          </w:tcPr>
          <w:p w14:paraId="6B7C7AB3">
            <w:pPr>
              <w:pStyle w:val="178"/>
              <w:ind w:firstLine="180" w:firstLineChars="100"/>
              <w:jc w:val="both"/>
            </w:pPr>
            <w:r>
              <w:rPr>
                <w:rFonts w:hint="eastAsia"/>
              </w:rPr>
              <w:t>水分/（g/100</w:t>
            </w:r>
            <w:r>
              <w:rPr>
                <w:rFonts w:hint="eastAsia"/>
                <w:vertAlign w:val="subscript"/>
              </w:rPr>
              <w:t xml:space="preserve"> </w:t>
            </w:r>
            <w:r>
              <w:rPr>
                <w:rFonts w:hint="eastAsia"/>
              </w:rPr>
              <w:t>g）                            ≤</w:t>
            </w:r>
          </w:p>
        </w:tc>
        <w:tc>
          <w:tcPr>
            <w:tcW w:w="2650" w:type="pct"/>
            <w:gridSpan w:val="3"/>
            <w:shd w:val="clear" w:color="auto" w:fill="auto"/>
            <w:vAlign w:val="center"/>
          </w:tcPr>
          <w:p w14:paraId="282E59D6">
            <w:pPr>
              <w:pStyle w:val="178"/>
            </w:pPr>
            <w:r>
              <w:rPr>
                <w:rFonts w:hint="eastAsia"/>
              </w:rPr>
              <w:t>12</w:t>
            </w:r>
          </w:p>
        </w:tc>
      </w:tr>
      <w:tr w14:paraId="523E9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50" w:type="pct"/>
            <w:shd w:val="clear" w:color="auto" w:fill="auto"/>
            <w:vAlign w:val="center"/>
          </w:tcPr>
          <w:p w14:paraId="391D9A37">
            <w:pPr>
              <w:pStyle w:val="178"/>
              <w:ind w:firstLine="180" w:firstLineChars="100"/>
              <w:jc w:val="both"/>
            </w:pPr>
            <w:bookmarkStart w:id="66" w:name="_GoBack"/>
            <w:r>
              <w:rPr>
                <w:rFonts w:hint="eastAsia"/>
              </w:rPr>
              <w:t>总灰分/（g/100</w:t>
            </w:r>
            <w:r>
              <w:rPr>
                <w:rFonts w:hint="eastAsia"/>
                <w:vertAlign w:val="subscript"/>
              </w:rPr>
              <w:t xml:space="preserve"> </w:t>
            </w:r>
            <w:r>
              <w:rPr>
                <w:rFonts w:hint="eastAsia"/>
              </w:rPr>
              <w:t xml:space="preserve">g） </w:t>
            </w:r>
            <w:bookmarkEnd w:id="66"/>
            <w:r>
              <w:rPr>
                <w:rFonts w:hint="eastAsia"/>
              </w:rPr>
              <w:t xml:space="preserve">                         ≤</w:t>
            </w:r>
          </w:p>
        </w:tc>
        <w:tc>
          <w:tcPr>
            <w:tcW w:w="2650" w:type="pct"/>
            <w:gridSpan w:val="3"/>
            <w:shd w:val="clear" w:color="auto" w:fill="auto"/>
            <w:vAlign w:val="center"/>
          </w:tcPr>
          <w:p w14:paraId="09BF8604">
            <w:pPr>
              <w:pStyle w:val="178"/>
            </w:pPr>
            <w:r>
              <w:rPr>
                <w:rFonts w:hint="eastAsia"/>
              </w:rPr>
              <w:t>12</w:t>
            </w:r>
          </w:p>
        </w:tc>
      </w:tr>
    </w:tbl>
    <w:p w14:paraId="7C253CCF">
      <w:pPr>
        <w:pStyle w:val="105"/>
        <w:spacing w:before="120" w:after="120"/>
      </w:pPr>
      <w:bookmarkStart w:id="50" w:name="_Toc205395419"/>
      <w:r>
        <w:rPr>
          <w:rFonts w:hint="eastAsia"/>
        </w:rPr>
        <w:t>食品安全指标</w:t>
      </w:r>
      <w:bookmarkEnd w:id="50"/>
    </w:p>
    <w:p w14:paraId="5ADC0841">
      <w:pPr>
        <w:pStyle w:val="56"/>
        <w:ind w:firstLine="420"/>
      </w:pPr>
      <w:r>
        <w:rPr>
          <w:rFonts w:hint="eastAsia"/>
        </w:rPr>
        <w:t>花茶应符合DBS 45/069的规定；叶茶应符合DBS 45/033的规定。</w:t>
      </w:r>
    </w:p>
    <w:p w14:paraId="1F4AF1D6">
      <w:pPr>
        <w:pStyle w:val="105"/>
        <w:spacing w:before="120" w:after="120"/>
      </w:pPr>
      <w:bookmarkStart w:id="51" w:name="_Toc205395420"/>
      <w:r>
        <w:rPr>
          <w:rFonts w:hint="eastAsia"/>
        </w:rPr>
        <w:t>食品添加剂</w:t>
      </w:r>
      <w:bookmarkEnd w:id="51"/>
    </w:p>
    <w:p w14:paraId="303E4675">
      <w:pPr>
        <w:pStyle w:val="56"/>
        <w:ind w:firstLine="420"/>
      </w:pPr>
      <w:r>
        <w:rPr>
          <w:rFonts w:hint="eastAsia"/>
        </w:rPr>
        <w:t>食品添加剂的品种和使用量应符合GB 2760的规定。</w:t>
      </w:r>
    </w:p>
    <w:p w14:paraId="7D6B90E6">
      <w:pPr>
        <w:pStyle w:val="105"/>
        <w:spacing w:before="120" w:after="120"/>
      </w:pPr>
      <w:bookmarkStart w:id="52" w:name="_Toc205395421"/>
      <w:r>
        <w:rPr>
          <w:rFonts w:hint="eastAsia"/>
        </w:rPr>
        <w:t>净含量</w:t>
      </w:r>
      <w:bookmarkEnd w:id="52"/>
    </w:p>
    <w:p w14:paraId="52650E44">
      <w:pPr>
        <w:pStyle w:val="56"/>
        <w:ind w:firstLine="420"/>
      </w:pPr>
      <w:r>
        <w:rPr>
          <w:rFonts w:hint="eastAsia"/>
        </w:rPr>
        <w:t>应符合《定量包装商品计量监督管理办法》的规定。</w:t>
      </w:r>
    </w:p>
    <w:p w14:paraId="55F7F848">
      <w:pPr>
        <w:pStyle w:val="104"/>
        <w:spacing w:before="240" w:after="240"/>
      </w:pPr>
      <w:bookmarkStart w:id="53" w:name="_Toc205395422"/>
      <w:r>
        <w:rPr>
          <w:rFonts w:hint="eastAsia"/>
        </w:rPr>
        <w:t>检验方法</w:t>
      </w:r>
      <w:bookmarkEnd w:id="53"/>
    </w:p>
    <w:p w14:paraId="210F59D8">
      <w:pPr>
        <w:pStyle w:val="105"/>
        <w:spacing w:before="120" w:after="120"/>
      </w:pPr>
      <w:bookmarkStart w:id="54" w:name="_Toc205395423"/>
      <w:r>
        <w:rPr>
          <w:rFonts w:hint="eastAsia"/>
        </w:rPr>
        <w:t>感官</w:t>
      </w:r>
      <w:bookmarkEnd w:id="54"/>
    </w:p>
    <w:p w14:paraId="5645E9E1">
      <w:pPr>
        <w:pStyle w:val="56"/>
        <w:ind w:firstLine="420"/>
      </w:pPr>
      <w:r>
        <w:rPr>
          <w:rFonts w:hint="eastAsia"/>
        </w:rPr>
        <w:t>按GB/T 23776规定的方法测定。</w:t>
      </w:r>
    </w:p>
    <w:p w14:paraId="3A823300">
      <w:pPr>
        <w:pStyle w:val="105"/>
        <w:spacing w:before="120" w:after="120"/>
      </w:pPr>
      <w:bookmarkStart w:id="55" w:name="_Toc205395424"/>
      <w:r>
        <w:rPr>
          <w:rFonts w:hint="eastAsia"/>
        </w:rPr>
        <w:t>理化指标</w:t>
      </w:r>
      <w:bookmarkEnd w:id="55"/>
    </w:p>
    <w:p w14:paraId="30C6B565">
      <w:pPr>
        <w:pStyle w:val="65"/>
        <w:spacing w:before="120" w:after="120"/>
      </w:pPr>
      <w:r>
        <w:rPr>
          <w:rFonts w:hint="eastAsia"/>
        </w:rPr>
        <w:t>总黄酮</w:t>
      </w:r>
    </w:p>
    <w:p w14:paraId="50EAD512">
      <w:pPr>
        <w:pStyle w:val="56"/>
        <w:ind w:firstLine="420"/>
      </w:pPr>
      <w:r>
        <w:rPr>
          <w:rFonts w:hint="eastAsia"/>
        </w:rPr>
        <w:t>按SN/T 4592规定的方法测定。</w:t>
      </w:r>
    </w:p>
    <w:p w14:paraId="25F13732">
      <w:pPr>
        <w:pStyle w:val="65"/>
        <w:spacing w:before="120" w:after="120"/>
      </w:pPr>
      <w:r>
        <w:rPr>
          <w:rFonts w:hint="eastAsia"/>
        </w:rPr>
        <w:t>总皂苷</w:t>
      </w:r>
    </w:p>
    <w:p w14:paraId="50A7BD3D">
      <w:pPr>
        <w:pStyle w:val="56"/>
        <w:ind w:firstLine="420"/>
      </w:pPr>
      <w:r>
        <w:rPr>
          <w:rFonts w:hint="eastAsia"/>
        </w:rPr>
        <w:t>按《保健食品理化及卫生指标检验与评价技术指导原则》(2020年版)第二部分十四章第一法规定的方法测定。</w:t>
      </w:r>
    </w:p>
    <w:p w14:paraId="49FFBA24">
      <w:pPr>
        <w:pStyle w:val="65"/>
        <w:spacing w:before="120" w:after="120"/>
      </w:pPr>
      <w:r>
        <w:rPr>
          <w:rFonts w:hint="eastAsia"/>
        </w:rPr>
        <w:t>水分</w:t>
      </w:r>
    </w:p>
    <w:p w14:paraId="52E5639F">
      <w:pPr>
        <w:pStyle w:val="56"/>
        <w:ind w:firstLine="420"/>
      </w:pPr>
      <w:r>
        <w:rPr>
          <w:rFonts w:hint="eastAsia"/>
        </w:rPr>
        <w:t>按GB 5009.3规定的方法测定。</w:t>
      </w:r>
    </w:p>
    <w:p w14:paraId="16FA318E">
      <w:pPr>
        <w:pStyle w:val="65"/>
        <w:spacing w:before="120" w:after="120"/>
      </w:pPr>
      <w:r>
        <w:rPr>
          <w:rFonts w:hint="eastAsia"/>
        </w:rPr>
        <w:t>总灰分</w:t>
      </w:r>
    </w:p>
    <w:p w14:paraId="339AE631">
      <w:pPr>
        <w:pStyle w:val="56"/>
        <w:ind w:firstLine="420"/>
      </w:pPr>
      <w:r>
        <w:rPr>
          <w:rFonts w:hint="eastAsia"/>
        </w:rPr>
        <w:t>按GB 5009.4规定的方法测定。</w:t>
      </w:r>
    </w:p>
    <w:p w14:paraId="714209D9">
      <w:pPr>
        <w:pStyle w:val="65"/>
        <w:spacing w:before="120" w:after="120"/>
      </w:pPr>
      <w:r>
        <w:rPr>
          <w:rFonts w:hint="eastAsia"/>
        </w:rPr>
        <w:t>水浸出物</w:t>
      </w:r>
    </w:p>
    <w:p w14:paraId="1E9A79C1">
      <w:pPr>
        <w:pStyle w:val="56"/>
        <w:ind w:firstLine="420"/>
      </w:pPr>
      <w:r>
        <w:rPr>
          <w:rFonts w:hint="eastAsia"/>
        </w:rPr>
        <w:t>按GB/T 8305规定的方法测定。</w:t>
      </w:r>
    </w:p>
    <w:p w14:paraId="253C8149">
      <w:pPr>
        <w:pStyle w:val="105"/>
        <w:spacing w:before="120" w:after="120"/>
      </w:pPr>
      <w:bookmarkStart w:id="56" w:name="_Toc205395425"/>
      <w:r>
        <w:rPr>
          <w:rFonts w:hint="eastAsia"/>
        </w:rPr>
        <w:t>食品安全指标</w:t>
      </w:r>
      <w:bookmarkEnd w:id="56"/>
    </w:p>
    <w:p w14:paraId="088C78A1">
      <w:pPr>
        <w:pStyle w:val="56"/>
        <w:ind w:firstLine="420"/>
      </w:pPr>
      <w:r>
        <w:rPr>
          <w:rFonts w:hint="eastAsia"/>
        </w:rPr>
        <w:t>花茶应按DBS45/ 069规定的方法测定；叶茶按DBS45/ 033规定的方法测定。</w:t>
      </w:r>
    </w:p>
    <w:p w14:paraId="2ABD6D20">
      <w:pPr>
        <w:pStyle w:val="104"/>
        <w:spacing w:before="240" w:after="240"/>
      </w:pPr>
      <w:bookmarkStart w:id="57" w:name="_Toc205395426"/>
      <w:r>
        <w:rPr>
          <w:rFonts w:hint="eastAsia"/>
        </w:rPr>
        <w:t>检验规则</w:t>
      </w:r>
      <w:bookmarkEnd w:id="57"/>
    </w:p>
    <w:p w14:paraId="18240E90">
      <w:pPr>
        <w:pStyle w:val="105"/>
        <w:spacing w:before="120" w:after="120"/>
      </w:pPr>
      <w:bookmarkStart w:id="58" w:name="_Toc205395427"/>
      <w:r>
        <w:rPr>
          <w:rFonts w:hint="eastAsia"/>
        </w:rPr>
        <w:t>组批</w:t>
      </w:r>
      <w:bookmarkEnd w:id="58"/>
    </w:p>
    <w:p w14:paraId="515BC6F9">
      <w:pPr>
        <w:pStyle w:val="56"/>
        <w:ind w:firstLine="420"/>
      </w:pPr>
      <w:r>
        <w:rPr>
          <w:rFonts w:hint="eastAsia"/>
        </w:rPr>
        <w:t>应符合DB45/T 909的规定。</w:t>
      </w:r>
    </w:p>
    <w:p w14:paraId="4C3A948F">
      <w:pPr>
        <w:pStyle w:val="56"/>
        <w:ind w:firstLine="420"/>
      </w:pPr>
    </w:p>
    <w:p w14:paraId="5A47E68B">
      <w:pPr>
        <w:pStyle w:val="105"/>
        <w:spacing w:before="120" w:after="120"/>
      </w:pPr>
      <w:bookmarkStart w:id="59" w:name="_Toc205395428"/>
      <w:r>
        <w:rPr>
          <w:rFonts w:hint="eastAsia"/>
        </w:rPr>
        <w:t>取样和样品制备</w:t>
      </w:r>
      <w:bookmarkEnd w:id="59"/>
    </w:p>
    <w:p w14:paraId="5DBD625B">
      <w:pPr>
        <w:pStyle w:val="56"/>
        <w:ind w:firstLine="420"/>
      </w:pPr>
      <w:r>
        <w:rPr>
          <w:rFonts w:hint="eastAsia"/>
        </w:rPr>
        <w:t>取样方法按GB/T 8302的规定进行，样品制备方法按GB/T 8303的规定进行。</w:t>
      </w:r>
    </w:p>
    <w:p w14:paraId="199BC221">
      <w:pPr>
        <w:pStyle w:val="105"/>
        <w:spacing w:before="120" w:after="120"/>
      </w:pPr>
      <w:bookmarkStart w:id="60" w:name="_Toc205395429"/>
      <w:r>
        <w:rPr>
          <w:rFonts w:hint="eastAsia"/>
        </w:rPr>
        <w:t>出厂检验、型式检验</w:t>
      </w:r>
      <w:bookmarkEnd w:id="60"/>
    </w:p>
    <w:p w14:paraId="5F1A6F23">
      <w:pPr>
        <w:pStyle w:val="56"/>
        <w:ind w:firstLine="420"/>
      </w:pPr>
      <w:r>
        <w:rPr>
          <w:rFonts w:hint="eastAsia"/>
        </w:rPr>
        <w:t>应符合DB45/T 909的规定。</w:t>
      </w:r>
    </w:p>
    <w:p w14:paraId="7FF7611C">
      <w:pPr>
        <w:pStyle w:val="105"/>
        <w:spacing w:before="120" w:after="120"/>
      </w:pPr>
      <w:bookmarkStart w:id="61" w:name="_Toc205395430"/>
      <w:r>
        <w:rPr>
          <w:rFonts w:hint="eastAsia"/>
        </w:rPr>
        <w:t>判定规则</w:t>
      </w:r>
      <w:bookmarkEnd w:id="61"/>
    </w:p>
    <w:p w14:paraId="5833C6A3">
      <w:pPr>
        <w:pStyle w:val="56"/>
        <w:ind w:firstLine="420"/>
      </w:pPr>
      <w:r>
        <w:rPr>
          <w:rFonts w:hint="eastAsia"/>
        </w:rPr>
        <w:t>检验结果中任一项目不符合本文件要求，可从该批次中加倍抽样复验，以复验结果为准。若复验结果仍有一项不合格，判定该批产品为不合格品。检验结果中任一项目不符合本文件要求判为不合格，以质量等级规定中最低一项指标判定等级。</w:t>
      </w:r>
    </w:p>
    <w:p w14:paraId="3315C9DA">
      <w:pPr>
        <w:pStyle w:val="104"/>
        <w:spacing w:before="240" w:after="240"/>
      </w:pPr>
      <w:bookmarkStart w:id="62" w:name="_Toc205395431"/>
      <w:r>
        <w:rPr>
          <w:rFonts w:hint="eastAsia"/>
        </w:rPr>
        <w:t>标志、标签、包装、运输、贮存</w:t>
      </w:r>
      <w:bookmarkEnd w:id="62"/>
    </w:p>
    <w:p w14:paraId="33508C40">
      <w:pPr>
        <w:pStyle w:val="56"/>
        <w:ind w:firstLine="420"/>
      </w:pPr>
      <w:r>
        <w:rPr>
          <w:rFonts w:hint="eastAsia"/>
        </w:rPr>
        <w:t>按本文件规定的质量等级分别包装，其他应符合DB45/T 909的规定。</w:t>
      </w:r>
    </w:p>
    <w:p w14:paraId="32CB99EB">
      <w:pPr>
        <w:pStyle w:val="56"/>
        <w:ind w:firstLine="420"/>
      </w:pPr>
    </w:p>
    <w:bookmarkEnd w:id="22"/>
    <w:p w14:paraId="28808847">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linePitch="312" w:charSpace="0"/>
        </w:sectPr>
      </w:pPr>
      <w:bookmarkStart w:id="63" w:name="BookMark6"/>
    </w:p>
    <w:p w14:paraId="2B3B233E">
      <w:pPr>
        <w:pStyle w:val="63"/>
        <w:spacing w:after="120"/>
      </w:pPr>
      <w:bookmarkStart w:id="64" w:name="_Toc205395432"/>
      <w:r>
        <w:rPr>
          <w:rFonts w:hint="eastAsia"/>
          <w:spacing w:val="105"/>
        </w:rPr>
        <w:t>参考文</w:t>
      </w:r>
      <w:r>
        <w:rPr>
          <w:rFonts w:hint="eastAsia"/>
        </w:rPr>
        <w:t>献</w:t>
      </w:r>
      <w:bookmarkEnd w:id="64"/>
    </w:p>
    <w:p w14:paraId="1F228113">
      <w:pPr>
        <w:pStyle w:val="56"/>
        <w:ind w:firstLine="420"/>
      </w:pPr>
      <w:r>
        <w:rPr>
          <w:rFonts w:hint="eastAsia"/>
        </w:rPr>
        <w:t>[1]  《保健食品理化及卫生指标检验与评价技术指导原则》(2020年版)</w:t>
      </w:r>
    </w:p>
    <w:p w14:paraId="62A1CF5A">
      <w:pPr>
        <w:pStyle w:val="56"/>
        <w:ind w:firstLine="420"/>
      </w:pPr>
      <w:r>
        <w:rPr>
          <w:rFonts w:hint="eastAsia"/>
        </w:rPr>
        <w:t>[2]  定量包装商品计量监督管理办法(2023年国家市场监督管理总局令第70号)</w:t>
      </w:r>
    </w:p>
    <w:bookmarkEnd w:id="63"/>
    <w:p w14:paraId="7A5520E0">
      <w:pPr>
        <w:pStyle w:val="56"/>
        <w:ind w:firstLine="0" w:firstLineChars="0"/>
        <w:jc w:val="center"/>
      </w:pPr>
      <w:bookmarkStart w:id="65"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stretch>
                      <a:fillRect/>
                    </a:stretch>
                  </pic:blipFill>
                  <pic:spPr>
                    <a:xfrm>
                      <a:off x="0" y="0"/>
                      <a:ext cx="1485900" cy="317500"/>
                    </a:xfrm>
                    <a:prstGeom prst="rect">
                      <a:avLst/>
                    </a:prstGeom>
                  </pic:spPr>
                </pic:pic>
              </a:graphicData>
            </a:graphic>
          </wp:inline>
        </w:drawing>
      </w:r>
      <w:bookmarkEnd w:id="65"/>
    </w:p>
    <w:sectPr>
      <w:headerReference r:id="rId19" w:type="default"/>
      <w:footerReference r:id="rId21" w:type="default"/>
      <w:headerReference r:id="rId20" w:type="even"/>
      <w:footerReference r:id="rId22"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7DB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6AB2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20A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B3AE">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008B">
    <w:pPr>
      <w:pStyle w:val="51"/>
    </w:pPr>
    <w:r>
      <w:fldChar w:fldCharType="begin"/>
    </w:r>
    <w:r>
      <w:instrText xml:space="preserve"> PAGE   \* MERGEFORMAT \* MERGEFORMAT </w:instrText>
    </w:r>
    <w:r>
      <w:fldChar w:fldCharType="separate"/>
    </w:r>
    <w:r>
      <w:t xml:space="preserve">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1CEB">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5F6A4">
    <w:pPr>
      <w:pStyle w:val="51"/>
    </w:pPr>
    <w:r>
      <w:fldChar w:fldCharType="begin"/>
    </w:r>
    <w:r>
      <w:instrText xml:space="preserve"> PAGE   \* MERGEFORMAT \* MERGEFORMAT </w:instrText>
    </w:r>
    <w:r>
      <w:fldChar w:fldCharType="separate"/>
    </w:r>
    <w: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E0F8">
    <w:pPr>
      <w:pStyle w:val="52"/>
    </w:pPr>
    <w:r>
      <w:fldChar w:fldCharType="begin"/>
    </w:r>
    <w:r>
      <w:instrText xml:space="preserve">PAGE   \* MERGEFORMAT</w:instrText>
    </w:r>
    <w:r>
      <w:fldChar w:fldCharType="separate"/>
    </w:r>
    <w:r>
      <w:rPr>
        <w:lang w:val="zh-CN"/>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875F">
    <w:pPr>
      <w:pStyle w:val="51"/>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A7F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0E4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F7E6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75A3">
    <w:pPr>
      <w:pStyle w:val="61"/>
    </w:pPr>
    <w:r>
      <w:fldChar w:fldCharType="begin"/>
    </w:r>
    <w:r>
      <w:instrText xml:space="preserve"> STYLEREF  标准文件_文件编号  \* MERGEFORMAT </w:instrText>
    </w:r>
    <w:r>
      <w:fldChar w:fldCharType="separate"/>
    </w:r>
    <w:r>
      <w:t>T/GXAS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5F6E">
    <w:pPr>
      <w:pStyle w:val="62"/>
    </w:pPr>
    <w:r>
      <w:fldChar w:fldCharType="begin"/>
    </w:r>
    <w:r>
      <w:instrText xml:space="preserve"> STYLEREF  标准文件_文件编号 \* MERGEFORMAT </w:instrText>
    </w:r>
    <w:r>
      <w:fldChar w:fldCharType="separate"/>
    </w:r>
    <w:r>
      <w:t>T/GXAS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238A9">
    <w:pPr>
      <w:pStyle w:val="61"/>
    </w:pPr>
    <w:r>
      <w:fldChar w:fldCharType="begin"/>
    </w:r>
    <w:r>
      <w:instrText xml:space="preserve"> STYLEREF  标准文件_文件编号  \* MERGEFORMAT </w:instrText>
    </w:r>
    <w:r>
      <w:fldChar w:fldCharType="separate"/>
    </w:r>
    <w:r>
      <w:t>T/GXAS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007A">
    <w:pPr>
      <w:pStyle w:val="62"/>
    </w:pPr>
    <w:r>
      <w:fldChar w:fldCharType="begin"/>
    </w:r>
    <w:r>
      <w:instrText xml:space="preserve"> STYLEREF  标准文件_文件编号 \* MERGEFORMAT </w:instrText>
    </w:r>
    <w:r>
      <w:fldChar w:fldCharType="separate"/>
    </w:r>
    <w:r>
      <w:t>T/GXAS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B246">
    <w:pPr>
      <w:pStyle w:val="61"/>
    </w:pPr>
    <w:r>
      <w:fldChar w:fldCharType="begin"/>
    </w:r>
    <w:r>
      <w:instrText xml:space="preserve"> STYLEREF  标准文件_文件编号  \* MERGEFORMAT </w:instrText>
    </w:r>
    <w:r>
      <w:fldChar w:fldCharType="separate"/>
    </w:r>
    <w:r>
      <w:t>T/GXAS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06A9">
    <w:pPr>
      <w:pStyle w:val="62"/>
    </w:pPr>
    <w:r>
      <w:fldChar w:fldCharType="begin"/>
    </w:r>
    <w:r>
      <w:instrText xml:space="preserve"> STYLEREF  标准文件_文件编号 \* MERGEFORMAT </w:instrText>
    </w:r>
    <w:r>
      <w:fldChar w:fldCharType="separate"/>
    </w:r>
    <w:r>
      <w:t>T/GXAS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F4"/>
    <w:rsid w:val="0000040A"/>
    <w:rsid w:val="00000A94"/>
    <w:rsid w:val="00001972"/>
    <w:rsid w:val="00001D9A"/>
    <w:rsid w:val="00007B3A"/>
    <w:rsid w:val="000107E0"/>
    <w:rsid w:val="00011FDE"/>
    <w:rsid w:val="0001237B"/>
    <w:rsid w:val="00012FFD"/>
    <w:rsid w:val="00014162"/>
    <w:rsid w:val="00014340"/>
    <w:rsid w:val="00016A9C"/>
    <w:rsid w:val="00021785"/>
    <w:rsid w:val="00022184"/>
    <w:rsid w:val="00022762"/>
    <w:rsid w:val="000238E0"/>
    <w:rsid w:val="000249DB"/>
    <w:rsid w:val="0002595E"/>
    <w:rsid w:val="000303C3"/>
    <w:rsid w:val="000331D3"/>
    <w:rsid w:val="000346A5"/>
    <w:rsid w:val="000359C3"/>
    <w:rsid w:val="00035A7D"/>
    <w:rsid w:val="000365ED"/>
    <w:rsid w:val="00040058"/>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E7E"/>
    <w:rsid w:val="00067F1E"/>
    <w:rsid w:val="00071CC0"/>
    <w:rsid w:val="00071CFC"/>
    <w:rsid w:val="00073C8C"/>
    <w:rsid w:val="00077B64"/>
    <w:rsid w:val="00080A1C"/>
    <w:rsid w:val="00082317"/>
    <w:rsid w:val="00083D2C"/>
    <w:rsid w:val="00086AA1"/>
    <w:rsid w:val="00087A77"/>
    <w:rsid w:val="00090CA6"/>
    <w:rsid w:val="000917CE"/>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0A52"/>
    <w:rsid w:val="001321C6"/>
    <w:rsid w:val="001325C4"/>
    <w:rsid w:val="00133010"/>
    <w:rsid w:val="001338EE"/>
    <w:rsid w:val="00133AAE"/>
    <w:rsid w:val="00135323"/>
    <w:rsid w:val="001356C4"/>
    <w:rsid w:val="00137565"/>
    <w:rsid w:val="00141114"/>
    <w:rsid w:val="00142969"/>
    <w:rsid w:val="00142CE4"/>
    <w:rsid w:val="001446C2"/>
    <w:rsid w:val="001450A1"/>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1A3"/>
    <w:rsid w:val="00265EC9"/>
    <w:rsid w:val="00266EEB"/>
    <w:rsid w:val="00267EF4"/>
    <w:rsid w:val="00270CB8"/>
    <w:rsid w:val="00272B08"/>
    <w:rsid w:val="0028040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78A"/>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0766"/>
    <w:rsid w:val="002E356C"/>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0B3"/>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78B"/>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21B"/>
    <w:rsid w:val="0043145A"/>
    <w:rsid w:val="00432DAA"/>
    <w:rsid w:val="00434305"/>
    <w:rsid w:val="00435DF7"/>
    <w:rsid w:val="0043741A"/>
    <w:rsid w:val="0044083F"/>
    <w:rsid w:val="00441AE7"/>
    <w:rsid w:val="00445574"/>
    <w:rsid w:val="004467FB"/>
    <w:rsid w:val="00452D6B"/>
    <w:rsid w:val="00454484"/>
    <w:rsid w:val="0045517B"/>
    <w:rsid w:val="004552DD"/>
    <w:rsid w:val="00463B77"/>
    <w:rsid w:val="00463C7B"/>
    <w:rsid w:val="004644A6"/>
    <w:rsid w:val="004659BD"/>
    <w:rsid w:val="004672D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6DB"/>
    <w:rsid w:val="004C1FBC"/>
    <w:rsid w:val="004C25A2"/>
    <w:rsid w:val="004C3F1D"/>
    <w:rsid w:val="004C458D"/>
    <w:rsid w:val="004C7556"/>
    <w:rsid w:val="004C7E8B"/>
    <w:rsid w:val="004C7E9D"/>
    <w:rsid w:val="004C7F67"/>
    <w:rsid w:val="004D076D"/>
    <w:rsid w:val="004D088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EA5"/>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DE0"/>
    <w:rsid w:val="005479DA"/>
    <w:rsid w:val="00547BCC"/>
    <w:rsid w:val="0055013B"/>
    <w:rsid w:val="00551F6F"/>
    <w:rsid w:val="00555044"/>
    <w:rsid w:val="00561475"/>
    <w:rsid w:val="00562308"/>
    <w:rsid w:val="00564157"/>
    <w:rsid w:val="0056487B"/>
    <w:rsid w:val="00564FB9"/>
    <w:rsid w:val="0056685C"/>
    <w:rsid w:val="00573D9E"/>
    <w:rsid w:val="005801E3"/>
    <w:rsid w:val="00581802"/>
    <w:rsid w:val="00583217"/>
    <w:rsid w:val="005836A8"/>
    <w:rsid w:val="0058409C"/>
    <w:rsid w:val="00584262"/>
    <w:rsid w:val="00586630"/>
    <w:rsid w:val="00587ADD"/>
    <w:rsid w:val="00590CD6"/>
    <w:rsid w:val="00590E5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2B8"/>
    <w:rsid w:val="00693962"/>
    <w:rsid w:val="006A07AA"/>
    <w:rsid w:val="006A25E5"/>
    <w:rsid w:val="006A2B46"/>
    <w:rsid w:val="006A307B"/>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7DA"/>
    <w:rsid w:val="006F03A8"/>
    <w:rsid w:val="006F120F"/>
    <w:rsid w:val="006F17E2"/>
    <w:rsid w:val="006F1E4B"/>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2DA"/>
    <w:rsid w:val="007643EA"/>
    <w:rsid w:val="00765C43"/>
    <w:rsid w:val="00765EFB"/>
    <w:rsid w:val="007671CA"/>
    <w:rsid w:val="00767C61"/>
    <w:rsid w:val="0077008A"/>
    <w:rsid w:val="00773C1F"/>
    <w:rsid w:val="00773ED0"/>
    <w:rsid w:val="00774DA4"/>
    <w:rsid w:val="00776599"/>
    <w:rsid w:val="0078114B"/>
    <w:rsid w:val="00781DD2"/>
    <w:rsid w:val="007836BF"/>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E51"/>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A3D"/>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37F"/>
    <w:rsid w:val="009062E6"/>
    <w:rsid w:val="00911BE5"/>
    <w:rsid w:val="00913CA9"/>
    <w:rsid w:val="009145AE"/>
    <w:rsid w:val="009146CE"/>
    <w:rsid w:val="00914CA7"/>
    <w:rsid w:val="00915C3E"/>
    <w:rsid w:val="009161A8"/>
    <w:rsid w:val="009245AE"/>
    <w:rsid w:val="009245F5"/>
    <w:rsid w:val="009249EC"/>
    <w:rsid w:val="00926C5B"/>
    <w:rsid w:val="009273B3"/>
    <w:rsid w:val="009305B5"/>
    <w:rsid w:val="009378DD"/>
    <w:rsid w:val="009429D5"/>
    <w:rsid w:val="00942BF1"/>
    <w:rsid w:val="009436B2"/>
    <w:rsid w:val="00945180"/>
    <w:rsid w:val="00945428"/>
    <w:rsid w:val="0094607B"/>
    <w:rsid w:val="00953604"/>
    <w:rsid w:val="0095496B"/>
    <w:rsid w:val="00960257"/>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1D"/>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6890"/>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4DFB"/>
    <w:rsid w:val="00AA57F5"/>
    <w:rsid w:val="00AA672E"/>
    <w:rsid w:val="00AA6EC9"/>
    <w:rsid w:val="00AB6309"/>
    <w:rsid w:val="00AB6C5F"/>
    <w:rsid w:val="00AB7129"/>
    <w:rsid w:val="00AB7800"/>
    <w:rsid w:val="00AC27A6"/>
    <w:rsid w:val="00AC30F7"/>
    <w:rsid w:val="00AC3479"/>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B11"/>
    <w:rsid w:val="00AF0C18"/>
    <w:rsid w:val="00AF47C5"/>
    <w:rsid w:val="00AF5398"/>
    <w:rsid w:val="00B049AF"/>
    <w:rsid w:val="00B07242"/>
    <w:rsid w:val="00B10534"/>
    <w:rsid w:val="00B113DB"/>
    <w:rsid w:val="00B11D8A"/>
    <w:rsid w:val="00B12981"/>
    <w:rsid w:val="00B147DD"/>
    <w:rsid w:val="00B1510A"/>
    <w:rsid w:val="00B156FD"/>
    <w:rsid w:val="00B21F61"/>
    <w:rsid w:val="00B261F1"/>
    <w:rsid w:val="00B265BC"/>
    <w:rsid w:val="00B274D7"/>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FB7"/>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89B"/>
    <w:rsid w:val="00C04904"/>
    <w:rsid w:val="00C056B3"/>
    <w:rsid w:val="00C103E5"/>
    <w:rsid w:val="00C13319"/>
    <w:rsid w:val="00C13EE9"/>
    <w:rsid w:val="00C21540"/>
    <w:rsid w:val="00C21906"/>
    <w:rsid w:val="00C21BFA"/>
    <w:rsid w:val="00C24C8D"/>
    <w:rsid w:val="00C25FE2"/>
    <w:rsid w:val="00C26B53"/>
    <w:rsid w:val="00C279B2"/>
    <w:rsid w:val="00C314E6"/>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F1F"/>
    <w:rsid w:val="00C905FC"/>
    <w:rsid w:val="00C92AE8"/>
    <w:rsid w:val="00C92D03"/>
    <w:rsid w:val="00C9319C"/>
    <w:rsid w:val="00C9435D"/>
    <w:rsid w:val="00C94DF2"/>
    <w:rsid w:val="00C96741"/>
    <w:rsid w:val="00CA2D1B"/>
    <w:rsid w:val="00CA375D"/>
    <w:rsid w:val="00CA662A"/>
    <w:rsid w:val="00CA6D3E"/>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49F"/>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CD9"/>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31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66C0"/>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6F4"/>
    <w:rsid w:val="00EA58D1"/>
    <w:rsid w:val="00EA61BC"/>
    <w:rsid w:val="00EA681A"/>
    <w:rsid w:val="00EA735B"/>
    <w:rsid w:val="00EB1E69"/>
    <w:rsid w:val="00EB2086"/>
    <w:rsid w:val="00EB31ED"/>
    <w:rsid w:val="00EB5EDF"/>
    <w:rsid w:val="00EB60FE"/>
    <w:rsid w:val="00EB74DB"/>
    <w:rsid w:val="00EC3C08"/>
    <w:rsid w:val="00EC5359"/>
    <w:rsid w:val="00EC562A"/>
    <w:rsid w:val="00ED067A"/>
    <w:rsid w:val="00ED2B50"/>
    <w:rsid w:val="00ED6F40"/>
    <w:rsid w:val="00EE0350"/>
    <w:rsid w:val="00EE0719"/>
    <w:rsid w:val="00EE0E80"/>
    <w:rsid w:val="00EE613F"/>
    <w:rsid w:val="00EE7295"/>
    <w:rsid w:val="00EE7869"/>
    <w:rsid w:val="00EF054A"/>
    <w:rsid w:val="00EF3235"/>
    <w:rsid w:val="00EF7E72"/>
    <w:rsid w:val="00F06D37"/>
    <w:rsid w:val="00F07B83"/>
    <w:rsid w:val="00F07B9D"/>
    <w:rsid w:val="00F11586"/>
    <w:rsid w:val="00F1183B"/>
    <w:rsid w:val="00F11C9F"/>
    <w:rsid w:val="00F12263"/>
    <w:rsid w:val="00F1409D"/>
    <w:rsid w:val="00F14214"/>
    <w:rsid w:val="00F157A9"/>
    <w:rsid w:val="00F16F00"/>
    <w:rsid w:val="00F248D3"/>
    <w:rsid w:val="00F25BB6"/>
    <w:rsid w:val="00F26B7E"/>
    <w:rsid w:val="00F27A3B"/>
    <w:rsid w:val="00F31E6D"/>
    <w:rsid w:val="00F320B3"/>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32F"/>
    <w:rsid w:val="00F859A8"/>
    <w:rsid w:val="00F86D87"/>
    <w:rsid w:val="00F9108B"/>
    <w:rsid w:val="00F91349"/>
    <w:rsid w:val="00F93A8A"/>
    <w:rsid w:val="00F95248"/>
    <w:rsid w:val="00F956A9"/>
    <w:rsid w:val="00F963ED"/>
    <w:rsid w:val="00F966CF"/>
    <w:rsid w:val="00F96CAE"/>
    <w:rsid w:val="00F97C99"/>
    <w:rsid w:val="00FA1817"/>
    <w:rsid w:val="00FA662D"/>
    <w:rsid w:val="00FA6ED1"/>
    <w:rsid w:val="00FA73B1"/>
    <w:rsid w:val="00FB0CB9"/>
    <w:rsid w:val="00FB231D"/>
    <w:rsid w:val="00FB26C8"/>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C56472"/>
    <w:rsid w:val="0EBB70C4"/>
    <w:rsid w:val="1A2B5243"/>
    <w:rsid w:val="20724EA2"/>
    <w:rsid w:val="209D1F00"/>
    <w:rsid w:val="36A3179B"/>
    <w:rsid w:val="41C56ADF"/>
    <w:rsid w:val="46377698"/>
    <w:rsid w:val="49D413BE"/>
    <w:rsid w:val="546F59EC"/>
    <w:rsid w:val="5AE26D53"/>
    <w:rsid w:val="5D1D4818"/>
    <w:rsid w:val="60200102"/>
    <w:rsid w:val="63007E91"/>
    <w:rsid w:val="63413DAD"/>
    <w:rsid w:val="64835103"/>
    <w:rsid w:val="6D617FAC"/>
    <w:rsid w:val="6F360003"/>
    <w:rsid w:val="734B3290"/>
    <w:rsid w:val="74D6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1A9A5E5414EE3ACC30BE7CD9F995A"/>
        <w:style w:val=""/>
        <w:category>
          <w:name w:val="常规"/>
          <w:gallery w:val="placeholder"/>
        </w:category>
        <w:types>
          <w:type w:val="bbPlcHdr"/>
        </w:types>
        <w:behaviors>
          <w:behavior w:val="content"/>
        </w:behaviors>
        <w:description w:val=""/>
        <w:guid w:val="{F72CFEA0-32C3-4282-99F7-C80A3789FAB4}"/>
      </w:docPartPr>
      <w:docPartBody>
        <w:p w14:paraId="48FAFF15">
          <w:pPr>
            <w:pStyle w:val="5"/>
          </w:pPr>
          <w:r>
            <w:rPr>
              <w:rStyle w:val="4"/>
              <w:rFonts w:hint="eastAsia"/>
            </w:rPr>
            <w:t>单击或点击此处输入文字。</w:t>
          </w:r>
        </w:p>
      </w:docPartBody>
    </w:docPart>
    <w:docPart>
      <w:docPartPr>
        <w:name w:val="99E504AB4F4B499496ED2E6330155180"/>
        <w:style w:val=""/>
        <w:category>
          <w:name w:val="常规"/>
          <w:gallery w:val="placeholder"/>
        </w:category>
        <w:types>
          <w:type w:val="bbPlcHdr"/>
        </w:types>
        <w:behaviors>
          <w:behavior w:val="content"/>
        </w:behaviors>
        <w:description w:val=""/>
        <w:guid w:val="{51036BA8-C008-45AD-8931-EC0E62DEF28F}"/>
      </w:docPartPr>
      <w:docPartBody>
        <w:p w14:paraId="2D26CD7A">
          <w:pPr>
            <w:pStyle w:val="6"/>
          </w:pPr>
          <w:r>
            <w:rPr>
              <w:rStyle w:val="4"/>
              <w:rFonts w:hint="eastAsia"/>
            </w:rPr>
            <w:t>选择一项。</w:t>
          </w:r>
        </w:p>
      </w:docPartBody>
    </w:docPart>
    <w:docPart>
      <w:docPartPr>
        <w:name w:val="0D23BC3B7DFF4AAEBDFCEC416B6895E7"/>
        <w:style w:val=""/>
        <w:category>
          <w:name w:val="常规"/>
          <w:gallery w:val="placeholder"/>
        </w:category>
        <w:types>
          <w:type w:val="bbPlcHdr"/>
        </w:types>
        <w:behaviors>
          <w:behavior w:val="content"/>
        </w:behaviors>
        <w:description w:val=""/>
        <w:guid w:val="{85E6D9A1-E01D-4853-A451-FD8356C73EC8}"/>
      </w:docPartPr>
      <w:docPartBody>
        <w:p w14:paraId="34860F9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23"/>
    <w:rsid w:val="0000467E"/>
    <w:rsid w:val="000E249F"/>
    <w:rsid w:val="002B6B41"/>
    <w:rsid w:val="00326FF9"/>
    <w:rsid w:val="00360535"/>
    <w:rsid w:val="004955B0"/>
    <w:rsid w:val="00536746"/>
    <w:rsid w:val="00675F7A"/>
    <w:rsid w:val="008275CD"/>
    <w:rsid w:val="009A4ADB"/>
    <w:rsid w:val="00A27EDC"/>
    <w:rsid w:val="00A34A92"/>
    <w:rsid w:val="00AD2052"/>
    <w:rsid w:val="00AF61D0"/>
    <w:rsid w:val="00D32E23"/>
    <w:rsid w:val="00E4203D"/>
    <w:rsid w:val="00E91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1A9A5E5414EE3ACC30BE7CD9F99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9E504AB4F4B499496ED2E63301551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D23BC3B7DFF4AAEBDFCEC416B6895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179C1-76B0-4DAA-B794-E19875C75B51}">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1777</Words>
  <Characters>2104</Characters>
  <Lines>20</Lines>
  <Paragraphs>5</Paragraphs>
  <TotalTime>238</TotalTime>
  <ScaleCrop>false</ScaleCrop>
  <LinksUpToDate>false</LinksUpToDate>
  <CharactersWithSpaces>2419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2025-08-06T07:46:00Z</dcterms:created>
  <dc:creator>PC</dc:creator>
  <dc:description>&lt;config cover="true" show_menu="true" version="1.0.0" doctype="SDKXY"&gt;_x000d_
&lt;/config&gt;</dc:description>
  <cp:lastModifiedBy>追遥</cp:lastModifiedBy>
  <cp:lastPrinted>2025-08-07T08:20:00Z</cp:lastPrinted>
  <dcterms:modified xsi:type="dcterms:W3CDTF">2025-08-10T05:25:38Z</dcterms:modified>
  <dc:title>团体标准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eyJoZGlkIjoiZTI0ODQwYWI0NTRkNTA0NmRmMDcwNWEzYWY4NzYxNWMiLCJ1c2VySWQiOiI0NDI1MTU5MDcifQ==</vt:lpwstr>
  </property>
  <property fmtid="{D5CDD505-2E9C-101B-9397-08002B2CF9AE}" pid="16" name="KSOProductBuildVer">
    <vt:lpwstr>2052-12.1.0.21915</vt:lpwstr>
  </property>
  <property fmtid="{D5CDD505-2E9C-101B-9397-08002B2CF9AE}" pid="17" name="ICV">
    <vt:lpwstr>D02577C5A0C94B55BCF7B6C03B334551_13</vt:lpwstr>
  </property>
</Properties>
</file>