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D136">
      <w:pPr>
        <w:jc w:val="center"/>
      </w:pPr>
    </w:p>
    <w:p w14:paraId="2002A53A">
      <w:pPr>
        <w:jc w:val="center"/>
      </w:pPr>
    </w:p>
    <w:p w14:paraId="5C77BC5E">
      <w:pPr>
        <w:jc w:val="center"/>
      </w:pPr>
    </w:p>
    <w:p w14:paraId="77F0F5A7">
      <w:pPr>
        <w:jc w:val="center"/>
      </w:pPr>
    </w:p>
    <w:p w14:paraId="631206F5">
      <w:pPr>
        <w:jc w:val="center"/>
      </w:pPr>
    </w:p>
    <w:p w14:paraId="0D0D2BF1">
      <w:pPr>
        <w:jc w:val="center"/>
      </w:pPr>
    </w:p>
    <w:p w14:paraId="551AA0A6">
      <w:pPr>
        <w:jc w:val="center"/>
      </w:pPr>
    </w:p>
    <w:p w14:paraId="3DC3602D">
      <w:pPr>
        <w:jc w:val="center"/>
      </w:pPr>
    </w:p>
    <w:p w14:paraId="5008AF0C">
      <w:pPr>
        <w:jc w:val="center"/>
      </w:pPr>
    </w:p>
    <w:p w14:paraId="459872EE">
      <w:pPr>
        <w:jc w:val="center"/>
      </w:pPr>
    </w:p>
    <w:p w14:paraId="6B2F30BE">
      <w:pPr>
        <w:jc w:val="center"/>
      </w:pPr>
    </w:p>
    <w:p w14:paraId="5356E5AF">
      <w:pPr>
        <w:jc w:val="center"/>
      </w:pPr>
    </w:p>
    <w:p w14:paraId="44AD0897">
      <w:pPr>
        <w:jc w:val="center"/>
      </w:pPr>
    </w:p>
    <w:p w14:paraId="2EB4B4B2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市政污水管道紫外线光固化法修复工程施工规范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9EBE37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1C9D397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736FEAF8">
      <w:pPr>
        <w:jc w:val="center"/>
      </w:pPr>
    </w:p>
    <w:p w14:paraId="01B6C3D2">
      <w:pPr>
        <w:jc w:val="center"/>
      </w:pPr>
    </w:p>
    <w:p w14:paraId="77D9F33B">
      <w:pPr>
        <w:jc w:val="center"/>
      </w:pPr>
    </w:p>
    <w:p w14:paraId="10226557">
      <w:pPr>
        <w:jc w:val="center"/>
      </w:pPr>
    </w:p>
    <w:p w14:paraId="1357C98A">
      <w:pPr>
        <w:jc w:val="center"/>
      </w:pPr>
    </w:p>
    <w:p w14:paraId="7D134B4F">
      <w:pPr>
        <w:jc w:val="center"/>
      </w:pPr>
    </w:p>
    <w:p w14:paraId="7BE8B5C7">
      <w:pPr>
        <w:jc w:val="center"/>
      </w:pPr>
    </w:p>
    <w:p w14:paraId="5480E5D6">
      <w:pPr>
        <w:jc w:val="center"/>
      </w:pPr>
    </w:p>
    <w:p w14:paraId="6E6068DB">
      <w:pPr>
        <w:jc w:val="center"/>
      </w:pPr>
    </w:p>
    <w:p w14:paraId="18D15AC8">
      <w:pPr>
        <w:jc w:val="center"/>
      </w:pPr>
    </w:p>
    <w:p w14:paraId="13F59ACE">
      <w:pPr>
        <w:jc w:val="center"/>
      </w:pPr>
    </w:p>
    <w:p w14:paraId="0EECF468">
      <w:pPr>
        <w:jc w:val="center"/>
      </w:pPr>
    </w:p>
    <w:p w14:paraId="0E694D72">
      <w:pPr>
        <w:jc w:val="center"/>
      </w:pPr>
    </w:p>
    <w:p w14:paraId="7E873F00">
      <w:pPr>
        <w:jc w:val="center"/>
      </w:pPr>
    </w:p>
    <w:p w14:paraId="78939DAC">
      <w:pPr>
        <w:jc w:val="center"/>
      </w:pPr>
    </w:p>
    <w:p w14:paraId="2D6F959F">
      <w:pPr>
        <w:jc w:val="center"/>
      </w:pPr>
    </w:p>
    <w:p w14:paraId="69FC2B4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15B7D5C">
      <w:pPr>
        <w:jc w:val="center"/>
        <w:rPr>
          <w:rFonts w:ascii="宋体" w:hAnsi="宋体" w:eastAsia="宋体"/>
          <w:sz w:val="28"/>
          <w:szCs w:val="28"/>
        </w:rPr>
      </w:pPr>
    </w:p>
    <w:p w14:paraId="7DA712D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二零二五年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721391A">
      <w:pPr>
        <w:jc w:val="center"/>
        <w:rPr>
          <w:rFonts w:ascii="宋体" w:hAnsi="宋体" w:eastAsia="宋体"/>
          <w:sz w:val="28"/>
          <w:szCs w:val="28"/>
        </w:rPr>
      </w:pPr>
    </w:p>
    <w:p w14:paraId="088E7812">
      <w:pPr>
        <w:jc w:val="center"/>
        <w:rPr>
          <w:rFonts w:ascii="宋体" w:hAnsi="宋体" w:eastAsia="宋体"/>
          <w:sz w:val="28"/>
          <w:szCs w:val="28"/>
        </w:rPr>
      </w:pPr>
    </w:p>
    <w:p w14:paraId="7C9C3E86">
      <w:pPr>
        <w:jc w:val="center"/>
        <w:rPr>
          <w:rFonts w:ascii="宋体" w:hAnsi="宋体" w:eastAsia="宋体"/>
          <w:sz w:val="28"/>
          <w:szCs w:val="28"/>
        </w:rPr>
      </w:pPr>
    </w:p>
    <w:p w14:paraId="7ADD62C4">
      <w:pPr>
        <w:jc w:val="center"/>
        <w:rPr>
          <w:rFonts w:ascii="宋体" w:hAnsi="宋体" w:eastAsia="宋体"/>
          <w:sz w:val="28"/>
          <w:szCs w:val="28"/>
        </w:rPr>
      </w:pPr>
    </w:p>
    <w:p w14:paraId="2AF905CC">
      <w:pPr>
        <w:jc w:val="center"/>
        <w:rPr>
          <w:rFonts w:ascii="宋体" w:hAnsi="宋体" w:eastAsia="宋体"/>
          <w:sz w:val="28"/>
          <w:szCs w:val="28"/>
        </w:rPr>
      </w:pPr>
    </w:p>
    <w:p w14:paraId="759A5049">
      <w:pPr>
        <w:jc w:val="center"/>
        <w:rPr>
          <w:rFonts w:ascii="宋体" w:hAnsi="宋体" w:eastAsia="宋体"/>
          <w:sz w:val="28"/>
          <w:szCs w:val="28"/>
        </w:rPr>
      </w:pPr>
    </w:p>
    <w:p w14:paraId="4C3BE43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一、工作简况 </w:t>
      </w:r>
    </w:p>
    <w:p w14:paraId="37E9C43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116DFE2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中国中小企业协会下达的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年团体标准修订编制计划，将《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市政污水管道紫外线光固化法修复工程施工规范</w:t>
      </w:r>
      <w:r>
        <w:rPr>
          <w:rFonts w:ascii="宋体" w:hAnsi="宋体" w:eastAsia="宋体"/>
          <w:sz w:val="28"/>
          <w:szCs w:val="28"/>
        </w:rPr>
        <w:t>》列为标准编制项目，并于202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sz w:val="28"/>
          <w:szCs w:val="28"/>
        </w:rPr>
        <w:t>月在全国团体标准信息平台上进行了立项公告。</w:t>
      </w:r>
    </w:p>
    <w:p w14:paraId="35C07B21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206271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市政污水管道如同城市的“地下血管”，其健康状况直接关系到城市的运行安全与可持续发展。市政污水管道由于长期承受污水腐蚀、外部荷载（如车辆碾压）和地质沉降影响，易出现堵塞、脱节、破裂等问题，并引发一系列环保、安全性问题。市政污水管道修复工程是针对该类老化、破损或功能退化的污水管道，通过技术手段恢复其输送能力和结构稳定性的工程。紫外线光固化法（UV-CIPP）是一种高效的非开挖管道修复技术，主要通过紫外线照射使树脂固化，形成与原管道紧密贴合的内衬层，从而恢复管道功能。由于紫外线照射固化速度快，通常3-4 小时内即可完成内衬固化，相比传统热固化法（需 8-12 小时）大幅缩短工期，减少了对交通和居民生活的影响。又无需大规模开挖路面，仅需在管道两端设置工作坑，施工占地小、流程简化，尤其适合交通繁忙且地下管线复杂的市政污水管道的修复工程。</w:t>
      </w:r>
    </w:p>
    <w:p w14:paraId="4962BFC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但截至目前，尚未有国家标准、行业标准对市政污水管道紫外线光固化法修复工程的施工进行规范，本项目旨对市政污水管道紫外线光固化法修复工程施工的设备、材料和操作流程等进行统一的要求，确保施工质量和工程安全，提高施工效率，降低市政工程施工对城市交通和居民生活的影响，加快紫外线光固化法在市政污水管道修复领域的推广应用，提高城市基础设施建设和维护水平。</w:t>
      </w:r>
    </w:p>
    <w:p w14:paraId="16906C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67ECE4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月，完成《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市政污水管道紫外线光固化法修复工程施工规范</w:t>
      </w:r>
      <w:r>
        <w:rPr>
          <w:rFonts w:hint="eastAsia" w:ascii="宋体" w:hAnsi="宋体" w:eastAsia="宋体"/>
          <w:sz w:val="28"/>
          <w:szCs w:val="28"/>
        </w:rPr>
        <w:t>》的立项。标准立项计划下达后，根据相关文件的要求，明确小组成员工作任务并制定了详细的工作计划。</w:t>
      </w:r>
    </w:p>
    <w:p w14:paraId="0D27C4A0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 xml:space="preserve"> 年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月-2025年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月，标准编制组对国内外的相关行业、标准、科研成果、专著等开展广泛、深入的调研，在此基础上完成《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市政污水管道紫外线光固化法修复工程施工规范</w:t>
      </w:r>
      <w:r>
        <w:rPr>
          <w:rFonts w:hint="eastAsia" w:ascii="宋体" w:hAnsi="宋体" w:eastAsia="宋体"/>
          <w:sz w:val="28"/>
          <w:szCs w:val="28"/>
        </w:rPr>
        <w:t>》的草案。随后标准制定小组与相关专家经多次研究、讨论对草案进行数次修改，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拟</w:t>
      </w:r>
      <w:r>
        <w:rPr>
          <w:rFonts w:hint="eastAsia" w:ascii="宋体" w:hAnsi="宋体" w:eastAsia="宋体"/>
          <w:sz w:val="28"/>
          <w:szCs w:val="28"/>
        </w:rPr>
        <w:t>于2025年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/>
          <w:sz w:val="28"/>
          <w:szCs w:val="28"/>
        </w:rPr>
        <w:t>旬提交《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市政污水管道紫外线光固化法修复工程施工规范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》标准征求意见稿及征求意见稿编制说明，拟定在网上公示征求意见稿，广泛征求各方意见和建议。</w:t>
      </w:r>
    </w:p>
    <w:p w14:paraId="3B05C20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制定小组将根据各方意见和建议对标准进行修改后形成送审稿。</w:t>
      </w:r>
    </w:p>
    <w:p w14:paraId="68FE300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6BBF434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C3190CF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新疆隆泉建设集团有限公司、新疆天恒基建筑工程有限公司</w:t>
      </w:r>
      <w:r>
        <w:rPr>
          <w:rFonts w:hint="eastAsia" w:ascii="宋体" w:hAnsi="宋体" w:eastAsia="宋体"/>
          <w:sz w:val="28"/>
          <w:szCs w:val="28"/>
        </w:rPr>
        <w:t>牵头专家成立的标准制定小组，在广泛调研、查阅和研究国际、国内的现行标准，结合行业现行技术痛点和空白，组织、协调和策划了标准征求意见稿的草拟和修改过程。</w:t>
      </w:r>
    </w:p>
    <w:p w14:paraId="142E64E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1B77B246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459702C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4CD7826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 统一性、规范性”的原则，注重标准的可操作性，严格按照 GB/T 1.1-2020《标准化工作导则第1部分：标准化文件的结构和起草规则》的要求进行编写。</w:t>
      </w:r>
    </w:p>
    <w:p w14:paraId="08878A1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 w14:paraId="0F0CF7D4">
      <w:pPr>
        <w:spacing w:line="360" w:lineRule="auto"/>
        <w:jc w:val="left"/>
        <w:rPr>
          <w:rFonts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b/>
          <w:bCs/>
          <w:sz w:val="28"/>
          <w:szCs w:val="28"/>
          <w:highlight w:val="none"/>
        </w:rPr>
        <w:t>（二）</w:t>
      </w:r>
      <w:r>
        <w:rPr>
          <w:rFonts w:ascii="宋体" w:hAnsi="宋体" w:eastAsia="宋体"/>
          <w:b/>
          <w:bCs/>
          <w:sz w:val="28"/>
          <w:szCs w:val="28"/>
          <w:highlight w:val="none"/>
        </w:rPr>
        <w:t xml:space="preserve"> 标准主要技术内容 </w:t>
      </w:r>
      <w:r>
        <w:rPr>
          <w:rFonts w:ascii="宋体" w:hAnsi="宋体" w:eastAsia="宋体"/>
          <w:sz w:val="28"/>
          <w:szCs w:val="28"/>
          <w:highlight w:val="none"/>
        </w:rPr>
        <w:t xml:space="preserve"> </w:t>
      </w:r>
    </w:p>
    <w:p w14:paraId="6DD974F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1、规范性引用文件：列出了本文件引用的其他规范性文件。</w:t>
      </w:r>
    </w:p>
    <w:p w14:paraId="78D897DD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2、术语和定义：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GB/T 19278、GB/T 37862、GB/T 41666.4—2024 界定的以及下列术语和定义适用于本文件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5DAD2C8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缩略语：对文件中所用缩略语进行定义。</w:t>
      </w:r>
    </w:p>
    <w:p w14:paraId="7F044E10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4、一般规定：对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施工后的使用年限、施工所用材料进行规定。</w:t>
      </w:r>
    </w:p>
    <w:p w14:paraId="495909B3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5、材料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所用的材料、材料的运输和贮存</w:t>
      </w:r>
      <w:r>
        <w:rPr>
          <w:rFonts w:hint="eastAsia" w:ascii="宋体" w:hAnsi="宋体" w:eastAsia="宋体"/>
          <w:sz w:val="28"/>
          <w:szCs w:val="28"/>
        </w:rPr>
        <w:t>进行规定。</w:t>
      </w:r>
    </w:p>
    <w:p w14:paraId="6F23C052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设计</w:t>
      </w:r>
      <w:r>
        <w:rPr>
          <w:rFonts w:hint="eastAsia" w:ascii="宋体" w:hAnsi="宋体" w:eastAsia="宋体"/>
          <w:sz w:val="28"/>
          <w:szCs w:val="28"/>
        </w:rPr>
        <w:t>：对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设计</w:t>
      </w:r>
      <w:r>
        <w:rPr>
          <w:rFonts w:hint="eastAsia" w:ascii="宋体" w:hAnsi="宋体" w:eastAsia="宋体"/>
          <w:sz w:val="28"/>
          <w:szCs w:val="28"/>
        </w:rPr>
        <w:t>进行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40C90B4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施工准备、原有管道预处理、紫外线光固化作业进行规定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6B6F79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验收：对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验收项目和验收资料进行规定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6419467">
      <w:pPr>
        <w:spacing w:line="36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8、施工安全和环境保护。</w:t>
      </w:r>
    </w:p>
    <w:p w14:paraId="2F70E1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30A6E9F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118E0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结合国内外行业情况及公司的实践进行验证。</w:t>
      </w:r>
    </w:p>
    <w:p w14:paraId="1BD703D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</w:p>
    <w:p w14:paraId="775993DA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A31B0D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  <w:r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  <w:t>无。</w:t>
      </w:r>
    </w:p>
    <w:p w14:paraId="5075FA5B">
      <w:pPr>
        <w:spacing w:line="360" w:lineRule="auto"/>
        <w:ind w:firstLine="570"/>
        <w:jc w:val="left"/>
        <w:rPr>
          <w:rFonts w:hint="eastAsia" w:hAnsi="宋体" w:eastAsia="宋体" w:cstheme="minorBidi"/>
          <w:kern w:val="2"/>
          <w:sz w:val="28"/>
          <w:szCs w:val="28"/>
          <w:lang w:val="en-US" w:eastAsia="zh-CN"/>
        </w:rPr>
      </w:pPr>
    </w:p>
    <w:p w14:paraId="3FF8C3E4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（五）预期达到的效益（经济、效益、生态等），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3FF25BAD">
      <w:pPr>
        <w:spacing w:line="360" w:lineRule="auto"/>
        <w:ind w:firstLine="562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采用</w:t>
      </w:r>
      <w:r>
        <w:rPr>
          <w:rFonts w:hint="eastAsia" w:ascii="宋体" w:hAnsi="宋体" w:eastAsia="宋体"/>
          <w:sz w:val="28"/>
          <w:szCs w:val="28"/>
        </w:rPr>
        <w:t>紫外线光固化法修复市政污水管道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固化后的树脂内衬层具有高密封性、耐腐蚀性和结构强度，可承受地下水压力、地面荷载及污水腐蚀，修复质量可靠，耐久性强，使用寿命可达50 年以上，接近新建管道标准，但与新建管道相比成本大幅降低。同时该技术适用于DN150-DN2000 的各类圆形、异形管道（如混凝土管、钢管、塑料管等），可修复长距离管道（单段修复长度可达 100 米以上），可处理管道弯头、三通、变径段等复杂结构，无需破坏原有管道布局，尤其适合传统开挖法难以施工的场景，适用范围广，灵活性高。同时，施工中可采用无溶剂、低 VOCs（挥发性有机物）的环保树脂，固化后无毒无害，无需开挖路面，施工过程无明火、低噪音、少粉尘，减少对周边居民和生态的干扰，环保与安全优势显著。 </w:t>
      </w:r>
    </w:p>
    <w:p w14:paraId="14167C80">
      <w:pPr>
        <w:spacing w:line="360" w:lineRule="auto"/>
        <w:ind w:firstLine="562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</w:p>
    <w:p w14:paraId="4E147E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（六）在标准体系中的位置，与现行相关法律、法规、规章及相关标准，特别是强制性标准的协调性</w:t>
      </w:r>
    </w:p>
    <w:p w14:paraId="1610A41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6F339B1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21F7A68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（七）重大分歧意见的处理经过和依据</w:t>
      </w:r>
    </w:p>
    <w:p w14:paraId="7B645CDA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9EDBF85">
      <w:pPr>
        <w:spacing w:line="360" w:lineRule="auto"/>
        <w:ind w:firstLine="560"/>
        <w:jc w:val="left"/>
        <w:rPr>
          <w:rFonts w:ascii="宋体" w:hAnsi="宋体" w:eastAsia="宋体"/>
          <w:sz w:val="28"/>
          <w:szCs w:val="28"/>
        </w:rPr>
      </w:pPr>
    </w:p>
    <w:p w14:paraId="3002F63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（八）标准性质的建议说明</w:t>
      </w:r>
    </w:p>
    <w:p w14:paraId="04975762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本标准为团体标准，供社会各界自愿使用。</w:t>
      </w:r>
    </w:p>
    <w:p w14:paraId="30AD1C6C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</w:p>
    <w:p w14:paraId="75480D91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（九）贯彻标准的要求和措施建议</w:t>
      </w:r>
    </w:p>
    <w:p w14:paraId="6329E70A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1、组织线下宣传活动、线上渠道推广，进行标准的内容宣传。</w:t>
      </w:r>
    </w:p>
    <w:p w14:paraId="478E101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2、组织相关专家进行培训和讲座，介绍本标准并进行答疑。</w:t>
      </w:r>
    </w:p>
    <w:p w14:paraId="51845B80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3、与相关协会、机构、企业等合作伙伴共通普及和推广。</w:t>
      </w:r>
    </w:p>
    <w:p w14:paraId="2458A998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3592F9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（十）废止现行相关标准的建议</w:t>
      </w:r>
    </w:p>
    <w:p w14:paraId="18712B33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6832436F">
      <w:pPr>
        <w:spacing w:line="360" w:lineRule="auto"/>
        <w:ind w:firstLine="562"/>
        <w:jc w:val="left"/>
        <w:rPr>
          <w:rFonts w:ascii="宋体" w:hAnsi="宋体" w:eastAsia="宋体"/>
          <w:b/>
          <w:bCs/>
          <w:sz w:val="28"/>
          <w:szCs w:val="28"/>
        </w:rPr>
      </w:pPr>
    </w:p>
    <w:p w14:paraId="640F38C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（十一）其他应予说明的事项</w:t>
      </w:r>
    </w:p>
    <w:p w14:paraId="10440C4E">
      <w:pPr>
        <w:spacing w:line="360" w:lineRule="auto"/>
        <w:ind w:firstLine="562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1826CA3E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  <w:lang w:eastAsia="zh-CN"/>
        </w:rPr>
        <w:t>市政污水管道紫外线光固化法修复工程施工规范</w:t>
      </w:r>
      <w:r>
        <w:rPr>
          <w:rFonts w:hint="eastAsia" w:ascii="宋体" w:hAnsi="宋体" w:eastAsia="宋体"/>
          <w:sz w:val="28"/>
          <w:szCs w:val="28"/>
        </w:rPr>
        <w:t>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78684C11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07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89B79"/>
    <w:multiLevelType w:val="singleLevel"/>
    <w:tmpl w:val="F6189B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C5917C3"/>
    <w:multiLevelType w:val="multilevel"/>
    <w:tmpl w:val="2C5917C3"/>
    <w:lvl w:ilvl="0" w:tentative="0">
      <w:start w:val="1"/>
      <w:numFmt w:val="none"/>
      <w:pStyle w:val="16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 w:cs="Times New Roman"/>
        <w:b w:val="0"/>
        <w:i w:val="0"/>
        <w:sz w:val="21"/>
      </w:rPr>
    </w:lvl>
    <w:lvl w:ilvl="1" w:tentative="0">
      <w:start w:val="1"/>
      <w:numFmt w:val="none"/>
      <w:pStyle w:val="19"/>
      <w:lvlText w:val=""/>
      <w:lvlJc w:val="left"/>
      <w:pPr>
        <w:ind w:left="851" w:hanging="431"/>
      </w:pPr>
      <w:rPr>
        <w:rFonts w:hint="default" w:ascii="Symbol" w:hAnsi="Symbol" w:cs="Times New Roman"/>
        <w:sz w:val="21"/>
      </w:rPr>
    </w:lvl>
    <w:lvl w:ilvl="2" w:tentative="0">
      <w:start w:val="1"/>
      <w:numFmt w:val="bullet"/>
      <w:pStyle w:val="17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jFkYmM4NmFlNTE3OTBhMTQwMGMzYWFiZjdiOGEifQ=="/>
  </w:docVars>
  <w:rsids>
    <w:rsidRoot w:val="00080FCE"/>
    <w:rsid w:val="00004E32"/>
    <w:rsid w:val="00013CD7"/>
    <w:rsid w:val="00021E0D"/>
    <w:rsid w:val="00031415"/>
    <w:rsid w:val="000711D3"/>
    <w:rsid w:val="00076E6A"/>
    <w:rsid w:val="0007729C"/>
    <w:rsid w:val="00080FCE"/>
    <w:rsid w:val="000841BD"/>
    <w:rsid w:val="0008492B"/>
    <w:rsid w:val="00086D78"/>
    <w:rsid w:val="00096631"/>
    <w:rsid w:val="000C7648"/>
    <w:rsid w:val="000D7E80"/>
    <w:rsid w:val="00100F6C"/>
    <w:rsid w:val="00100FA1"/>
    <w:rsid w:val="0010711D"/>
    <w:rsid w:val="001171FC"/>
    <w:rsid w:val="00122E25"/>
    <w:rsid w:val="00124E74"/>
    <w:rsid w:val="00147751"/>
    <w:rsid w:val="001552ED"/>
    <w:rsid w:val="00172D1B"/>
    <w:rsid w:val="00184316"/>
    <w:rsid w:val="001A1C3A"/>
    <w:rsid w:val="001A3971"/>
    <w:rsid w:val="001A7B8A"/>
    <w:rsid w:val="001C17B8"/>
    <w:rsid w:val="001E5452"/>
    <w:rsid w:val="001E59E1"/>
    <w:rsid w:val="001F643D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824F8"/>
    <w:rsid w:val="003C4C2B"/>
    <w:rsid w:val="003F6507"/>
    <w:rsid w:val="00400730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14855"/>
    <w:rsid w:val="0052542A"/>
    <w:rsid w:val="005333C6"/>
    <w:rsid w:val="00536B27"/>
    <w:rsid w:val="00543CA9"/>
    <w:rsid w:val="00544CD0"/>
    <w:rsid w:val="00555D75"/>
    <w:rsid w:val="00560FA5"/>
    <w:rsid w:val="00566FEC"/>
    <w:rsid w:val="00576B39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6F2F2D"/>
    <w:rsid w:val="00712175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487B"/>
    <w:rsid w:val="007F784F"/>
    <w:rsid w:val="00802198"/>
    <w:rsid w:val="00820BE7"/>
    <w:rsid w:val="00830DF8"/>
    <w:rsid w:val="00831C13"/>
    <w:rsid w:val="008374F8"/>
    <w:rsid w:val="00850CF3"/>
    <w:rsid w:val="00855EF3"/>
    <w:rsid w:val="008639DD"/>
    <w:rsid w:val="00873DB6"/>
    <w:rsid w:val="00895E54"/>
    <w:rsid w:val="008C53F7"/>
    <w:rsid w:val="008F2746"/>
    <w:rsid w:val="008F7FFC"/>
    <w:rsid w:val="00901136"/>
    <w:rsid w:val="00902454"/>
    <w:rsid w:val="00905D53"/>
    <w:rsid w:val="00921AEC"/>
    <w:rsid w:val="00925E06"/>
    <w:rsid w:val="009349E7"/>
    <w:rsid w:val="009411A8"/>
    <w:rsid w:val="009468CF"/>
    <w:rsid w:val="00954D9A"/>
    <w:rsid w:val="009603D3"/>
    <w:rsid w:val="00963FCF"/>
    <w:rsid w:val="00975BD6"/>
    <w:rsid w:val="009D3675"/>
    <w:rsid w:val="009D498C"/>
    <w:rsid w:val="009D532B"/>
    <w:rsid w:val="009D796E"/>
    <w:rsid w:val="00A32DBC"/>
    <w:rsid w:val="00A3749C"/>
    <w:rsid w:val="00A76277"/>
    <w:rsid w:val="00A824EF"/>
    <w:rsid w:val="00A866B0"/>
    <w:rsid w:val="00A869F3"/>
    <w:rsid w:val="00A86B89"/>
    <w:rsid w:val="00B36263"/>
    <w:rsid w:val="00B379B8"/>
    <w:rsid w:val="00B5633A"/>
    <w:rsid w:val="00B779CD"/>
    <w:rsid w:val="00B77F39"/>
    <w:rsid w:val="00B82572"/>
    <w:rsid w:val="00B83264"/>
    <w:rsid w:val="00BA05BC"/>
    <w:rsid w:val="00BB60E1"/>
    <w:rsid w:val="00BE3B0F"/>
    <w:rsid w:val="00BF54BF"/>
    <w:rsid w:val="00C12B64"/>
    <w:rsid w:val="00C21702"/>
    <w:rsid w:val="00C21C0E"/>
    <w:rsid w:val="00C27EC1"/>
    <w:rsid w:val="00C312CC"/>
    <w:rsid w:val="00C3266C"/>
    <w:rsid w:val="00C336CE"/>
    <w:rsid w:val="00C352B8"/>
    <w:rsid w:val="00C3573B"/>
    <w:rsid w:val="00C44BF8"/>
    <w:rsid w:val="00C504BA"/>
    <w:rsid w:val="00C53848"/>
    <w:rsid w:val="00C71078"/>
    <w:rsid w:val="00C72DAC"/>
    <w:rsid w:val="00C76401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0D2A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345D3"/>
    <w:rsid w:val="00E46304"/>
    <w:rsid w:val="00E50746"/>
    <w:rsid w:val="00E650FA"/>
    <w:rsid w:val="00E7235B"/>
    <w:rsid w:val="00EA1735"/>
    <w:rsid w:val="00EC3FE9"/>
    <w:rsid w:val="00ED4E5B"/>
    <w:rsid w:val="00EE7BE4"/>
    <w:rsid w:val="00F30933"/>
    <w:rsid w:val="00F31F16"/>
    <w:rsid w:val="00F7230A"/>
    <w:rsid w:val="00F724A6"/>
    <w:rsid w:val="00F829FC"/>
    <w:rsid w:val="00F92024"/>
    <w:rsid w:val="00FA1182"/>
    <w:rsid w:val="00FC34D9"/>
    <w:rsid w:val="00FE27EF"/>
    <w:rsid w:val="00FF28A7"/>
    <w:rsid w:val="00FF2BFC"/>
    <w:rsid w:val="00FF55C1"/>
    <w:rsid w:val="0475325E"/>
    <w:rsid w:val="077633E2"/>
    <w:rsid w:val="0D9633F1"/>
    <w:rsid w:val="0F913D0D"/>
    <w:rsid w:val="14BE27C4"/>
    <w:rsid w:val="1BF34DB3"/>
    <w:rsid w:val="1D9236E6"/>
    <w:rsid w:val="1E822B3F"/>
    <w:rsid w:val="1E8E65A3"/>
    <w:rsid w:val="208337BA"/>
    <w:rsid w:val="20A57BD4"/>
    <w:rsid w:val="21CE2995"/>
    <w:rsid w:val="233E073A"/>
    <w:rsid w:val="24101808"/>
    <w:rsid w:val="25795958"/>
    <w:rsid w:val="29177872"/>
    <w:rsid w:val="292F6A67"/>
    <w:rsid w:val="35E6686D"/>
    <w:rsid w:val="39096AFA"/>
    <w:rsid w:val="420B4AC5"/>
    <w:rsid w:val="43261912"/>
    <w:rsid w:val="459A64D3"/>
    <w:rsid w:val="46EA14CF"/>
    <w:rsid w:val="4C070C02"/>
    <w:rsid w:val="4C324162"/>
    <w:rsid w:val="5200731B"/>
    <w:rsid w:val="525E7A5F"/>
    <w:rsid w:val="52833022"/>
    <w:rsid w:val="53334A48"/>
    <w:rsid w:val="53AF7E46"/>
    <w:rsid w:val="5AE40D1D"/>
    <w:rsid w:val="5CA72002"/>
    <w:rsid w:val="5F27742B"/>
    <w:rsid w:val="5F994A9B"/>
    <w:rsid w:val="68AE1786"/>
    <w:rsid w:val="68EA193E"/>
    <w:rsid w:val="6A6D6639"/>
    <w:rsid w:val="6FCE7854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标准文件_段"/>
    <w:link w:val="18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标准文件_一级项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三级项"/>
    <w:basedOn w:val="1"/>
    <w:qFormat/>
    <w:uiPriority w:val="0"/>
    <w:pPr>
      <w:numPr>
        <w:ilvl w:val="2"/>
        <w:numId w:val="1"/>
      </w:numPr>
      <w:adjustRightInd w:val="0"/>
      <w:spacing w:line="536870612" w:lineRule="auto"/>
    </w:pPr>
    <w:rPr>
      <w:rFonts w:ascii="Times New Roman" w:hAnsi="Times New Roman" w:eastAsia="宋体" w:cs="Times New Roman"/>
      <w:szCs w:val="21"/>
    </w:rPr>
  </w:style>
  <w:style w:type="character" w:customStyle="1" w:styleId="18">
    <w:name w:val="标准文件_段 Char"/>
    <w:link w:val="15"/>
    <w:qFormat/>
    <w:locked/>
    <w:uiPriority w:val="0"/>
    <w:rPr>
      <w:rFonts w:ascii="宋体" w:hAnsi="Times New Roman" w:eastAsia="宋体" w:cs="Times New Roman"/>
      <w:sz w:val="21"/>
    </w:rPr>
  </w:style>
  <w:style w:type="paragraph" w:customStyle="1" w:styleId="19">
    <w:name w:val="标准文件_二级项2"/>
    <w:basedOn w:val="15"/>
    <w:qFormat/>
    <w:uiPriority w:val="0"/>
    <w:pPr>
      <w:numPr>
        <w:ilvl w:val="1"/>
        <w:numId w:val="1"/>
      </w:numPr>
      <w:tabs>
        <w:tab w:val="left" w:pos="1440"/>
      </w:tabs>
      <w:ind w:left="144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6F3DF-5F7E-496C-BA9E-6A6984910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Windsoft</Company>
  <Pages>6</Pages>
  <Words>1918</Words>
  <Characters>1962</Characters>
  <Lines>15</Lines>
  <Paragraphs>4</Paragraphs>
  <TotalTime>0</TotalTime>
  <ScaleCrop>false</ScaleCrop>
  <LinksUpToDate>false</LinksUpToDate>
  <CharactersWithSpaces>1999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鲍</cp:lastModifiedBy>
  <cp:lastPrinted>2022-05-11T05:51:00Z</cp:lastPrinted>
  <dcterms:modified xsi:type="dcterms:W3CDTF">2025-07-07T03:33:43Z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363D128E8E8C4C2EBD8506CCEEF208AF_12</vt:lpwstr>
  </property>
  <property fmtid="{D5CDD505-2E9C-101B-9397-08002B2CF9AE}" pid="4" name="KSOTemplateDocerSaveRecord">
    <vt:lpwstr>eyJoZGlkIjoiYzQ4MjFkYmM4NmFlNTE3OTBhMTQwMGMzYWFiZjdiOGEiLCJ1c2VySWQiOiI5NjMyOTE2MjUifQ==</vt:lpwstr>
  </property>
</Properties>
</file>