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98A7EC">
      <w:pPr>
        <w:framePr w:wrap="auto" w:vAnchor="margin" w:hAnchor="text" w:yAlign="inline"/>
        <w:spacing w:line="300" w:lineRule="auto"/>
        <w:jc w:val="center"/>
        <w:outlineLvl w:val="0"/>
        <w:rPr>
          <w:rFonts w:ascii="宋体" w:hAnsi="宋体" w:eastAsia="宋体" w:cs="宋体"/>
          <w:b/>
          <w:bCs/>
          <w:sz w:val="32"/>
          <w:szCs w:val="32"/>
          <w:lang w:val="zh-TW" w:eastAsia="zh-TW"/>
        </w:rPr>
      </w:pPr>
      <w:r>
        <w:rPr>
          <w:rFonts w:hint="cs" w:ascii="宋体" w:hAnsi="宋体" w:eastAsia="宋体" w:cs="宋体"/>
          <w:b/>
          <w:bCs/>
          <w:sz w:val="32"/>
          <w:szCs w:val="32"/>
          <w:lang w:val="zh-TW" w:eastAsia="zh-TW"/>
        </w:rPr>
        <w:t>《</w:t>
      </w:r>
      <w:r>
        <w:rPr>
          <w:rFonts w:ascii="宋体" w:hAnsi="宋体" w:eastAsia="宋体" w:cs="宋体"/>
          <w:b/>
          <w:bCs/>
          <w:sz w:val="32"/>
          <w:szCs w:val="32"/>
        </w:rPr>
        <w:t>政务诚信评价通用指标</w:t>
      </w:r>
      <w:r>
        <w:rPr>
          <w:rFonts w:hint="cs" w:ascii="宋体" w:hAnsi="宋体" w:eastAsia="宋体" w:cs="宋体"/>
          <w:b/>
          <w:bCs/>
          <w:sz w:val="32"/>
          <w:szCs w:val="32"/>
          <w:lang w:val="zh-TW" w:eastAsia="zh-TW"/>
        </w:rPr>
        <w:t>》</w:t>
      </w:r>
    </w:p>
    <w:p w14:paraId="776EE066">
      <w:pPr>
        <w:framePr w:wrap="auto" w:vAnchor="margin" w:hAnchor="text" w:yAlign="inline"/>
        <w:spacing w:line="300" w:lineRule="auto"/>
        <w:jc w:val="center"/>
        <w:outlineLvl w:val="0"/>
        <w:rPr>
          <w:rFonts w:hint="default"/>
          <w:b/>
          <w:bCs/>
          <w:sz w:val="32"/>
          <w:szCs w:val="32"/>
          <w:lang w:val="zh-TW" w:eastAsia="zh-TW"/>
        </w:rPr>
      </w:pPr>
      <w:r>
        <w:rPr>
          <w:rFonts w:ascii="宋体" w:hAnsi="宋体" w:eastAsia="宋体" w:cs="宋体"/>
          <w:b/>
          <w:bCs/>
          <w:sz w:val="32"/>
          <w:szCs w:val="32"/>
          <w:lang w:val="zh-TW" w:eastAsia="zh-TW"/>
        </w:rPr>
        <w:t>团体标准编制说明</w:t>
      </w:r>
    </w:p>
    <w:p w14:paraId="73A396D2">
      <w:pPr>
        <w:framePr w:wrap="auto" w:vAnchor="margin" w:hAnchor="text" w:yAlign="inline"/>
        <w:spacing w:line="360" w:lineRule="auto"/>
        <w:ind w:firstLine="482"/>
        <w:rPr>
          <w:rFonts w:ascii="宋体" w:hAnsi="宋体" w:eastAsia="宋体" w:cs="宋体"/>
          <w:b/>
          <w:bCs/>
          <w:kern w:val="0"/>
          <w:sz w:val="24"/>
          <w:szCs w:val="24"/>
          <w:lang w:eastAsia="zh-TW"/>
        </w:rPr>
      </w:pPr>
    </w:p>
    <w:p w14:paraId="65DDFA89">
      <w:pPr>
        <w:pStyle w:val="15"/>
        <w:framePr w:wrap="auto" w:vAnchor="margin" w:hAnchor="text" w:yAlign="inline"/>
        <w:numPr>
          <w:ilvl w:val="0"/>
          <w:numId w:val="2"/>
        </w:numPr>
        <w:spacing w:line="360" w:lineRule="auto"/>
        <w:rPr>
          <w:rFonts w:hint="default" w:ascii="宋体" w:hAnsi="宋体" w:eastAsia="PMingLiU"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标准项目来源</w:t>
      </w:r>
    </w:p>
    <w:p w14:paraId="18DC3367">
      <w:pPr>
        <w:pStyle w:val="15"/>
        <w:framePr w:wrap="auto" w:vAnchor="margin" w:hAnchor="text" w:yAlign="inline"/>
        <w:spacing w:line="360" w:lineRule="auto"/>
        <w:ind w:firstLine="480" w:firstLineChars="200"/>
        <w:rPr>
          <w:rFonts w:ascii="宋体" w:hAnsi="宋体" w:eastAsia="宋体" w:cs="宋体"/>
          <w:color w:val="auto"/>
          <w:sz w:val="24"/>
          <w:szCs w:val="24"/>
        </w:rPr>
      </w:pPr>
      <w:r>
        <w:rPr>
          <w:rFonts w:hint="cs" w:ascii="宋体" w:hAnsi="宋体" w:cs="宋体" w:eastAsiaTheme="minorEastAsia"/>
          <w:color w:val="auto"/>
          <w:sz w:val="24"/>
          <w:szCs w:val="24"/>
          <w:lang w:val="zh-TW" w:eastAsia="zh-TW"/>
        </w:rPr>
        <w:t>《</w:t>
      </w:r>
      <w:r>
        <w:rPr>
          <w:rFonts w:ascii="宋体" w:hAnsi="宋体" w:cs="宋体" w:eastAsiaTheme="minorEastAsia"/>
          <w:color w:val="auto"/>
          <w:sz w:val="24"/>
          <w:szCs w:val="24"/>
        </w:rPr>
        <w:t>政务诚信评价通用指标</w:t>
      </w:r>
      <w:r>
        <w:rPr>
          <w:rFonts w:hint="cs" w:ascii="宋体" w:hAnsi="宋体" w:cs="宋体" w:eastAsiaTheme="minorEastAsia"/>
          <w:color w:val="auto"/>
          <w:sz w:val="24"/>
          <w:szCs w:val="24"/>
          <w:lang w:val="zh-TW" w:eastAsia="zh-TW"/>
        </w:rPr>
        <w:t>》</w:t>
      </w:r>
      <w:r>
        <w:rPr>
          <w:rFonts w:ascii="宋体" w:hAnsi="宋体" w:cs="宋体" w:eastAsiaTheme="minorEastAsia"/>
          <w:color w:val="auto"/>
          <w:sz w:val="24"/>
          <w:szCs w:val="24"/>
          <w:lang w:val="zh-TW" w:eastAsia="zh-TW"/>
        </w:rPr>
        <w:t>团体标准</w:t>
      </w:r>
      <w:r>
        <w:rPr>
          <w:rFonts w:ascii="宋体" w:hAnsi="宋体" w:cs="宋体" w:eastAsiaTheme="minorEastAsia"/>
          <w:color w:val="auto"/>
          <w:sz w:val="24"/>
          <w:szCs w:val="24"/>
          <w:lang w:val="zh-TW"/>
        </w:rPr>
        <w:t>（</w:t>
      </w:r>
      <w:r>
        <w:rPr>
          <w:rFonts w:ascii="宋体" w:hAnsi="宋体" w:cs="宋体" w:eastAsiaTheme="minorEastAsia"/>
          <w:color w:val="auto"/>
          <w:sz w:val="24"/>
          <w:szCs w:val="24"/>
        </w:rPr>
        <w:t>以下简称“本文件”)</w:t>
      </w:r>
      <w:r>
        <w:rPr>
          <w:rFonts w:ascii="宋体" w:hAnsi="宋体" w:cs="宋体" w:eastAsiaTheme="minorEastAsia"/>
          <w:color w:val="auto"/>
          <w:sz w:val="24"/>
          <w:szCs w:val="24"/>
          <w:lang w:val="zh-TW"/>
        </w:rPr>
        <w:t>为贯彻落实《国务院关于加强政务诚信建设的指导意见》(国发</w:t>
      </w:r>
      <w:r>
        <w:rPr>
          <w:rFonts w:hint="eastAsia" w:ascii="宋体" w:hAnsi="宋体" w:cs="宋体" w:eastAsiaTheme="minorEastAsia"/>
          <w:color w:val="auto"/>
          <w:sz w:val="24"/>
          <w:szCs w:val="24"/>
          <w:lang w:val="zh-TW" w:eastAsia="zh-CN"/>
        </w:rPr>
        <w:t>〔2016〕76号</w:t>
      </w:r>
      <w:r>
        <w:rPr>
          <w:rFonts w:ascii="宋体" w:hAnsi="宋体" w:cs="宋体" w:eastAsiaTheme="minorEastAsia"/>
          <w:color w:val="auto"/>
          <w:sz w:val="24"/>
          <w:szCs w:val="24"/>
          <w:lang w:val="zh-TW"/>
        </w:rPr>
        <w:t>)</w:t>
      </w:r>
      <w:r>
        <w:rPr>
          <w:rFonts w:ascii="宋体" w:hAnsi="宋体" w:cs="宋体" w:eastAsiaTheme="minorEastAsia"/>
          <w:color w:val="auto"/>
          <w:sz w:val="24"/>
          <w:szCs w:val="24"/>
        </w:rPr>
        <w:t>和</w:t>
      </w:r>
      <w:r>
        <w:rPr>
          <w:rFonts w:ascii="宋体" w:hAnsi="宋体" w:cs="宋体" w:eastAsiaTheme="minorEastAsia"/>
          <w:color w:val="auto"/>
          <w:sz w:val="24"/>
          <w:szCs w:val="24"/>
          <w:lang w:val="zh-TW"/>
        </w:rPr>
        <w:t>《法治政府建设实施纲要(2021</w:t>
      </w:r>
      <w:r>
        <w:rPr>
          <w:rFonts w:hint="eastAsia" w:ascii="宋体" w:hAnsi="宋体" w:cs="宋体" w:eastAsiaTheme="minorEastAsia"/>
          <w:color w:val="auto"/>
          <w:sz w:val="24"/>
          <w:szCs w:val="24"/>
          <w:lang w:val="zh-TW" w:eastAsia="zh-CN"/>
        </w:rPr>
        <w:t>—</w:t>
      </w:r>
      <w:r>
        <w:rPr>
          <w:rFonts w:ascii="宋体" w:hAnsi="宋体" w:cs="宋体" w:eastAsiaTheme="minorEastAsia"/>
          <w:color w:val="auto"/>
          <w:sz w:val="24"/>
          <w:szCs w:val="24"/>
          <w:lang w:val="zh-TW"/>
        </w:rPr>
        <w:t>2025年)》(2021年8月2日印发)等文件精神，加强政府政务诚信建设，规范政务诚信评价指标体系和评价模型，</w:t>
      </w:r>
      <w:r>
        <w:rPr>
          <w:rFonts w:ascii="宋体" w:hAnsi="宋体" w:eastAsia="宋体" w:cs="宋体"/>
          <w:color w:val="auto"/>
          <w:sz w:val="24"/>
          <w:szCs w:val="24"/>
        </w:rPr>
        <w:t>由中国国际贸易促进委员会商业行业委员会营商环境监测中心提出并组织起草，并由中国国际贸易促进委员会商业行业委员会归口管理。</w:t>
      </w:r>
    </w:p>
    <w:p w14:paraId="50F551C5">
      <w:pPr>
        <w:pStyle w:val="15"/>
        <w:framePr w:wrap="auto" w:vAnchor="margin" w:hAnchor="text" w:yAlign="inline"/>
        <w:spacing w:line="360" w:lineRule="auto"/>
        <w:ind w:left="482" w:firstLine="0"/>
        <w:rPr>
          <w:rFonts w:ascii="宋体" w:hAnsi="宋体" w:eastAsia="宋体"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二、标准制定的目的和意义</w:t>
      </w:r>
    </w:p>
    <w:p w14:paraId="6E4ED0E6">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rPr>
        <w:t>（一）</w:t>
      </w:r>
      <w:r>
        <w:rPr>
          <w:rFonts w:hint="default" w:ascii="宋体" w:hAnsi="宋体" w:eastAsia="宋体" w:cs="宋体"/>
          <w:color w:val="auto"/>
          <w:sz w:val="24"/>
          <w:szCs w:val="24"/>
          <w:lang w:val="zh-TW" w:eastAsia="zh-TW"/>
        </w:rPr>
        <w:t>编制目的</w:t>
      </w:r>
    </w:p>
    <w:p w14:paraId="60B0FBB1">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1. 建立科学评价体系</w:t>
      </w:r>
    </w:p>
    <w:p w14:paraId="00B4A420">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旨在建立一套科学、公正、透明的政务诚信评价体系，确保评价工作的规范性和有效性。通过明确评价标准和指标，为政务诚信评价工作提供具体的实施规范，减少主观性，增加客观性。</w:t>
      </w:r>
    </w:p>
    <w:p w14:paraId="2D09058A">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2. 提高诚信意识和政务诚信水平</w:t>
      </w:r>
    </w:p>
    <w:p w14:paraId="4E265587">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有效引导政府工作人员及各级政府的诚信意识，强化诚信观念在政务工作中的重要性。通过定期评价和反馈，推动各级政府不断提升政务诚信水平，以满足上级部门对政务诚信建设的要求。</w:t>
      </w:r>
    </w:p>
    <w:p w14:paraId="2FABEB95">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3. 推动政府治理现代化</w:t>
      </w:r>
    </w:p>
    <w:p w14:paraId="71797284">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助力政府</w:t>
      </w:r>
      <w:r>
        <w:rPr>
          <w:rFonts w:hint="eastAsia" w:ascii="宋体" w:hAnsi="宋体" w:eastAsia="宋体" w:cs="宋体"/>
          <w:color w:val="auto"/>
          <w:sz w:val="24"/>
          <w:szCs w:val="24"/>
          <w:lang w:eastAsia="zh-CN"/>
        </w:rPr>
        <w:t>治理体系和治理能力现代化</w:t>
      </w:r>
      <w:r>
        <w:rPr>
          <w:rFonts w:ascii="宋体" w:hAnsi="宋体" w:eastAsia="宋体" w:cs="宋体"/>
          <w:color w:val="auto"/>
          <w:sz w:val="24"/>
          <w:szCs w:val="24"/>
        </w:rPr>
        <w:t>，不断推动技术创新与治理模式的深度融合，通过数字化手段优化决策流程，提升政策制定的科学性和精准性，提升政府公信力和服务效率。</w:t>
      </w:r>
    </w:p>
    <w:p w14:paraId="5B2B256B">
      <w:pPr>
        <w:framePr w:wrap="auto" w:vAnchor="margin" w:hAnchor="text" w:yAlign="inline"/>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（二）编制意义</w:t>
      </w:r>
    </w:p>
    <w:p w14:paraId="21475044">
      <w:pPr>
        <w:framePr w:wrap="auto" w:vAnchor="margin" w:hAnchor="text" w:yAlign="inline"/>
        <w:numPr>
          <w:ilvl w:val="255"/>
          <w:numId w:val="0"/>
        </w:numPr>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1. 推动政务诚信建设标准化</w:t>
      </w:r>
    </w:p>
    <w:p w14:paraId="47DF04BD">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通过制定政务诚信评价通用指标，可以明确政务诚信评价的具体内容和要求，为各级政府和相关机构提供统一的评价标准和操作指南，推动政务诚信建设的规范化和系统化。</w:t>
      </w:r>
    </w:p>
    <w:p w14:paraId="51C59DCD">
      <w:pPr>
        <w:framePr w:wrap="auto" w:vAnchor="margin" w:hAnchor="text" w:yAlign="inline"/>
        <w:numPr>
          <w:ilvl w:val="0"/>
          <w:numId w:val="3"/>
        </w:numPr>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提升政府服务水平</w:t>
      </w:r>
    </w:p>
    <w:p w14:paraId="2543A4D4">
      <w:pPr>
        <w:framePr w:wrap="auto" w:vAnchor="margin" w:hAnchor="text" w:yAlign="inline"/>
        <w:spacing w:line="360" w:lineRule="auto"/>
        <w:ind w:firstLine="480" w:firstLineChars="200"/>
        <w:rPr>
          <w:rFonts w:ascii="宋体" w:hAnsi="宋体" w:eastAsia="宋体" w:cs="宋体"/>
          <w:color w:val="auto"/>
          <w:sz w:val="24"/>
          <w:szCs w:val="24"/>
        </w:rPr>
      </w:pPr>
      <w:r>
        <w:rPr>
          <w:rFonts w:hint="default" w:ascii="宋体" w:hAnsi="宋体" w:eastAsia="宋体" w:cs="宋体"/>
          <w:color w:val="auto"/>
          <w:sz w:val="24"/>
          <w:szCs w:val="24"/>
        </w:rPr>
        <w:t>政务诚信评价通用指标的编制和实施，可以强化政府及其工作人员的法治观念，</w:t>
      </w:r>
      <w:r>
        <w:rPr>
          <w:rFonts w:ascii="宋体" w:hAnsi="宋体" w:eastAsia="宋体" w:cs="宋体"/>
          <w:color w:val="auto"/>
          <w:sz w:val="24"/>
          <w:szCs w:val="24"/>
        </w:rPr>
        <w:t>不断提升服务意识和服务水平，</w:t>
      </w:r>
      <w:r>
        <w:rPr>
          <w:rFonts w:hint="default" w:ascii="宋体" w:hAnsi="宋体" w:eastAsia="宋体" w:cs="宋体"/>
          <w:color w:val="auto"/>
          <w:sz w:val="24"/>
          <w:szCs w:val="24"/>
        </w:rPr>
        <w:t>推动政府决策和行政行为始终在法律框架内进行，提升法治政府建设水平</w:t>
      </w:r>
      <w:r>
        <w:rPr>
          <w:rFonts w:ascii="宋体" w:hAnsi="宋体" w:eastAsia="宋体" w:cs="宋体"/>
          <w:color w:val="auto"/>
          <w:sz w:val="24"/>
          <w:szCs w:val="24"/>
        </w:rPr>
        <w:t>。</w:t>
      </w:r>
    </w:p>
    <w:p w14:paraId="2F172D50">
      <w:pPr>
        <w:framePr w:wrap="auto" w:vAnchor="margin" w:hAnchor="text" w:yAlign="inline"/>
        <w:numPr>
          <w:ilvl w:val="0"/>
          <w:numId w:val="3"/>
        </w:numPr>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推动政府创新与可持续发展</w:t>
      </w:r>
    </w:p>
    <w:p w14:paraId="273216CD">
      <w:pPr>
        <w:framePr w:wrap="auto" w:vAnchor="margin" w:hAnchor="text" w:yAlign="inline"/>
        <w:spacing w:line="360" w:lineRule="auto"/>
        <w:ind w:firstLine="480" w:firstLineChars="200"/>
        <w:rPr>
          <w:rFonts w:ascii="宋体" w:hAnsi="宋体" w:eastAsia="宋体" w:cs="宋体"/>
          <w:color w:val="auto"/>
          <w:sz w:val="24"/>
          <w:szCs w:val="24"/>
        </w:rPr>
      </w:pPr>
      <w:r>
        <w:rPr>
          <w:rFonts w:hint="default" w:ascii="宋体" w:hAnsi="宋体" w:eastAsia="宋体" w:cs="宋体"/>
          <w:color w:val="auto"/>
          <w:sz w:val="24"/>
          <w:szCs w:val="24"/>
        </w:rPr>
        <w:t>政务诚信评价通用指标</w:t>
      </w:r>
      <w:r>
        <w:rPr>
          <w:rFonts w:ascii="宋体" w:hAnsi="宋体" w:eastAsia="宋体" w:cs="宋体"/>
          <w:color w:val="auto"/>
          <w:sz w:val="24"/>
          <w:szCs w:val="24"/>
        </w:rPr>
        <w:t>通过</w:t>
      </w:r>
      <w:r>
        <w:rPr>
          <w:rFonts w:hint="default" w:ascii="宋体" w:hAnsi="宋体" w:eastAsia="宋体" w:cs="宋体"/>
          <w:color w:val="auto"/>
          <w:sz w:val="24"/>
          <w:szCs w:val="24"/>
        </w:rPr>
        <w:t>设立创新指标，</w:t>
      </w:r>
      <w:r>
        <w:rPr>
          <w:rFonts w:ascii="宋体" w:hAnsi="宋体" w:eastAsia="宋体" w:cs="宋体"/>
          <w:color w:val="auto"/>
          <w:sz w:val="24"/>
          <w:szCs w:val="24"/>
        </w:rPr>
        <w:t>鼓励政府在治理方式、服务模式等方面进行创新实践，推动政府治理体系和治理能力现代化，推动经济社会可持续发展</w:t>
      </w:r>
      <w:r>
        <w:rPr>
          <w:rFonts w:hint="default" w:ascii="宋体" w:hAnsi="宋体" w:eastAsia="宋体" w:cs="宋体"/>
          <w:color w:val="auto"/>
          <w:sz w:val="24"/>
          <w:szCs w:val="24"/>
        </w:rPr>
        <w:t>。</w:t>
      </w:r>
    </w:p>
    <w:p w14:paraId="47A18DEA">
      <w:pPr>
        <w:pStyle w:val="15"/>
        <w:framePr w:wrap="auto" w:vAnchor="margin" w:hAnchor="text" w:yAlign="inline"/>
        <w:spacing w:line="360" w:lineRule="auto"/>
        <w:ind w:left="482" w:firstLine="0"/>
        <w:rPr>
          <w:rFonts w:ascii="宋体" w:hAnsi="宋体" w:eastAsia="宋体"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三、标准起草的过程简述</w:t>
      </w:r>
    </w:p>
    <w:p w14:paraId="1BCE22E0">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（一）预研阶段</w:t>
      </w:r>
    </w:p>
    <w:p w14:paraId="4E1CAF2F">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lang w:val="zh-TW"/>
        </w:rPr>
        <w:t>中国国际贸易促进委员会商业行业委员会</w:t>
      </w:r>
      <w:r>
        <w:rPr>
          <w:rFonts w:ascii="宋体" w:hAnsi="宋体" w:eastAsia="宋体" w:cs="宋体"/>
          <w:color w:val="auto"/>
          <w:sz w:val="24"/>
          <w:szCs w:val="24"/>
          <w:lang w:val="zh-TW" w:eastAsia="zh-TW"/>
        </w:rPr>
        <w:t>营商环境监测中心组织标准编写小组，</w:t>
      </w:r>
      <w:r>
        <w:rPr>
          <w:rFonts w:ascii="宋体" w:hAnsi="宋体" w:eastAsia="宋体" w:cs="宋体"/>
          <w:color w:val="auto"/>
          <w:sz w:val="24"/>
          <w:szCs w:val="24"/>
        </w:rPr>
        <w:t>于</w:t>
      </w:r>
      <w:r>
        <w:rPr>
          <w:rFonts w:ascii="宋体" w:hAnsi="宋体" w:eastAsia="宋体" w:cs="宋体"/>
          <w:color w:val="auto"/>
          <w:sz w:val="24"/>
          <w:szCs w:val="24"/>
          <w:lang w:val="zh-TW" w:eastAsia="zh-TW"/>
        </w:rPr>
        <w:t>2024年2月启动项目需求调研工作，主要调研了河南、湖北、北京、吉林等相关政府和企业，收集企业满意度领域的企业、政府部门、行业协会等相关方的需求和意见，了解当前企业满意度调查的现状及存在问题。</w:t>
      </w:r>
    </w:p>
    <w:p w14:paraId="3D7986AD">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组织专家对国内外相关领域的法律法规、政策文件、标准规范等进行收集和分析，为研究制定团体标准提供理论依据和参考。同时</w:t>
      </w:r>
      <w:r>
        <w:rPr>
          <w:rFonts w:ascii="宋体" w:hAnsi="宋体" w:eastAsia="宋体" w:cs="宋体"/>
          <w:color w:val="auto"/>
          <w:sz w:val="24"/>
          <w:szCs w:val="24"/>
        </w:rPr>
        <w:t>组织</w:t>
      </w:r>
      <w:r>
        <w:rPr>
          <w:rFonts w:ascii="宋体" w:hAnsi="宋体" w:eastAsia="宋体" w:cs="宋体"/>
          <w:color w:val="auto"/>
          <w:sz w:val="24"/>
          <w:szCs w:val="24"/>
          <w:lang w:val="zh-TW" w:eastAsia="zh-TW"/>
        </w:rPr>
        <w:t>研讨，明确标准制定的目标、原则、范围和技术要求等。</w:t>
      </w:r>
    </w:p>
    <w:p w14:paraId="7A306433">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（二）立项阶段</w:t>
      </w:r>
    </w:p>
    <w:p w14:paraId="2D80F210">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rPr>
        <w:t xml:space="preserve">1. </w:t>
      </w:r>
      <w:r>
        <w:rPr>
          <w:rFonts w:ascii="宋体" w:hAnsi="宋体" w:eastAsia="宋体" w:cs="宋体"/>
          <w:color w:val="auto"/>
          <w:sz w:val="24"/>
          <w:szCs w:val="24"/>
          <w:lang w:val="zh-TW" w:eastAsia="zh-TW"/>
        </w:rPr>
        <w:t>2024年4月由中国贸促会商业行业委员会营商环境监测中心整理资料，向中国国际贸易促进委员会商业行业委员会提交立项申请。</w:t>
      </w:r>
    </w:p>
    <w:p w14:paraId="46D31B44">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rPr>
        <w:t xml:space="preserve">2. </w:t>
      </w:r>
      <w:r>
        <w:rPr>
          <w:rFonts w:ascii="宋体" w:hAnsi="宋体" w:eastAsia="宋体" w:cs="宋体"/>
          <w:color w:val="auto"/>
          <w:sz w:val="24"/>
          <w:szCs w:val="24"/>
          <w:lang w:val="zh-TW" w:eastAsia="zh-TW"/>
        </w:rPr>
        <w:t>中国国际贸易促进委员会商业行业委员会对申请进行审查，评估标准的必要性和可行性，于</w:t>
      </w:r>
      <w:r>
        <w:rPr>
          <w:rFonts w:ascii="宋体" w:hAnsi="宋体" w:eastAsia="宋体" w:cs="宋体"/>
          <w:sz w:val="24"/>
          <w:szCs w:val="24"/>
          <w:lang w:val="zh-TW"/>
        </w:rPr>
        <w:t>2024年6月25日第五批</w:t>
      </w:r>
      <w:r>
        <w:rPr>
          <w:rFonts w:ascii="宋体" w:hAnsi="宋体" w:eastAsia="宋体" w:cs="宋体"/>
          <w:color w:val="auto"/>
          <w:sz w:val="24"/>
          <w:szCs w:val="24"/>
          <w:lang w:val="zh-TW" w:eastAsia="zh-TW"/>
        </w:rPr>
        <w:t>团体标准项目计划中正式批准立项，计划编号：CCPITCSC-JH2024289。</w:t>
      </w:r>
    </w:p>
    <w:p w14:paraId="2BC9D62C">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（三）起草阶段</w:t>
      </w:r>
    </w:p>
    <w:p w14:paraId="792A20FC">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rPr>
        <w:t xml:space="preserve">1. </w:t>
      </w:r>
      <w:r>
        <w:rPr>
          <w:rFonts w:ascii="宋体" w:hAnsi="宋体" w:eastAsia="宋体" w:cs="宋体"/>
          <w:color w:val="auto"/>
          <w:sz w:val="24"/>
          <w:szCs w:val="24"/>
          <w:lang w:val="zh-TW" w:eastAsia="zh-TW"/>
        </w:rPr>
        <w:t>组织起草小组：2024年4月，由中国贸促会商业行业委员会营商环境监测中心牵头成立起草小组，明确职责分工。</w:t>
      </w:r>
    </w:p>
    <w:p w14:paraId="60405CEE">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rPr>
        <w:t xml:space="preserve">2. </w:t>
      </w:r>
      <w:r>
        <w:rPr>
          <w:rFonts w:ascii="宋体" w:hAnsi="宋体" w:eastAsia="宋体" w:cs="宋体"/>
          <w:color w:val="auto"/>
          <w:sz w:val="24"/>
          <w:szCs w:val="24"/>
          <w:lang w:val="zh-TW" w:eastAsia="zh-TW"/>
        </w:rPr>
        <w:t>编制标准草案：2024年5月召开标准启动会暨首次研讨会，来自企事业单位、高校、科研院所30余名代表通过线上线下方式参加了会议，起草组对标准情况进行了汇报，并围绕标准内容等方面展开了讨论。起草小组根据预研阶段的成果，结合国内外相关标准和实际情况，编制标准草案。主要内容包括标准的适用范围、术语和定义、评估原则、评估指标体系、评估方法等。会后，起草组针对启动会各单位及专家提出的16条修改建议进行了处理，并对相应的标准文本进行修订，开始新一轮意见征集。</w:t>
      </w:r>
    </w:p>
    <w:p w14:paraId="2039FA31">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rPr>
        <w:t xml:space="preserve">3. </w:t>
      </w:r>
      <w:r>
        <w:rPr>
          <w:rFonts w:ascii="宋体" w:hAnsi="宋体" w:eastAsia="宋体" w:cs="宋体"/>
          <w:color w:val="auto"/>
          <w:sz w:val="24"/>
          <w:szCs w:val="24"/>
          <w:lang w:val="zh-TW" w:eastAsia="zh-TW"/>
        </w:rPr>
        <w:t>内部审查：起草小组内部对标准草案进行多次审查和修改，确保标准内容的科学性、合理性和可操作性。202</w:t>
      </w:r>
      <w:r>
        <w:rPr>
          <w:rFonts w:ascii="宋体" w:hAnsi="宋体" w:eastAsia="宋体" w:cs="宋体"/>
          <w:color w:val="auto"/>
          <w:sz w:val="24"/>
          <w:szCs w:val="24"/>
          <w:lang w:val="zh-TW"/>
        </w:rPr>
        <w:t>5</w:t>
      </w:r>
      <w:r>
        <w:rPr>
          <w:rFonts w:ascii="宋体" w:hAnsi="宋体" w:eastAsia="宋体" w:cs="宋体"/>
          <w:color w:val="auto"/>
          <w:sz w:val="24"/>
          <w:szCs w:val="24"/>
          <w:lang w:val="zh-TW" w:eastAsia="zh-TW"/>
        </w:rPr>
        <w:t>年</w:t>
      </w:r>
      <w:r>
        <w:rPr>
          <w:rFonts w:ascii="宋体" w:hAnsi="宋体" w:eastAsia="宋体" w:cs="宋体"/>
          <w:color w:val="auto"/>
          <w:sz w:val="24"/>
          <w:szCs w:val="24"/>
          <w:lang w:val="zh-TW"/>
        </w:rPr>
        <w:t>1</w:t>
      </w:r>
      <w:r>
        <w:rPr>
          <w:rFonts w:ascii="宋体" w:hAnsi="宋体" w:eastAsia="宋体" w:cs="宋体"/>
          <w:color w:val="auto"/>
          <w:sz w:val="24"/>
          <w:szCs w:val="24"/>
          <w:lang w:val="zh-TW" w:eastAsia="zh-TW"/>
        </w:rPr>
        <w:t>月底，标准第二次研讨会顺利召开，</w:t>
      </w:r>
      <w:r>
        <w:rPr>
          <w:rFonts w:ascii="宋体" w:hAnsi="宋体" w:eastAsia="宋体" w:cs="宋体"/>
          <w:color w:val="auto"/>
          <w:sz w:val="24"/>
          <w:szCs w:val="24"/>
        </w:rPr>
        <w:t>会议</w:t>
      </w:r>
      <w:r>
        <w:rPr>
          <w:rFonts w:ascii="宋体" w:hAnsi="宋体" w:eastAsia="宋体" w:cs="宋体"/>
          <w:color w:val="auto"/>
          <w:sz w:val="24"/>
          <w:szCs w:val="24"/>
          <w:lang w:val="zh-TW" w:eastAsia="zh-TW"/>
        </w:rPr>
        <w:t>主要围绕启动会和首次研讨会召开以来征集到的意见进行讨论，针对专家提出的13条修改建议进行处理，并对相应的标准文本进行修改。20</w:t>
      </w:r>
      <w:r>
        <w:rPr>
          <w:rFonts w:ascii="宋体" w:hAnsi="宋体" w:eastAsia="宋体" w:cs="宋体"/>
          <w:color w:val="auto"/>
          <w:sz w:val="24"/>
          <w:szCs w:val="24"/>
          <w:lang w:val="zh-TW"/>
        </w:rPr>
        <w:t>25</w:t>
      </w:r>
      <w:r>
        <w:rPr>
          <w:rFonts w:ascii="宋体" w:hAnsi="宋体" w:eastAsia="宋体" w:cs="宋体"/>
          <w:color w:val="auto"/>
          <w:sz w:val="24"/>
          <w:szCs w:val="24"/>
          <w:lang w:val="zh-TW" w:eastAsia="zh-TW"/>
        </w:rPr>
        <w:t>年</w:t>
      </w:r>
      <w:r>
        <w:rPr>
          <w:rFonts w:ascii="宋体" w:hAnsi="宋体" w:eastAsia="宋体" w:cs="宋体"/>
          <w:color w:val="auto"/>
          <w:sz w:val="24"/>
          <w:szCs w:val="24"/>
          <w:lang w:val="zh-TW"/>
        </w:rPr>
        <w:t>3</w:t>
      </w:r>
      <w:r>
        <w:rPr>
          <w:rFonts w:ascii="宋体" w:hAnsi="宋体" w:eastAsia="宋体" w:cs="宋体"/>
          <w:color w:val="auto"/>
          <w:sz w:val="24"/>
          <w:szCs w:val="24"/>
          <w:lang w:val="zh-TW" w:eastAsia="zh-TW"/>
        </w:rPr>
        <w:t>月，标准第三次研讨会召开，针对专家提出的修改5条修改建议进行处理。</w:t>
      </w:r>
    </w:p>
    <w:p w14:paraId="6B3FFA92">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（四）征求意见阶段</w:t>
      </w:r>
    </w:p>
    <w:p w14:paraId="107CABE7">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在征求意见阶段，主要工作包括：</w:t>
      </w:r>
    </w:p>
    <w:p w14:paraId="19DB6FF2">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rPr>
        <w:t xml:space="preserve">1. </w:t>
      </w:r>
      <w:r>
        <w:rPr>
          <w:rFonts w:ascii="宋体" w:hAnsi="宋体" w:eastAsia="宋体" w:cs="宋体"/>
          <w:color w:val="auto"/>
          <w:sz w:val="24"/>
          <w:szCs w:val="24"/>
          <w:lang w:val="zh-TW" w:eastAsia="zh-TW"/>
        </w:rPr>
        <w:t>公开征求意见：通过信函、网上公开、会议等多种形式，向相关企业、政府部门、行业协会等广泛征求意见。</w:t>
      </w:r>
    </w:p>
    <w:p w14:paraId="12626524">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rPr>
        <w:t xml:space="preserve">2. </w:t>
      </w:r>
      <w:r>
        <w:rPr>
          <w:rFonts w:ascii="宋体" w:hAnsi="宋体" w:eastAsia="宋体" w:cs="宋体"/>
          <w:color w:val="auto"/>
          <w:sz w:val="24"/>
          <w:szCs w:val="24"/>
          <w:lang w:val="zh-TW" w:eastAsia="zh-TW"/>
        </w:rPr>
        <w:t>意见汇总与处理：202</w:t>
      </w:r>
      <w:r>
        <w:rPr>
          <w:rFonts w:ascii="宋体" w:hAnsi="宋体" w:eastAsia="宋体" w:cs="宋体"/>
          <w:color w:val="auto"/>
          <w:sz w:val="24"/>
          <w:szCs w:val="24"/>
          <w:lang w:val="zh-TW"/>
        </w:rPr>
        <w:t>5</w:t>
      </w:r>
      <w:r>
        <w:rPr>
          <w:rFonts w:ascii="宋体" w:hAnsi="宋体" w:eastAsia="宋体" w:cs="宋体"/>
          <w:color w:val="auto"/>
          <w:sz w:val="24"/>
          <w:szCs w:val="24"/>
          <w:lang w:val="zh-TW" w:eastAsia="zh-TW"/>
        </w:rPr>
        <w:t>年</w:t>
      </w:r>
      <w:r>
        <w:rPr>
          <w:rFonts w:ascii="宋体" w:hAnsi="宋体" w:eastAsia="宋体" w:cs="宋体"/>
          <w:color w:val="auto"/>
          <w:sz w:val="24"/>
          <w:szCs w:val="24"/>
          <w:lang w:val="zh-TW"/>
        </w:rPr>
        <w:t>4</w:t>
      </w:r>
      <w:r>
        <w:rPr>
          <w:rFonts w:ascii="宋体" w:hAnsi="宋体" w:eastAsia="宋体" w:cs="宋体"/>
          <w:color w:val="auto"/>
          <w:sz w:val="24"/>
          <w:szCs w:val="24"/>
          <w:lang w:val="zh-TW" w:eastAsia="zh-TW"/>
        </w:rPr>
        <w:t>月，我们将对收集到的意见进行汇总和分析，对合理的意见进行采纳，对不合理的意见进行解释说明，并对标准草案进行相应修改。</w:t>
      </w:r>
      <w:bookmarkStart w:id="5" w:name="_GoBack"/>
      <w:bookmarkEnd w:id="5"/>
    </w:p>
    <w:p w14:paraId="7B8F912E">
      <w:pPr>
        <w:framePr w:wrap="auto" w:vAnchor="margin" w:hAnchor="text" w:yAlign="inline"/>
        <w:spacing w:line="360" w:lineRule="auto"/>
        <w:ind w:firstLine="482"/>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四、标准的主要内容和依据</w:t>
      </w:r>
    </w:p>
    <w:p w14:paraId="4DC18327">
      <w:pPr>
        <w:framePr w:wrap="auto" w:vAnchor="margin" w:hAnchor="text" w:yAlign="inline"/>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（一）</w:t>
      </w:r>
      <w:r>
        <w:rPr>
          <w:rFonts w:ascii="宋体" w:hAnsi="宋体" w:eastAsia="宋体" w:cs="宋体"/>
          <w:color w:val="auto"/>
          <w:sz w:val="24"/>
          <w:szCs w:val="24"/>
          <w:lang w:val="zh-TW" w:eastAsia="zh-TW"/>
        </w:rPr>
        <w:t>制定原则</w:t>
      </w:r>
    </w:p>
    <w:p w14:paraId="13D1494F">
      <w:pPr>
        <w:framePr w:wrap="auto" w:vAnchor="margin" w:hAnchor="text" w:yAlign="inline"/>
        <w:spacing w:line="360" w:lineRule="auto"/>
        <w:ind w:firstLine="480"/>
        <w:rPr>
          <w:rFonts w:ascii="宋体" w:hAnsi="宋体" w:eastAsia="宋体" w:cs="宋体"/>
          <w:color w:val="auto"/>
          <w:sz w:val="24"/>
          <w:szCs w:val="24"/>
        </w:rPr>
      </w:pPr>
      <w:bookmarkStart w:id="0" w:name="_Toc27761"/>
      <w:r>
        <w:rPr>
          <w:rFonts w:ascii="宋体" w:hAnsi="宋体" w:eastAsia="宋体" w:cs="宋体"/>
          <w:color w:val="auto"/>
          <w:sz w:val="24"/>
          <w:szCs w:val="24"/>
        </w:rPr>
        <w:t>1. 合法合理原则</w:t>
      </w:r>
      <w:bookmarkEnd w:id="0"/>
    </w:p>
    <w:p w14:paraId="5EF622E1">
      <w:pPr>
        <w:framePr w:wrap="auto" w:vAnchor="margin" w:hAnchor="text" w:yAlign="inline"/>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本文件应当符合法律、行政法规等上位法以及国家政策文件的要求，符合理性、适当的要求。</w:t>
      </w:r>
    </w:p>
    <w:p w14:paraId="23A50102">
      <w:pPr>
        <w:framePr w:wrap="auto" w:vAnchor="margin" w:hAnchor="text" w:yAlign="inline"/>
        <w:spacing w:line="360" w:lineRule="auto"/>
        <w:ind w:firstLine="480"/>
        <w:rPr>
          <w:rFonts w:ascii="宋体" w:hAnsi="宋体" w:eastAsia="宋体" w:cs="宋体"/>
          <w:color w:val="auto"/>
          <w:sz w:val="24"/>
          <w:szCs w:val="24"/>
        </w:rPr>
      </w:pPr>
      <w:bookmarkStart w:id="1" w:name="_Toc169546872"/>
      <w:bookmarkStart w:id="2" w:name="_Toc18780"/>
      <w:r>
        <w:rPr>
          <w:rFonts w:ascii="宋体" w:hAnsi="宋体" w:eastAsia="宋体" w:cs="宋体"/>
          <w:color w:val="auto"/>
          <w:sz w:val="24"/>
          <w:szCs w:val="24"/>
        </w:rPr>
        <w:t>2. 科学准确原则</w:t>
      </w:r>
      <w:bookmarkEnd w:id="1"/>
      <w:bookmarkEnd w:id="2"/>
    </w:p>
    <w:p w14:paraId="0C247974">
      <w:pPr>
        <w:framePr w:wrap="auto" w:vAnchor="margin" w:hAnchor="text" w:yAlign="inline"/>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依据县（市、区）政府日常政务工作实际情况，科学确定评估指标和方法，避免主观臆断，并综合各环节和影响因素，形成完整闭合的评估框架。</w:t>
      </w:r>
    </w:p>
    <w:p w14:paraId="6E5414CE">
      <w:pPr>
        <w:framePr w:wrap="auto" w:vAnchor="margin" w:hAnchor="text" w:yAlign="inline"/>
        <w:spacing w:line="360" w:lineRule="auto"/>
        <w:ind w:firstLine="480"/>
        <w:rPr>
          <w:rFonts w:ascii="宋体" w:hAnsi="宋体" w:eastAsia="宋体" w:cs="宋体"/>
          <w:color w:val="auto"/>
          <w:sz w:val="24"/>
          <w:szCs w:val="24"/>
        </w:rPr>
      </w:pPr>
      <w:bookmarkStart w:id="3" w:name="_Toc169546873"/>
      <w:bookmarkStart w:id="4" w:name="_Toc3427"/>
      <w:r>
        <w:rPr>
          <w:rFonts w:ascii="宋体" w:hAnsi="宋体" w:eastAsia="宋体" w:cs="宋体"/>
          <w:color w:val="auto"/>
          <w:sz w:val="24"/>
          <w:szCs w:val="24"/>
        </w:rPr>
        <w:t>3. 重点突出原则</w:t>
      </w:r>
      <w:bookmarkEnd w:id="3"/>
      <w:bookmarkEnd w:id="4"/>
    </w:p>
    <w:p w14:paraId="2AAF0F7C">
      <w:pPr>
        <w:framePr w:wrap="auto" w:vAnchor="margin" w:hAnchor="text" w:yAlign="inline"/>
        <w:spacing w:line="360" w:lineRule="auto"/>
        <w:ind w:firstLine="480"/>
        <w:rPr>
          <w:rFonts w:ascii="宋体" w:hAnsi="宋体" w:eastAsia="宋体" w:cs="宋体"/>
          <w:sz w:val="24"/>
          <w:szCs w:val="24"/>
          <w:lang w:val="zh-TW"/>
        </w:rPr>
      </w:pPr>
      <w:r>
        <w:rPr>
          <w:rFonts w:ascii="宋体" w:hAnsi="宋体" w:eastAsia="宋体" w:cs="宋体"/>
          <w:color w:val="auto"/>
          <w:sz w:val="24"/>
          <w:szCs w:val="24"/>
        </w:rPr>
        <w:t>突出政务诚信评价工作的重点领域和关键环节，突出评估指标的代表性和引导性，避免面面俱到。</w:t>
      </w:r>
    </w:p>
    <w:p w14:paraId="18F1CA36">
      <w:pPr>
        <w:pStyle w:val="11"/>
        <w:numPr>
          <w:ilvl w:val="0"/>
          <w:numId w:val="0"/>
        </w:numPr>
        <w:tabs>
          <w:tab w:val="left" w:pos="312"/>
        </w:tabs>
        <w:spacing w:before="0" w:beforeLines="0" w:after="0" w:afterLines="0" w:line="360" w:lineRule="auto"/>
        <w:ind w:firstLine="480" w:firstLineChars="200"/>
      </w:pPr>
      <w:r>
        <w:rPr>
          <w:rFonts w:hint="eastAsia" w:ascii="宋体" w:hAnsi="宋体" w:eastAsia="宋体" w:cs="宋体"/>
          <w:sz w:val="24"/>
          <w:szCs w:val="24"/>
          <w:lang w:val="zh-TW"/>
        </w:rPr>
        <w:t>（</w:t>
      </w:r>
      <w:r>
        <w:rPr>
          <w:rFonts w:hint="eastAsia" w:ascii="宋体" w:hAnsi="宋体" w:eastAsia="宋体" w:cs="宋体"/>
          <w:sz w:val="24"/>
          <w:szCs w:val="24"/>
        </w:rPr>
        <w:t>二</w:t>
      </w:r>
      <w:r>
        <w:rPr>
          <w:rFonts w:hint="eastAsia" w:ascii="宋体" w:hAnsi="宋体" w:eastAsia="宋体" w:cs="宋体"/>
          <w:sz w:val="24"/>
          <w:szCs w:val="24"/>
          <w:lang w:val="zh-TW"/>
        </w:rPr>
        <w:t>）</w:t>
      </w:r>
      <w:r>
        <w:rPr>
          <w:rFonts w:ascii="宋体" w:hAnsi="宋体" w:eastAsia="宋体" w:cs="宋体"/>
          <w:sz w:val="24"/>
          <w:szCs w:val="24"/>
          <w:lang w:val="zh-TW" w:eastAsia="zh-TW"/>
        </w:rPr>
        <w:t>主要技术内容的说</w:t>
      </w:r>
      <w:r>
        <w:rPr>
          <w:rFonts w:hint="eastAsia" w:ascii="宋体" w:hAnsi="宋体" w:eastAsia="宋体" w:cs="宋体"/>
          <w:sz w:val="24"/>
          <w:szCs w:val="24"/>
          <w:lang w:val="zh-TW"/>
        </w:rPr>
        <w:t>明</w:t>
      </w:r>
    </w:p>
    <w:p w14:paraId="0EE73C02">
      <w:pPr>
        <w:framePr w:wrap="auto" w:vAnchor="margin" w:hAnchor="text" w:yAlign="inline"/>
        <w:spacing w:line="360" w:lineRule="auto"/>
        <w:ind w:firstLine="480"/>
        <w:rPr>
          <w:rFonts w:ascii="宋体" w:hAnsi="宋体" w:eastAsia="宋体" w:cs="宋体"/>
          <w:color w:val="auto"/>
          <w:sz w:val="24"/>
          <w:szCs w:val="24"/>
        </w:rPr>
      </w:pPr>
      <w:r>
        <w:rPr>
          <w:rFonts w:ascii="宋体" w:hAnsi="宋体" w:eastAsia="宋体" w:cs="宋体"/>
          <w:color w:val="auto"/>
          <w:sz w:val="24"/>
          <w:szCs w:val="24"/>
          <w:lang w:val="zh-TW" w:eastAsia="zh-TW"/>
        </w:rPr>
        <w:t>本</w:t>
      </w:r>
      <w:r>
        <w:rPr>
          <w:rFonts w:ascii="宋体" w:hAnsi="宋体" w:eastAsia="宋体" w:cs="宋体"/>
          <w:color w:val="auto"/>
          <w:sz w:val="24"/>
          <w:szCs w:val="24"/>
        </w:rPr>
        <w:t>文件</w:t>
      </w:r>
      <w:r>
        <w:rPr>
          <w:rFonts w:ascii="宋体" w:hAnsi="宋体" w:eastAsia="宋体" w:cs="宋体"/>
          <w:color w:val="auto"/>
          <w:sz w:val="24"/>
          <w:szCs w:val="24"/>
          <w:lang w:val="zh-TW" w:eastAsia="zh-TW"/>
        </w:rPr>
        <w:t>以县（市</w:t>
      </w:r>
      <w:r>
        <w:rPr>
          <w:rFonts w:ascii="宋体" w:hAnsi="宋体" w:eastAsia="宋体" w:cs="宋体"/>
          <w:color w:val="auto"/>
          <w:sz w:val="24"/>
          <w:szCs w:val="24"/>
          <w:lang w:val="zh-TW"/>
        </w:rPr>
        <w:t>、</w:t>
      </w:r>
      <w:r>
        <w:rPr>
          <w:rFonts w:ascii="宋体" w:hAnsi="宋体" w:eastAsia="宋体" w:cs="宋体"/>
          <w:color w:val="auto"/>
          <w:sz w:val="24"/>
          <w:szCs w:val="24"/>
        </w:rPr>
        <w:t>区</w:t>
      </w:r>
      <w:r>
        <w:rPr>
          <w:rFonts w:ascii="宋体" w:hAnsi="宋体" w:eastAsia="宋体" w:cs="宋体"/>
          <w:color w:val="auto"/>
          <w:sz w:val="24"/>
          <w:szCs w:val="24"/>
          <w:lang w:val="zh-TW" w:eastAsia="zh-TW"/>
        </w:rPr>
        <w:t>）政府</w:t>
      </w:r>
      <w:r>
        <w:rPr>
          <w:rFonts w:ascii="宋体" w:hAnsi="宋体" w:eastAsia="宋体" w:cs="宋体"/>
          <w:color w:val="auto"/>
          <w:sz w:val="24"/>
          <w:szCs w:val="24"/>
        </w:rPr>
        <w:t>日常政务工作</w:t>
      </w:r>
      <w:r>
        <w:rPr>
          <w:rFonts w:ascii="宋体" w:hAnsi="宋体" w:eastAsia="宋体" w:cs="宋体"/>
          <w:color w:val="auto"/>
          <w:sz w:val="24"/>
          <w:szCs w:val="24"/>
          <w:lang w:val="zh-TW" w:eastAsia="zh-TW"/>
        </w:rPr>
        <w:t>为轴线，以县（市</w:t>
      </w:r>
      <w:r>
        <w:rPr>
          <w:rFonts w:ascii="宋体" w:hAnsi="宋体" w:eastAsia="宋体" w:cs="宋体"/>
          <w:color w:val="auto"/>
          <w:sz w:val="24"/>
          <w:szCs w:val="24"/>
          <w:lang w:val="zh-TW"/>
        </w:rPr>
        <w:t>、</w:t>
      </w:r>
      <w:r>
        <w:rPr>
          <w:rFonts w:ascii="宋体" w:hAnsi="宋体" w:eastAsia="宋体" w:cs="宋体"/>
          <w:color w:val="auto"/>
          <w:sz w:val="24"/>
          <w:szCs w:val="24"/>
        </w:rPr>
        <w:t>区</w:t>
      </w:r>
      <w:r>
        <w:rPr>
          <w:rFonts w:ascii="宋体" w:hAnsi="宋体" w:eastAsia="宋体" w:cs="宋体"/>
          <w:color w:val="auto"/>
          <w:sz w:val="24"/>
          <w:szCs w:val="24"/>
          <w:lang w:val="zh-TW" w:eastAsia="zh-TW"/>
        </w:rPr>
        <w:t>）政府</w:t>
      </w:r>
      <w:r>
        <w:rPr>
          <w:rFonts w:ascii="宋体" w:hAnsi="宋体" w:eastAsia="宋体" w:cs="宋体"/>
          <w:color w:val="auto"/>
          <w:sz w:val="24"/>
          <w:szCs w:val="24"/>
        </w:rPr>
        <w:t>政务诚信工作的薄弱项</w:t>
      </w:r>
      <w:r>
        <w:rPr>
          <w:rFonts w:ascii="宋体" w:hAnsi="宋体" w:eastAsia="宋体" w:cs="宋体"/>
          <w:color w:val="auto"/>
          <w:sz w:val="24"/>
          <w:szCs w:val="24"/>
          <w:lang w:val="zh-TW" w:eastAsia="zh-TW"/>
        </w:rPr>
        <w:t>为着重点，</w:t>
      </w:r>
      <w:r>
        <w:rPr>
          <w:rFonts w:ascii="宋体" w:hAnsi="宋体" w:eastAsia="宋体" w:cs="宋体"/>
          <w:color w:val="auto"/>
          <w:sz w:val="24"/>
          <w:szCs w:val="24"/>
        </w:rPr>
        <w:t>设计政务诚信评价通用指标体系的5项一级指标，即依法行政、政务公开、勤政高效、守信践诺、履职成效，下设13项二级指标，25项三级指标。</w:t>
      </w:r>
    </w:p>
    <w:p w14:paraId="57F5C9A7">
      <w:pPr>
        <w:framePr w:wrap="auto" w:vAnchor="margin" w:hAnchor="text" w:yAlign="inline"/>
        <w:spacing w:line="360" w:lineRule="auto"/>
        <w:ind w:firstLine="482"/>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五、标准的水平</w:t>
      </w:r>
    </w:p>
    <w:p w14:paraId="0B45FCF7">
      <w:pPr>
        <w:framePr w:wrap="auto" w:vAnchor="margin" w:hAnchor="text" w:yAlign="inline"/>
        <w:spacing w:line="360" w:lineRule="auto"/>
        <w:ind w:firstLine="480"/>
        <w:rPr>
          <w:rFonts w:ascii="宋体" w:hAnsi="宋体" w:eastAsia="宋体" w:cs="宋体"/>
          <w:sz w:val="24"/>
          <w:szCs w:val="24"/>
        </w:rPr>
      </w:pPr>
      <w:r>
        <w:rPr>
          <w:rFonts w:hint="default" w:ascii="宋体" w:hAnsi="宋体" w:eastAsia="宋体" w:cs="宋体"/>
          <w:color w:val="auto"/>
          <w:sz w:val="24"/>
          <w:szCs w:val="24"/>
          <w:lang w:val="zh-TW" w:eastAsia="zh-TW"/>
        </w:rPr>
        <w:t>该团体标准作为</w:t>
      </w:r>
      <w:r>
        <w:rPr>
          <w:rFonts w:ascii="宋体" w:hAnsi="宋体" w:eastAsia="宋体" w:cs="宋体"/>
          <w:color w:val="auto"/>
          <w:sz w:val="24"/>
          <w:szCs w:val="24"/>
        </w:rPr>
        <w:t>政务诚信评价工作的专业性指标，</w:t>
      </w:r>
      <w:r>
        <w:rPr>
          <w:rFonts w:hint="default" w:ascii="宋体" w:hAnsi="宋体" w:eastAsia="宋体" w:cs="宋体"/>
          <w:color w:val="auto"/>
          <w:sz w:val="24"/>
          <w:szCs w:val="24"/>
          <w:lang w:val="zh-TW" w:eastAsia="zh-TW"/>
        </w:rPr>
        <w:t>水平应定位于国内先进水平或国际先进水平，具体取决于标准制定过程中所参考的国内外相关标准、技术发展趋势以及</w:t>
      </w:r>
      <w:r>
        <w:rPr>
          <w:rFonts w:ascii="宋体" w:hAnsi="宋体" w:eastAsia="宋体" w:cs="宋体"/>
          <w:color w:val="auto"/>
          <w:sz w:val="24"/>
          <w:szCs w:val="24"/>
        </w:rPr>
        <w:t>政务诚信方面</w:t>
      </w:r>
      <w:r>
        <w:rPr>
          <w:rFonts w:hint="default" w:ascii="宋体" w:hAnsi="宋体" w:eastAsia="宋体" w:cs="宋体"/>
          <w:color w:val="auto"/>
          <w:sz w:val="24"/>
          <w:szCs w:val="24"/>
          <w:lang w:val="zh-TW" w:eastAsia="zh-TW"/>
        </w:rPr>
        <w:t>的实际需求。该标准将</w:t>
      </w:r>
      <w:r>
        <w:rPr>
          <w:rFonts w:ascii="宋体" w:hAnsi="宋体" w:eastAsia="宋体" w:cs="宋体"/>
          <w:color w:val="auto"/>
          <w:sz w:val="24"/>
          <w:szCs w:val="24"/>
          <w:lang w:val="zh-TW"/>
        </w:rPr>
        <w:t>在遵循和体现现行法律、法规的基础上</w:t>
      </w:r>
      <w:r>
        <w:rPr>
          <w:rFonts w:hint="default" w:ascii="宋体" w:hAnsi="宋体" w:eastAsia="宋体" w:cs="宋体"/>
          <w:color w:val="auto"/>
          <w:sz w:val="24"/>
          <w:szCs w:val="24"/>
          <w:lang w:val="zh-TW" w:eastAsia="zh-TW"/>
        </w:rPr>
        <w:t>，提出具有科学性、合理性和可操作性的</w:t>
      </w:r>
      <w:r>
        <w:rPr>
          <w:rFonts w:ascii="宋体" w:hAnsi="宋体" w:eastAsia="宋体" w:cs="宋体"/>
          <w:color w:val="auto"/>
          <w:sz w:val="24"/>
          <w:szCs w:val="24"/>
        </w:rPr>
        <w:t>评价</w:t>
      </w:r>
      <w:r>
        <w:rPr>
          <w:rFonts w:hint="default" w:ascii="宋体" w:hAnsi="宋体" w:eastAsia="宋体" w:cs="宋体"/>
          <w:color w:val="auto"/>
          <w:sz w:val="24"/>
          <w:szCs w:val="24"/>
          <w:lang w:val="zh-TW" w:eastAsia="zh-TW"/>
        </w:rPr>
        <w:t>指标体系和方法，为提升政府公信力、优化政务服务、促进社会诚信建设等方面提供有效参考。</w:t>
      </w:r>
    </w:p>
    <w:p w14:paraId="1706356C">
      <w:pPr>
        <w:framePr w:wrap="auto" w:vAnchor="margin" w:hAnchor="text" w:yAlign="inline"/>
        <w:spacing w:line="360" w:lineRule="auto"/>
        <w:ind w:firstLine="482"/>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六、与有关的现行法律、法规和强制性国家标准的关系</w:t>
      </w:r>
    </w:p>
    <w:p w14:paraId="643C31B8">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rPr>
        <w:t>（一）</w:t>
      </w:r>
      <w:r>
        <w:rPr>
          <w:rFonts w:hint="default" w:ascii="宋体" w:hAnsi="宋体" w:eastAsia="宋体" w:cs="宋体"/>
          <w:color w:val="auto"/>
          <w:sz w:val="24"/>
          <w:szCs w:val="24"/>
          <w:lang w:val="zh-TW" w:eastAsia="zh-TW"/>
        </w:rPr>
        <w:t>与现行法律、法规的关系：</w:t>
      </w:r>
    </w:p>
    <w:p w14:paraId="744C569A">
      <w:pPr>
        <w:framePr w:wrap="auto" w:vAnchor="margin" w:hAnchor="text" w:yAlign="inline"/>
        <w:spacing w:line="360" w:lineRule="auto"/>
        <w:ind w:firstLine="480"/>
        <w:rPr>
          <w:rFonts w:ascii="宋体" w:hAnsi="宋体" w:eastAsia="宋体" w:cs="宋体"/>
          <w:color w:val="auto"/>
          <w:sz w:val="24"/>
          <w:szCs w:val="24"/>
          <w:lang w:val="zh-TW" w:eastAsia="zh-TW"/>
        </w:rPr>
      </w:pPr>
      <w:r>
        <w:rPr>
          <w:rFonts w:hint="default" w:ascii="宋体" w:hAnsi="宋体" w:eastAsia="宋体" w:cs="宋体"/>
          <w:color w:val="auto"/>
          <w:sz w:val="24"/>
          <w:szCs w:val="24"/>
          <w:lang w:val="zh-TW" w:eastAsia="zh-TW"/>
        </w:rPr>
        <w:t>该团体标准应严格遵循国家现行的相关法律、法规，确保评估工作的合法性和合规性</w:t>
      </w:r>
      <w:r>
        <w:rPr>
          <w:rFonts w:ascii="宋体" w:hAnsi="宋体" w:eastAsia="宋体" w:cs="宋体"/>
          <w:color w:val="auto"/>
          <w:sz w:val="24"/>
          <w:szCs w:val="24"/>
          <w:lang w:val="zh-TW"/>
        </w:rPr>
        <w:t>。政务诚信评价通用指标通常是在遵循和体现现行法律、法规的基础上制定的。这些法律、法规和国家标准为政务诚信评价提供了基本的框架、原则和要求，确保评价工作的合法性、规范性和科学性。</w:t>
      </w:r>
    </w:p>
    <w:p w14:paraId="2FA34E54">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rPr>
        <w:t>（二）</w:t>
      </w:r>
      <w:r>
        <w:rPr>
          <w:rFonts w:hint="default" w:ascii="宋体" w:hAnsi="宋体" w:eastAsia="宋体" w:cs="宋体"/>
          <w:color w:val="auto"/>
          <w:sz w:val="24"/>
          <w:szCs w:val="24"/>
          <w:lang w:val="zh-TW" w:eastAsia="zh-TW"/>
        </w:rPr>
        <w:t>与强制性国家标准的关系：</w:t>
      </w:r>
    </w:p>
    <w:p w14:paraId="2700B413">
      <w:pPr>
        <w:framePr w:wrap="auto" w:vAnchor="margin" w:hAnchor="text" w:yAlign="inline"/>
        <w:spacing w:line="360" w:lineRule="auto"/>
        <w:ind w:firstLine="480"/>
        <w:rPr>
          <w:rFonts w:ascii="宋体" w:hAnsi="宋体" w:eastAsia="宋体" w:cs="宋体"/>
          <w:color w:val="auto"/>
          <w:sz w:val="24"/>
          <w:szCs w:val="24"/>
          <w:lang w:val="zh-TW" w:eastAsia="zh-TW"/>
        </w:rPr>
      </w:pPr>
      <w:r>
        <w:rPr>
          <w:rFonts w:ascii="宋体" w:hAnsi="宋体" w:eastAsia="宋体" w:cs="宋体"/>
          <w:color w:val="auto"/>
          <w:sz w:val="24"/>
          <w:szCs w:val="24"/>
        </w:rPr>
        <w:t>目前该领域尚无强制性国家标准。</w:t>
      </w:r>
      <w:r>
        <w:rPr>
          <w:rFonts w:hint="default" w:ascii="宋体" w:hAnsi="宋体" w:eastAsia="宋体" w:cs="宋体"/>
          <w:color w:val="auto"/>
          <w:sz w:val="24"/>
          <w:szCs w:val="24"/>
          <w:lang w:val="zh-TW" w:eastAsia="zh-TW"/>
        </w:rPr>
        <w:t>该团体标准将填补</w:t>
      </w:r>
      <w:r>
        <w:rPr>
          <w:rFonts w:ascii="宋体" w:hAnsi="宋体" w:eastAsia="宋体" w:cs="宋体"/>
          <w:color w:val="auto"/>
          <w:sz w:val="24"/>
          <w:szCs w:val="24"/>
        </w:rPr>
        <w:t>政务诚信评价通用指标</w:t>
      </w:r>
      <w:r>
        <w:rPr>
          <w:rFonts w:hint="default" w:ascii="宋体" w:hAnsi="宋体" w:eastAsia="宋体" w:cs="宋体"/>
          <w:color w:val="auto"/>
          <w:sz w:val="24"/>
          <w:szCs w:val="24"/>
          <w:lang w:val="zh-TW" w:eastAsia="zh-TW"/>
        </w:rPr>
        <w:t>方面的标准空白，为行业的健康发展提供有力保障。</w:t>
      </w:r>
    </w:p>
    <w:p w14:paraId="61090249">
      <w:pPr>
        <w:framePr w:wrap="auto" w:vAnchor="margin" w:hAnchor="text" w:yAlign="inline"/>
        <w:spacing w:line="360" w:lineRule="auto"/>
        <w:ind w:firstLine="482"/>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七、贯彻标准的要求和措施建议</w:t>
      </w:r>
    </w:p>
    <w:p w14:paraId="31A98C01">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（一）</w:t>
      </w:r>
      <w:r>
        <w:rPr>
          <w:rFonts w:hint="default" w:ascii="宋体" w:hAnsi="宋体" w:eastAsia="宋体" w:cs="宋体"/>
          <w:color w:val="auto"/>
          <w:sz w:val="24"/>
          <w:szCs w:val="24"/>
          <w:lang w:val="zh-TW" w:eastAsia="zh-TW"/>
        </w:rPr>
        <w:t>贯彻标准的要求：</w:t>
      </w:r>
    </w:p>
    <w:p w14:paraId="506CC1E7">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 xml:space="preserve">1. </w:t>
      </w:r>
      <w:r>
        <w:rPr>
          <w:rFonts w:hint="default" w:ascii="宋体" w:hAnsi="宋体" w:eastAsia="宋体" w:cs="宋体"/>
          <w:color w:val="auto"/>
          <w:sz w:val="24"/>
          <w:szCs w:val="24"/>
          <w:lang w:val="zh-TW" w:eastAsia="zh-TW"/>
        </w:rPr>
        <w:t>广泛宣传：通过多种渠道和方式，广泛宣传该团体标准的重要性和必要性，提高相关方的认知度和接受度。</w:t>
      </w:r>
    </w:p>
    <w:p w14:paraId="775795F4">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 xml:space="preserve">2. </w:t>
      </w:r>
      <w:r>
        <w:rPr>
          <w:rFonts w:hint="default" w:ascii="宋体" w:hAnsi="宋体" w:eastAsia="宋体" w:cs="宋体"/>
          <w:color w:val="auto"/>
          <w:sz w:val="24"/>
          <w:szCs w:val="24"/>
          <w:lang w:val="zh-TW" w:eastAsia="zh-TW"/>
        </w:rPr>
        <w:t>培训教育：组织专题培训和交流活动，提高相关方对标准的理解和应用能力。</w:t>
      </w:r>
    </w:p>
    <w:p w14:paraId="7620A614">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 xml:space="preserve">3. </w:t>
      </w:r>
      <w:r>
        <w:rPr>
          <w:rFonts w:hint="default" w:ascii="宋体" w:hAnsi="宋体" w:eastAsia="宋体" w:cs="宋体"/>
          <w:color w:val="auto"/>
          <w:sz w:val="24"/>
          <w:szCs w:val="24"/>
          <w:lang w:val="zh-TW" w:eastAsia="zh-TW"/>
        </w:rPr>
        <w:t>严格实施：要求相关方在评估工作中严格按照标准执行，确保评估结果的客观性和准确性。</w:t>
      </w:r>
    </w:p>
    <w:p w14:paraId="5D903198">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（二）</w:t>
      </w:r>
      <w:r>
        <w:rPr>
          <w:rFonts w:hint="default" w:ascii="宋体" w:hAnsi="宋体" w:eastAsia="宋体" w:cs="宋体"/>
          <w:color w:val="auto"/>
          <w:sz w:val="24"/>
          <w:szCs w:val="24"/>
          <w:lang w:val="zh-TW" w:eastAsia="zh-TW"/>
        </w:rPr>
        <w:t>措施建议：</w:t>
      </w:r>
    </w:p>
    <w:p w14:paraId="7FCB7672">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 xml:space="preserve">1. </w:t>
      </w:r>
      <w:r>
        <w:rPr>
          <w:rFonts w:hint="default" w:ascii="宋体" w:hAnsi="宋体" w:eastAsia="宋体" w:cs="宋体"/>
          <w:color w:val="auto"/>
          <w:sz w:val="24"/>
          <w:szCs w:val="24"/>
          <w:lang w:val="zh-TW" w:eastAsia="zh-TW"/>
        </w:rPr>
        <w:t>建立监督机制：建立健全的监督机制，对标准的实施情况进行定期检查和评估，确保标准的有效执行。</w:t>
      </w:r>
    </w:p>
    <w:p w14:paraId="3B8BF8A3">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 xml:space="preserve">2. </w:t>
      </w:r>
      <w:r>
        <w:rPr>
          <w:rFonts w:hint="default" w:ascii="宋体" w:hAnsi="宋体" w:eastAsia="宋体" w:cs="宋体"/>
          <w:color w:val="auto"/>
          <w:sz w:val="24"/>
          <w:szCs w:val="24"/>
          <w:lang w:val="zh-TW" w:eastAsia="zh-TW"/>
        </w:rPr>
        <w:t>加强协调合作：加强政府、企业、行业协会等各方之间的协调合作，形成合力推动标准的贯彻实施。</w:t>
      </w:r>
    </w:p>
    <w:p w14:paraId="03CE5D8F">
      <w:pPr>
        <w:framePr w:wrap="auto" w:vAnchor="margin" w:hAnchor="text" w:yAlign="inline"/>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rPr>
        <w:t xml:space="preserve">3. </w:t>
      </w:r>
      <w:r>
        <w:rPr>
          <w:rFonts w:hint="default" w:ascii="宋体" w:hAnsi="宋体" w:eastAsia="宋体" w:cs="宋体"/>
          <w:color w:val="auto"/>
          <w:sz w:val="24"/>
          <w:szCs w:val="24"/>
          <w:lang w:val="zh-TW" w:eastAsia="zh-TW"/>
        </w:rPr>
        <w:t>鼓励创新：鼓励相关方在标准实施过程中积极创新，探索更加高效、便捷的评估方法和技术手段。</w:t>
      </w:r>
    </w:p>
    <w:p w14:paraId="1EE7F059">
      <w:pPr>
        <w:framePr w:wrap="auto" w:vAnchor="margin" w:hAnchor="text" w:yAlign="inline"/>
        <w:spacing w:line="360" w:lineRule="auto"/>
        <w:ind w:firstLine="482"/>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八、标准实施的预期效果</w:t>
      </w:r>
    </w:p>
    <w:p w14:paraId="42FC3F0E">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color w:val="auto"/>
          <w:sz w:val="24"/>
          <w:szCs w:val="24"/>
        </w:rPr>
        <w:t>（一）</w:t>
      </w:r>
      <w:r>
        <w:rPr>
          <w:rFonts w:ascii="宋体" w:hAnsi="宋体" w:eastAsia="宋体" w:cs="宋体"/>
          <w:color w:val="auto"/>
          <w:sz w:val="24"/>
          <w:szCs w:val="24"/>
          <w:lang w:val="zh-TW"/>
        </w:rPr>
        <w:t>评价体系的完善：</w:t>
      </w:r>
      <w:r>
        <w:rPr>
          <w:rFonts w:ascii="宋体" w:hAnsi="宋体" w:eastAsia="宋体" w:cs="宋体"/>
          <w:color w:val="auto"/>
          <w:sz w:val="24"/>
          <w:szCs w:val="24"/>
        </w:rPr>
        <w:t>通过标准的实施，</w:t>
      </w:r>
      <w:r>
        <w:rPr>
          <w:rFonts w:ascii="宋体" w:hAnsi="宋体" w:eastAsia="宋体" w:cs="宋体"/>
          <w:color w:val="auto"/>
          <w:sz w:val="24"/>
          <w:szCs w:val="24"/>
          <w:lang w:val="zh-TW"/>
        </w:rPr>
        <w:t>政务诚信评价</w:t>
      </w:r>
      <w:r>
        <w:rPr>
          <w:rFonts w:ascii="宋体" w:hAnsi="宋体" w:eastAsia="宋体" w:cs="宋体"/>
          <w:color w:val="auto"/>
          <w:sz w:val="24"/>
          <w:szCs w:val="24"/>
        </w:rPr>
        <w:t>工作</w:t>
      </w:r>
      <w:r>
        <w:rPr>
          <w:rFonts w:ascii="宋体" w:hAnsi="宋体" w:eastAsia="宋体" w:cs="宋体"/>
          <w:color w:val="auto"/>
          <w:sz w:val="24"/>
          <w:szCs w:val="24"/>
          <w:lang w:val="zh-TW"/>
        </w:rPr>
        <w:t>将更加科学、公正、透明，为政府诚信建设提供坚实的制度保障。</w:t>
      </w:r>
    </w:p>
    <w:p w14:paraId="620BC2D1">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color w:val="auto"/>
          <w:sz w:val="24"/>
          <w:szCs w:val="24"/>
        </w:rPr>
        <w:t>（二）</w:t>
      </w:r>
      <w:r>
        <w:rPr>
          <w:rFonts w:ascii="宋体" w:hAnsi="宋体" w:eastAsia="宋体" w:cs="宋体"/>
          <w:color w:val="auto"/>
          <w:sz w:val="24"/>
          <w:szCs w:val="24"/>
          <w:lang w:val="zh-TW"/>
        </w:rPr>
        <w:t>诚信意识的提升：政府工作人员及各级政府的诚信意识显著增强，诚信观念深入人心，成为政务工作的重要指导原则。</w:t>
      </w:r>
    </w:p>
    <w:p w14:paraId="783DB7BF">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color w:val="auto"/>
          <w:sz w:val="24"/>
          <w:szCs w:val="24"/>
        </w:rPr>
        <w:t>（三）</w:t>
      </w:r>
      <w:r>
        <w:rPr>
          <w:rFonts w:ascii="宋体" w:hAnsi="宋体" w:eastAsia="宋体" w:cs="宋体"/>
          <w:color w:val="auto"/>
          <w:sz w:val="24"/>
          <w:szCs w:val="24"/>
          <w:lang w:val="zh-TW"/>
        </w:rPr>
        <w:t>政务诚信水平的提高：通过定期评价和反馈机制，各级政府将不断优化政务行为，提升政务诚信水平，树立良好政府形象。</w:t>
      </w:r>
    </w:p>
    <w:p w14:paraId="72BF02D6">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color w:val="auto"/>
          <w:sz w:val="24"/>
          <w:szCs w:val="24"/>
          <w:lang w:val="zh-TW"/>
        </w:rPr>
        <w:t>（</w:t>
      </w:r>
      <w:r>
        <w:rPr>
          <w:rFonts w:ascii="宋体" w:hAnsi="宋体" w:eastAsia="宋体" w:cs="宋体"/>
          <w:color w:val="auto"/>
          <w:sz w:val="24"/>
          <w:szCs w:val="24"/>
        </w:rPr>
        <w:t>四</w:t>
      </w:r>
      <w:r>
        <w:rPr>
          <w:rFonts w:ascii="宋体" w:hAnsi="宋体" w:eastAsia="宋体" w:cs="宋体"/>
          <w:color w:val="auto"/>
          <w:sz w:val="24"/>
          <w:szCs w:val="24"/>
          <w:lang w:val="zh-TW"/>
        </w:rPr>
        <w:t>）政府治理现代化的推进：技术创新与治理模式的深度融合将推动政府治理现代化进程，提高政府决策的科学性和精准性，增强政府公信力和服务效率。</w:t>
      </w:r>
    </w:p>
    <w:p w14:paraId="24DCADAD">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color w:val="auto"/>
          <w:sz w:val="24"/>
          <w:szCs w:val="24"/>
          <w:lang w:val="zh-TW"/>
        </w:rPr>
        <w:t>（</w:t>
      </w:r>
      <w:r>
        <w:rPr>
          <w:rFonts w:ascii="宋体" w:hAnsi="宋体" w:eastAsia="宋体" w:cs="宋体"/>
          <w:color w:val="auto"/>
          <w:sz w:val="24"/>
          <w:szCs w:val="24"/>
        </w:rPr>
        <w:t>五</w:t>
      </w:r>
      <w:r>
        <w:rPr>
          <w:rFonts w:ascii="宋体" w:hAnsi="宋体" w:eastAsia="宋体" w:cs="宋体"/>
          <w:color w:val="auto"/>
          <w:sz w:val="24"/>
          <w:szCs w:val="24"/>
          <w:lang w:val="zh-TW"/>
        </w:rPr>
        <w:t>）社会环境的优化：政务诚信建设的加强将促进社会诚信环境的整体提升，为经济社会发展营造更加和谐、公正、透明的社会环境。</w:t>
      </w:r>
    </w:p>
    <w:sectPr>
      <w:headerReference r:id="rId3" w:type="default"/>
      <w:footerReference r:id="rId4"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0382">
    <w:pPr>
      <w:pStyle w:val="3"/>
      <w:framePr w:wrap="auto" w:vAnchor="margin" w:hAnchor="text" w:yAlign="inline"/>
      <w:tabs>
        <w:tab w:val="right" w:pos="828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570B">
    <w:pPr>
      <w:pStyle w:val="14"/>
      <w:framePr w:wrap="auto" w:vAnchor="margin" w:hAnchor="text" w:yAlign="inline"/>
    </w:pPr>
    <w:r>
      <mc:AlternateContent>
        <mc:Choice Requires="wps">
          <w:drawing>
            <wp:anchor distT="152400" distB="152400" distL="152400" distR="152400" simplePos="0" relativeHeight="251659264"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479DB64F">
                          <w:pPr>
                            <w:pStyle w:val="3"/>
                          </w:pPr>
                          <w:r>
                            <w:fldChar w:fldCharType="begin"/>
                          </w:r>
                          <w:r>
                            <w:instrText xml:space="preserve"> PAGE </w:instrText>
                          </w:r>
                          <w:r>
                            <w:fldChar w:fldCharType="separate"/>
                          </w:r>
                          <w:r>
                            <w:t>3</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479DB64F">
                    <w:pPr>
                      <w:pStyle w:val="3"/>
                    </w:pPr>
                    <w:r>
                      <w:fldChar w:fldCharType="begin"/>
                    </w:r>
                    <w:r>
                      <w:instrText xml:space="preserve"> PAGE </w:instrText>
                    </w:r>
                    <w:r>
                      <w:fldChar w:fldCharType="separate"/>
                    </w:r>
                    <w: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6FD33"/>
    <w:multiLevelType w:val="singleLevel"/>
    <w:tmpl w:val="1356FD33"/>
    <w:lvl w:ilvl="0" w:tentative="0">
      <w:start w:val="2"/>
      <w:numFmt w:val="decimal"/>
      <w:suff w:val="space"/>
      <w:lvlText w:val="%1."/>
      <w:lvlJc w:val="left"/>
    </w:lvl>
  </w:abstractNum>
  <w:abstractNum w:abstractNumId="1">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7C542B2"/>
    <w:multiLevelType w:val="multilevel"/>
    <w:tmpl w:val="37C542B2"/>
    <w:lvl w:ilvl="0" w:tentative="0">
      <w:start w:val="1"/>
      <w:numFmt w:val="japaneseCounting"/>
      <w:lvlText w:val="%1、"/>
      <w:lvlJc w:val="left"/>
      <w:pPr>
        <w:ind w:left="992" w:hanging="510"/>
      </w:pPr>
      <w:rPr>
        <w:rFonts w:hint="default" w:eastAsia="宋体"/>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3MTgzY2U1NzcwMzdkMDkyYjNhNDI3ZWFkZmMxNzIifQ=="/>
  </w:docVars>
  <w:rsids>
    <w:rsidRoot w:val="001C1971"/>
    <w:rsid w:val="0000007A"/>
    <w:rsid w:val="00001B5B"/>
    <w:rsid w:val="00010B53"/>
    <w:rsid w:val="000117FA"/>
    <w:rsid w:val="00015ECA"/>
    <w:rsid w:val="00021F88"/>
    <w:rsid w:val="00023AB0"/>
    <w:rsid w:val="00035B6D"/>
    <w:rsid w:val="00037A2E"/>
    <w:rsid w:val="00050AEC"/>
    <w:rsid w:val="00082FF1"/>
    <w:rsid w:val="00084859"/>
    <w:rsid w:val="000905AB"/>
    <w:rsid w:val="00094129"/>
    <w:rsid w:val="000B3167"/>
    <w:rsid w:val="000C006E"/>
    <w:rsid w:val="000F45D3"/>
    <w:rsid w:val="000F71FA"/>
    <w:rsid w:val="00102875"/>
    <w:rsid w:val="00136DC2"/>
    <w:rsid w:val="001445DA"/>
    <w:rsid w:val="001C1971"/>
    <w:rsid w:val="00204F84"/>
    <w:rsid w:val="00205484"/>
    <w:rsid w:val="00215DD7"/>
    <w:rsid w:val="002512F2"/>
    <w:rsid w:val="00264B72"/>
    <w:rsid w:val="00265B13"/>
    <w:rsid w:val="002663D9"/>
    <w:rsid w:val="002665EC"/>
    <w:rsid w:val="0028709D"/>
    <w:rsid w:val="00295751"/>
    <w:rsid w:val="002B4CE6"/>
    <w:rsid w:val="002D4343"/>
    <w:rsid w:val="002F0B8B"/>
    <w:rsid w:val="002F3AA6"/>
    <w:rsid w:val="002F3F3E"/>
    <w:rsid w:val="0030564F"/>
    <w:rsid w:val="0031319C"/>
    <w:rsid w:val="0035380E"/>
    <w:rsid w:val="00377697"/>
    <w:rsid w:val="00391E44"/>
    <w:rsid w:val="00392AF6"/>
    <w:rsid w:val="0039677A"/>
    <w:rsid w:val="003A0FD7"/>
    <w:rsid w:val="003B30F9"/>
    <w:rsid w:val="003C6F12"/>
    <w:rsid w:val="003D652D"/>
    <w:rsid w:val="004005B0"/>
    <w:rsid w:val="004240F0"/>
    <w:rsid w:val="00435909"/>
    <w:rsid w:val="00453F8D"/>
    <w:rsid w:val="004915FC"/>
    <w:rsid w:val="004B46F1"/>
    <w:rsid w:val="004B56C3"/>
    <w:rsid w:val="004D05EE"/>
    <w:rsid w:val="004D285A"/>
    <w:rsid w:val="00525B9B"/>
    <w:rsid w:val="00546C9F"/>
    <w:rsid w:val="00550AA3"/>
    <w:rsid w:val="00555768"/>
    <w:rsid w:val="0059365C"/>
    <w:rsid w:val="005A6EF5"/>
    <w:rsid w:val="005B13B2"/>
    <w:rsid w:val="005F595B"/>
    <w:rsid w:val="005F7B08"/>
    <w:rsid w:val="00605F70"/>
    <w:rsid w:val="006123BD"/>
    <w:rsid w:val="00647AAD"/>
    <w:rsid w:val="00666AC0"/>
    <w:rsid w:val="00695C8A"/>
    <w:rsid w:val="006A4054"/>
    <w:rsid w:val="006A5904"/>
    <w:rsid w:val="006D28E6"/>
    <w:rsid w:val="006E4EB5"/>
    <w:rsid w:val="006E7F2E"/>
    <w:rsid w:val="00713B38"/>
    <w:rsid w:val="00716D2A"/>
    <w:rsid w:val="00720891"/>
    <w:rsid w:val="00753EC9"/>
    <w:rsid w:val="0075473F"/>
    <w:rsid w:val="00791143"/>
    <w:rsid w:val="007A6EC1"/>
    <w:rsid w:val="007C78B9"/>
    <w:rsid w:val="007D7840"/>
    <w:rsid w:val="007F7367"/>
    <w:rsid w:val="008014D7"/>
    <w:rsid w:val="00844A75"/>
    <w:rsid w:val="00852083"/>
    <w:rsid w:val="00872310"/>
    <w:rsid w:val="008A1E38"/>
    <w:rsid w:val="008D1A07"/>
    <w:rsid w:val="008E73B2"/>
    <w:rsid w:val="00903D18"/>
    <w:rsid w:val="009078BB"/>
    <w:rsid w:val="00921BF2"/>
    <w:rsid w:val="0092426D"/>
    <w:rsid w:val="0092709E"/>
    <w:rsid w:val="00951C47"/>
    <w:rsid w:val="009618BF"/>
    <w:rsid w:val="0096218D"/>
    <w:rsid w:val="00964B16"/>
    <w:rsid w:val="009936AB"/>
    <w:rsid w:val="009A2906"/>
    <w:rsid w:val="009A514C"/>
    <w:rsid w:val="009B0674"/>
    <w:rsid w:val="009B4725"/>
    <w:rsid w:val="009C08DA"/>
    <w:rsid w:val="009C333D"/>
    <w:rsid w:val="009D2E05"/>
    <w:rsid w:val="009F19C0"/>
    <w:rsid w:val="00A14861"/>
    <w:rsid w:val="00A22E73"/>
    <w:rsid w:val="00A329F7"/>
    <w:rsid w:val="00A369F1"/>
    <w:rsid w:val="00A56255"/>
    <w:rsid w:val="00A7221A"/>
    <w:rsid w:val="00A72D65"/>
    <w:rsid w:val="00A76DB0"/>
    <w:rsid w:val="00AE5E92"/>
    <w:rsid w:val="00B0520A"/>
    <w:rsid w:val="00B154D0"/>
    <w:rsid w:val="00B33BF1"/>
    <w:rsid w:val="00B3497B"/>
    <w:rsid w:val="00B45AE7"/>
    <w:rsid w:val="00B5017B"/>
    <w:rsid w:val="00C01246"/>
    <w:rsid w:val="00C149D5"/>
    <w:rsid w:val="00C223EE"/>
    <w:rsid w:val="00C50B12"/>
    <w:rsid w:val="00C731C6"/>
    <w:rsid w:val="00C870A4"/>
    <w:rsid w:val="00C923B3"/>
    <w:rsid w:val="00CD3464"/>
    <w:rsid w:val="00CE51C9"/>
    <w:rsid w:val="00D20D5B"/>
    <w:rsid w:val="00D418D7"/>
    <w:rsid w:val="00D42091"/>
    <w:rsid w:val="00D42375"/>
    <w:rsid w:val="00D92B72"/>
    <w:rsid w:val="00D92D8A"/>
    <w:rsid w:val="00D9431E"/>
    <w:rsid w:val="00DA1793"/>
    <w:rsid w:val="00DB3344"/>
    <w:rsid w:val="00DC0655"/>
    <w:rsid w:val="00DD1545"/>
    <w:rsid w:val="00DF5A59"/>
    <w:rsid w:val="00E045F4"/>
    <w:rsid w:val="00E20101"/>
    <w:rsid w:val="00E21072"/>
    <w:rsid w:val="00E223F5"/>
    <w:rsid w:val="00E42EA4"/>
    <w:rsid w:val="00E476F5"/>
    <w:rsid w:val="00E66352"/>
    <w:rsid w:val="00E86919"/>
    <w:rsid w:val="00E95A59"/>
    <w:rsid w:val="00EA0E6F"/>
    <w:rsid w:val="00EA45A0"/>
    <w:rsid w:val="00EB7D2E"/>
    <w:rsid w:val="00ED4542"/>
    <w:rsid w:val="00ED6663"/>
    <w:rsid w:val="00EE0D56"/>
    <w:rsid w:val="00EE2BFC"/>
    <w:rsid w:val="00EF578C"/>
    <w:rsid w:val="00F06039"/>
    <w:rsid w:val="00F10349"/>
    <w:rsid w:val="00F379DE"/>
    <w:rsid w:val="00F4411B"/>
    <w:rsid w:val="00F52EE6"/>
    <w:rsid w:val="00F60ACD"/>
    <w:rsid w:val="00F707BF"/>
    <w:rsid w:val="00F770A2"/>
    <w:rsid w:val="00F91175"/>
    <w:rsid w:val="00F92653"/>
    <w:rsid w:val="00FB455B"/>
    <w:rsid w:val="018E53BB"/>
    <w:rsid w:val="01E66FA5"/>
    <w:rsid w:val="02551A35"/>
    <w:rsid w:val="02F436B5"/>
    <w:rsid w:val="039E087E"/>
    <w:rsid w:val="0442423B"/>
    <w:rsid w:val="049F168E"/>
    <w:rsid w:val="0624009C"/>
    <w:rsid w:val="062D0592"/>
    <w:rsid w:val="06907B34"/>
    <w:rsid w:val="06E25862"/>
    <w:rsid w:val="0B8D66E4"/>
    <w:rsid w:val="0C6B2020"/>
    <w:rsid w:val="0C774C9E"/>
    <w:rsid w:val="0CEF76F2"/>
    <w:rsid w:val="12AC38F3"/>
    <w:rsid w:val="150A42DA"/>
    <w:rsid w:val="15347BD0"/>
    <w:rsid w:val="167A1613"/>
    <w:rsid w:val="174165D4"/>
    <w:rsid w:val="18D46E90"/>
    <w:rsid w:val="18E90CD1"/>
    <w:rsid w:val="19102702"/>
    <w:rsid w:val="1A3F504D"/>
    <w:rsid w:val="1E110AAE"/>
    <w:rsid w:val="1E8D27EC"/>
    <w:rsid w:val="1EA731C1"/>
    <w:rsid w:val="1F7532BF"/>
    <w:rsid w:val="1FC03CBA"/>
    <w:rsid w:val="1FD671F1"/>
    <w:rsid w:val="20174376"/>
    <w:rsid w:val="222334A6"/>
    <w:rsid w:val="24AC5E86"/>
    <w:rsid w:val="25215D4A"/>
    <w:rsid w:val="25B763DF"/>
    <w:rsid w:val="26D62895"/>
    <w:rsid w:val="27895B59"/>
    <w:rsid w:val="27DC2548"/>
    <w:rsid w:val="295F015D"/>
    <w:rsid w:val="2B12230A"/>
    <w:rsid w:val="2B7632FA"/>
    <w:rsid w:val="2C8B3FEE"/>
    <w:rsid w:val="2D3622E0"/>
    <w:rsid w:val="2DA82AB1"/>
    <w:rsid w:val="2DD66AA1"/>
    <w:rsid w:val="2DDF4725"/>
    <w:rsid w:val="2E707D8E"/>
    <w:rsid w:val="2F4F58DB"/>
    <w:rsid w:val="30185CCC"/>
    <w:rsid w:val="31DE2F46"/>
    <w:rsid w:val="35132F06"/>
    <w:rsid w:val="35134EAA"/>
    <w:rsid w:val="35AF70D3"/>
    <w:rsid w:val="368334D1"/>
    <w:rsid w:val="37B747BB"/>
    <w:rsid w:val="39190C28"/>
    <w:rsid w:val="3D9910E3"/>
    <w:rsid w:val="3EDC080D"/>
    <w:rsid w:val="3F88629F"/>
    <w:rsid w:val="3FD61700"/>
    <w:rsid w:val="40A13996"/>
    <w:rsid w:val="41C43F03"/>
    <w:rsid w:val="41EA3241"/>
    <w:rsid w:val="42C65A5C"/>
    <w:rsid w:val="444035EC"/>
    <w:rsid w:val="44E16B7D"/>
    <w:rsid w:val="46192347"/>
    <w:rsid w:val="46AE6F33"/>
    <w:rsid w:val="46C769A2"/>
    <w:rsid w:val="47523D62"/>
    <w:rsid w:val="48580610"/>
    <w:rsid w:val="48684DC2"/>
    <w:rsid w:val="488A4EC3"/>
    <w:rsid w:val="4B2477C4"/>
    <w:rsid w:val="4B3D6AD7"/>
    <w:rsid w:val="4B9A5CD8"/>
    <w:rsid w:val="4BB02E05"/>
    <w:rsid w:val="4C5F21E2"/>
    <w:rsid w:val="4DC808DA"/>
    <w:rsid w:val="4F817E6C"/>
    <w:rsid w:val="4F980780"/>
    <w:rsid w:val="4FC82E13"/>
    <w:rsid w:val="51D81308"/>
    <w:rsid w:val="536C2A87"/>
    <w:rsid w:val="53986FA1"/>
    <w:rsid w:val="545578D3"/>
    <w:rsid w:val="556E3DBC"/>
    <w:rsid w:val="568A1331"/>
    <w:rsid w:val="5798756F"/>
    <w:rsid w:val="5A305EEC"/>
    <w:rsid w:val="5AF8134E"/>
    <w:rsid w:val="5C451348"/>
    <w:rsid w:val="5C58551F"/>
    <w:rsid w:val="5CF714FC"/>
    <w:rsid w:val="5D2068C0"/>
    <w:rsid w:val="5F8605F5"/>
    <w:rsid w:val="61073070"/>
    <w:rsid w:val="61EB0BE3"/>
    <w:rsid w:val="626B6F06"/>
    <w:rsid w:val="643C5726"/>
    <w:rsid w:val="65D5198E"/>
    <w:rsid w:val="66093965"/>
    <w:rsid w:val="666B40A1"/>
    <w:rsid w:val="66855163"/>
    <w:rsid w:val="673B1CC5"/>
    <w:rsid w:val="67656D9E"/>
    <w:rsid w:val="67E265E5"/>
    <w:rsid w:val="681E586F"/>
    <w:rsid w:val="6A0D5B9B"/>
    <w:rsid w:val="6C655162"/>
    <w:rsid w:val="6CCF5389"/>
    <w:rsid w:val="6D051D77"/>
    <w:rsid w:val="6D745F31"/>
    <w:rsid w:val="6DDD7E95"/>
    <w:rsid w:val="6E916D44"/>
    <w:rsid w:val="6F152DFC"/>
    <w:rsid w:val="6F305E87"/>
    <w:rsid w:val="705D2CAC"/>
    <w:rsid w:val="70800D73"/>
    <w:rsid w:val="722E4900"/>
    <w:rsid w:val="742E508B"/>
    <w:rsid w:val="76341FE4"/>
    <w:rsid w:val="791974F6"/>
    <w:rsid w:val="793619F1"/>
    <w:rsid w:val="79BD2A0E"/>
    <w:rsid w:val="7A596539"/>
    <w:rsid w:val="7B0C1557"/>
    <w:rsid w:val="7B694BFB"/>
    <w:rsid w:val="7BA75723"/>
    <w:rsid w:val="7D511DEB"/>
    <w:rsid w:val="7DDB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0"/>
    <w:pPr>
      <w:framePr w:wrap="around"/>
      <w:jc w:val="left"/>
    </w:pPr>
  </w:style>
  <w:style w:type="paragraph" w:styleId="3">
    <w:name w:val="footer"/>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4">
    <w:name w:val="header"/>
    <w:basedOn w:val="1"/>
    <w:link w:val="16"/>
    <w:qFormat/>
    <w:uiPriority w:val="0"/>
    <w:pPr>
      <w:framePr w:wrap="around"/>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framePr w:wrap="around"/>
    </w:pPr>
    <w:rPr>
      <w:sz w:val="24"/>
    </w:rPr>
  </w:style>
  <w:style w:type="paragraph" w:styleId="6">
    <w:name w:val="annotation subject"/>
    <w:basedOn w:val="2"/>
    <w:next w:val="2"/>
    <w:link w:val="21"/>
    <w:semiHidden/>
    <w:unhideWhenUsed/>
    <w:qFormat/>
    <w:uiPriority w:val="0"/>
    <w:pPr>
      <w:framePr w:wrap="around"/>
    </w:pPr>
    <w:rPr>
      <w:b/>
      <w:bCs/>
    </w:rPr>
  </w:style>
  <w:style w:type="character" w:styleId="9">
    <w:name w:val="Hyperlink"/>
    <w:qFormat/>
    <w:uiPriority w:val="0"/>
    <w:rPr>
      <w:u w:val="single"/>
    </w:rPr>
  </w:style>
  <w:style w:type="character" w:styleId="10">
    <w:name w:val="annotation reference"/>
    <w:basedOn w:val="8"/>
    <w:semiHidden/>
    <w:unhideWhenUsed/>
    <w:qFormat/>
    <w:uiPriority w:val="0"/>
    <w:rPr>
      <w:sz w:val="21"/>
      <w:szCs w:val="21"/>
    </w:rPr>
  </w:style>
  <w:style w:type="paragraph" w:customStyle="1" w:styleId="11">
    <w:name w:val="章标题"/>
    <w:next w:val="1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13">
    <w:name w:val="Table Normal"/>
    <w:qFormat/>
    <w:uiPriority w:val="0"/>
    <w:tblPr>
      <w:tblCellMar>
        <w:top w:w="0" w:type="dxa"/>
        <w:left w:w="0" w:type="dxa"/>
        <w:bottom w:w="0" w:type="dxa"/>
        <w:right w:w="0" w:type="dxa"/>
      </w:tblCellMar>
    </w:tblPr>
  </w:style>
  <w:style w:type="paragraph" w:customStyle="1" w:styleId="14">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5">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6">
    <w:name w:val="页眉 字符"/>
    <w:basedOn w:val="8"/>
    <w:link w:val="4"/>
    <w:qFormat/>
    <w:uiPriority w:val="0"/>
    <w:rPr>
      <w:rFonts w:ascii="Arial Unicode MS" w:hAnsi="Arial Unicode MS" w:eastAsia="Times New Roman" w:cs="Arial Unicode MS"/>
      <w:color w:val="000000"/>
      <w:kern w:val="2"/>
      <w:sz w:val="18"/>
      <w:szCs w:val="18"/>
      <w:u w:color="000000"/>
    </w:rPr>
  </w:style>
  <w:style w:type="paragraph" w:customStyle="1" w:styleId="17">
    <w:name w:val="列表段落1"/>
    <w:basedOn w:val="1"/>
    <w:qFormat/>
    <w:uiPriority w:val="99"/>
    <w:pPr>
      <w:framePr w:wrap="around"/>
      <w:ind w:firstLine="420" w:firstLineChars="200"/>
    </w:pPr>
  </w:style>
  <w:style w:type="paragraph" w:customStyle="1" w:styleId="18">
    <w:name w:val="修订1"/>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9">
    <w:name w:val="Revision"/>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0">
    <w:name w:val="批注文字 字符"/>
    <w:basedOn w:val="8"/>
    <w:link w:val="2"/>
    <w:semiHidden/>
    <w:qFormat/>
    <w:uiPriority w:val="0"/>
    <w:rPr>
      <w:rFonts w:ascii="Arial Unicode MS" w:hAnsi="Arial Unicode MS" w:eastAsia="Times New Roman" w:cs="Arial Unicode MS"/>
      <w:color w:val="000000"/>
      <w:kern w:val="2"/>
      <w:sz w:val="21"/>
      <w:szCs w:val="21"/>
      <w:u w:color="000000"/>
    </w:rPr>
  </w:style>
  <w:style w:type="character" w:customStyle="1" w:styleId="21">
    <w:name w:val="批注主题 字符"/>
    <w:basedOn w:val="20"/>
    <w:link w:val="6"/>
    <w:semiHidden/>
    <w:qFormat/>
    <w:uiPriority w:val="0"/>
    <w:rPr>
      <w:rFonts w:ascii="Arial Unicode MS" w:hAnsi="Arial Unicode MS" w:eastAsia="Times New Roman" w:cs="Arial Unicode MS"/>
      <w:b/>
      <w:bCs/>
      <w:color w:val="000000"/>
      <w:kern w:val="2"/>
      <w:sz w:val="21"/>
      <w:szCs w:val="21"/>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3042</Words>
  <Characters>3129</Characters>
  <Lines>70</Lines>
  <Paragraphs>67</Paragraphs>
  <TotalTime>1</TotalTime>
  <ScaleCrop>false</ScaleCrop>
  <LinksUpToDate>false</LinksUpToDate>
  <CharactersWithSpaces>3149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2025-06-10T09:15:00Z</dcterms:created>
  <dc:creator>HP</dc:creator>
  <cp:lastModifiedBy>紫嫣</cp:lastModifiedBy>
  <cp:lastPrinted>2019-06-17T03:57:00Z</cp:lastPrinted>
  <dcterms:modified xsi:type="dcterms:W3CDTF">2025-06-10T09:35:53Z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DE47938C607748E9BB1338123484554A_13</vt:lpwstr>
  </property>
  <property fmtid="{D5CDD505-2E9C-101B-9397-08002B2CF9AE}" pid="4" name="KSOTemplateDocerSaveRecord">
    <vt:lpwstr>eyJoZGlkIjoiOTJlMDBlOWJiMzljNTUxODg0YTk2M2RjZjdjOTZjNzciLCJ1c2VySWQiOiIzNDU3NTYyMTIifQ==</vt:lpwstr>
  </property>
</Properties>
</file>