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F29D7">
      <w:pPr>
        <w:spacing w:line="600" w:lineRule="exact"/>
        <w:jc w:val="center"/>
        <w:rPr>
          <w:rFonts w:ascii="方正小标宋简体" w:hAnsi="黑体" w:eastAsia="方正小标宋简体" w:cs="黑体"/>
          <w:color w:val="000000"/>
          <w:sz w:val="44"/>
          <w:szCs w:val="44"/>
        </w:rPr>
      </w:pPr>
      <w:r>
        <w:rPr>
          <w:rFonts w:hint="eastAsia" w:ascii="方正小标宋简体" w:hAnsi="黑体" w:eastAsia="方正小标宋简体" w:cs="黑体"/>
          <w:color w:val="000000"/>
          <w:sz w:val="44"/>
          <w:szCs w:val="44"/>
        </w:rPr>
        <w:t>团体标准《脓毒症肝损伤中西医病机融通救治技术规范》（征求意见稿）</w:t>
      </w:r>
    </w:p>
    <w:p w14:paraId="5A4A824B">
      <w:pPr>
        <w:spacing w:line="600" w:lineRule="exact"/>
        <w:jc w:val="center"/>
        <w:rPr>
          <w:rFonts w:ascii="方正小标宋简体" w:hAnsi="黑体" w:eastAsia="方正小标宋简体" w:cs="黑体"/>
          <w:color w:val="000000"/>
          <w:sz w:val="44"/>
          <w:szCs w:val="44"/>
        </w:rPr>
      </w:pPr>
      <w:r>
        <w:rPr>
          <w:rFonts w:hint="eastAsia" w:ascii="方正小标宋简体" w:hAnsi="黑体" w:eastAsia="方正小标宋简体" w:cs="黑体"/>
          <w:color w:val="000000"/>
          <w:sz w:val="44"/>
          <w:szCs w:val="44"/>
        </w:rPr>
        <w:t>编制说明</w:t>
      </w:r>
    </w:p>
    <w:p w14:paraId="59B9CC65">
      <w:pPr>
        <w:autoSpaceDE w:val="0"/>
        <w:autoSpaceDN w:val="0"/>
        <w:adjustRightInd w:val="0"/>
        <w:spacing w:before="156" w:beforeLines="50" w:after="156" w:afterLines="50" w:line="560" w:lineRule="exact"/>
        <w:ind w:firstLine="640" w:firstLineChars="200"/>
        <w:jc w:val="left"/>
        <w:outlineLvl w:val="0"/>
        <w:rPr>
          <w:rFonts w:ascii="黑体" w:hAnsi="黑体" w:eastAsia="黑体" w:cs="仿宋_GB2312"/>
          <w:sz w:val="32"/>
          <w:szCs w:val="32"/>
        </w:rPr>
      </w:pPr>
      <w:r>
        <w:rPr>
          <w:rFonts w:hint="eastAsia" w:ascii="黑体" w:hAnsi="黑体" w:eastAsia="黑体" w:cs="仿宋_GB2312"/>
          <w:sz w:val="32"/>
          <w:szCs w:val="32"/>
        </w:rPr>
        <w:t>一、任务来源、起草单位、主要起草人</w:t>
      </w:r>
    </w:p>
    <w:p w14:paraId="4F03AB5F">
      <w:pPr>
        <w:spacing w:line="560" w:lineRule="exact"/>
        <w:ind w:firstLine="640" w:firstLineChars="200"/>
        <w:rPr>
          <w:rFonts w:ascii="仿宋_GB2312" w:hAnsi="仿宋" w:eastAsia="仿宋_GB2312"/>
          <w:sz w:val="32"/>
          <w:szCs w:val="32"/>
        </w:rPr>
      </w:pPr>
      <w:r>
        <w:rPr>
          <w:rFonts w:hint="eastAsia" w:ascii="仿宋_GB2312" w:hAnsi="Calibri" w:eastAsia="仿宋_GB2312"/>
          <w:sz w:val="32"/>
          <w:szCs w:val="32"/>
        </w:rPr>
        <w:t>根据《广西标准化协会关于下达202</w:t>
      </w:r>
      <w:r>
        <w:rPr>
          <w:rFonts w:ascii="仿宋_GB2312" w:hAnsi="Calibri" w:eastAsia="仿宋_GB2312"/>
          <w:sz w:val="32"/>
          <w:szCs w:val="32"/>
        </w:rPr>
        <w:t>4</w:t>
      </w:r>
      <w:r>
        <w:rPr>
          <w:rFonts w:hint="eastAsia" w:ascii="仿宋_GB2312" w:hAnsi="Calibri" w:eastAsia="仿宋_GB2312"/>
          <w:sz w:val="32"/>
          <w:szCs w:val="32"/>
        </w:rPr>
        <w:t>年第一批团体标准制修订项目计划的通知》（桂标协〔202</w:t>
      </w:r>
      <w:r>
        <w:rPr>
          <w:rFonts w:ascii="仿宋_GB2312" w:hAnsi="Calibri" w:eastAsia="仿宋_GB2312"/>
          <w:sz w:val="32"/>
          <w:szCs w:val="32"/>
        </w:rPr>
        <w:t>4</w:t>
      </w:r>
      <w:r>
        <w:rPr>
          <w:rFonts w:hint="eastAsia" w:ascii="仿宋_GB2312" w:hAnsi="Calibri" w:eastAsia="仿宋_GB2312"/>
          <w:sz w:val="32"/>
          <w:szCs w:val="32"/>
        </w:rPr>
        <w:t>〕</w:t>
      </w:r>
      <w:r>
        <w:rPr>
          <w:rFonts w:ascii="仿宋_GB2312" w:hAnsi="Calibri" w:eastAsia="仿宋_GB2312"/>
          <w:sz w:val="32"/>
          <w:szCs w:val="32"/>
        </w:rPr>
        <w:t>8</w:t>
      </w:r>
      <w:r>
        <w:rPr>
          <w:rFonts w:hint="eastAsia" w:ascii="仿宋_GB2312" w:hAnsi="Calibri" w:eastAsia="仿宋_GB2312"/>
          <w:sz w:val="32"/>
          <w:szCs w:val="32"/>
        </w:rPr>
        <w:t>号）文件精神，由广西中医药大学第一附属医院提出，广西中医药大学第一附属医院、广西医科大学第一附属医院、玉林市中医医院、柳州市工人医院、上海市第七人民医院等单位共同起草的团体标准《脓毒症肝损伤中西医病机融通救治技术规范》（项目编号：202</w:t>
      </w:r>
      <w:r>
        <w:rPr>
          <w:rFonts w:ascii="仿宋_GB2312" w:hAnsi="Calibri" w:eastAsia="仿宋_GB2312"/>
          <w:sz w:val="32"/>
          <w:szCs w:val="32"/>
        </w:rPr>
        <w:t>4</w:t>
      </w:r>
      <w:r>
        <w:rPr>
          <w:rFonts w:hint="eastAsia" w:ascii="仿宋_GB2312" w:hAnsi="Calibri" w:eastAsia="仿宋_GB2312"/>
          <w:sz w:val="32"/>
          <w:szCs w:val="32"/>
        </w:rPr>
        <w:t>-</w:t>
      </w:r>
      <w:r>
        <w:rPr>
          <w:rFonts w:ascii="仿宋_GB2312" w:hAnsi="Calibri" w:eastAsia="仿宋_GB2312"/>
          <w:sz w:val="32"/>
          <w:szCs w:val="32"/>
        </w:rPr>
        <w:t>012</w:t>
      </w:r>
      <w:r>
        <w:rPr>
          <w:rFonts w:hint="eastAsia" w:ascii="仿宋_GB2312" w:hAnsi="Calibri" w:eastAsia="仿宋_GB2312"/>
          <w:sz w:val="32"/>
          <w:szCs w:val="32"/>
        </w:rPr>
        <w:t>5）</w:t>
      </w:r>
      <w:r>
        <w:rPr>
          <w:rFonts w:hint="eastAsia" w:ascii="仿宋_GB2312" w:hAnsi="仿宋" w:eastAsia="仿宋_GB2312"/>
          <w:sz w:val="32"/>
          <w:szCs w:val="32"/>
        </w:rPr>
        <w:t>已获批立项。主要起草人姓名及分工情况如下：</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321"/>
        <w:gridCol w:w="1553"/>
        <w:gridCol w:w="1519"/>
        <w:gridCol w:w="3031"/>
      </w:tblGrid>
      <w:tr w14:paraId="5C73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44" w:type="pct"/>
            <w:vAlign w:val="center"/>
          </w:tcPr>
          <w:p w14:paraId="6B9D66AC">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
                <w:bCs/>
                <w:sz w:val="24"/>
              </w:rPr>
              <w:t>序号</w:t>
            </w:r>
          </w:p>
        </w:tc>
        <w:tc>
          <w:tcPr>
            <w:tcW w:w="775" w:type="pct"/>
            <w:vAlign w:val="center"/>
          </w:tcPr>
          <w:p w14:paraId="4B41DE28">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
                <w:bCs/>
                <w:sz w:val="24"/>
              </w:rPr>
              <w:t>姓  名</w:t>
            </w:r>
          </w:p>
        </w:tc>
        <w:tc>
          <w:tcPr>
            <w:tcW w:w="911" w:type="pct"/>
            <w:vAlign w:val="center"/>
          </w:tcPr>
          <w:p w14:paraId="51B830A5">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
                <w:sz w:val="24"/>
              </w:rPr>
              <w:t>单位</w:t>
            </w:r>
          </w:p>
        </w:tc>
        <w:tc>
          <w:tcPr>
            <w:tcW w:w="891" w:type="pct"/>
            <w:vAlign w:val="center"/>
          </w:tcPr>
          <w:p w14:paraId="42682A95">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
                <w:bCs/>
                <w:sz w:val="24"/>
              </w:rPr>
              <w:t>职务/职称</w:t>
            </w:r>
          </w:p>
        </w:tc>
        <w:tc>
          <w:tcPr>
            <w:tcW w:w="1778" w:type="pct"/>
            <w:vAlign w:val="center"/>
          </w:tcPr>
          <w:p w14:paraId="24785D49">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
                <w:bCs/>
                <w:sz w:val="24"/>
              </w:rPr>
              <w:t>参与编制标准分工情况</w:t>
            </w:r>
          </w:p>
        </w:tc>
      </w:tr>
      <w:tr w14:paraId="15BF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2970535B">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1A9F85CA">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谢胜</w:t>
            </w:r>
          </w:p>
        </w:tc>
        <w:tc>
          <w:tcPr>
            <w:tcW w:w="911" w:type="pct"/>
            <w:vAlign w:val="center"/>
          </w:tcPr>
          <w:p w14:paraId="4DB3957B">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74E9FC12">
            <w:pPr>
              <w:jc w:val="center"/>
              <w:rPr>
                <w:rFonts w:asciiTheme="minorEastAsia" w:hAnsiTheme="minorEastAsia" w:eastAsiaTheme="minorEastAsia" w:cstheme="minorEastAsia"/>
                <w:color w:val="000000"/>
                <w:sz w:val="24"/>
                <w:lang w:val="en"/>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57D7E3B7">
            <w:pPr>
              <w:suppressAutoHyphens/>
              <w:ind w:firstLine="240" w:firstLineChars="1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统筹规范编制工作，组织人员进行规范发布后的宣贯培训</w:t>
            </w:r>
          </w:p>
        </w:tc>
      </w:tr>
      <w:tr w14:paraId="3E12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10F6E791">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4EC32B91">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sz w:val="24"/>
              </w:rPr>
              <w:t>刘园园</w:t>
            </w:r>
          </w:p>
        </w:tc>
        <w:tc>
          <w:tcPr>
            <w:tcW w:w="911" w:type="pct"/>
            <w:vAlign w:val="center"/>
          </w:tcPr>
          <w:p w14:paraId="446127CA">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3A332117">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副主任医师</w:t>
            </w:r>
          </w:p>
        </w:tc>
        <w:tc>
          <w:tcPr>
            <w:tcW w:w="1778" w:type="pct"/>
            <w:vAlign w:val="center"/>
          </w:tcPr>
          <w:p w14:paraId="024C24F4">
            <w:pPr>
              <w:suppressAutoHyphens/>
              <w:ind w:firstLine="240" w:firstLineChars="1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指导规范文本及编制说明编写，质量控制</w:t>
            </w:r>
          </w:p>
        </w:tc>
      </w:tr>
      <w:tr w14:paraId="6359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44" w:type="pct"/>
            <w:vAlign w:val="center"/>
          </w:tcPr>
          <w:p w14:paraId="30BCCEFB">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38507347">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sz w:val="24"/>
              </w:rPr>
              <w:t>刘礼剑</w:t>
            </w:r>
          </w:p>
        </w:tc>
        <w:tc>
          <w:tcPr>
            <w:tcW w:w="911" w:type="pct"/>
            <w:vAlign w:val="center"/>
          </w:tcPr>
          <w:p w14:paraId="0547F0EB">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58D801F4">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449D7E36">
            <w:pPr>
              <w:suppressAutoHyphens/>
              <w:ind w:firstLine="240" w:firstLineChars="1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对规范实施情况进行总结分析，不断对规范提出修正意见</w:t>
            </w:r>
          </w:p>
        </w:tc>
      </w:tr>
      <w:tr w14:paraId="06B4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514A076E">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38315DA4">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sz w:val="24"/>
              </w:rPr>
              <w:t>黎丽群</w:t>
            </w:r>
          </w:p>
        </w:tc>
        <w:tc>
          <w:tcPr>
            <w:tcW w:w="911" w:type="pct"/>
            <w:vAlign w:val="center"/>
          </w:tcPr>
          <w:p w14:paraId="51970F32">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344FF505">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助理研究员</w:t>
            </w:r>
          </w:p>
        </w:tc>
        <w:tc>
          <w:tcPr>
            <w:tcW w:w="1778" w:type="pct"/>
            <w:vAlign w:val="center"/>
          </w:tcPr>
          <w:p w14:paraId="22923D9B">
            <w:pPr>
              <w:suppressAutoHyphens/>
              <w:ind w:firstLine="240" w:firstLineChars="1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对规范实施情况进行总结分析，不断对规范提出修正意见</w:t>
            </w:r>
          </w:p>
        </w:tc>
      </w:tr>
      <w:tr w14:paraId="6EE4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3C9A42FF">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6BE4384A">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王荣辉</w:t>
            </w:r>
          </w:p>
        </w:tc>
        <w:tc>
          <w:tcPr>
            <w:tcW w:w="911" w:type="pct"/>
            <w:vAlign w:val="center"/>
          </w:tcPr>
          <w:p w14:paraId="474D1D7A">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575A2858">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26A7038C">
            <w:pPr>
              <w:ind w:firstLine="240" w:firstLineChars="1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79D1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484B4AD6">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38A35591">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梁道业</w:t>
            </w:r>
          </w:p>
        </w:tc>
        <w:tc>
          <w:tcPr>
            <w:tcW w:w="911" w:type="pct"/>
            <w:vAlign w:val="center"/>
          </w:tcPr>
          <w:p w14:paraId="3FCC63EE">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7CB2C85F">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08EF6E9B">
            <w:pPr>
              <w:ind w:firstLine="240" w:firstLineChars="1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7B72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3128D8D4">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13EC5AE6">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林化</w:t>
            </w:r>
          </w:p>
        </w:tc>
        <w:tc>
          <w:tcPr>
            <w:tcW w:w="911" w:type="pct"/>
            <w:vAlign w:val="center"/>
          </w:tcPr>
          <w:p w14:paraId="33694FA7">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35845BC2">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6EF2DDC2">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4B11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3ACC847A">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43744820">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刘祖露</w:t>
            </w:r>
          </w:p>
        </w:tc>
        <w:tc>
          <w:tcPr>
            <w:tcW w:w="1553" w:type="dxa"/>
            <w:vAlign w:val="center"/>
          </w:tcPr>
          <w:p w14:paraId="2AF8879C">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广西中医药大学第一附属医院</w:t>
            </w:r>
          </w:p>
        </w:tc>
        <w:tc>
          <w:tcPr>
            <w:tcW w:w="1519" w:type="dxa"/>
            <w:vAlign w:val="center"/>
          </w:tcPr>
          <w:p w14:paraId="6794D76F">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主治医师</w:t>
            </w:r>
          </w:p>
        </w:tc>
        <w:tc>
          <w:tcPr>
            <w:tcW w:w="1778" w:type="pct"/>
            <w:vAlign w:val="center"/>
          </w:tcPr>
          <w:p w14:paraId="04FD2C02">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4989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440F5944">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3EC8FB35">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谢娟娟</w:t>
            </w:r>
          </w:p>
        </w:tc>
        <w:tc>
          <w:tcPr>
            <w:tcW w:w="911" w:type="pct"/>
            <w:vAlign w:val="center"/>
          </w:tcPr>
          <w:p w14:paraId="7CD8CB05">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54A048D0">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主治医师</w:t>
            </w:r>
          </w:p>
        </w:tc>
        <w:tc>
          <w:tcPr>
            <w:tcW w:w="1778" w:type="pct"/>
            <w:vAlign w:val="center"/>
          </w:tcPr>
          <w:p w14:paraId="15B1539E">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1B5F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58B3F133">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7B59190D">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谭金晶</w:t>
            </w:r>
          </w:p>
        </w:tc>
        <w:tc>
          <w:tcPr>
            <w:tcW w:w="911" w:type="pct"/>
            <w:vAlign w:val="center"/>
          </w:tcPr>
          <w:p w14:paraId="12EBB8C9">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3B4FE7E8">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副主任医师</w:t>
            </w:r>
          </w:p>
        </w:tc>
        <w:tc>
          <w:tcPr>
            <w:tcW w:w="1778" w:type="pct"/>
            <w:vAlign w:val="center"/>
          </w:tcPr>
          <w:p w14:paraId="3B5829C0">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07D2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4B3C97EE">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3E06DA47">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黄晓燕</w:t>
            </w:r>
          </w:p>
        </w:tc>
        <w:tc>
          <w:tcPr>
            <w:tcW w:w="911" w:type="pct"/>
            <w:vAlign w:val="center"/>
          </w:tcPr>
          <w:p w14:paraId="60767DC8">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54BA5947">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主任医师</w:t>
            </w:r>
          </w:p>
        </w:tc>
        <w:tc>
          <w:tcPr>
            <w:tcW w:w="1778" w:type="pct"/>
            <w:vAlign w:val="center"/>
          </w:tcPr>
          <w:p w14:paraId="27A0A1FE">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636F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644" w:type="pct"/>
            <w:vAlign w:val="center"/>
          </w:tcPr>
          <w:p w14:paraId="60E7D7BD">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42462013">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胡钦嗣</w:t>
            </w:r>
          </w:p>
        </w:tc>
        <w:tc>
          <w:tcPr>
            <w:tcW w:w="911" w:type="pct"/>
            <w:vAlign w:val="center"/>
          </w:tcPr>
          <w:p w14:paraId="7CC82E2E">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广西中医药大学第一附属医院</w:t>
            </w:r>
          </w:p>
        </w:tc>
        <w:tc>
          <w:tcPr>
            <w:tcW w:w="891" w:type="pct"/>
            <w:vAlign w:val="center"/>
          </w:tcPr>
          <w:p w14:paraId="0B5924EA">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09C2C645">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1C46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atLeast"/>
          <w:jc w:val="center"/>
        </w:trPr>
        <w:tc>
          <w:tcPr>
            <w:tcW w:w="644" w:type="pct"/>
            <w:vAlign w:val="center"/>
          </w:tcPr>
          <w:p w14:paraId="3980F64D">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68952402">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胡军涛</w:t>
            </w:r>
          </w:p>
        </w:tc>
        <w:tc>
          <w:tcPr>
            <w:tcW w:w="911" w:type="pct"/>
            <w:vAlign w:val="center"/>
          </w:tcPr>
          <w:p w14:paraId="70CA24FD">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广西医科大学第一附属医院</w:t>
            </w:r>
          </w:p>
        </w:tc>
        <w:tc>
          <w:tcPr>
            <w:tcW w:w="891" w:type="pct"/>
            <w:vAlign w:val="center"/>
          </w:tcPr>
          <w:p w14:paraId="724CEB15">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主任医师</w:t>
            </w:r>
          </w:p>
        </w:tc>
        <w:tc>
          <w:tcPr>
            <w:tcW w:w="1778" w:type="pct"/>
            <w:vAlign w:val="center"/>
          </w:tcPr>
          <w:p w14:paraId="512C2213">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3FA1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atLeast"/>
          <w:jc w:val="center"/>
        </w:trPr>
        <w:tc>
          <w:tcPr>
            <w:tcW w:w="644" w:type="pct"/>
            <w:vAlign w:val="center"/>
          </w:tcPr>
          <w:p w14:paraId="5B1DBC6D">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121275FA">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林松</w:t>
            </w:r>
          </w:p>
        </w:tc>
        <w:tc>
          <w:tcPr>
            <w:tcW w:w="911" w:type="pct"/>
            <w:vAlign w:val="center"/>
          </w:tcPr>
          <w:p w14:paraId="3976C1C0">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Cs/>
                <w:color w:val="000000"/>
                <w:sz w:val="24"/>
              </w:rPr>
              <w:t>柳州市工人医院</w:t>
            </w:r>
          </w:p>
        </w:tc>
        <w:tc>
          <w:tcPr>
            <w:tcW w:w="891" w:type="pct"/>
            <w:vAlign w:val="center"/>
          </w:tcPr>
          <w:p w14:paraId="2C85C291">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04A1F4AF">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r w14:paraId="33F1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atLeast"/>
          <w:jc w:val="center"/>
        </w:trPr>
        <w:tc>
          <w:tcPr>
            <w:tcW w:w="644" w:type="pct"/>
            <w:vAlign w:val="center"/>
          </w:tcPr>
          <w:p w14:paraId="3A95A290">
            <w:pPr>
              <w:pStyle w:val="43"/>
              <w:numPr>
                <w:ilvl w:val="0"/>
                <w:numId w:val="6"/>
              </w:numPr>
              <w:tabs>
                <w:tab w:val="left" w:pos="420"/>
              </w:tabs>
              <w:suppressAutoHyphens/>
              <w:ind w:firstLineChars="0"/>
              <w:jc w:val="center"/>
              <w:rPr>
                <w:rFonts w:asciiTheme="minorEastAsia" w:hAnsiTheme="minorEastAsia" w:eastAsiaTheme="minorEastAsia" w:cstheme="minorEastAsia"/>
                <w:bCs/>
                <w:sz w:val="24"/>
              </w:rPr>
            </w:pPr>
          </w:p>
        </w:tc>
        <w:tc>
          <w:tcPr>
            <w:tcW w:w="775" w:type="pct"/>
            <w:vAlign w:val="center"/>
          </w:tcPr>
          <w:p w14:paraId="345BC2F5">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雷鸣</w:t>
            </w:r>
          </w:p>
        </w:tc>
        <w:tc>
          <w:tcPr>
            <w:tcW w:w="911" w:type="pct"/>
            <w:vAlign w:val="center"/>
          </w:tcPr>
          <w:p w14:paraId="0231270A">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上海市第七人民医院</w:t>
            </w:r>
          </w:p>
        </w:tc>
        <w:tc>
          <w:tcPr>
            <w:tcW w:w="891" w:type="pct"/>
            <w:vAlign w:val="center"/>
          </w:tcPr>
          <w:p w14:paraId="36DBBB46">
            <w:pPr>
              <w:suppressAutoHyphens/>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lang w:val="en"/>
              </w:rPr>
              <w:t>主任医师</w:t>
            </w:r>
          </w:p>
        </w:tc>
        <w:tc>
          <w:tcPr>
            <w:tcW w:w="1778" w:type="pct"/>
            <w:vAlign w:val="center"/>
          </w:tcPr>
          <w:p w14:paraId="5AC49334">
            <w:pPr>
              <w:ind w:firstLine="240" w:firstLineChars="1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协助起草规范草案，征求意见稿和规范编制说明，送审稿及编制说明的编写工作</w:t>
            </w:r>
          </w:p>
        </w:tc>
      </w:tr>
    </w:tbl>
    <w:p w14:paraId="12FBD9AB">
      <w:pPr>
        <w:autoSpaceDE w:val="0"/>
        <w:autoSpaceDN w:val="0"/>
        <w:adjustRightInd w:val="0"/>
        <w:spacing w:before="156" w:beforeLines="50" w:after="156" w:afterLines="50" w:line="560" w:lineRule="exact"/>
        <w:ind w:firstLine="640" w:firstLineChars="200"/>
        <w:jc w:val="left"/>
        <w:outlineLvl w:val="0"/>
        <w:rPr>
          <w:rFonts w:ascii="黑体" w:hAnsi="黑体" w:eastAsia="黑体" w:cs="仿宋_GB2312"/>
          <w:color w:val="FF0000"/>
          <w:sz w:val="32"/>
          <w:szCs w:val="32"/>
        </w:rPr>
      </w:pPr>
      <w:r>
        <w:rPr>
          <w:rFonts w:hint="eastAsia" w:ascii="黑体" w:hAnsi="黑体" w:eastAsia="黑体" w:cs="仿宋_GB2312"/>
          <w:sz w:val="32"/>
          <w:szCs w:val="32"/>
        </w:rPr>
        <w:t>二、制定标准的必要性和意义</w:t>
      </w:r>
    </w:p>
    <w:p w14:paraId="448F37F6">
      <w:pPr>
        <w:pStyle w:val="20"/>
        <w:spacing w:after="0" w:line="560" w:lineRule="exact"/>
        <w:ind w:firstLine="640" w:firstLineChars="200"/>
        <w:rPr>
          <w:rFonts w:ascii="仿宋_GB2312" w:eastAsia="仿宋_GB2312"/>
          <w:bCs/>
        </w:rPr>
      </w:pPr>
      <w:r>
        <w:rPr>
          <w:rFonts w:hint="eastAsia" w:ascii="仿宋_GB2312" w:eastAsia="仿宋_GB2312"/>
          <w:bCs/>
        </w:rPr>
        <w:t>中西医结合即将中医学和西医学的理论和实践结合起来，以满足全面的医疗需求。中西医结合不仅可以更好地提高治疗效果，而且可以提供更完善的健康保健服务，有助于提高全民健康水平，改善人们生活质量，从而提高社会的整体素质。国家一直十分重视。</w:t>
      </w:r>
    </w:p>
    <w:p w14:paraId="5973DDAA">
      <w:pPr>
        <w:pStyle w:val="20"/>
        <w:spacing w:after="0" w:line="560" w:lineRule="exact"/>
        <w:ind w:firstLine="640" w:firstLineChars="200"/>
        <w:rPr>
          <w:rFonts w:ascii="仿宋_GB2312" w:eastAsia="仿宋_GB2312"/>
          <w:bCs/>
        </w:rPr>
      </w:pPr>
      <w:r>
        <w:rPr>
          <w:rFonts w:hint="eastAsia" w:ascii="仿宋_GB2312" w:eastAsia="仿宋_GB2312"/>
          <w:bCs/>
        </w:rPr>
        <w:t>2019年，《中华人民共和国基本医疗卫生与健康促进法》第九条规定：国家大力发展中医药事业，坚持中西医并重、传承与创新相结合。2023年，国务院办公厅印发《中医药振兴发展重大工程实施方案》，指出各地要支持组建区域中西医协同医疗联合体，将中西医结合工作纳入医院等级评审和绩效考核。项目单位要把建立中西医协同机制和多学科诊疗体系纳入医院章程，将中西医联合查房、会诊纳入医院管理制度，在各主要临床科室配备中医医师，打造中西医协同团队。为创新中西医结合医疗模式，促进中医和西医强强联合、优势互补，做到中西医结合工作“有机制、有团队、有措施、有成效”。同年，国家中医药局、国家发展改革委、国家卫生健康委联合制定了《中西医协同“旗舰”医院建设试点项目管理办法》（国中医药综结合发〔2023〕4号），中西医协同“旗舰”医院建设正式启动。</w:t>
      </w:r>
    </w:p>
    <w:p w14:paraId="11362A38">
      <w:pPr>
        <w:pStyle w:val="20"/>
        <w:spacing w:after="0" w:line="560" w:lineRule="exact"/>
        <w:ind w:firstLine="640" w:firstLineChars="200"/>
        <w:rPr>
          <w:rFonts w:ascii="仿宋_GB2312" w:eastAsia="仿宋_GB2312"/>
          <w:bCs/>
        </w:rPr>
      </w:pPr>
      <w:r>
        <w:rPr>
          <w:rFonts w:hint="eastAsia" w:ascii="仿宋_GB2312" w:eastAsia="仿宋_GB2312"/>
          <w:bCs/>
        </w:rPr>
        <w:t>脓毒症（sepsis）是由细菌等</w:t>
      </w:r>
      <w:r>
        <w:fldChar w:fldCharType="begin"/>
      </w:r>
      <w:r>
        <w:instrText xml:space="preserve"> HYPERLINK "https://baike.baidu.com/item/%E7%97%85%E5%8E%9F%E5%BE%AE%E7%94%9F%E7%89%A9/8020502?fromModule=lemma_inlink" \t "_blank" </w:instrText>
      </w:r>
      <w:r>
        <w:fldChar w:fldCharType="separate"/>
      </w:r>
      <w:r>
        <w:rPr>
          <w:rStyle w:val="18"/>
          <w:rFonts w:hint="eastAsia" w:ascii="仿宋_GB2312" w:eastAsia="仿宋_GB2312"/>
          <w:bCs/>
          <w:color w:val="auto"/>
          <w:u w:val="none"/>
        </w:rPr>
        <w:t>病原微生物</w:t>
      </w:r>
      <w:r>
        <w:rPr>
          <w:rStyle w:val="18"/>
          <w:rFonts w:hint="eastAsia" w:ascii="仿宋_GB2312" w:eastAsia="仿宋_GB2312"/>
          <w:bCs/>
          <w:color w:val="auto"/>
          <w:u w:val="none"/>
        </w:rPr>
        <w:fldChar w:fldCharType="end"/>
      </w:r>
      <w:r>
        <w:rPr>
          <w:rFonts w:hint="eastAsia" w:ascii="仿宋_GB2312" w:eastAsia="仿宋_GB2312"/>
          <w:bCs/>
        </w:rPr>
        <w:t>侵入机体引起的全身</w:t>
      </w:r>
      <w:r>
        <w:fldChar w:fldCharType="begin"/>
      </w:r>
      <w:r>
        <w:instrText xml:space="preserve"> HYPERLINK "https://baike.baidu.com/item/%E7%82%8E%E7%97%87%E5%8F%8D%E5%BA%94/2144122?fromModule=lemma_inlink" \t "_blank" </w:instrText>
      </w:r>
      <w:r>
        <w:fldChar w:fldCharType="separate"/>
      </w:r>
      <w:r>
        <w:rPr>
          <w:rStyle w:val="18"/>
          <w:rFonts w:hint="eastAsia" w:ascii="仿宋_GB2312" w:eastAsia="仿宋_GB2312"/>
          <w:bCs/>
          <w:color w:val="auto"/>
          <w:u w:val="none"/>
        </w:rPr>
        <w:t>炎症反应</w:t>
      </w:r>
      <w:r>
        <w:rPr>
          <w:rStyle w:val="18"/>
          <w:rFonts w:hint="eastAsia" w:ascii="仿宋_GB2312" w:eastAsia="仿宋_GB2312"/>
          <w:bCs/>
          <w:color w:val="auto"/>
          <w:u w:val="none"/>
        </w:rPr>
        <w:fldChar w:fldCharType="end"/>
      </w:r>
      <w:r>
        <w:rPr>
          <w:rFonts w:hint="eastAsia" w:ascii="仿宋_GB2312" w:eastAsia="仿宋_GB2312"/>
          <w:bCs/>
        </w:rPr>
        <w:t>综合征。脓毒症</w:t>
      </w:r>
      <w:r>
        <w:fldChar w:fldCharType="begin"/>
      </w:r>
      <w:r>
        <w:instrText xml:space="preserve"> HYPERLINK "https://baike.baidu.com/item/%E5%8F%91%E7%94%9F%E7%8E%87/9978487?fromModule=lemma_inlink" \t "_blank" </w:instrText>
      </w:r>
      <w:r>
        <w:fldChar w:fldCharType="separate"/>
      </w:r>
      <w:r>
        <w:rPr>
          <w:rStyle w:val="18"/>
          <w:rFonts w:hint="eastAsia" w:ascii="仿宋_GB2312" w:eastAsia="仿宋_GB2312"/>
          <w:bCs/>
          <w:color w:val="auto"/>
          <w:u w:val="none"/>
        </w:rPr>
        <w:t>发生率</w:t>
      </w:r>
      <w:r>
        <w:rPr>
          <w:rStyle w:val="18"/>
          <w:rFonts w:hint="eastAsia" w:ascii="仿宋_GB2312" w:eastAsia="仿宋_GB2312"/>
          <w:bCs/>
          <w:color w:val="auto"/>
          <w:u w:val="none"/>
        </w:rPr>
        <w:fldChar w:fldCharType="end"/>
      </w:r>
      <w:r>
        <w:rPr>
          <w:rFonts w:hint="eastAsia" w:ascii="仿宋_GB2312" w:eastAsia="仿宋_GB2312"/>
          <w:bCs/>
        </w:rPr>
        <w:t>高，全球每年有超过1800万</w:t>
      </w:r>
      <w:r>
        <w:fldChar w:fldCharType="begin"/>
      </w:r>
      <w:r>
        <w:instrText xml:space="preserve"> HYPERLINK "https://baike.baidu.com/item/%E4%B8%A5%E9%87%8D%E8%84%93%E6%AF%92%E7%97%87/8823087?fromModule=lemma_inlink" \t "_blank" </w:instrText>
      </w:r>
      <w:r>
        <w:fldChar w:fldCharType="separate"/>
      </w:r>
      <w:r>
        <w:rPr>
          <w:rStyle w:val="18"/>
          <w:rFonts w:hint="eastAsia" w:ascii="仿宋_GB2312" w:eastAsia="仿宋_GB2312"/>
          <w:bCs/>
          <w:color w:val="auto"/>
          <w:u w:val="none"/>
        </w:rPr>
        <w:t>严重脓毒症</w:t>
      </w:r>
      <w:r>
        <w:rPr>
          <w:rStyle w:val="18"/>
          <w:rFonts w:hint="eastAsia" w:ascii="仿宋_GB2312" w:eastAsia="仿宋_GB2312"/>
          <w:bCs/>
          <w:color w:val="auto"/>
          <w:u w:val="none"/>
        </w:rPr>
        <w:fldChar w:fldCharType="end"/>
      </w:r>
      <w:r>
        <w:rPr>
          <w:rFonts w:hint="eastAsia" w:ascii="仿宋_GB2312" w:eastAsia="仿宋_GB2312"/>
          <w:bCs/>
        </w:rPr>
        <w:t>病例，并且这一数字还以每年1.5％～8.0％的速度上升。脓毒症的病情凶险，</w:t>
      </w:r>
      <w:r>
        <w:fldChar w:fldCharType="begin"/>
      </w:r>
      <w:r>
        <w:instrText xml:space="preserve"> HYPERLINK "https://baike.baidu.com/item/%E7%97%85%E6%AD%BB%E7%8E%87/6454658?fromModule=lemma_inlink" \t "_blank" </w:instrText>
      </w:r>
      <w:r>
        <w:fldChar w:fldCharType="separate"/>
      </w:r>
      <w:r>
        <w:rPr>
          <w:rStyle w:val="18"/>
          <w:rFonts w:hint="eastAsia" w:ascii="仿宋_GB2312" w:eastAsia="仿宋_GB2312"/>
          <w:bCs/>
          <w:color w:val="auto"/>
          <w:u w:val="none"/>
        </w:rPr>
        <w:t>病死率</w:t>
      </w:r>
      <w:r>
        <w:rPr>
          <w:rStyle w:val="18"/>
          <w:rFonts w:hint="eastAsia" w:ascii="仿宋_GB2312" w:eastAsia="仿宋_GB2312"/>
          <w:bCs/>
          <w:color w:val="auto"/>
          <w:u w:val="none"/>
        </w:rPr>
        <w:fldChar w:fldCharType="end"/>
      </w:r>
      <w:r>
        <w:rPr>
          <w:rFonts w:hint="eastAsia" w:ascii="仿宋_GB2312" w:eastAsia="仿宋_GB2312"/>
          <w:bCs/>
        </w:rPr>
        <w:t>高，全球每天约14000人死于其</w:t>
      </w:r>
      <w:r>
        <w:fldChar w:fldCharType="begin"/>
      </w:r>
      <w:r>
        <w:instrText xml:space="preserve"> HYPERLINK "https://baike.baidu.com/item/%E5%B9%B6%E5%8F%91%E7%97%87/6329283?fromModule=lemma_inlink" \t "_blank" </w:instrText>
      </w:r>
      <w:r>
        <w:fldChar w:fldCharType="separate"/>
      </w:r>
      <w:r>
        <w:rPr>
          <w:rStyle w:val="18"/>
          <w:rFonts w:hint="eastAsia" w:ascii="仿宋_GB2312" w:eastAsia="仿宋_GB2312"/>
          <w:bCs/>
          <w:color w:val="auto"/>
          <w:u w:val="none"/>
        </w:rPr>
        <w:t>并发症</w:t>
      </w:r>
      <w:r>
        <w:rPr>
          <w:rStyle w:val="18"/>
          <w:rFonts w:hint="eastAsia" w:ascii="仿宋_GB2312" w:eastAsia="仿宋_GB2312"/>
          <w:bCs/>
          <w:color w:val="auto"/>
          <w:u w:val="none"/>
        </w:rPr>
        <w:fldChar w:fldCharType="end"/>
      </w:r>
      <w:r>
        <w:rPr>
          <w:rFonts w:hint="eastAsia" w:ascii="仿宋_GB2312" w:eastAsia="仿宋_GB2312"/>
          <w:bCs/>
        </w:rPr>
        <w:t>。据国外</w:t>
      </w:r>
      <w:r>
        <w:fldChar w:fldCharType="begin"/>
      </w:r>
      <w:r>
        <w:instrText xml:space="preserve"> HYPERLINK "https://baike.baidu.com/item/%E6%B5%81%E8%A1%8C%E7%97%85%E5%AD%A6%E8%B0%83%E6%9F%A5/6563973?fromModule=lemma_inlink" \t "_blank" </w:instrText>
      </w:r>
      <w:r>
        <w:fldChar w:fldCharType="separate"/>
      </w:r>
      <w:r>
        <w:rPr>
          <w:rStyle w:val="18"/>
          <w:rFonts w:hint="eastAsia" w:ascii="仿宋_GB2312" w:eastAsia="仿宋_GB2312"/>
          <w:bCs/>
          <w:color w:val="auto"/>
          <w:u w:val="none"/>
        </w:rPr>
        <w:t>流行病学调查</w:t>
      </w:r>
      <w:r>
        <w:rPr>
          <w:rStyle w:val="18"/>
          <w:rFonts w:hint="eastAsia" w:ascii="仿宋_GB2312" w:eastAsia="仿宋_GB2312"/>
          <w:bCs/>
          <w:color w:val="auto"/>
          <w:u w:val="none"/>
        </w:rPr>
        <w:fldChar w:fldCharType="end"/>
      </w:r>
      <w:r>
        <w:rPr>
          <w:rFonts w:hint="eastAsia" w:ascii="仿宋_GB2312" w:eastAsia="仿宋_GB2312"/>
          <w:bCs/>
        </w:rPr>
        <w:t>显示，脓毒症的病死率已经超过</w:t>
      </w:r>
      <w:r>
        <w:fldChar w:fldCharType="begin"/>
      </w:r>
      <w:r>
        <w:instrText xml:space="preserve"> HYPERLINK "https://baike.baidu.com/item/%E5%BF%83%E8%82%8C%E6%A2%97%E6%AD%BB/702113?fromModule=lemma_inlink" \t "_blank" </w:instrText>
      </w:r>
      <w:r>
        <w:fldChar w:fldCharType="separate"/>
      </w:r>
      <w:r>
        <w:rPr>
          <w:rStyle w:val="18"/>
          <w:rFonts w:hint="eastAsia" w:ascii="仿宋_GB2312" w:eastAsia="仿宋_GB2312"/>
          <w:bCs/>
          <w:color w:val="auto"/>
          <w:u w:val="none"/>
        </w:rPr>
        <w:t>心肌梗死</w:t>
      </w:r>
      <w:r>
        <w:rPr>
          <w:rStyle w:val="18"/>
          <w:rFonts w:hint="eastAsia" w:ascii="仿宋_GB2312" w:eastAsia="仿宋_GB2312"/>
          <w:bCs/>
          <w:color w:val="auto"/>
          <w:u w:val="none"/>
        </w:rPr>
        <w:fldChar w:fldCharType="end"/>
      </w:r>
      <w:r>
        <w:rPr>
          <w:rFonts w:hint="eastAsia" w:ascii="仿宋_GB2312" w:eastAsia="仿宋_GB2312"/>
          <w:bCs/>
        </w:rPr>
        <w:t>，成为</w:t>
      </w:r>
      <w:r>
        <w:fldChar w:fldCharType="begin"/>
      </w:r>
      <w:r>
        <w:instrText xml:space="preserve"> HYPERLINK "https://baike.baidu.com/item/%E9%87%8D%E7%97%87%E7%9B%91%E6%8A%A4%E7%97%85%E6%88%BF/56583476?fromModule=lemma_inlink" \t "_blank" </w:instrText>
      </w:r>
      <w:r>
        <w:fldChar w:fldCharType="separate"/>
      </w:r>
      <w:r>
        <w:rPr>
          <w:rStyle w:val="18"/>
          <w:rFonts w:hint="eastAsia" w:ascii="仿宋_GB2312" w:eastAsia="仿宋_GB2312"/>
          <w:bCs/>
          <w:color w:val="auto"/>
          <w:u w:val="none"/>
        </w:rPr>
        <w:t>重症监护病房</w:t>
      </w:r>
      <w:r>
        <w:rPr>
          <w:rStyle w:val="18"/>
          <w:rFonts w:hint="eastAsia" w:ascii="仿宋_GB2312" w:eastAsia="仿宋_GB2312"/>
          <w:bCs/>
          <w:color w:val="auto"/>
          <w:u w:val="none"/>
        </w:rPr>
        <w:fldChar w:fldCharType="end"/>
      </w:r>
      <w:r>
        <w:rPr>
          <w:rFonts w:hint="eastAsia" w:ascii="仿宋_GB2312" w:eastAsia="仿宋_GB2312"/>
          <w:bCs/>
        </w:rPr>
        <w:t>内非心脏病人死亡的主要原因。近年来，尽管抗感染治疗和器官功能支持技术取得了长足的进步，脓毒症的病死率仍高达30％～70％。相关调查数据显示，我国在2017～2019年发生的6178318例脓毒症死亡中，共有806728例(13.1％)为脓毒症相关死亡，在脓毒症相关死亡中，228852例(28.4％)发生在住院期间，而院内死亡比例以2017年的27.0％持续上升至2019年的30.0％。脓毒症治疗花费高，</w:t>
      </w:r>
      <w:r>
        <w:fldChar w:fldCharType="begin"/>
      </w:r>
      <w:r>
        <w:instrText xml:space="preserve"> HYPERLINK "https://baike.baidu.com/item/%E5%8C%BB%E7%96%97%E8%B5%84%E6%BA%90/18740008?fromModule=lemma_inlink" \t "_blank" </w:instrText>
      </w:r>
      <w:r>
        <w:fldChar w:fldCharType="separate"/>
      </w:r>
      <w:r>
        <w:rPr>
          <w:rStyle w:val="18"/>
          <w:rFonts w:hint="eastAsia" w:ascii="仿宋_GB2312" w:eastAsia="仿宋_GB2312"/>
          <w:bCs/>
          <w:color w:val="auto"/>
          <w:u w:val="none"/>
        </w:rPr>
        <w:t>医疗资源</w:t>
      </w:r>
      <w:r>
        <w:rPr>
          <w:rStyle w:val="18"/>
          <w:rFonts w:hint="eastAsia" w:ascii="仿宋_GB2312" w:eastAsia="仿宋_GB2312"/>
          <w:bCs/>
          <w:color w:val="auto"/>
          <w:u w:val="none"/>
        </w:rPr>
        <w:fldChar w:fldCharType="end"/>
      </w:r>
      <w:r>
        <w:rPr>
          <w:rFonts w:hint="eastAsia" w:ascii="仿宋_GB2312" w:eastAsia="仿宋_GB2312"/>
          <w:bCs/>
        </w:rPr>
        <w:t>消耗大，严重影响人类的</w:t>
      </w:r>
      <w:r>
        <w:fldChar w:fldCharType="begin"/>
      </w:r>
      <w:r>
        <w:instrText xml:space="preserve"> HYPERLINK "https://baike.baidu.com/item/%E7%94%9F%E6%B4%BB%E8%B4%A8%E9%87%8F/1526136?fromModule=lemma_inlink" \t "_blank" </w:instrText>
      </w:r>
      <w:r>
        <w:fldChar w:fldCharType="separate"/>
      </w:r>
      <w:r>
        <w:rPr>
          <w:rStyle w:val="18"/>
          <w:rFonts w:hint="eastAsia" w:ascii="仿宋_GB2312" w:eastAsia="仿宋_GB2312"/>
          <w:bCs/>
          <w:color w:val="auto"/>
          <w:u w:val="none"/>
        </w:rPr>
        <w:t>生活质量</w:t>
      </w:r>
      <w:r>
        <w:rPr>
          <w:rStyle w:val="18"/>
          <w:rFonts w:hint="eastAsia" w:ascii="仿宋_GB2312" w:eastAsia="仿宋_GB2312"/>
          <w:bCs/>
          <w:color w:val="auto"/>
          <w:u w:val="none"/>
        </w:rPr>
        <w:fldChar w:fldCharType="end"/>
      </w:r>
      <w:r>
        <w:rPr>
          <w:rFonts w:hint="eastAsia" w:ascii="仿宋_GB2312" w:eastAsia="仿宋_GB2312"/>
          <w:bCs/>
        </w:rPr>
        <w:t>，已经对人类健康造成巨大威胁。</w:t>
      </w:r>
    </w:p>
    <w:p w14:paraId="04752D98">
      <w:pPr>
        <w:pStyle w:val="20"/>
        <w:spacing w:after="0" w:line="560" w:lineRule="exact"/>
        <w:ind w:firstLine="640" w:firstLineChars="200"/>
        <w:rPr>
          <w:rFonts w:ascii="仿宋_GB2312" w:eastAsia="仿宋_GB2312"/>
          <w:bCs/>
        </w:rPr>
      </w:pPr>
      <w:r>
        <w:rPr>
          <w:rFonts w:hint="eastAsia" w:ascii="仿宋_GB2312" w:eastAsia="仿宋_GB2312"/>
          <w:bCs/>
        </w:rPr>
        <w:t>脓毒症相关肝功能不全和肝功能衰竭的发生率分别为34%-46%和1.3%-22.0%。肝功能衰竭的发生率低于其他器官衰竭的发生率，可能与肝脏的高再生能力有关。研究表明，脓毒症肝损伤的发生率约为30%，脓毒症一般在ICU内发病多，大概为30%-40%。肝功能异常组住ICU期间病死率(34.7%)明显升高，无肝功能异常组为13.9%。脓毒症急性肝损伤发生率约为30%，其病死率高达60%。</w:t>
      </w:r>
    </w:p>
    <w:p w14:paraId="0FDDCF46">
      <w:pPr>
        <w:pStyle w:val="20"/>
        <w:spacing w:after="0" w:line="560" w:lineRule="exact"/>
        <w:ind w:firstLine="640" w:firstLineChars="200"/>
        <w:rPr>
          <w:rFonts w:ascii="仿宋_GB2312" w:eastAsia="仿宋_GB2312"/>
          <w:bCs/>
        </w:rPr>
      </w:pPr>
      <w:r>
        <w:rPr>
          <w:rFonts w:hint="eastAsia" w:ascii="仿宋_GB2312" w:eastAsia="仿宋_GB2312"/>
          <w:bCs/>
        </w:rPr>
        <w:t>脓毒症发病率高，并发症多且重，病死率高，后遗症多，预后差。近年来，国家强调要充分发挥中医药在重大疾病治疗中的协同作用优势，但其优势未能充分发挥。研究脓毒症中西医病机及基于中西医病机融通进行中西医协同救治组方，对降低该病病死率，改善预后意义重大。</w:t>
      </w:r>
    </w:p>
    <w:p w14:paraId="16B3615F">
      <w:pPr>
        <w:pStyle w:val="20"/>
        <w:spacing w:after="0" w:line="560" w:lineRule="exact"/>
        <w:ind w:firstLine="640" w:firstLineChars="200"/>
        <w:rPr>
          <w:rFonts w:ascii="仿宋_GB2312" w:eastAsia="仿宋_GB2312"/>
          <w:bCs/>
        </w:rPr>
      </w:pPr>
      <w:r>
        <w:rPr>
          <w:rFonts w:hint="eastAsia" w:ascii="仿宋_GB2312" w:eastAsia="仿宋_GB2312"/>
          <w:bCs/>
        </w:rPr>
        <w:t>项目组应用文献研究和德尔菲法专家共识的研究方法，建立实用性强、公认度高且操作方便的《基于西医病理机理与中医病机相融合救治脓毒症的中医组方模型》，推广应用于脓毒症及其并发症的中西医协同组方，以期降低病死率，改善预后。现已在区内20家医疗机构得到应用，147家医疗机构宣传推广，并获得众多医疗机构及行业专家好评。</w:t>
      </w:r>
    </w:p>
    <w:p w14:paraId="07A24868">
      <w:pPr>
        <w:pStyle w:val="20"/>
        <w:spacing w:after="0" w:line="560" w:lineRule="exact"/>
        <w:ind w:firstLine="640" w:firstLineChars="200"/>
        <w:rPr>
          <w:rFonts w:ascii="仿宋_GB2312" w:eastAsia="仿宋_GB2312"/>
          <w:b/>
          <w:bCs/>
        </w:rPr>
      </w:pPr>
      <w:r>
        <w:rPr>
          <w:rFonts w:hint="eastAsia" w:ascii="仿宋_GB2312" w:eastAsia="仿宋_GB2312"/>
          <w:bCs/>
        </w:rPr>
        <w:t>基于前期研究，针对脓毒症具体并发症，通过制定团体标准《脓毒症肝损伤中西医病机融通救治技术规范》，以标准为抓手，统一规范脓毒症肝损伤中西医病机融通救治技术要求，对提高脓毒症肝损伤中西医病机融通救治技术水平，进一步提高该技术在全国的普适性、推广性，推进精准医学模式的研究与实践，巩固和发扬中西医结合优势，促进中西医医疗事业发展，维护人民健康具有积极意义</w:t>
      </w:r>
      <w:r>
        <w:rPr>
          <w:rFonts w:hint="eastAsia" w:ascii="仿宋_GB2312" w:eastAsia="仿宋_GB2312"/>
          <w:b/>
          <w:bCs/>
        </w:rPr>
        <w:t>。</w:t>
      </w:r>
    </w:p>
    <w:p w14:paraId="2C082724">
      <w:pPr>
        <w:autoSpaceDE w:val="0"/>
        <w:autoSpaceDN w:val="0"/>
        <w:adjustRightInd w:val="0"/>
        <w:spacing w:line="560" w:lineRule="exact"/>
        <w:ind w:firstLine="640" w:firstLineChars="200"/>
        <w:jc w:val="left"/>
        <w:outlineLvl w:val="0"/>
        <w:rPr>
          <w:rFonts w:ascii="黑体" w:hAnsi="黑体" w:eastAsia="黑体" w:cs="仿宋_GB2312"/>
          <w:sz w:val="32"/>
          <w:szCs w:val="32"/>
        </w:rPr>
      </w:pPr>
      <w:r>
        <w:rPr>
          <w:rFonts w:hint="eastAsia" w:ascii="黑体" w:hAnsi="黑体" w:eastAsia="黑体" w:cs="仿宋_GB2312"/>
          <w:sz w:val="32"/>
          <w:szCs w:val="32"/>
        </w:rPr>
        <w:t>三、项目编制过程</w:t>
      </w:r>
    </w:p>
    <w:p w14:paraId="536C9356">
      <w:pPr>
        <w:spacing w:before="156" w:beforeLines="50" w:after="156" w:afterLines="50" w:line="560" w:lineRule="exact"/>
        <w:ind w:firstLine="643" w:firstLineChars="200"/>
        <w:outlineLvl w:val="1"/>
        <w:rPr>
          <w:rFonts w:ascii="楷体" w:hAnsi="楷体" w:eastAsia="楷体" w:cs="仿宋_GB2312"/>
          <w:b/>
          <w:sz w:val="32"/>
          <w:szCs w:val="32"/>
        </w:rPr>
      </w:pPr>
      <w:r>
        <w:rPr>
          <w:rFonts w:hint="eastAsia" w:ascii="楷体" w:hAnsi="楷体" w:eastAsia="楷体" w:cs="仿宋_GB2312"/>
          <w:b/>
          <w:sz w:val="32"/>
          <w:szCs w:val="32"/>
        </w:rPr>
        <w:t>（一）成立标准编制组</w:t>
      </w:r>
    </w:p>
    <w:p w14:paraId="1503DBC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团体标准《脓毒症肝损伤中西医病机融通救治技术规范》项目任务下达后，由广西中医药大学第一附属医院牵头组织成立了标准编制组，制定了标准编写方案，明确任务职责，确定工作技术路线，开展标准研制工作。具体编制工作由广西中医药大学第一附属医院、广西中医药大学第一附属医院、</w:t>
      </w:r>
      <w:r>
        <w:rPr>
          <w:rFonts w:hint="eastAsia" w:ascii="仿宋_GB2312" w:hAnsi="宋体" w:eastAsia="仿宋_GB2312"/>
          <w:bCs/>
          <w:sz w:val="32"/>
          <w:szCs w:val="32"/>
        </w:rPr>
        <w:t>玉林市中医医院、</w:t>
      </w:r>
      <w:r>
        <w:rPr>
          <w:rFonts w:ascii="仿宋_GB2312" w:hAnsi="宋体" w:eastAsia="仿宋_GB2312"/>
          <w:bCs/>
          <w:sz w:val="32"/>
          <w:szCs w:val="32"/>
        </w:rPr>
        <w:t>柳州市工人医院</w:t>
      </w:r>
      <w:r>
        <w:rPr>
          <w:rFonts w:hint="eastAsia" w:ascii="仿宋_GB2312" w:hAnsi="宋体" w:eastAsia="仿宋_GB2312"/>
          <w:sz w:val="32"/>
          <w:szCs w:val="32"/>
        </w:rPr>
        <w:t>组成的标准编制组负责。编制组下设三个小组，分别是资料收集组、草案编写组、标准实施组。</w:t>
      </w:r>
    </w:p>
    <w:p w14:paraId="7748C984">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资料收集组：负责国内关于脓毒症肝损伤中西医病机融通救治相关文献资料的查询、收集和整理工作，查阅现存关于相关研究以及国内相关标准的制定。</w:t>
      </w:r>
    </w:p>
    <w:p w14:paraId="6F8B11A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草案编写组：负责标准立项、征求意见、审定、报批等阶段的标准文本及编制说明的起草工作，包括标准制定过程各阶段标准文本及相关材料的修改和完善。</w:t>
      </w:r>
    </w:p>
    <w:p w14:paraId="777F4E6F">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标准实施组：负责团体标准《脓毒症肝损伤中西医病机融通救治技术规范》标准发布后，组织相关部门、医疗机构等，开展标准宣贯培训会，对标准进行研讨和详细解读，使相关人员了解标准，熟悉标准，并能熟练运用标准；为确保标准的实施效果和综合运用率，对标准实施情况进行总结分析，对标准提出持续改进意见。</w:t>
      </w:r>
    </w:p>
    <w:p w14:paraId="7CF79E08">
      <w:pPr>
        <w:numPr>
          <w:ilvl w:val="0"/>
          <w:numId w:val="7"/>
        </w:numPr>
        <w:spacing w:before="156" w:beforeLines="50" w:after="156" w:afterLines="50" w:line="560" w:lineRule="exact"/>
        <w:ind w:firstLine="643" w:firstLineChars="200"/>
        <w:outlineLvl w:val="1"/>
        <w:rPr>
          <w:rFonts w:ascii="楷体" w:hAnsi="楷体" w:eastAsia="楷体" w:cs="仿宋_GB2312"/>
          <w:b/>
          <w:sz w:val="32"/>
          <w:szCs w:val="32"/>
        </w:rPr>
      </w:pPr>
      <w:r>
        <w:rPr>
          <w:rFonts w:hint="eastAsia" w:ascii="楷体" w:hAnsi="楷体" w:eastAsia="楷体" w:cs="仿宋_GB2312"/>
          <w:b/>
          <w:sz w:val="32"/>
          <w:szCs w:val="32"/>
        </w:rPr>
        <w:t>收集整理文献资料</w:t>
      </w:r>
    </w:p>
    <w:p w14:paraId="0B7F7CEE">
      <w:pPr>
        <w:pStyle w:val="20"/>
        <w:spacing w:after="0" w:line="560" w:lineRule="exact"/>
        <w:ind w:firstLine="640" w:firstLineChars="200"/>
        <w:rPr>
          <w:rFonts w:ascii="仿宋_GB2312" w:hAnsi="仿宋_GB2312" w:eastAsia="仿宋_GB2312" w:cs="仿宋_GB2312"/>
        </w:rPr>
      </w:pPr>
      <w:r>
        <w:rPr>
          <w:rFonts w:hint="eastAsia" w:ascii="仿宋_GB2312" w:hAnsi="仿宋_GB2312" w:eastAsia="仿宋_GB2312" w:cs="仿宋_GB2312"/>
        </w:rPr>
        <w:t>通过资料收集组对文献资料的收集和整理，草案编写组主要参考了以下国内相关的标准和期刊书籍：</w:t>
      </w:r>
    </w:p>
    <w:p w14:paraId="27CDDC0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  T/CRHA 022—2023  脓毒症诊断与治疗规范</w:t>
      </w:r>
    </w:p>
    <w:p w14:paraId="2800570C">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  秦宸媛,廖姣姣,张石默,等. 参附注射液治疗脓毒性休克预后的系统综述及荟萃分析[J].科技导报,2023,41 (23):88-99.</w:t>
      </w:r>
    </w:p>
    <w:p w14:paraId="58EBC9D9">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  周伟,章莉莉.脓毒症肝损伤的发病机制及治疗研究进展[J].肝脏,2023,28(6):734-737.</w:t>
      </w:r>
    </w:p>
    <w:p w14:paraId="43525FE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[4]  中国医师协会急诊医师分会,中国急诊专科医联体,中国人民解放军急救医学专业委员会,北京急诊医学学会,徐军,朱华栋,赵晓东,于学忠.成人急性肝损伤诊疗急诊专家共识[J].中国急救医学,2024,44(1):5-12.</w:t>
      </w:r>
    </w:p>
    <w:p w14:paraId="6D592CFD">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[5]  中华医学会肠外肠内营养学分会.成人肝损伤患者医学营养治疗指南（2025版）[J].中华医学杂志,2025,105(1):21-47.</w:t>
      </w:r>
    </w:p>
    <w:p w14:paraId="57837FEE">
      <w:pPr>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[6]  Singer M,Deutschman CS,Seymour CW,et al. The Third International Consensus Defnitions for Sepsis and Septic Shock ( Sepsis-3)［J］,JAMA 2016,315(8):801-810.</w:t>
      </w:r>
    </w:p>
    <w:p w14:paraId="69E4C1F2">
      <w:pPr>
        <w:spacing w:line="560" w:lineRule="exact"/>
        <w:ind w:firstLine="640" w:firstLineChars="200"/>
        <w:jc w:val="left"/>
        <w:rPr>
          <w:rFonts w:ascii="仿宋_GB2312" w:hAnsi="宋体" w:eastAsia="仿宋_GB2312"/>
          <w:sz w:val="32"/>
          <w:szCs w:val="32"/>
        </w:rPr>
      </w:pPr>
      <w:r>
        <w:rPr>
          <w:rFonts w:ascii="仿宋_GB2312" w:hAnsi="宋体" w:eastAsia="仿宋_GB2312"/>
          <w:sz w:val="32"/>
          <w:szCs w:val="32"/>
        </w:rPr>
        <w:t>[</w:t>
      </w:r>
      <w:r>
        <w:rPr>
          <w:rFonts w:hint="eastAsia" w:ascii="仿宋_GB2312" w:hAnsi="宋体" w:eastAsia="仿宋_GB2312"/>
          <w:sz w:val="32"/>
          <w:szCs w:val="32"/>
        </w:rPr>
        <w:t>7</w:t>
      </w:r>
      <w:r>
        <w:rPr>
          <w:rFonts w:ascii="仿宋_GB2312" w:hAnsi="宋体" w:eastAsia="仿宋_GB2312"/>
          <w:sz w:val="32"/>
          <w:szCs w:val="32"/>
        </w:rPr>
        <w:t xml:space="preserve">]  </w:t>
      </w:r>
      <w:r>
        <w:rPr>
          <w:rFonts w:hint="eastAsia" w:ascii="仿宋_GB2312" w:hAnsi="宋体" w:eastAsia="仿宋_GB2312"/>
          <w:sz w:val="32"/>
          <w:szCs w:val="32"/>
        </w:rPr>
        <w:t>Laura Evans, Rhodes Andrew, Alhazzani Waleed, et al. Surviving sepsis campaign: international guidelines for management of sepsis and septic shock 2021[J]. Intensive care medicine, 2021, 47(11): 1181-1247</w:t>
      </w:r>
      <w:r>
        <w:rPr>
          <w:rFonts w:ascii="仿宋_GB2312" w:hAnsi="宋体" w:eastAsia="仿宋_GB2312"/>
          <w:sz w:val="32"/>
          <w:szCs w:val="32"/>
        </w:rPr>
        <w:t>.</w:t>
      </w:r>
    </w:p>
    <w:p w14:paraId="419668B5">
      <w:pPr>
        <w:spacing w:line="560" w:lineRule="exact"/>
        <w:ind w:firstLine="643" w:firstLineChars="200"/>
        <w:jc w:val="left"/>
        <w:rPr>
          <w:rFonts w:ascii="楷体" w:hAnsi="楷体" w:eastAsia="楷体" w:cs="仿宋_GB2312"/>
          <w:b/>
          <w:sz w:val="32"/>
          <w:szCs w:val="32"/>
        </w:rPr>
      </w:pPr>
      <w:r>
        <w:rPr>
          <w:rFonts w:hint="eastAsia" w:ascii="楷体" w:hAnsi="楷体" w:eastAsia="楷体" w:cs="仿宋_GB2312"/>
          <w:b/>
          <w:sz w:val="32"/>
          <w:szCs w:val="32"/>
        </w:rPr>
        <w:t>（三）研讨确定标准特色</w:t>
      </w:r>
      <w:r>
        <w:rPr>
          <w:rFonts w:ascii="楷体" w:hAnsi="楷体" w:eastAsia="楷体" w:cs="仿宋_GB2312"/>
          <w:b/>
          <w:sz w:val="32"/>
          <w:szCs w:val="32"/>
        </w:rPr>
        <w:t>、创新点和</w:t>
      </w:r>
      <w:r>
        <w:rPr>
          <w:rFonts w:hint="eastAsia" w:ascii="楷体" w:hAnsi="楷体" w:eastAsia="楷体" w:cs="仿宋_GB2312"/>
          <w:b/>
          <w:sz w:val="32"/>
          <w:szCs w:val="32"/>
        </w:rPr>
        <w:t>主体内容</w:t>
      </w:r>
    </w:p>
    <w:p w14:paraId="5D97BA0D">
      <w:pPr>
        <w:rPr>
          <w:szCs w:val="21"/>
        </w:rPr>
      </w:pPr>
      <w:r>
        <w:rPr>
          <w:rFonts w:hint="eastAsia" w:ascii="仿宋_GB2312" w:hAnsi="宋体" w:eastAsia="仿宋_GB2312"/>
          <w:sz w:val="32"/>
          <w:szCs w:val="32"/>
        </w:rPr>
        <w:t>标准编制组在对收集的资料进行整理研究之后，标准编制组召开了标准编制会议，对标准的整体框架结构进行了研究，并对标准的特色</w:t>
      </w:r>
      <w:r>
        <w:rPr>
          <w:rFonts w:ascii="仿宋_GB2312" w:hAnsi="宋体" w:eastAsia="仿宋_GB2312"/>
          <w:sz w:val="32"/>
          <w:szCs w:val="32"/>
        </w:rPr>
        <w:t>、创新点</w:t>
      </w:r>
      <w:r>
        <w:rPr>
          <w:rFonts w:hint="eastAsia" w:ascii="仿宋_GB2312" w:hAnsi="宋体" w:eastAsia="仿宋_GB2312"/>
          <w:sz w:val="32"/>
          <w:szCs w:val="32"/>
        </w:rPr>
        <w:t>及关键性内容进行了初步探讨。经研究，标准</w:t>
      </w:r>
      <w:r>
        <w:rPr>
          <w:rFonts w:ascii="仿宋_GB2312" w:hAnsi="宋体" w:eastAsia="仿宋_GB2312"/>
          <w:sz w:val="32"/>
          <w:szCs w:val="32"/>
        </w:rPr>
        <w:t>的</w:t>
      </w:r>
      <w:r>
        <w:rPr>
          <w:rFonts w:hint="eastAsia" w:ascii="仿宋_GB2312" w:hAnsi="宋体" w:eastAsia="仿宋_GB2312"/>
          <w:sz w:val="32"/>
          <w:szCs w:val="32"/>
        </w:rPr>
        <w:t>特色</w:t>
      </w:r>
      <w:r>
        <w:rPr>
          <w:rFonts w:ascii="仿宋_GB2312" w:hAnsi="宋体" w:eastAsia="仿宋_GB2312"/>
          <w:sz w:val="32"/>
          <w:szCs w:val="32"/>
        </w:rPr>
        <w:t>、创新点</w:t>
      </w:r>
      <w:r>
        <w:rPr>
          <w:rFonts w:hint="eastAsia" w:ascii="仿宋_GB2312" w:hAnsi="宋体" w:eastAsia="仿宋_GB2312"/>
          <w:sz w:val="32"/>
          <w:szCs w:val="32"/>
        </w:rPr>
        <w:t>确定</w:t>
      </w:r>
      <w:r>
        <w:rPr>
          <w:rFonts w:ascii="仿宋_GB2312" w:hAnsi="宋体" w:eastAsia="仿宋_GB2312"/>
          <w:sz w:val="32"/>
          <w:szCs w:val="32"/>
        </w:rPr>
        <w:t>为</w:t>
      </w:r>
      <w:r>
        <w:rPr>
          <w:rFonts w:hint="eastAsia" w:ascii="仿宋_GB2312" w:hAnsi="宋体" w:eastAsia="仿宋_GB2312"/>
          <w:sz w:val="32"/>
          <w:szCs w:val="32"/>
        </w:rPr>
        <w:t>：针对脓毒症具体并发症状——肝损伤，基于中西医病机融通分析，明确在现代医学救治原则和措施的基础上，给予基于中西医病机融通的中医组方救治，区别于传统中医或西医针对脓毒症的诊疗，本标准更具针对性，且经临床实践应用降低病死率明显，能够显著改善预后。基于对肝损伤中西医病机融通分析提出了对肝损伤中西医病机融通的中医救治：宣痹清营、通腑泻浊、化瘀解毒。基于中西医病机融通的中医组方：旋覆花、茜草、醋郁金、通草、白芍、赤芍、丹皮、丹参、地骨皮、连翘（连心用）、川芎10 g、当归、泽泻、茵陈、栀子、大黄、大豆黄卷、生甘草、黄芩、竹茹、枳实、陈皮、石菖蒲、淡竹叶。方中旋覆花、茜草配伍醋郁金、通草宣通肝络、行气解郁，改善肝脏微循环障碍；白芍、赤芍、丹皮、丹参凉血活血，调控炎症因子释放，减轻肝细胞损伤；地骨皮、连翘（连心用）清热解毒，抑制内毒素诱导的全身炎症反应；川芎、当归养血活血，促进肝细胞再生；泽泻、茵陈、栀子、大黄利湿退黄、通腑泄热，加速胆红素及毒素排泄；大豆黄卷、生甘草和中解毒，调节免疫稳态；黄芩、竹茹清肝泄热，降低氧化应激损伤；石菖蒲、淡竹叶开窍醒神，预防肝性脑病。全方融"宣痹通络、清热解毒、凉血化瘀、利湿退黄"于一体，通过调节免疫炎症反应、改善肝脏微循环、促进肝细胞修复等多途径发挥综合治疗作用，体现了中医药"整体调节、多靶点干预"的独特优势。</w:t>
      </w:r>
    </w:p>
    <w:p w14:paraId="2A7E5421">
      <w:pPr>
        <w:spacing w:line="560" w:lineRule="exact"/>
        <w:rPr>
          <w:rFonts w:ascii="仿宋_GB2312" w:hAnsi="宋体" w:eastAsia="仿宋_GB2312"/>
          <w:sz w:val="32"/>
          <w:szCs w:val="32"/>
        </w:rPr>
      </w:pPr>
      <w:r>
        <w:rPr>
          <w:rFonts w:hint="eastAsia" w:ascii="仿宋_GB2312" w:hAnsi="宋体" w:eastAsia="仿宋_GB2312"/>
          <w:sz w:val="32"/>
          <w:szCs w:val="32"/>
        </w:rPr>
        <w:t>标准的主体内容确定为</w:t>
      </w:r>
      <w:bookmarkStart w:id="0" w:name="_Hlk132042510"/>
      <w:r>
        <w:rPr>
          <w:rFonts w:hint="eastAsia" w:ascii="仿宋_GB2312" w:hAnsi="宋体" w:eastAsia="仿宋_GB2312"/>
          <w:sz w:val="32"/>
          <w:szCs w:val="32"/>
        </w:rPr>
        <w:t>术语和定义、诊断、中西医病机融通救治、注意事项、不良反应处理</w:t>
      </w:r>
      <w:bookmarkEnd w:id="0"/>
      <w:r>
        <w:rPr>
          <w:rFonts w:hint="eastAsia" w:ascii="仿宋_GB2312" w:hAnsi="宋体" w:eastAsia="仿宋_GB2312"/>
          <w:sz w:val="32"/>
          <w:szCs w:val="32"/>
        </w:rPr>
        <w:t>。</w:t>
      </w:r>
    </w:p>
    <w:p w14:paraId="77D2E9A1">
      <w:pPr>
        <w:numPr>
          <w:ilvl w:val="0"/>
          <w:numId w:val="8"/>
        </w:numPr>
        <w:spacing w:before="156" w:beforeLines="50" w:after="156" w:afterLines="50" w:line="560" w:lineRule="exact"/>
        <w:ind w:firstLine="643" w:firstLineChars="200"/>
        <w:outlineLvl w:val="1"/>
        <w:rPr>
          <w:rFonts w:ascii="楷体" w:hAnsi="楷体" w:eastAsia="楷体" w:cs="仿宋_GB2312"/>
          <w:b/>
          <w:sz w:val="32"/>
          <w:szCs w:val="32"/>
        </w:rPr>
      </w:pPr>
      <w:r>
        <w:rPr>
          <w:rFonts w:hint="eastAsia" w:ascii="楷体" w:hAnsi="楷体" w:eastAsia="楷体" w:cs="仿宋_GB2312"/>
          <w:b/>
          <w:sz w:val="32"/>
          <w:szCs w:val="32"/>
        </w:rPr>
        <w:t>调研，形成草案、征求意见稿</w:t>
      </w:r>
    </w:p>
    <w:p w14:paraId="1236290A">
      <w:pPr>
        <w:spacing w:line="560" w:lineRule="exact"/>
        <w:ind w:firstLine="640" w:firstLineChars="200"/>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202</w:t>
      </w:r>
      <w:r>
        <w:rPr>
          <w:rFonts w:ascii="仿宋_GB2312" w:hAnsi="宋体" w:eastAsia="仿宋_GB2312"/>
          <w:color w:val="000000" w:themeColor="text1"/>
          <w:sz w:val="32"/>
          <w:szCs w:val="32"/>
          <w14:textFill>
            <w14:solidFill>
              <w14:schemeClr w14:val="tx1"/>
            </w14:solidFill>
          </w14:textFill>
        </w:rPr>
        <w:t>4</w:t>
      </w:r>
      <w:r>
        <w:rPr>
          <w:rFonts w:hint="eastAsia" w:ascii="仿宋_GB2312" w:hAnsi="宋体" w:eastAsia="仿宋_GB2312"/>
          <w:color w:val="000000" w:themeColor="text1"/>
          <w:sz w:val="32"/>
          <w:szCs w:val="32"/>
          <w14:textFill>
            <w14:solidFill>
              <w14:schemeClr w14:val="tx1"/>
            </w14:solidFill>
          </w14:textFill>
        </w:rPr>
        <w:t>年</w:t>
      </w:r>
      <w:r>
        <w:rPr>
          <w:rFonts w:ascii="仿宋_GB2312" w:hAnsi="宋体" w:eastAsia="仿宋_GB2312"/>
          <w:color w:val="000000" w:themeColor="text1"/>
          <w:sz w:val="32"/>
          <w:szCs w:val="32"/>
          <w14:textFill>
            <w14:solidFill>
              <w14:schemeClr w14:val="tx1"/>
            </w14:solidFill>
          </w14:textFill>
        </w:rPr>
        <w:t>1</w:t>
      </w:r>
      <w:r>
        <w:rPr>
          <w:rFonts w:hint="eastAsia" w:ascii="仿宋_GB2312" w:hAnsi="宋体" w:eastAsia="仿宋_GB2312"/>
          <w:color w:val="000000" w:themeColor="text1"/>
          <w:sz w:val="32"/>
          <w:szCs w:val="32"/>
          <w14:textFill>
            <w14:solidFill>
              <w14:schemeClr w14:val="tx1"/>
            </w14:solidFill>
          </w14:textFill>
        </w:rPr>
        <w:t>月</w:t>
      </w:r>
      <w:r>
        <w:rPr>
          <w:rFonts w:ascii="仿宋_GB2312" w:hAnsi="宋体" w:eastAsia="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标准编制组通过</w:t>
      </w:r>
      <w:r>
        <w:rPr>
          <w:rFonts w:hint="eastAsia" w:ascii="仿宋_GB2312" w:hAnsi="宋体" w:eastAsia="仿宋_GB2312"/>
          <w:sz w:val="32"/>
          <w:szCs w:val="32"/>
        </w:rPr>
        <w:t>查阅了大量的国内外文献资料，对脓毒症肝损伤中西医病机融通救治的相关文件进行系统总</w:t>
      </w:r>
      <w:r>
        <w:rPr>
          <w:rFonts w:hint="eastAsia" w:ascii="仿宋_GB2312" w:hAnsi="宋体" w:eastAsia="仿宋_GB2312"/>
          <w:color w:val="000000" w:themeColor="text1"/>
          <w:sz w:val="32"/>
          <w:szCs w:val="32"/>
          <w14:textFill>
            <w14:solidFill>
              <w14:schemeClr w14:val="tx1"/>
            </w14:solidFill>
          </w14:textFill>
        </w:rPr>
        <w:t>结。形成了标准的基本构架，对主要内容进行了讨论并对项目的工作进行了部署和安排。</w:t>
      </w:r>
    </w:p>
    <w:p w14:paraId="67928395">
      <w:pPr>
        <w:spacing w:line="560" w:lineRule="exact"/>
        <w:ind w:firstLine="640" w:firstLineChars="200"/>
        <w:rPr>
          <w:rFonts w:ascii="仿宋_GB2312" w:hAnsi="宋体" w:eastAsia="仿宋_GB2312"/>
          <w:color w:val="000000" w:themeColor="text1"/>
          <w:sz w:val="32"/>
          <w:szCs w:val="32"/>
          <w14:textFill>
            <w14:solidFill>
              <w14:schemeClr w14:val="tx1"/>
            </w14:solidFill>
          </w14:textFill>
        </w:rPr>
      </w:pPr>
      <w:bookmarkStart w:id="1" w:name="_Hlk132042443"/>
      <w:r>
        <w:rPr>
          <w:rFonts w:hint="eastAsia" w:ascii="仿宋_GB2312" w:hAnsi="宋体" w:eastAsia="仿宋_GB2312"/>
          <w:color w:val="000000" w:themeColor="text1"/>
          <w:sz w:val="32"/>
          <w:szCs w:val="32"/>
          <w14:textFill>
            <w14:solidFill>
              <w14:schemeClr w14:val="tx1"/>
            </w14:solidFill>
          </w14:textFill>
        </w:rPr>
        <w:t>202</w:t>
      </w:r>
      <w:r>
        <w:rPr>
          <w:rFonts w:ascii="仿宋_GB2312" w:hAnsi="宋体" w:eastAsia="仿宋_GB2312"/>
          <w:color w:val="000000" w:themeColor="text1"/>
          <w:sz w:val="32"/>
          <w:szCs w:val="32"/>
          <w14:textFill>
            <w14:solidFill>
              <w14:schemeClr w14:val="tx1"/>
            </w14:solidFill>
          </w14:textFill>
        </w:rPr>
        <w:t>4</w:t>
      </w:r>
      <w:r>
        <w:rPr>
          <w:rFonts w:hint="eastAsia" w:ascii="仿宋_GB2312" w:hAnsi="宋体" w:eastAsia="仿宋_GB2312"/>
          <w:color w:val="000000" w:themeColor="text1"/>
          <w:sz w:val="32"/>
          <w:szCs w:val="32"/>
          <w14:textFill>
            <w14:solidFill>
              <w14:schemeClr w14:val="tx1"/>
            </w14:solidFill>
          </w14:textFill>
        </w:rPr>
        <w:t>年</w:t>
      </w:r>
      <w:bookmarkEnd w:id="1"/>
      <w:r>
        <w:rPr>
          <w:rFonts w:ascii="仿宋_GB2312" w:hAnsi="宋体" w:eastAsia="仿宋_GB2312"/>
          <w:color w:val="000000" w:themeColor="text1"/>
          <w:sz w:val="32"/>
          <w:szCs w:val="32"/>
          <w14:textFill>
            <w14:solidFill>
              <w14:schemeClr w14:val="tx1"/>
            </w14:solidFill>
          </w14:textFill>
        </w:rPr>
        <w:t>2</w:t>
      </w:r>
      <w:r>
        <w:rPr>
          <w:rFonts w:hint="eastAsia" w:ascii="仿宋_GB2312" w:hAnsi="宋体" w:eastAsia="仿宋_GB2312"/>
          <w:color w:val="000000" w:themeColor="text1"/>
          <w:sz w:val="32"/>
          <w:szCs w:val="32"/>
          <w14:textFill>
            <w14:solidFill>
              <w14:schemeClr w14:val="tx1"/>
            </w14:solidFill>
          </w14:textFill>
        </w:rPr>
        <w:t>月～4，在前期工作的基础之上，通过理清逻辑脉络，整合已有参考资料中有关</w:t>
      </w:r>
      <w:r>
        <w:rPr>
          <w:rFonts w:hint="eastAsia" w:ascii="仿宋_GB2312" w:hAnsi="宋体" w:eastAsia="仿宋_GB2312"/>
          <w:sz w:val="32"/>
          <w:szCs w:val="32"/>
        </w:rPr>
        <w:t>脓毒症肝损伤中西医病机融通救治的</w:t>
      </w:r>
      <w:r>
        <w:rPr>
          <w:rFonts w:ascii="仿宋_GB2312" w:hAnsi="宋体" w:eastAsia="仿宋_GB2312"/>
          <w:sz w:val="32"/>
          <w:szCs w:val="32"/>
        </w:rPr>
        <w:t>内容</w:t>
      </w:r>
      <w:r>
        <w:rPr>
          <w:rFonts w:hint="eastAsia" w:ascii="仿宋_GB2312" w:hAnsi="宋体" w:eastAsia="仿宋_GB2312"/>
          <w:color w:val="000000" w:themeColor="text1"/>
          <w:sz w:val="32"/>
          <w:szCs w:val="32"/>
          <w14:textFill>
            <w14:solidFill>
              <w14:schemeClr w14:val="tx1"/>
            </w14:solidFill>
          </w14:textFill>
        </w:rPr>
        <w:t>，并结合脓毒症肝损伤中西医病机融通救治实际要求的基础上，按照简化、统一等原则编制完成团体标准《脓毒症肝损伤中西医病机融通救治技术规范》（草案）。</w:t>
      </w:r>
    </w:p>
    <w:p w14:paraId="61FD1ACD">
      <w:pPr>
        <w:spacing w:line="560" w:lineRule="exact"/>
        <w:ind w:firstLine="640" w:firstLineChars="200"/>
        <w:rPr>
          <w:rFonts w:ascii="仿宋_GB2312" w:hAnsi="仿宋" w:eastAsia="仿宋_GB2312"/>
          <w:sz w:val="32"/>
          <w:szCs w:val="32"/>
        </w:rPr>
      </w:pPr>
      <w:r>
        <w:rPr>
          <w:rFonts w:hint="eastAsia" w:ascii="仿宋_GB2312" w:hAnsi="宋体" w:eastAsia="仿宋_GB2312"/>
          <w:color w:val="000000" w:themeColor="text1"/>
          <w:sz w:val="32"/>
          <w:szCs w:val="32"/>
          <w14:textFill>
            <w14:solidFill>
              <w14:schemeClr w14:val="tx1"/>
            </w14:solidFill>
          </w14:textFill>
        </w:rPr>
        <w:t>202</w:t>
      </w:r>
      <w:r>
        <w:rPr>
          <w:rFonts w:ascii="仿宋_GB2312" w:hAnsi="宋体" w:eastAsia="仿宋_GB2312"/>
          <w:color w:val="000000" w:themeColor="text1"/>
          <w:sz w:val="32"/>
          <w:szCs w:val="32"/>
          <w14:textFill>
            <w14:solidFill>
              <w14:schemeClr w14:val="tx1"/>
            </w14:solidFill>
          </w14:textFill>
        </w:rPr>
        <w:t>4</w:t>
      </w:r>
      <w:r>
        <w:rPr>
          <w:rFonts w:hint="eastAsia" w:ascii="仿宋_GB2312" w:hAnsi="宋体" w:eastAsia="仿宋_GB2312"/>
          <w:color w:val="000000" w:themeColor="text1"/>
          <w:sz w:val="32"/>
          <w:szCs w:val="32"/>
          <w14:textFill>
            <w14:solidFill>
              <w14:schemeClr w14:val="tx1"/>
            </w14:solidFill>
          </w14:textFill>
        </w:rPr>
        <w:t>年</w:t>
      </w:r>
      <w:r>
        <w:rPr>
          <w:rFonts w:ascii="仿宋_GB2312" w:hAnsi="宋体" w:eastAsia="仿宋_GB2312"/>
          <w:color w:val="000000" w:themeColor="text1"/>
          <w:sz w:val="32"/>
          <w:szCs w:val="32"/>
          <w14:textFill>
            <w14:solidFill>
              <w14:schemeClr w14:val="tx1"/>
            </w14:solidFill>
          </w14:textFill>
        </w:rPr>
        <w:t>5</w:t>
      </w:r>
      <w:r>
        <w:rPr>
          <w:rFonts w:hint="eastAsia" w:ascii="仿宋_GB2312" w:hAnsi="宋体" w:eastAsia="仿宋_GB2312"/>
          <w:color w:val="000000" w:themeColor="text1"/>
          <w:sz w:val="32"/>
          <w:szCs w:val="32"/>
          <w14:textFill>
            <w14:solidFill>
              <w14:schemeClr w14:val="tx1"/>
            </w14:solidFill>
          </w14:textFill>
        </w:rPr>
        <w:t>月</w:t>
      </w:r>
      <w:r>
        <w:rPr>
          <w:rFonts w:hint="eastAsia" w:ascii="黑体" w:hAnsi="黑体" w:eastAsia="黑体" w:cs="仿宋_GB2312"/>
          <w:sz w:val="32"/>
          <w:szCs w:val="32"/>
          <w:lang w:bidi="ar"/>
        </w:rPr>
        <w:t>～</w:t>
      </w:r>
      <w:r>
        <w:rPr>
          <w:rFonts w:ascii="仿宋_GB2312" w:hAnsi="宋体" w:eastAsia="仿宋_GB2312"/>
          <w:color w:val="000000" w:themeColor="text1"/>
          <w:sz w:val="32"/>
          <w:szCs w:val="32"/>
          <w14:textFill>
            <w14:solidFill>
              <w14:schemeClr w14:val="tx1"/>
            </w14:solidFill>
          </w14:textFill>
        </w:rPr>
        <w:t>12</w:t>
      </w:r>
      <w:r>
        <w:rPr>
          <w:rFonts w:hint="eastAsia" w:ascii="仿宋_GB2312" w:hAnsi="宋体" w:eastAsia="仿宋_GB2312"/>
          <w:color w:val="000000" w:themeColor="text1"/>
          <w:sz w:val="32"/>
          <w:szCs w:val="32"/>
          <w14:textFill>
            <w14:solidFill>
              <w14:schemeClr w14:val="tx1"/>
            </w14:solidFill>
          </w14:textFill>
        </w:rPr>
        <w:t>月，标准编制组</w:t>
      </w:r>
      <w:r>
        <w:rPr>
          <w:rFonts w:hint="eastAsia" w:ascii="仿宋_GB2312" w:hAnsi="仿宋" w:eastAsia="仿宋_GB2312"/>
          <w:sz w:val="32"/>
          <w:szCs w:val="32"/>
        </w:rPr>
        <w:t>组织广西中医药大学第一附属医院、</w:t>
      </w:r>
      <w:r>
        <w:rPr>
          <w:rFonts w:hint="eastAsia" w:ascii="仿宋_GB2312" w:hAnsi="仿宋" w:eastAsia="仿宋_GB2312"/>
          <w:bCs/>
          <w:sz w:val="32"/>
          <w:szCs w:val="32"/>
        </w:rPr>
        <w:t>玉林市中医医院、</w:t>
      </w:r>
      <w:r>
        <w:rPr>
          <w:rFonts w:ascii="仿宋_GB2312" w:hAnsi="仿宋" w:eastAsia="仿宋_GB2312"/>
          <w:bCs/>
          <w:sz w:val="32"/>
          <w:szCs w:val="32"/>
        </w:rPr>
        <w:t>柳州市工人医院</w:t>
      </w:r>
      <w:r>
        <w:rPr>
          <w:rFonts w:hint="eastAsia" w:ascii="仿宋_GB2312" w:hAnsi="仿宋" w:eastAsia="仿宋_GB2312"/>
          <w:sz w:val="32"/>
          <w:szCs w:val="32"/>
        </w:rPr>
        <w:t>等</w:t>
      </w:r>
      <w:r>
        <w:rPr>
          <w:rFonts w:ascii="仿宋_GB2312" w:hAnsi="仿宋" w:eastAsia="仿宋_GB2312"/>
          <w:sz w:val="32"/>
          <w:szCs w:val="32"/>
        </w:rPr>
        <w:t>单位</w:t>
      </w:r>
      <w:r>
        <w:rPr>
          <w:rFonts w:hint="eastAsia" w:ascii="仿宋_GB2312" w:hAnsi="仿宋" w:eastAsia="仿宋_GB2312"/>
          <w:sz w:val="32"/>
          <w:szCs w:val="32"/>
        </w:rPr>
        <w:t>多次召开标准研讨会，收集反馈了大量意见，掌握</w:t>
      </w:r>
      <w:r>
        <w:rPr>
          <w:rFonts w:hint="eastAsia" w:ascii="仿宋_GB2312" w:hAnsi="宋体" w:eastAsia="仿宋_GB2312"/>
          <w:sz w:val="32"/>
          <w:szCs w:val="32"/>
        </w:rPr>
        <w:t>脓毒症肝损伤中西医病机融通救治</w:t>
      </w:r>
      <w:r>
        <w:rPr>
          <w:rFonts w:hint="eastAsia" w:ascii="仿宋_GB2312" w:hAnsi="仿宋" w:eastAsia="仿宋_GB2312"/>
          <w:sz w:val="32"/>
          <w:szCs w:val="32"/>
        </w:rPr>
        <w:t>的基本要求。标准编制组对标准草案进行了反复修改和研究讨论。最终形成</w:t>
      </w:r>
      <w:r>
        <w:rPr>
          <w:rFonts w:hint="eastAsia" w:ascii="仿宋_GB2312" w:hAnsi="仿宋" w:eastAsia="仿宋_GB2312"/>
          <w:color w:val="000000" w:themeColor="text1"/>
          <w:sz w:val="32"/>
          <w:szCs w:val="32"/>
          <w14:textFill>
            <w14:solidFill>
              <w14:schemeClr w14:val="tx1"/>
            </w14:solidFill>
          </w14:textFill>
        </w:rPr>
        <w:t>了</w:t>
      </w:r>
      <w:r>
        <w:rPr>
          <w:rFonts w:hint="eastAsia" w:ascii="仿宋_GB2312" w:hAnsi="宋体" w:eastAsia="仿宋_GB2312"/>
          <w:color w:val="000000" w:themeColor="text1"/>
          <w:sz w:val="32"/>
          <w:szCs w:val="32"/>
          <w14:textFill>
            <w14:solidFill>
              <w14:schemeClr w14:val="tx1"/>
            </w14:solidFill>
          </w14:textFill>
        </w:rPr>
        <w:t>团体标准《脓毒症肝损伤中西医病机融通救治技术规范》</w:t>
      </w:r>
      <w:r>
        <w:rPr>
          <w:rFonts w:hint="eastAsia" w:ascii="仿宋_GB2312" w:hAnsi="仿宋" w:eastAsia="仿宋_GB2312"/>
          <w:color w:val="000000" w:themeColor="text1"/>
          <w:sz w:val="32"/>
          <w:szCs w:val="32"/>
          <w14:textFill>
            <w14:solidFill>
              <w14:schemeClr w14:val="tx1"/>
            </w14:solidFill>
          </w14:textFill>
        </w:rPr>
        <w:t>（征求意见稿）及其编制说明</w:t>
      </w:r>
      <w:r>
        <w:rPr>
          <w:rFonts w:hint="eastAsia" w:ascii="仿宋_GB2312" w:hAnsi="仿宋" w:eastAsia="仿宋_GB2312"/>
          <w:sz w:val="32"/>
          <w:szCs w:val="32"/>
        </w:rPr>
        <w:t>。</w:t>
      </w:r>
      <w:bookmarkStart w:id="2" w:name="_Hlk137230187"/>
    </w:p>
    <w:bookmarkEnd w:id="2"/>
    <w:p w14:paraId="42868E57">
      <w:pPr>
        <w:spacing w:line="560" w:lineRule="exact"/>
        <w:ind w:firstLine="640" w:firstLineChars="200"/>
        <w:outlineLvl w:val="0"/>
        <w:rPr>
          <w:rFonts w:ascii="黑体" w:hAnsi="黑体" w:eastAsia="黑体" w:cs="仿宋_GB2312"/>
          <w:sz w:val="32"/>
          <w:szCs w:val="32"/>
        </w:rPr>
      </w:pPr>
      <w:bookmarkStart w:id="3" w:name="_Toc526940083"/>
      <w:r>
        <w:rPr>
          <w:rFonts w:hint="eastAsia" w:ascii="黑体" w:hAnsi="黑体" w:eastAsia="黑体" w:cs="仿宋_GB2312"/>
          <w:sz w:val="32"/>
          <w:szCs w:val="32"/>
        </w:rPr>
        <w:t>四、</w:t>
      </w:r>
      <w:bookmarkEnd w:id="3"/>
      <w:r>
        <w:rPr>
          <w:rFonts w:hint="eastAsia" w:ascii="黑体" w:hAnsi="黑体" w:eastAsia="黑体" w:cs="仿宋_GB2312"/>
          <w:sz w:val="32"/>
          <w:szCs w:val="32"/>
        </w:rPr>
        <w:t>制定标准的原则和依据，与现行法律、法规的关系，与有关国家标准、行业标准的协调情况</w:t>
      </w:r>
    </w:p>
    <w:p w14:paraId="5F13398F">
      <w:pPr>
        <w:tabs>
          <w:tab w:val="center" w:pos="4201"/>
          <w:tab w:val="right" w:leader="dot" w:pos="9298"/>
        </w:tabs>
        <w:autoSpaceDE w:val="0"/>
        <w:autoSpaceDN w:val="0"/>
        <w:spacing w:line="560" w:lineRule="exact"/>
        <w:ind w:firstLine="643" w:firstLineChars="200"/>
        <w:outlineLvl w:val="1"/>
        <w:rPr>
          <w:rFonts w:eastAsia="楷体"/>
          <w:b/>
          <w:bCs/>
          <w:kern w:val="0"/>
          <w:sz w:val="32"/>
          <w:szCs w:val="32"/>
        </w:rPr>
      </w:pPr>
      <w:r>
        <w:rPr>
          <w:rFonts w:eastAsia="楷体"/>
          <w:b/>
          <w:bCs/>
          <w:kern w:val="0"/>
          <w:sz w:val="32"/>
          <w:szCs w:val="32"/>
        </w:rPr>
        <w:t>（一）</w:t>
      </w:r>
      <w:r>
        <w:rPr>
          <w:rFonts w:hint="eastAsia" w:eastAsia="楷体"/>
          <w:b/>
          <w:bCs/>
          <w:kern w:val="0"/>
          <w:sz w:val="32"/>
          <w:szCs w:val="32"/>
        </w:rPr>
        <w:t>编制原则</w:t>
      </w:r>
    </w:p>
    <w:p w14:paraId="46B32189">
      <w:pPr>
        <w:spacing w:line="560" w:lineRule="exact"/>
        <w:ind w:firstLine="640" w:firstLineChars="200"/>
        <w:outlineLvl w:val="1"/>
        <w:rPr>
          <w:rFonts w:ascii="仿宋_GB2312" w:hAnsi="宋体" w:eastAsia="仿宋_GB2312"/>
          <w:sz w:val="32"/>
          <w:szCs w:val="32"/>
        </w:rPr>
      </w:pPr>
      <w:r>
        <w:rPr>
          <w:rFonts w:hint="eastAsia" w:ascii="仿宋_GB2312" w:hAnsi="宋体" w:eastAsia="仿宋_GB2312"/>
          <w:sz w:val="32"/>
          <w:szCs w:val="32"/>
        </w:rPr>
        <w:t>1.实用性原则</w:t>
      </w:r>
    </w:p>
    <w:p w14:paraId="38B8669A">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文件是在充分收集相关资料，分析当前现状、调研的实际情况，在现有文献中参考与脓毒症肝损伤中西医病机融通救治相关内容的基础上，结合多年经验而总结起草的。符合当前脓毒症肝损伤中西医病机融通救治的需要，有利于行业的长远发展，具有较强的实用性和可操作性。</w:t>
      </w:r>
    </w:p>
    <w:p w14:paraId="76088029">
      <w:pPr>
        <w:spacing w:line="560" w:lineRule="exact"/>
        <w:ind w:firstLine="640" w:firstLineChars="200"/>
        <w:outlineLvl w:val="1"/>
        <w:rPr>
          <w:rFonts w:ascii="仿宋_GB2312" w:hAnsi="宋体" w:eastAsia="仿宋_GB2312"/>
          <w:sz w:val="32"/>
          <w:szCs w:val="32"/>
        </w:rPr>
      </w:pPr>
      <w:r>
        <w:rPr>
          <w:rFonts w:hint="eastAsia" w:ascii="仿宋_GB2312" w:hAnsi="宋体" w:eastAsia="仿宋_GB2312"/>
          <w:sz w:val="32"/>
          <w:szCs w:val="32"/>
        </w:rPr>
        <w:t>2.协调性原则</w:t>
      </w:r>
    </w:p>
    <w:p w14:paraId="39583145">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本文件编写过程中注意了与脓毒症肝损伤中西医病机融通救治相关法律法规的协调问题，在内容上与现行法律法规、标准协调一致。</w:t>
      </w:r>
    </w:p>
    <w:p w14:paraId="4360EB23">
      <w:pPr>
        <w:spacing w:line="560" w:lineRule="exact"/>
        <w:ind w:firstLine="640" w:firstLineChars="200"/>
        <w:outlineLvl w:val="1"/>
        <w:rPr>
          <w:rFonts w:ascii="仿宋_GB2312" w:hAnsi="宋体" w:eastAsia="仿宋_GB2312"/>
          <w:sz w:val="32"/>
          <w:szCs w:val="32"/>
        </w:rPr>
      </w:pPr>
      <w:r>
        <w:rPr>
          <w:rFonts w:hint="eastAsia" w:ascii="仿宋_GB2312" w:hAnsi="宋体" w:eastAsia="仿宋_GB2312"/>
          <w:sz w:val="32"/>
          <w:szCs w:val="32"/>
        </w:rPr>
        <w:t>3.规范性原则</w:t>
      </w:r>
    </w:p>
    <w:p w14:paraId="3C6DCDD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本文件严格按照GB/T 1.1—2020《标准化工作导则 第1部分：标准化文件的结构和起草规则》的要求和规定编写本标准的内容，保证标准的编写质量。</w:t>
      </w:r>
    </w:p>
    <w:p w14:paraId="36DDAC87">
      <w:pPr>
        <w:spacing w:line="560" w:lineRule="exact"/>
        <w:ind w:firstLine="640" w:firstLineChars="200"/>
        <w:outlineLvl w:val="1"/>
        <w:rPr>
          <w:rFonts w:ascii="仿宋_GB2312" w:hAnsi="宋体" w:eastAsia="仿宋_GB2312"/>
          <w:sz w:val="32"/>
          <w:szCs w:val="32"/>
        </w:rPr>
      </w:pPr>
      <w:r>
        <w:rPr>
          <w:rFonts w:hint="eastAsia" w:ascii="仿宋_GB2312" w:hAnsi="宋体" w:eastAsia="仿宋_GB2312"/>
          <w:sz w:val="32"/>
          <w:szCs w:val="32"/>
        </w:rPr>
        <w:t>4.前瞻性原则</w:t>
      </w:r>
    </w:p>
    <w:p w14:paraId="0ECF7DF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文件在兼顾当前脓毒症肝损伤中西医病机融通救治现实情况的同时，还考虑到了脓毒症肝损伤中西医病机融通救治快速发展的趋势和需要，在标准中体现了个别特色性、前瞻性和先进性条款，作为对开展脓毒症肝损伤中西医病机融通救治的指导。</w:t>
      </w:r>
    </w:p>
    <w:p w14:paraId="595306F4">
      <w:pPr>
        <w:tabs>
          <w:tab w:val="center" w:pos="4201"/>
          <w:tab w:val="right" w:leader="dot" w:pos="9298"/>
        </w:tabs>
        <w:autoSpaceDE w:val="0"/>
        <w:autoSpaceDN w:val="0"/>
        <w:spacing w:line="560" w:lineRule="exact"/>
        <w:ind w:firstLine="643" w:firstLineChars="200"/>
        <w:outlineLvl w:val="1"/>
        <w:rPr>
          <w:rFonts w:ascii="仿宋_GB2312" w:hAnsi="仿宋" w:eastAsia="仿宋_GB2312"/>
          <w:sz w:val="32"/>
          <w:szCs w:val="32"/>
        </w:rPr>
      </w:pPr>
      <w:r>
        <w:rPr>
          <w:rFonts w:hint="eastAsia" w:eastAsia="楷体"/>
          <w:b/>
          <w:bCs/>
          <w:kern w:val="0"/>
          <w:sz w:val="32"/>
          <w:szCs w:val="32"/>
        </w:rPr>
        <w:t>（二）与现行法律、法规的关系，与有关国家标准、行业标准的协调情况</w:t>
      </w:r>
    </w:p>
    <w:p w14:paraId="72651561">
      <w:pPr>
        <w:spacing w:line="560" w:lineRule="exact"/>
        <w:ind w:firstLine="640" w:firstLineChars="200"/>
        <w:rPr>
          <w:rFonts w:ascii="仿宋_GB2312" w:hAnsi="宋体" w:eastAsia="仿宋_GB2312"/>
          <w:sz w:val="32"/>
          <w:szCs w:val="32"/>
        </w:rPr>
      </w:pPr>
      <w:r>
        <w:rPr>
          <w:rFonts w:hint="eastAsia" w:ascii="仿宋_GB2312" w:hAnsi="仿宋" w:eastAsia="仿宋_GB2312"/>
          <w:sz w:val="32"/>
          <w:szCs w:val="32"/>
        </w:rPr>
        <w:t>本标准的内容与现行的法律、法规及强制性标准无冲突，</w:t>
      </w:r>
      <w:r>
        <w:rPr>
          <w:rFonts w:hint="eastAsia" w:ascii="仿宋_GB2312" w:hAnsi="宋体" w:eastAsia="仿宋_GB2312"/>
          <w:sz w:val="32"/>
          <w:szCs w:val="32"/>
        </w:rPr>
        <w:t>标准的编写符合GB/T 1.1—2020的要求。</w:t>
      </w:r>
    </w:p>
    <w:p w14:paraId="68664161">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经查阅，目前国内尚无关于脓毒性肝损伤中西医病机融通救治技术的标准。</w:t>
      </w:r>
    </w:p>
    <w:p w14:paraId="58F93D7E">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与“</w:t>
      </w:r>
      <w:r>
        <w:rPr>
          <w:rFonts w:ascii="仿宋_GB2312" w:hAnsi="宋体" w:eastAsia="仿宋_GB2312"/>
          <w:sz w:val="32"/>
          <w:szCs w:val="32"/>
        </w:rPr>
        <w:t>脓毒症</w:t>
      </w:r>
      <w:r>
        <w:rPr>
          <w:rFonts w:hint="eastAsia" w:ascii="仿宋_GB2312" w:hAnsi="宋体" w:eastAsia="仿宋_GB2312"/>
          <w:sz w:val="32"/>
          <w:szCs w:val="32"/>
        </w:rPr>
        <w:t>”</w:t>
      </w:r>
      <w:r>
        <w:rPr>
          <w:rFonts w:ascii="仿宋_GB2312" w:hAnsi="宋体" w:eastAsia="仿宋_GB2312"/>
          <w:sz w:val="32"/>
          <w:szCs w:val="32"/>
        </w:rPr>
        <w:t>相关的标准有：</w:t>
      </w:r>
      <w:r>
        <w:rPr>
          <w:rFonts w:hint="eastAsia" w:ascii="仿宋_GB2312" w:hAnsi="宋体" w:eastAsia="仿宋_GB2312"/>
          <w:sz w:val="32"/>
          <w:szCs w:val="32"/>
        </w:rPr>
        <w:t>T/CRHA 022—2023《脓毒症诊断与治疗规范》、T/CACM 1270—2019《中医内科临床诊疗指南 脓毒症》、T/CACM 012—2017《中医药单用/联合抗生素治疗常见感染性疾病临床实践指南 脓毒症》，但上述</w:t>
      </w:r>
      <w:r>
        <w:rPr>
          <w:rFonts w:ascii="仿宋_GB2312" w:hAnsi="宋体" w:eastAsia="仿宋_GB2312"/>
          <w:sz w:val="32"/>
          <w:szCs w:val="32"/>
        </w:rPr>
        <w:t>标准</w:t>
      </w:r>
      <w:r>
        <w:rPr>
          <w:rFonts w:hint="eastAsia" w:ascii="仿宋_GB2312" w:hAnsi="宋体" w:eastAsia="仿宋_GB2312"/>
          <w:sz w:val="32"/>
          <w:szCs w:val="32"/>
        </w:rPr>
        <w:t>并非具体治疗脓毒症肝损伤并发症，也未涉及</w:t>
      </w:r>
      <w:r>
        <w:rPr>
          <w:rFonts w:ascii="仿宋_GB2312" w:hAnsi="宋体" w:eastAsia="仿宋_GB2312"/>
          <w:sz w:val="32"/>
          <w:szCs w:val="32"/>
        </w:rPr>
        <w:t>中西医技术</w:t>
      </w:r>
      <w:r>
        <w:rPr>
          <w:rFonts w:hint="eastAsia" w:ascii="仿宋_GB2312" w:hAnsi="宋体" w:eastAsia="仿宋_GB2312"/>
          <w:sz w:val="32"/>
          <w:szCs w:val="32"/>
        </w:rPr>
        <w:t>联合应有。</w:t>
      </w:r>
    </w:p>
    <w:p w14:paraId="49D8D97A">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广西未制定有团体标准《脓毒症肝损伤中西医病机融通救治技术规范》。</w:t>
      </w:r>
    </w:p>
    <w:p w14:paraId="097CFDF2">
      <w:pPr>
        <w:autoSpaceDE w:val="0"/>
        <w:autoSpaceDN w:val="0"/>
        <w:adjustRightInd w:val="0"/>
        <w:spacing w:before="156" w:beforeLines="50" w:after="156" w:afterLines="50" w:line="560" w:lineRule="atLeast"/>
        <w:ind w:firstLine="640" w:firstLineChars="200"/>
        <w:jc w:val="left"/>
        <w:outlineLvl w:val="0"/>
        <w:rPr>
          <w:rFonts w:ascii="黑体" w:hAnsi="黑体" w:eastAsia="黑体" w:cs="仿宋_GB2312"/>
          <w:color w:val="FF0000"/>
          <w:sz w:val="32"/>
          <w:szCs w:val="32"/>
          <w:highlight w:val="yellow"/>
        </w:rPr>
      </w:pPr>
      <w:r>
        <w:rPr>
          <w:rFonts w:hint="eastAsia" w:ascii="黑体" w:hAnsi="黑体" w:eastAsia="黑体" w:cs="仿宋_GB2312"/>
          <w:sz w:val="32"/>
          <w:szCs w:val="32"/>
        </w:rPr>
        <w:t>五、主要条款的说明，主要技术指标、参数、试验验证的论述</w:t>
      </w:r>
    </w:p>
    <w:p w14:paraId="653A5285">
      <w:pPr>
        <w:spacing w:line="560" w:lineRule="exact"/>
        <w:ind w:firstLine="640" w:firstLineChars="200"/>
        <w:rPr>
          <w:rFonts w:ascii="仿宋_GB2312" w:hAnsi="宋体" w:eastAsia="仿宋_GB2312"/>
          <w:color w:val="FF0000"/>
          <w:sz w:val="32"/>
          <w:szCs w:val="32"/>
        </w:rPr>
      </w:pPr>
      <w:r>
        <w:rPr>
          <w:rFonts w:hint="eastAsia" w:ascii="仿宋_GB2312" w:hAnsi="宋体" w:eastAsia="仿宋_GB2312"/>
          <w:sz w:val="32"/>
          <w:szCs w:val="32"/>
        </w:rPr>
        <w:t>本标准主要章节内容包括术语和定义、诊断、中西医病机融通救治、注意事项、不良反应处理。标准编制组在脓毒症救治方面已积累了10年工作经验，掌握了中西医病机融对脓毒症进行中医组方治疗等危急重症救治技术，平均治愈率91.86％。标准编制组前期应用文献研究和德尔菲法专家共识的研究方法，建立实用性强、公认度高且操作方便的《基于西医病理机理与中医病机相融合救治脓毒症的中医组方模型》，推广应用于脓毒症及其并发症的中西医协同组方，以期降低病死率，改善预后。现已在区内20家医疗机构得到应用，147家医疗机构宣传推广，并获得众多医疗机构及行业专家好评。标准编制组前期丰富的临床及实践情况，为本标准条款要求的确定奠定了坚实基础，本标准具体依据来源说明如下：</w:t>
      </w:r>
    </w:p>
    <w:p w14:paraId="7178BCAA">
      <w:pPr>
        <w:numPr>
          <w:ilvl w:val="0"/>
          <w:numId w:val="9"/>
        </w:numPr>
        <w:spacing w:line="560" w:lineRule="exact"/>
        <w:rPr>
          <w:rFonts w:ascii="楷体" w:hAnsi="楷体" w:eastAsia="楷体"/>
          <w:b/>
          <w:sz w:val="32"/>
          <w:szCs w:val="32"/>
        </w:rPr>
      </w:pPr>
      <w:r>
        <w:rPr>
          <w:rFonts w:hint="eastAsia" w:ascii="楷体" w:hAnsi="楷体" w:eastAsia="楷体"/>
          <w:b/>
          <w:sz w:val="32"/>
          <w:szCs w:val="32"/>
        </w:rPr>
        <w:t>术语和定义</w:t>
      </w:r>
    </w:p>
    <w:p w14:paraId="57253E55">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w:t>
      </w:r>
      <w:r>
        <w:rPr>
          <w:rFonts w:ascii="仿宋_GB2312" w:hAnsi="宋体" w:eastAsia="仿宋_GB2312"/>
          <w:sz w:val="32"/>
          <w:szCs w:val="32"/>
        </w:rPr>
        <w:t>标准编制组</w:t>
      </w:r>
      <w:r>
        <w:rPr>
          <w:rFonts w:hint="eastAsia" w:ascii="仿宋_GB2312" w:hAnsi="宋体" w:eastAsia="仿宋_GB2312"/>
          <w:sz w:val="32"/>
          <w:szCs w:val="32"/>
        </w:rPr>
        <w:t>前期</w:t>
      </w:r>
      <w:r>
        <w:rPr>
          <w:rFonts w:ascii="仿宋_GB2312" w:hAnsi="宋体" w:eastAsia="仿宋_GB2312"/>
          <w:sz w:val="32"/>
          <w:szCs w:val="32"/>
        </w:rPr>
        <w:t>开展的</w:t>
      </w:r>
      <w:r>
        <w:rPr>
          <w:rFonts w:hint="eastAsia" w:ascii="仿宋_GB2312" w:hAnsi="宋体" w:eastAsia="仿宋_GB2312"/>
          <w:sz w:val="32"/>
          <w:szCs w:val="32"/>
        </w:rPr>
        <w:t>《从“五痹”切入探讨危急重症的中西医病机融通与组方思路</w:t>
      </w:r>
      <w:r>
        <w:rPr>
          <w:rFonts w:ascii="仿宋_GB2312" w:hAnsi="宋体" w:eastAsia="仿宋_GB2312"/>
          <w:sz w:val="32"/>
          <w:szCs w:val="32"/>
        </w:rPr>
        <w:t>》等相关研究，明确了“</w:t>
      </w:r>
      <w:r>
        <w:rPr>
          <w:rFonts w:hint="eastAsia" w:ascii="仿宋_GB2312" w:hAnsi="宋体" w:eastAsia="仿宋_GB2312"/>
          <w:sz w:val="32"/>
          <w:szCs w:val="32"/>
        </w:rPr>
        <w:t>中西医病机融通</w:t>
      </w:r>
      <w:r>
        <w:rPr>
          <w:rFonts w:ascii="仿宋_GB2312" w:hAnsi="宋体" w:eastAsia="仿宋_GB2312"/>
          <w:sz w:val="32"/>
          <w:szCs w:val="32"/>
        </w:rPr>
        <w:t>”</w:t>
      </w:r>
      <w:r>
        <w:rPr>
          <w:rFonts w:hint="eastAsia" w:ascii="仿宋_GB2312" w:hAnsi="宋体" w:eastAsia="仿宋_GB2312"/>
          <w:sz w:val="32"/>
          <w:szCs w:val="32"/>
        </w:rPr>
        <w:t>的</w:t>
      </w:r>
      <w:r>
        <w:rPr>
          <w:rFonts w:ascii="仿宋_GB2312" w:hAnsi="宋体" w:eastAsia="仿宋_GB2312"/>
          <w:sz w:val="32"/>
          <w:szCs w:val="32"/>
        </w:rPr>
        <w:t>定义为：</w:t>
      </w:r>
      <w:r>
        <w:rPr>
          <w:rFonts w:hint="eastAsia" w:ascii="仿宋_GB2312" w:hAnsi="宋体" w:eastAsia="仿宋_GB2312"/>
          <w:sz w:val="32"/>
          <w:szCs w:val="32"/>
        </w:rPr>
        <w:t>基于西医疾病的病理生理变化、病理机理、症状体征及理化检查的认识，应用中医理论分析其病因、归纳其证候，诠释中医病机的演变规律，以达到中西医病机互通的目的，科学指导中医辨证论治。</w:t>
      </w:r>
    </w:p>
    <w:p w14:paraId="66686271">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根据T/CRHA 022—2023《脓毒症诊断与治疗规范》</w:t>
      </w:r>
      <w:r>
        <w:rPr>
          <w:rFonts w:ascii="仿宋_GB2312" w:hAnsi="宋体" w:eastAsia="仿宋_GB2312"/>
          <w:sz w:val="32"/>
          <w:szCs w:val="32"/>
        </w:rPr>
        <w:t>明确了“</w:t>
      </w:r>
      <w:r>
        <w:rPr>
          <w:rFonts w:hint="eastAsia" w:ascii="仿宋_GB2312" w:hAnsi="宋体" w:eastAsia="仿宋_GB2312"/>
          <w:sz w:val="32"/>
          <w:szCs w:val="32"/>
        </w:rPr>
        <w:t>脓毒症</w:t>
      </w:r>
      <w:r>
        <w:rPr>
          <w:rFonts w:ascii="仿宋_GB2312" w:hAnsi="宋体" w:eastAsia="仿宋_GB2312"/>
          <w:sz w:val="32"/>
          <w:szCs w:val="32"/>
        </w:rPr>
        <w:t>”</w:t>
      </w:r>
      <w:r>
        <w:rPr>
          <w:rFonts w:hint="eastAsia" w:ascii="仿宋_GB2312" w:hAnsi="宋体" w:eastAsia="仿宋_GB2312"/>
          <w:sz w:val="32"/>
          <w:szCs w:val="32"/>
        </w:rPr>
        <w:t>的</w:t>
      </w:r>
      <w:r>
        <w:rPr>
          <w:rFonts w:ascii="仿宋_GB2312" w:hAnsi="宋体" w:eastAsia="仿宋_GB2312"/>
          <w:sz w:val="32"/>
          <w:szCs w:val="32"/>
        </w:rPr>
        <w:t>定义为：</w:t>
      </w:r>
      <w:r>
        <w:rPr>
          <w:rFonts w:hint="eastAsia" w:ascii="仿宋_GB2312" w:hAnsi="宋体" w:eastAsia="仿宋_GB2312"/>
          <w:sz w:val="32"/>
          <w:szCs w:val="32"/>
        </w:rPr>
        <w:t>因感染引起的宿主反应失调导致的危及生命的器官功能障碍。</w:t>
      </w:r>
    </w:p>
    <w:p w14:paraId="0A7C7C67">
      <w:pPr>
        <w:jc w:val="center"/>
        <w:rPr>
          <w:rFonts w:ascii="仿宋_GB2312" w:hAnsi="宋体" w:eastAsia="仿宋_GB2312"/>
          <w:sz w:val="32"/>
          <w:szCs w:val="32"/>
        </w:rPr>
      </w:pPr>
      <w:r>
        <w:rPr>
          <w:rFonts w:hint="eastAsia" w:ascii="仿宋_GB2312" w:hAnsi="宋体" w:eastAsia="仿宋_GB2312"/>
          <w:sz w:val="32"/>
          <w:szCs w:val="32"/>
        </w:rPr>
        <w:drawing>
          <wp:inline distT="0" distB="0" distL="0" distR="0">
            <wp:extent cx="4132580" cy="854710"/>
            <wp:effectExtent l="19050" t="19050" r="20320" b="21590"/>
            <wp:docPr id="2" name="图片 2" descr="C:\Users\Administrator\Desktop\微信截图_20241225094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截图_2024122509411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32580" cy="854710"/>
                    </a:xfrm>
                    <a:prstGeom prst="rect">
                      <a:avLst/>
                    </a:prstGeom>
                    <a:noFill/>
                    <a:ln>
                      <a:solidFill>
                        <a:schemeClr val="tx1"/>
                      </a:solidFill>
                    </a:ln>
                  </pic:spPr>
                </pic:pic>
              </a:graphicData>
            </a:graphic>
          </wp:inline>
        </w:drawing>
      </w:r>
    </w:p>
    <w:p w14:paraId="0631E57A">
      <w:pPr>
        <w:jc w:val="center"/>
        <w:rPr>
          <w:rFonts w:ascii="黑体" w:hAnsi="黑体" w:eastAsia="黑体"/>
          <w:sz w:val="24"/>
        </w:rPr>
      </w:pPr>
      <w:r>
        <w:rPr>
          <w:rFonts w:hint="eastAsia" w:ascii="黑体" w:hAnsi="黑体" w:eastAsia="黑体"/>
          <w:sz w:val="24"/>
        </w:rPr>
        <w:t>来源</w:t>
      </w:r>
      <w:r>
        <w:rPr>
          <w:rFonts w:ascii="黑体" w:hAnsi="黑体" w:eastAsia="黑体"/>
          <w:sz w:val="24"/>
        </w:rPr>
        <w:t>：</w:t>
      </w:r>
      <w:r>
        <w:rPr>
          <w:rFonts w:hint="eastAsia" w:ascii="黑体" w:hAnsi="黑体" w:eastAsia="黑体"/>
          <w:sz w:val="24"/>
        </w:rPr>
        <w:t>T/CRHA 022—2023《脓毒症诊断与治疗规范》</w:t>
      </w:r>
    </w:p>
    <w:p w14:paraId="734E380D">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w:t>
      </w:r>
      <w:r>
        <w:rPr>
          <w:rFonts w:ascii="仿宋_GB2312" w:hAnsi="宋体" w:eastAsia="仿宋_GB2312"/>
          <w:sz w:val="32"/>
          <w:szCs w:val="32"/>
        </w:rPr>
        <w:t>标准编制组</w:t>
      </w:r>
      <w:r>
        <w:rPr>
          <w:rFonts w:hint="eastAsia" w:ascii="仿宋_GB2312" w:hAnsi="宋体" w:eastAsia="仿宋_GB2312"/>
          <w:sz w:val="32"/>
          <w:szCs w:val="32"/>
        </w:rPr>
        <w:t>前期</w:t>
      </w:r>
      <w:r>
        <w:rPr>
          <w:rFonts w:ascii="仿宋_GB2312" w:hAnsi="宋体" w:eastAsia="仿宋_GB2312"/>
          <w:sz w:val="32"/>
          <w:szCs w:val="32"/>
        </w:rPr>
        <w:t>开展的相关研究</w:t>
      </w:r>
      <w:r>
        <w:rPr>
          <w:rFonts w:hint="eastAsia" w:ascii="仿宋_GB2312" w:hAnsi="宋体" w:eastAsia="仿宋_GB2312"/>
          <w:sz w:val="32"/>
          <w:szCs w:val="32"/>
        </w:rPr>
        <w:t>，</w:t>
      </w:r>
      <w:r>
        <w:rPr>
          <w:rFonts w:ascii="仿宋_GB2312" w:hAnsi="宋体" w:eastAsia="仿宋_GB2312"/>
          <w:sz w:val="32"/>
          <w:szCs w:val="32"/>
        </w:rPr>
        <w:t>明确了“</w:t>
      </w:r>
      <w:r>
        <w:rPr>
          <w:rFonts w:hint="eastAsia" w:ascii="仿宋_GB2312" w:hAnsi="宋体" w:eastAsia="仿宋_GB2312"/>
          <w:sz w:val="32"/>
          <w:szCs w:val="32"/>
        </w:rPr>
        <w:t>脓毒症肝损伤</w:t>
      </w:r>
      <w:r>
        <w:rPr>
          <w:rFonts w:ascii="仿宋_GB2312" w:hAnsi="宋体" w:eastAsia="仿宋_GB2312"/>
          <w:sz w:val="32"/>
          <w:szCs w:val="32"/>
        </w:rPr>
        <w:t>”</w:t>
      </w:r>
      <w:r>
        <w:rPr>
          <w:rFonts w:hint="eastAsia" w:ascii="仿宋_GB2312" w:hAnsi="宋体" w:eastAsia="仿宋_GB2312"/>
          <w:sz w:val="32"/>
          <w:szCs w:val="32"/>
        </w:rPr>
        <w:t>的</w:t>
      </w:r>
      <w:r>
        <w:rPr>
          <w:rFonts w:ascii="仿宋_GB2312" w:hAnsi="宋体" w:eastAsia="仿宋_GB2312"/>
          <w:sz w:val="32"/>
          <w:szCs w:val="32"/>
        </w:rPr>
        <w:t>定义为：</w:t>
      </w:r>
      <w:r>
        <w:rPr>
          <w:rFonts w:hint="eastAsia" w:ascii="仿宋_GB2312" w:hAnsi="宋体" w:eastAsia="仿宋_GB2312"/>
          <w:sz w:val="32"/>
          <w:szCs w:val="32"/>
        </w:rPr>
        <w:t>脓毒症患者因感染引起的全身炎症反应综合征导致的肝功能异常。</w:t>
      </w:r>
    </w:p>
    <w:p w14:paraId="710222F4">
      <w:pPr>
        <w:pStyle w:val="43"/>
        <w:numPr>
          <w:ilvl w:val="0"/>
          <w:numId w:val="9"/>
        </w:numPr>
        <w:ind w:firstLineChars="0"/>
        <w:rPr>
          <w:rFonts w:ascii="楷体" w:hAnsi="楷体" w:eastAsia="楷体"/>
          <w:b/>
          <w:sz w:val="32"/>
          <w:szCs w:val="32"/>
        </w:rPr>
      </w:pPr>
      <w:r>
        <w:rPr>
          <w:rFonts w:hint="eastAsia" w:ascii="楷体" w:hAnsi="楷体" w:eastAsia="楷体"/>
          <w:b/>
          <w:sz w:val="32"/>
          <w:szCs w:val="32"/>
        </w:rPr>
        <w:t>诊断</w:t>
      </w:r>
    </w:p>
    <w:p w14:paraId="7B011F8A">
      <w:pPr>
        <w:spacing w:line="560" w:lineRule="exact"/>
        <w:ind w:firstLine="643" w:firstLineChars="200"/>
        <w:rPr>
          <w:rFonts w:ascii="仿宋_GB2312" w:hAnsi="宋体" w:eastAsia="仿宋_GB2312"/>
          <w:sz w:val="32"/>
          <w:szCs w:val="32"/>
        </w:rPr>
      </w:pPr>
      <w:r>
        <w:rPr>
          <w:rFonts w:hint="eastAsia" w:ascii="仿宋_GB2312" w:hAnsi="宋体" w:eastAsia="仿宋_GB2312"/>
          <w:b/>
          <w:sz w:val="32"/>
          <w:szCs w:val="32"/>
        </w:rPr>
        <w:t>西医诊断</w:t>
      </w:r>
      <w:r>
        <w:rPr>
          <w:rFonts w:ascii="仿宋_GB2312" w:hAnsi="宋体" w:eastAsia="仿宋_GB2312"/>
          <w:sz w:val="32"/>
          <w:szCs w:val="32"/>
        </w:rPr>
        <w:t>根据</w:t>
      </w:r>
      <w:r>
        <w:rPr>
          <w:rFonts w:hint="eastAsia" w:ascii="仿宋_GB2312" w:hAnsi="宋体" w:eastAsia="仿宋_GB2312"/>
          <w:sz w:val="32"/>
          <w:szCs w:val="32"/>
        </w:rPr>
        <w:t>《中国脓毒症/脓毒性休克急诊治疗指南(2018)》《脓毒症中西医结合诊治专家共识》《成人急性肝损伤诊疗急诊专家共识》，</w:t>
      </w:r>
      <w:r>
        <w:rPr>
          <w:rFonts w:ascii="仿宋_GB2312" w:hAnsi="宋体" w:eastAsia="仿宋_GB2312"/>
          <w:sz w:val="32"/>
          <w:szCs w:val="32"/>
        </w:rPr>
        <w:t>明确了</w:t>
      </w:r>
      <w:r>
        <w:rPr>
          <w:rFonts w:hint="eastAsia" w:ascii="仿宋_GB2312" w:hAnsi="宋体" w:eastAsia="仿宋_GB2312"/>
          <w:sz w:val="32"/>
          <w:szCs w:val="32"/>
        </w:rPr>
        <w:t>脓毒症及脓毒症肝损伤的</w:t>
      </w:r>
      <w:r>
        <w:rPr>
          <w:rFonts w:ascii="仿宋_GB2312" w:hAnsi="宋体" w:eastAsia="仿宋_GB2312"/>
          <w:sz w:val="32"/>
          <w:szCs w:val="32"/>
        </w:rPr>
        <w:t>诊断条件</w:t>
      </w:r>
      <w:r>
        <w:rPr>
          <w:rFonts w:hint="eastAsia" w:ascii="仿宋_GB2312" w:hAnsi="宋体" w:eastAsia="仿宋_GB2312"/>
          <w:sz w:val="32"/>
          <w:szCs w:val="32"/>
        </w:rPr>
        <w:t>。</w:t>
      </w:r>
    </w:p>
    <w:p w14:paraId="1A695DDB">
      <w:pPr>
        <w:spacing w:line="560" w:lineRule="exact"/>
        <w:ind w:firstLine="640" w:firstLineChars="200"/>
        <w:rPr>
          <w:rFonts w:ascii="仿宋_GB2312" w:hAnsi="宋体" w:eastAsia="仿宋_GB2312"/>
          <w:sz w:val="32"/>
          <w:szCs w:val="32"/>
        </w:rPr>
      </w:pPr>
      <w:r>
        <w:rPr>
          <w:rFonts w:ascii="仿宋_GB2312" w:hAnsi="宋体" w:eastAsia="仿宋_GB2312"/>
          <w:sz w:val="32"/>
          <w:szCs w:val="32"/>
        </w:rPr>
        <w:t>根据《</w:t>
      </w:r>
      <w:r>
        <w:rPr>
          <w:rFonts w:hint="eastAsia" w:ascii="仿宋_GB2312" w:hAnsi="宋体" w:eastAsia="仿宋_GB2312"/>
          <w:sz w:val="32"/>
          <w:szCs w:val="32"/>
        </w:rPr>
        <w:t>成人急性肝损伤诊疗急诊专家共识</w:t>
      </w:r>
      <w:r>
        <w:rPr>
          <w:rFonts w:ascii="仿宋_GB2312" w:hAnsi="宋体" w:eastAsia="仿宋_GB2312"/>
          <w:sz w:val="32"/>
          <w:szCs w:val="32"/>
        </w:rPr>
        <w:t>》</w:t>
      </w:r>
      <w:r>
        <w:rPr>
          <w:rFonts w:hint="eastAsia" w:ascii="仿宋_GB2312" w:hAnsi="宋体" w:eastAsia="仿宋_GB2312"/>
          <w:sz w:val="32"/>
          <w:szCs w:val="32"/>
        </w:rPr>
        <w:t>急性肝损伤严重程度评估分为：1)</w:t>
      </w:r>
      <w:r>
        <w:rPr>
          <w:rFonts w:hint="eastAsia" w:ascii="仿宋_GB2312" w:hAnsi="宋体" w:eastAsia="仿宋_GB2312"/>
          <w:sz w:val="32"/>
          <w:szCs w:val="32"/>
        </w:rPr>
        <w:tab/>
      </w:r>
      <w:r>
        <w:rPr>
          <w:rFonts w:hint="eastAsia" w:ascii="仿宋_GB2312" w:hAnsi="宋体" w:eastAsia="仿宋_GB2312"/>
          <w:sz w:val="32"/>
          <w:szCs w:val="32"/>
        </w:rPr>
        <w:t>轻度ALI定义为2正常值上限(ULN)≤ALT＜5ULN；</w:t>
      </w:r>
    </w:p>
    <w:p w14:paraId="7795373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w:t>
      </w:r>
      <w:r>
        <w:rPr>
          <w:rFonts w:hint="eastAsia" w:ascii="仿宋_GB2312" w:hAnsi="宋体" w:eastAsia="仿宋_GB2312"/>
          <w:sz w:val="32"/>
          <w:szCs w:val="32"/>
        </w:rPr>
        <w:tab/>
      </w:r>
      <w:r>
        <w:rPr>
          <w:rFonts w:hint="eastAsia" w:ascii="仿宋_GB2312" w:hAnsi="宋体" w:eastAsia="仿宋_GB2312"/>
          <w:sz w:val="32"/>
          <w:szCs w:val="32"/>
        </w:rPr>
        <w:t>中度ALI定义为5ULN≤ALT＜15ULN；</w:t>
      </w:r>
    </w:p>
    <w:p w14:paraId="53E50B69">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w:t>
      </w:r>
      <w:r>
        <w:rPr>
          <w:rFonts w:hint="eastAsia" w:ascii="仿宋_GB2312" w:hAnsi="宋体" w:eastAsia="仿宋_GB2312"/>
          <w:sz w:val="32"/>
          <w:szCs w:val="32"/>
        </w:rPr>
        <w:tab/>
      </w:r>
      <w:r>
        <w:rPr>
          <w:rFonts w:hint="eastAsia" w:ascii="仿宋_GB2312" w:hAnsi="宋体" w:eastAsia="仿宋_GB2312"/>
          <w:sz w:val="32"/>
          <w:szCs w:val="32"/>
        </w:rPr>
        <w:t>重度ALI需符合：INR≥2.0，ALT≥10ULN且TBiL≥3.0 mg/dL且无肝性脑病。</w:t>
      </w:r>
    </w:p>
    <w:p w14:paraId="3A258A37">
      <w:pPr>
        <w:jc w:val="center"/>
        <w:rPr>
          <w:rFonts w:ascii="仿宋_GB2312" w:hAnsi="宋体" w:eastAsia="仿宋_GB2312"/>
          <w:sz w:val="32"/>
          <w:szCs w:val="32"/>
        </w:rPr>
      </w:pPr>
      <w:r>
        <w:drawing>
          <wp:inline distT="0" distB="0" distL="114300" distR="114300">
            <wp:extent cx="3073400" cy="1181100"/>
            <wp:effectExtent l="0" t="0" r="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6"/>
                    <a:stretch>
                      <a:fillRect/>
                    </a:stretch>
                  </pic:blipFill>
                  <pic:spPr>
                    <a:xfrm>
                      <a:off x="0" y="0"/>
                      <a:ext cx="3073400" cy="1181100"/>
                    </a:xfrm>
                    <a:prstGeom prst="rect">
                      <a:avLst/>
                    </a:prstGeom>
                    <a:noFill/>
                    <a:ln>
                      <a:solidFill>
                        <a:schemeClr val="tx1"/>
                      </a:solidFill>
                    </a:ln>
                  </pic:spPr>
                </pic:pic>
              </a:graphicData>
            </a:graphic>
          </wp:inline>
        </w:drawing>
      </w:r>
    </w:p>
    <w:p w14:paraId="15CD9FF4">
      <w:pPr>
        <w:jc w:val="center"/>
        <w:rPr>
          <w:rFonts w:ascii="仿宋_GB2312" w:hAnsi="宋体" w:eastAsia="仿宋_GB2312"/>
          <w:sz w:val="32"/>
          <w:szCs w:val="32"/>
        </w:rPr>
      </w:pPr>
      <w:r>
        <w:rPr>
          <w:rFonts w:hint="eastAsia" w:ascii="黑体" w:hAnsi="黑体" w:eastAsia="黑体"/>
          <w:sz w:val="24"/>
        </w:rPr>
        <w:t>来源</w:t>
      </w:r>
      <w:r>
        <w:rPr>
          <w:rFonts w:ascii="黑体" w:hAnsi="黑体" w:eastAsia="黑体"/>
          <w:sz w:val="24"/>
        </w:rPr>
        <w:t>：</w:t>
      </w:r>
      <w:r>
        <w:rPr>
          <w:rFonts w:hint="eastAsia" w:ascii="黑体" w:hAnsi="黑体" w:eastAsia="黑体"/>
          <w:sz w:val="24"/>
        </w:rPr>
        <w:t>成人急性肝损伤诊疗急诊专家共识</w:t>
      </w:r>
    </w:p>
    <w:p w14:paraId="693AD82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脓毒症肝损伤属于中医学“厥阴痹”范畴，属于六腑痹之一。根据《黄帝内经》《症因脉治》《类经》《圣济总录》《普济方》《辨证录》《丹溪心法·论大便禁忌》《石室秘录·大便燥结》《杂病源流犀烛》《丹溪手镜》《症因脉治》《金匮翼》《医门法律》《临证指南医案》等</w:t>
      </w:r>
      <w:r>
        <w:rPr>
          <w:rFonts w:ascii="仿宋_GB2312" w:hAnsi="宋体" w:eastAsia="仿宋_GB2312"/>
          <w:sz w:val="32"/>
          <w:szCs w:val="32"/>
        </w:rPr>
        <w:t>医</w:t>
      </w:r>
      <w:r>
        <w:rPr>
          <w:rFonts w:hint="eastAsia" w:ascii="仿宋_GB2312" w:hAnsi="宋体" w:eastAsia="仿宋_GB2312"/>
          <w:sz w:val="32"/>
          <w:szCs w:val="32"/>
        </w:rPr>
        <w:t>书并</w:t>
      </w:r>
      <w:r>
        <w:rPr>
          <w:rFonts w:ascii="仿宋_GB2312" w:hAnsi="宋体" w:eastAsia="仿宋_GB2312"/>
          <w:sz w:val="32"/>
          <w:szCs w:val="32"/>
        </w:rPr>
        <w:t>结合临床实际</w:t>
      </w:r>
      <w:r>
        <w:rPr>
          <w:rFonts w:hint="eastAsia" w:ascii="仿宋_GB2312" w:hAnsi="宋体" w:eastAsia="仿宋_GB2312"/>
          <w:sz w:val="32"/>
          <w:szCs w:val="32"/>
        </w:rPr>
        <w:t>。</w:t>
      </w:r>
    </w:p>
    <w:p w14:paraId="012EC7AC">
      <w:pPr>
        <w:pStyle w:val="43"/>
        <w:numPr>
          <w:ilvl w:val="0"/>
          <w:numId w:val="9"/>
        </w:numPr>
        <w:ind w:firstLineChars="0"/>
        <w:rPr>
          <w:rFonts w:ascii="楷体" w:hAnsi="楷体" w:eastAsia="楷体"/>
          <w:b/>
          <w:sz w:val="32"/>
          <w:szCs w:val="32"/>
        </w:rPr>
      </w:pPr>
      <w:r>
        <w:rPr>
          <w:rFonts w:hint="eastAsia" w:ascii="楷体" w:hAnsi="楷体" w:eastAsia="楷体"/>
          <w:b/>
          <w:sz w:val="32"/>
          <w:szCs w:val="32"/>
        </w:rPr>
        <w:t>中西医病机融通救治</w:t>
      </w:r>
    </w:p>
    <w:p w14:paraId="5D60D860">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w:t>
      </w:r>
      <w:r>
        <w:rPr>
          <w:rFonts w:ascii="仿宋_GB2312" w:hAnsi="宋体" w:eastAsia="仿宋_GB2312"/>
          <w:b/>
          <w:sz w:val="32"/>
          <w:szCs w:val="32"/>
        </w:rPr>
        <w:t>.1</w:t>
      </w:r>
      <w:r>
        <w:rPr>
          <w:rFonts w:hint="eastAsia" w:ascii="仿宋_GB2312" w:hAnsi="宋体" w:eastAsia="仿宋_GB2312"/>
          <w:b/>
          <w:sz w:val="32"/>
          <w:szCs w:val="32"/>
        </w:rPr>
        <w:t>中西医病机融通分析</w:t>
      </w:r>
    </w:p>
    <w:p w14:paraId="7A9AEF31">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标准编制组基于“中西医病机融通”对脓毒症进行中医组方治疗的经验，并结合开展的《从“五痹”切入探讨危急重症的中西医病机融通与组方思路》等相关研究，明确了中西医病机融通的分析。</w:t>
      </w:r>
    </w:p>
    <w:p w14:paraId="46F6F77F">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3.1.1炎症反应，微循环和内皮损伤</w:t>
      </w:r>
    </w:p>
    <w:p w14:paraId="10569BF4">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脓毒症常发生微循环和内皮损伤,这些损伤减少氧交换,破坏氧合并引起组织缺血和细胞损伤。脓毒症时,肝脏的门静脉和肝动脉血流减少,导致肝脏灌注不足,而此时肝脏正处于高代谢状态,进一步加剧了血流氧供不足。脓毒症时肝脏参与内毒素及细菌清除,表达大量炎症介质,使得血管通透性增加,肝窦内皮细胞激活,肝微血管中纤维蛋白沉积、微血栓形成,引起肝脏微循环障碍.除此以外,脓毒症时内皮细胞会出现损伤,血管通透性改变和凝血、纤溶系统失调,最终引起微循环障碍。</w:t>
      </w:r>
    </w:p>
    <w:p w14:paraId="56B39D17">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3.1.2肠道屏障破坏和肠道菌群移位</w:t>
      </w:r>
    </w:p>
    <w:p w14:paraId="07D18D1A">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肠道是防止细菌、内毒素移位的重要生理屏障.有解剖和研究表明,肠道和肝脏关系密切.脓毒症时肠道屏障破坏和肠道菌群失调导致肠道病原相关分子模式和损伤相关分子模式转移到肝脏和体循环,肠道内菌群及其代谢产物经门静脉移至肝脏,激活肝细胞释放大量炎症因子,超过肝细胞和内皮细胞的处理能力时,肝脏发生损伤。而肝脏清除能力受损和代谢紊乱可导致肠道屏障进一步受损,肠道微生物群的组成和多样性受到更多破坏。有研究表明,肠道微生物在脓毒症引起的肝损伤的致敏中起着关键作用,并在脓毒症发展过程中与格拉司琼联合作为一种肝保护化合物。</w:t>
      </w:r>
    </w:p>
    <w:p w14:paraId="4870CFE8">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3.1.3炎症反应，免疫失衡</w:t>
      </w:r>
    </w:p>
    <w:p w14:paraId="76500B6F">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脓毒症期间肝脏是炎症介质的主要来源,是启动炎症反应、清除内毒素的重要器官.细菌或内毒。素攻击机体,免疫细胞、肝细胞产生和释放白细胞介素(IL)Ｇ１、ILＧ２、ILＧ６以及肿瘤坏死因子Ｇα(TNFＧα),免疫细胞到达感染部位,清除微生物和受损细胞[１２].巨噬细胞是脓毒症中过度产生细胞因子的主要来源,因此,抑制巨噬细胞释放细胞因子是减轻脓毒症肝损伤的合理策略</w:t>
      </w:r>
    </w:p>
    <w:p w14:paraId="16108352">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3.2中西医病机融通救治方法</w:t>
      </w:r>
    </w:p>
    <w:p w14:paraId="1F093F9E">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3.2.1救治原则</w:t>
      </w:r>
    </w:p>
    <w:p w14:paraId="71EEF27E">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基于中西医病机融通分析，明确在现代医学救治原则和措施的基础上，给予基于中西医病机融通的中医组方救治。</w:t>
      </w:r>
    </w:p>
    <w:p w14:paraId="64F435D6">
      <w:pPr>
        <w:spacing w:line="56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3.2.2西医救治</w:t>
      </w:r>
    </w:p>
    <w:p w14:paraId="2198A546">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根据《脓毒症肝损伤的发病机制及治疗研究进展》《成人急性肝损伤诊疗急诊专家共识》《参附注射液治疗脓毒性休克预后的系统综述及荟萃分析》《The Third International Consensus Defnitions for Sepsis and Septic Shock ( Sepsis-3)》《Surviving sepsis campaign: international guidelines for management of sepsis and septic shock 2021》</w:t>
      </w:r>
      <w:r>
        <w:rPr>
          <w:rFonts w:ascii="仿宋_GB2312" w:hAnsi="宋体" w:eastAsia="仿宋_GB2312"/>
          <w:sz w:val="32"/>
          <w:szCs w:val="32"/>
        </w:rPr>
        <w:t>明确</w:t>
      </w:r>
      <w:r>
        <w:rPr>
          <w:rFonts w:hint="eastAsia" w:ascii="仿宋_GB2312" w:hAnsi="宋体" w:eastAsia="仿宋_GB2312"/>
          <w:sz w:val="32"/>
          <w:szCs w:val="32"/>
        </w:rPr>
        <w:t>了控制感染源的要求快速明确感染部位、致病菌和尽早清除感染灶或者感染灶充分引流。如皮肤软组织感染坏死感染应行清创术；脓肿或感染性积液应充分引流等，因为强调 “快速明确感染源、尽早控制感染灶” 是脓毒症救治的关键措施，感染灶的彻底清除或引流可显著降低病死率。其次明确了抗感染治疗的要求确诊脓毒症后应根据感染部位及可疑微生物，尽早启动经验性治疗，使用覆盖可能病原菌的抗菌药物。使用抗菌药物前，应留取相应部位病原学标本。获取微生物检查结果后应转为目标治疗，因为经验性抗感染治疗应基于感染部位、当地病原菌流行病学及耐药情况。微生物学检查是优化抗菌治疗的基础。</w:t>
      </w:r>
    </w:p>
    <w:p w14:paraId="40FA11CA">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还针对肝保护治疗提出了要求，包括保肝药物及人工肝、营养支持治疗、胰岛素治疗。本部分内容针对脓毒症肝损伤的病理机制制定了多靶点治疗方案。保肝药物选择基于以下机制：肝细胞膜修复剂可稳定受损肝细胞膜结构；抗炎类药物通过抑制NF-κB通路减轻炎症因子对肝脏的二次打击；解毒抗氧化剂可中和氧自由基，改善氧化应激损伤；利胆药物促进胆汁排泄，缓解淤胆。营养支持方案的设计基于早期肠内营养可维持肠道屏障功能，减少细菌移位，同时提供肝脏修复所需营养底物。胰岛素治疗的选择则着眼于改善脓毒症相关糖代谢紊乱，维持肝脏线粒体功能。人工肝支持系统主要针对肝功能衰竭患者，通过替代肝脏解毒和合成功能为肝细胞再生争取时间。这些治疗措施共同构成了脓毒症肝损伤的多维度保护策略，既针对原发病理环节，又兼顾肝脏功能支持。</w:t>
      </w:r>
    </w:p>
    <w:p w14:paraId="5BE8FABC">
      <w:pPr>
        <w:spacing w:line="560" w:lineRule="exact"/>
        <w:ind w:firstLine="643" w:firstLineChars="200"/>
        <w:rPr>
          <w:rFonts w:ascii="仿宋_GB2312" w:hAnsi="宋体" w:eastAsia="仿宋_GB2312"/>
          <w:b/>
          <w:sz w:val="32"/>
          <w:szCs w:val="32"/>
          <w:lang w:val="en"/>
        </w:rPr>
      </w:pPr>
      <w:r>
        <w:rPr>
          <w:rFonts w:ascii="仿宋_GB2312" w:hAnsi="宋体" w:eastAsia="仿宋_GB2312"/>
          <w:b/>
          <w:sz w:val="32"/>
          <w:szCs w:val="32"/>
          <w:lang w:val="en"/>
        </w:rPr>
        <w:t>3.2.3中西医病机融通的中医救治</w:t>
      </w:r>
    </w:p>
    <w:p w14:paraId="007A751F">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根据标准编制组“中西医病机融通”对脓毒症进行中医组方治疗的经验，并</w:t>
      </w:r>
      <w:r>
        <w:rPr>
          <w:rFonts w:ascii="仿宋_GB2312" w:hAnsi="宋体" w:eastAsia="仿宋_GB2312"/>
          <w:sz w:val="32"/>
          <w:szCs w:val="32"/>
        </w:rPr>
        <w:t>结合</w:t>
      </w:r>
      <w:r>
        <w:rPr>
          <w:rFonts w:hint="eastAsia" w:ascii="仿宋_GB2312" w:hAnsi="宋体" w:eastAsia="仿宋_GB2312"/>
          <w:sz w:val="32"/>
          <w:szCs w:val="32"/>
        </w:rPr>
        <w:t>《从“五痹”切入探讨危急重症的中西医病机融通与组方思路</w:t>
      </w:r>
      <w:r>
        <w:rPr>
          <w:rFonts w:ascii="仿宋_GB2312" w:hAnsi="宋体" w:eastAsia="仿宋_GB2312"/>
          <w:sz w:val="32"/>
          <w:szCs w:val="32"/>
        </w:rPr>
        <w:t>》等相关研究</w:t>
      </w:r>
      <w:r>
        <w:rPr>
          <w:rFonts w:hint="eastAsia" w:ascii="仿宋_GB2312" w:hAnsi="宋体" w:eastAsia="仿宋_GB2312"/>
          <w:sz w:val="32"/>
          <w:szCs w:val="32"/>
        </w:rPr>
        <w:t>及临床和基础实验情况</w:t>
      </w:r>
      <w:r>
        <w:rPr>
          <w:rFonts w:ascii="仿宋_GB2312" w:hAnsi="宋体" w:eastAsia="仿宋_GB2312"/>
          <w:sz w:val="32"/>
          <w:szCs w:val="32"/>
        </w:rPr>
        <w:t>，</w:t>
      </w:r>
      <w:r>
        <w:rPr>
          <w:rFonts w:hint="eastAsia" w:ascii="仿宋_GB2312" w:hAnsi="宋体" w:eastAsia="仿宋_GB2312"/>
          <w:sz w:val="32"/>
          <w:szCs w:val="32"/>
        </w:rPr>
        <w:t>明确治法：核心病机为“宣痹清营、通腑泻浊、化瘀解毒”为法。</w:t>
      </w:r>
    </w:p>
    <w:p w14:paraId="7EEFD2BE">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标准</w:t>
      </w:r>
      <w:r>
        <w:rPr>
          <w:rFonts w:ascii="仿宋_GB2312" w:hAnsi="宋体" w:eastAsia="仿宋_GB2312"/>
          <w:sz w:val="32"/>
          <w:szCs w:val="32"/>
        </w:rPr>
        <w:t>编制</w:t>
      </w:r>
      <w:r>
        <w:rPr>
          <w:rFonts w:hint="eastAsia" w:ascii="仿宋_GB2312" w:hAnsi="宋体" w:eastAsia="仿宋_GB2312"/>
          <w:sz w:val="32"/>
          <w:szCs w:val="32"/>
        </w:rPr>
        <w:t>组</w:t>
      </w:r>
      <w:r>
        <w:rPr>
          <w:rFonts w:ascii="仿宋_GB2312" w:hAnsi="宋体" w:eastAsia="仿宋_GB2312"/>
          <w:sz w:val="32"/>
          <w:szCs w:val="32"/>
        </w:rPr>
        <w:t>前期开展</w:t>
      </w:r>
      <w:r>
        <w:rPr>
          <w:rFonts w:hint="eastAsia" w:ascii="仿宋_GB2312" w:hAnsi="宋体" w:eastAsia="仿宋_GB2312"/>
          <w:sz w:val="32"/>
          <w:szCs w:val="32"/>
        </w:rPr>
        <w:t>了脓毒性肝损伤中西医病机融通中药组方选取于2022年05月至 2025 年 1月之间就诊于广西中医药大学第一附属医院、南宁市第四人民医院、玉林市中医医院、南宁武鸣区中医医院、桂平市中医医院、柳州市工人医院、灵山县中医医院确诊为脓毒性肝损伤患者60例，其中观察组</w:t>
      </w:r>
      <w:r>
        <w:rPr>
          <w:rFonts w:ascii="仿宋_GB2312" w:hAnsi="宋体" w:eastAsia="仿宋_GB2312"/>
          <w:sz w:val="32"/>
          <w:szCs w:val="32"/>
        </w:rPr>
        <w:t>30</w:t>
      </w:r>
      <w:r>
        <w:rPr>
          <w:rFonts w:hint="eastAsia" w:ascii="仿宋_GB2312" w:hAnsi="宋体" w:eastAsia="仿宋_GB2312"/>
          <w:sz w:val="32"/>
          <w:szCs w:val="32"/>
        </w:rPr>
        <w:t>例，对照组</w:t>
      </w:r>
      <w:r>
        <w:rPr>
          <w:rFonts w:ascii="仿宋_GB2312" w:hAnsi="宋体" w:eastAsia="仿宋_GB2312"/>
          <w:sz w:val="32"/>
          <w:szCs w:val="32"/>
        </w:rPr>
        <w:t>30</w:t>
      </w:r>
      <w:r>
        <w:rPr>
          <w:rFonts w:hint="eastAsia" w:ascii="仿宋_GB2312" w:hAnsi="宋体" w:eastAsia="仿宋_GB2312"/>
          <w:sz w:val="32"/>
          <w:szCs w:val="32"/>
        </w:rPr>
        <w:t>例。对照组男性14例、女性16例，年龄均值47.59±3.57岁，病程为2.45±1.56天；观察组男性17例、女性13例，年龄分布为46.89±3.01岁，病程为2.74±1.28天。两患者在性别构成比、年龄差异及病程时长等方面均未呈现显著性差异（P＞0.05），满足临床对照研究可比性要求究</w:t>
      </w:r>
      <w:bookmarkStart w:id="4" w:name="OLE_LINK73"/>
      <w:r>
        <w:rPr>
          <w:rFonts w:hint="eastAsia" w:ascii="仿宋_GB2312" w:hAnsi="宋体" w:eastAsia="仿宋_GB2312"/>
          <w:sz w:val="32"/>
          <w:szCs w:val="32"/>
        </w:rPr>
        <w:t>，选取于2022年05月至 2025 年 1月之间就诊于广西中医药大学第一附属医院、南宁市第四人民医院、玉林市中医医院、南宁武鸣区中医医院、桂平市中医医院、柳州市工人医院、灵山县中医医院确诊为脓毒性肝损伤患者60例，其中观察组</w:t>
      </w:r>
      <w:r>
        <w:rPr>
          <w:rFonts w:ascii="仿宋_GB2312" w:hAnsi="宋体" w:eastAsia="仿宋_GB2312"/>
          <w:sz w:val="32"/>
          <w:szCs w:val="32"/>
        </w:rPr>
        <w:t>30</w:t>
      </w:r>
      <w:r>
        <w:rPr>
          <w:rFonts w:hint="eastAsia" w:ascii="仿宋_GB2312" w:hAnsi="宋体" w:eastAsia="仿宋_GB2312"/>
          <w:sz w:val="32"/>
          <w:szCs w:val="32"/>
        </w:rPr>
        <w:t>例，对照组</w:t>
      </w:r>
      <w:r>
        <w:rPr>
          <w:rFonts w:ascii="仿宋_GB2312" w:hAnsi="宋体" w:eastAsia="仿宋_GB2312"/>
          <w:sz w:val="32"/>
          <w:szCs w:val="32"/>
        </w:rPr>
        <w:t>30</w:t>
      </w:r>
      <w:r>
        <w:rPr>
          <w:rFonts w:hint="eastAsia" w:ascii="仿宋_GB2312" w:hAnsi="宋体" w:eastAsia="仿宋_GB2312"/>
          <w:sz w:val="32"/>
          <w:szCs w:val="32"/>
        </w:rPr>
        <w:t>例。对照组男性14例、女性16例，年龄均值47.59±3.57岁，病程为2.45±1.56天；观察组男性17例、女性13例，年龄分布为46.89±3.01岁，病程为2.74±1.28天。两患者在性别构成比、年龄差异及病程时长等方面均未呈现显著性差异（P＞0.05），满足临床对照研究可比性要求。</w:t>
      </w:r>
    </w:p>
    <w:p w14:paraId="2914ED2D">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（1）天临床疗效比较</w:t>
      </w:r>
    </w:p>
    <w:p w14:paraId="63286D72">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观察组显效14例，有效11例，无效6例，总有效率80.65%。对照组显效8例，有效9例，无效14例，总有效率54.84%。两组总临床有效率比较差异具有统计学意义（P＜0.05）</w:t>
      </w:r>
    </w:p>
    <w:p w14:paraId="1E24F26B">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（2）7天炎症指标比较</w:t>
      </w:r>
    </w:p>
    <w:p w14:paraId="6AECE1EC">
      <w:pPr>
        <w:spacing w:line="560" w:lineRule="exact"/>
        <w:ind w:firstLine="640" w:firstLineChars="200"/>
        <w:jc w:val="center"/>
        <w:rPr>
          <w:rFonts w:ascii="仿宋_GB2312" w:hAnsi="宋体" w:eastAsia="仿宋_GB2312"/>
          <w:sz w:val="32"/>
          <w:szCs w:val="32"/>
        </w:rPr>
      </w:pPr>
      <w:r>
        <w:rPr>
          <w:rFonts w:hint="eastAsia" w:ascii="仿宋_GB2312" w:hAnsi="宋体" w:eastAsia="仿宋_GB2312"/>
          <w:sz w:val="32"/>
          <w:szCs w:val="32"/>
        </w:rPr>
        <w:t>两种患者治疗前TNF-α、IL-6和IL-1水平比较无统计学差异（P＞0.05）。观察组和对照组治疗后的TNF-α、IL-6和IL-1平均较治疗前降低，差异具有统计学意义（P＜0.05）。观察组治疗后的TNF-α、IL-6和IL-1水平均较对照组治疗后的降低，差异具有统计学意义（P＜0.05）。详见表1。</w:t>
      </w:r>
    </w:p>
    <w:p w14:paraId="479E2B0C">
      <w:pPr>
        <w:spacing w:line="560" w:lineRule="exact"/>
        <w:ind w:firstLine="420" w:firstLineChars="200"/>
        <w:jc w:val="center"/>
        <w:rPr>
          <w:rFonts w:ascii="仿宋_GB2312" w:hAnsi="宋体" w:eastAsia="仿宋_GB2312"/>
          <w:sz w:val="32"/>
          <w:szCs w:val="32"/>
        </w:rPr>
      </w:pPr>
      <w:r>
        <w:rPr>
          <w:rFonts w:hint="eastAsia" w:ascii="黑体" w:hAnsi="黑体" w:eastAsia="黑体"/>
          <w:bCs/>
        </w:rPr>
        <w:t>表</w:t>
      </w:r>
      <w:r>
        <w:rPr>
          <w:rFonts w:ascii="黑体" w:hAnsi="黑体" w:eastAsia="黑体"/>
          <w:bCs/>
        </w:rPr>
        <w:t xml:space="preserve"> </w:t>
      </w:r>
      <w:r>
        <w:rPr>
          <w:rFonts w:hint="eastAsia" w:ascii="黑体" w:hAnsi="黑体" w:eastAsia="黑体"/>
          <w:bCs/>
        </w:rPr>
        <w:t xml:space="preserve">1 </w:t>
      </w:r>
      <w:r>
        <w:rPr>
          <w:rFonts w:ascii="黑体" w:hAnsi="黑体" w:eastAsia="黑体"/>
          <w:bCs/>
        </w:rPr>
        <w:t>7</w:t>
      </w:r>
      <w:r>
        <w:rPr>
          <w:rFonts w:hint="eastAsia" w:ascii="黑体" w:hAnsi="黑体" w:eastAsia="黑体"/>
          <w:bCs/>
        </w:rPr>
        <w:t>天炎症指标比较</w:t>
      </w:r>
    </w:p>
    <w:bookmarkEnd w:id="4"/>
    <w:tbl>
      <w:tblPr>
        <w:tblStyle w:val="16"/>
        <w:tblW w:w="0" w:type="auto"/>
        <w:tblInd w:w="0" w:type="dxa"/>
        <w:tblBorders>
          <w:top w:val="single" w:color="auto" w:sz="4" w:space="0"/>
          <w:left w:val="none" w:color="auto" w:sz="4" w:space="0"/>
          <w:bottom w:val="singl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540"/>
        <w:gridCol w:w="1540"/>
        <w:gridCol w:w="1958"/>
        <w:gridCol w:w="1652"/>
        <w:gridCol w:w="1782"/>
      </w:tblGrid>
      <w:tr w14:paraId="4DFC8378">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540" w:type="dxa"/>
            <w:tcBorders>
              <w:top w:val="single" w:color="auto" w:sz="4" w:space="0"/>
              <w:left w:val="nil"/>
              <w:bottom w:val="nil"/>
              <w:right w:val="nil"/>
            </w:tcBorders>
            <w:shd w:val="clear" w:color="auto" w:fill="auto"/>
          </w:tcPr>
          <w:p w14:paraId="3D36A0E6">
            <w:pPr>
              <w:spacing w:line="360" w:lineRule="auto"/>
              <w:rPr>
                <w:rFonts w:ascii="Calibri" w:hAnsi="Calibri"/>
                <w:sz w:val="24"/>
              </w:rPr>
            </w:pPr>
            <w:r>
              <w:rPr>
                <w:rFonts w:hint="eastAsia" w:ascii="Calibri" w:hAnsi="Calibri" w:cs="宋体"/>
                <w:sz w:val="24"/>
                <w:lang w:bidi="ar"/>
              </w:rPr>
              <w:t>组别</w:t>
            </w:r>
          </w:p>
        </w:tc>
        <w:tc>
          <w:tcPr>
            <w:tcW w:w="1540" w:type="dxa"/>
            <w:tcBorders>
              <w:top w:val="single" w:color="auto" w:sz="4" w:space="0"/>
              <w:left w:val="nil"/>
              <w:bottom w:val="nil"/>
              <w:right w:val="nil"/>
            </w:tcBorders>
            <w:shd w:val="clear" w:color="auto" w:fill="auto"/>
          </w:tcPr>
          <w:p w14:paraId="4C01FE14">
            <w:pPr>
              <w:spacing w:line="360" w:lineRule="auto"/>
              <w:rPr>
                <w:rFonts w:ascii="Calibri" w:hAnsi="Calibri"/>
                <w:sz w:val="24"/>
              </w:rPr>
            </w:pPr>
            <w:r>
              <w:rPr>
                <w:rFonts w:hint="eastAsia" w:ascii="Calibri" w:hAnsi="Calibri" w:cs="宋体"/>
                <w:sz w:val="24"/>
                <w:lang w:bidi="ar"/>
              </w:rPr>
              <w:t>治疗时间</w:t>
            </w:r>
          </w:p>
        </w:tc>
        <w:tc>
          <w:tcPr>
            <w:tcW w:w="1958" w:type="dxa"/>
            <w:tcBorders>
              <w:top w:val="single" w:color="auto" w:sz="4" w:space="0"/>
              <w:left w:val="nil"/>
              <w:bottom w:val="nil"/>
              <w:right w:val="nil"/>
            </w:tcBorders>
            <w:shd w:val="clear" w:color="auto" w:fill="auto"/>
          </w:tcPr>
          <w:p w14:paraId="0B4F76A8">
            <w:pPr>
              <w:spacing w:line="360" w:lineRule="auto"/>
              <w:rPr>
                <w:rFonts w:ascii="Calibri" w:hAnsi="Calibri"/>
                <w:sz w:val="18"/>
                <w:szCs w:val="18"/>
              </w:rPr>
            </w:pPr>
            <w:r>
              <w:rPr>
                <w:rFonts w:ascii="Calibri" w:hAnsi="Calibri"/>
                <w:sz w:val="18"/>
                <w:szCs w:val="18"/>
                <w:lang w:bidi="ar"/>
              </w:rPr>
              <w:t>TNF-</w:t>
            </w:r>
            <w:r>
              <w:rPr>
                <w:rFonts w:ascii="Calibri" w:hAnsi="Calibri"/>
                <w:sz w:val="24"/>
                <w:lang w:bidi="ar"/>
              </w:rPr>
              <w:t>α</w:t>
            </w:r>
            <w:r>
              <w:rPr>
                <w:rFonts w:ascii="Calibri" w:hAnsi="Calibri"/>
                <w:sz w:val="18"/>
                <w:szCs w:val="18"/>
                <w:lang w:bidi="ar"/>
              </w:rPr>
              <w:t>(ng/L)</w:t>
            </w:r>
          </w:p>
        </w:tc>
        <w:tc>
          <w:tcPr>
            <w:tcW w:w="1652" w:type="dxa"/>
            <w:tcBorders>
              <w:top w:val="single" w:color="auto" w:sz="4" w:space="0"/>
              <w:left w:val="nil"/>
              <w:bottom w:val="nil"/>
              <w:right w:val="nil"/>
            </w:tcBorders>
            <w:shd w:val="clear" w:color="auto" w:fill="auto"/>
          </w:tcPr>
          <w:p w14:paraId="1F0F1E5D">
            <w:pPr>
              <w:spacing w:line="360" w:lineRule="auto"/>
              <w:rPr>
                <w:rFonts w:ascii="Calibri" w:hAnsi="Calibri"/>
                <w:sz w:val="18"/>
                <w:szCs w:val="18"/>
              </w:rPr>
            </w:pPr>
            <w:r>
              <w:rPr>
                <w:rFonts w:ascii="Calibri" w:hAnsi="Calibri"/>
                <w:sz w:val="18"/>
                <w:szCs w:val="18"/>
                <w:lang w:bidi="ar"/>
              </w:rPr>
              <w:t>IL-6(pg/mL)</w:t>
            </w:r>
          </w:p>
        </w:tc>
        <w:tc>
          <w:tcPr>
            <w:tcW w:w="1782" w:type="dxa"/>
            <w:tcBorders>
              <w:top w:val="single" w:color="auto" w:sz="4" w:space="0"/>
              <w:left w:val="nil"/>
              <w:bottom w:val="nil"/>
              <w:right w:val="nil"/>
            </w:tcBorders>
            <w:shd w:val="clear" w:color="auto" w:fill="auto"/>
          </w:tcPr>
          <w:p w14:paraId="0AC697F2">
            <w:pPr>
              <w:spacing w:line="360" w:lineRule="auto"/>
              <w:rPr>
                <w:rFonts w:ascii="Calibri" w:hAnsi="Calibri"/>
                <w:sz w:val="24"/>
              </w:rPr>
            </w:pPr>
            <w:r>
              <w:rPr>
                <w:rFonts w:ascii="Calibri" w:hAnsi="Calibri"/>
                <w:sz w:val="18"/>
                <w:szCs w:val="18"/>
                <w:lang w:bidi="ar"/>
              </w:rPr>
              <w:t>IL-1(pg/mL)</w:t>
            </w:r>
          </w:p>
        </w:tc>
      </w:tr>
      <w:tr w14:paraId="370143BF">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540" w:type="dxa"/>
            <w:vMerge w:val="restart"/>
            <w:tcBorders>
              <w:top w:val="nil"/>
              <w:left w:val="nil"/>
              <w:bottom w:val="nil"/>
              <w:right w:val="nil"/>
            </w:tcBorders>
            <w:shd w:val="clear" w:color="auto" w:fill="auto"/>
          </w:tcPr>
          <w:p w14:paraId="4F4EA9B7">
            <w:pPr>
              <w:spacing w:line="360" w:lineRule="auto"/>
              <w:rPr>
                <w:rFonts w:ascii="Calibri" w:hAnsi="Calibri"/>
                <w:sz w:val="24"/>
              </w:rPr>
            </w:pPr>
            <w:r>
              <w:rPr>
                <w:rFonts w:hint="eastAsia" w:ascii="Calibri" w:hAnsi="Calibri" w:cs="宋体"/>
                <w:sz w:val="24"/>
                <w:lang w:bidi="ar"/>
              </w:rPr>
              <w:t>观察组</w:t>
            </w:r>
          </w:p>
        </w:tc>
        <w:tc>
          <w:tcPr>
            <w:tcW w:w="1540" w:type="dxa"/>
            <w:tcBorders>
              <w:top w:val="nil"/>
              <w:left w:val="nil"/>
              <w:bottom w:val="nil"/>
              <w:right w:val="nil"/>
            </w:tcBorders>
            <w:shd w:val="clear" w:color="auto" w:fill="auto"/>
          </w:tcPr>
          <w:p w14:paraId="225C7F93">
            <w:pPr>
              <w:spacing w:line="360" w:lineRule="auto"/>
              <w:rPr>
                <w:rFonts w:ascii="Calibri" w:hAnsi="Calibri"/>
                <w:sz w:val="24"/>
              </w:rPr>
            </w:pPr>
            <w:r>
              <w:rPr>
                <w:rFonts w:hint="eastAsia" w:ascii="Calibri" w:hAnsi="Calibri" w:cs="宋体"/>
                <w:sz w:val="24"/>
                <w:lang w:bidi="ar"/>
              </w:rPr>
              <w:t>治疗前</w:t>
            </w:r>
          </w:p>
        </w:tc>
        <w:tc>
          <w:tcPr>
            <w:tcW w:w="1958" w:type="dxa"/>
            <w:tcBorders>
              <w:top w:val="nil"/>
              <w:left w:val="nil"/>
              <w:bottom w:val="nil"/>
              <w:right w:val="nil"/>
            </w:tcBorders>
            <w:shd w:val="clear" w:color="auto" w:fill="auto"/>
          </w:tcPr>
          <w:p w14:paraId="606A8AE9">
            <w:pPr>
              <w:spacing w:before="156" w:beforeLines="50" w:line="360" w:lineRule="auto"/>
              <w:rPr>
                <w:rFonts w:ascii="Calibri" w:hAnsi="Calibri"/>
                <w:sz w:val="24"/>
              </w:rPr>
            </w:pPr>
            <w:r>
              <w:rPr>
                <w:rFonts w:ascii="Calibri" w:hAnsi="Calibri"/>
                <w:sz w:val="24"/>
                <w:lang w:bidi="ar"/>
              </w:rPr>
              <w:t>58.74±13.97</w:t>
            </w:r>
          </w:p>
        </w:tc>
        <w:tc>
          <w:tcPr>
            <w:tcW w:w="1652" w:type="dxa"/>
            <w:tcBorders>
              <w:top w:val="nil"/>
              <w:left w:val="nil"/>
              <w:bottom w:val="nil"/>
              <w:right w:val="nil"/>
            </w:tcBorders>
            <w:shd w:val="clear" w:color="auto" w:fill="auto"/>
          </w:tcPr>
          <w:p w14:paraId="5B640FE7">
            <w:pPr>
              <w:spacing w:before="156" w:beforeLines="50" w:line="360" w:lineRule="auto"/>
              <w:rPr>
                <w:rFonts w:ascii="Calibri" w:hAnsi="Calibri"/>
                <w:sz w:val="24"/>
              </w:rPr>
            </w:pPr>
            <w:r>
              <w:rPr>
                <w:rFonts w:ascii="Calibri" w:hAnsi="Calibri"/>
                <w:sz w:val="24"/>
                <w:lang w:bidi="ar"/>
              </w:rPr>
              <w:t>141.37±50.36</w:t>
            </w:r>
          </w:p>
        </w:tc>
        <w:tc>
          <w:tcPr>
            <w:tcW w:w="1782" w:type="dxa"/>
            <w:tcBorders>
              <w:top w:val="nil"/>
              <w:left w:val="nil"/>
              <w:bottom w:val="nil"/>
              <w:right w:val="nil"/>
            </w:tcBorders>
            <w:shd w:val="clear" w:color="auto" w:fill="auto"/>
          </w:tcPr>
          <w:p w14:paraId="699EF8A2">
            <w:pPr>
              <w:spacing w:before="156" w:beforeLines="50" w:line="360" w:lineRule="auto"/>
              <w:rPr>
                <w:rFonts w:ascii="Calibri" w:hAnsi="Calibri"/>
                <w:sz w:val="24"/>
              </w:rPr>
            </w:pPr>
            <w:r>
              <w:rPr>
                <w:rFonts w:ascii="Calibri" w:hAnsi="Calibri"/>
                <w:sz w:val="24"/>
                <w:lang w:bidi="ar"/>
              </w:rPr>
              <w:t>127.52±41.13</w:t>
            </w:r>
          </w:p>
        </w:tc>
      </w:tr>
      <w:tr w14:paraId="74575047">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540" w:type="dxa"/>
            <w:vMerge w:val="continue"/>
            <w:tcBorders>
              <w:top w:val="nil"/>
              <w:left w:val="nil"/>
              <w:bottom w:val="nil"/>
              <w:right w:val="nil"/>
            </w:tcBorders>
            <w:shd w:val="clear" w:color="auto" w:fill="auto"/>
          </w:tcPr>
          <w:p w14:paraId="26ABBF9F">
            <w:pPr>
              <w:rPr>
                <w:rFonts w:ascii="Calibri" w:hAnsi="Calibri"/>
                <w:sz w:val="20"/>
                <w:szCs w:val="20"/>
              </w:rPr>
            </w:pPr>
          </w:p>
        </w:tc>
        <w:tc>
          <w:tcPr>
            <w:tcW w:w="1540" w:type="dxa"/>
            <w:tcBorders>
              <w:top w:val="nil"/>
              <w:left w:val="nil"/>
              <w:bottom w:val="nil"/>
              <w:right w:val="nil"/>
            </w:tcBorders>
            <w:shd w:val="clear" w:color="auto" w:fill="auto"/>
          </w:tcPr>
          <w:p w14:paraId="3AD61178">
            <w:pPr>
              <w:spacing w:line="360" w:lineRule="auto"/>
              <w:rPr>
                <w:rFonts w:ascii="Calibri" w:hAnsi="Calibri"/>
                <w:sz w:val="24"/>
              </w:rPr>
            </w:pPr>
            <w:r>
              <w:rPr>
                <w:rFonts w:hint="eastAsia" w:ascii="Calibri" w:hAnsi="Calibri" w:cs="宋体"/>
                <w:sz w:val="24"/>
                <w:lang w:bidi="ar"/>
              </w:rPr>
              <w:t>治疗后</w:t>
            </w:r>
          </w:p>
        </w:tc>
        <w:tc>
          <w:tcPr>
            <w:tcW w:w="1958" w:type="dxa"/>
            <w:tcBorders>
              <w:top w:val="nil"/>
              <w:left w:val="nil"/>
              <w:bottom w:val="nil"/>
              <w:right w:val="nil"/>
            </w:tcBorders>
            <w:shd w:val="clear" w:color="auto" w:fill="auto"/>
          </w:tcPr>
          <w:p w14:paraId="1E2F6713">
            <w:pPr>
              <w:spacing w:before="156" w:beforeLines="50" w:line="360" w:lineRule="auto"/>
              <w:rPr>
                <w:rFonts w:ascii="Calibri" w:hAnsi="Calibri"/>
                <w:sz w:val="24"/>
              </w:rPr>
            </w:pPr>
            <w:r>
              <w:rPr>
                <w:rFonts w:ascii="Calibri" w:hAnsi="Calibri"/>
                <w:sz w:val="24"/>
                <w:lang w:bidi="ar"/>
              </w:rPr>
              <w:t>15.69±5.01</w:t>
            </w:r>
            <w:r>
              <w:rPr>
                <w:rFonts w:ascii="Calibri" w:hAnsi="Calibri"/>
                <w:sz w:val="24"/>
                <w:vertAlign w:val="superscript"/>
                <w:lang w:bidi="ar"/>
              </w:rPr>
              <w:t>*#</w:t>
            </w:r>
          </w:p>
        </w:tc>
        <w:tc>
          <w:tcPr>
            <w:tcW w:w="1652" w:type="dxa"/>
            <w:tcBorders>
              <w:top w:val="nil"/>
              <w:left w:val="nil"/>
              <w:bottom w:val="nil"/>
              <w:right w:val="nil"/>
            </w:tcBorders>
            <w:shd w:val="clear" w:color="auto" w:fill="auto"/>
          </w:tcPr>
          <w:p w14:paraId="28E778A1">
            <w:pPr>
              <w:spacing w:before="156" w:beforeLines="50" w:line="360" w:lineRule="auto"/>
              <w:rPr>
                <w:rFonts w:ascii="Calibri" w:hAnsi="Calibri"/>
                <w:sz w:val="24"/>
              </w:rPr>
            </w:pPr>
            <w:r>
              <w:rPr>
                <w:rFonts w:ascii="Calibri" w:hAnsi="Calibri"/>
                <w:sz w:val="24"/>
                <w:lang w:bidi="ar"/>
              </w:rPr>
              <w:t>43.31±5.9</w:t>
            </w:r>
            <w:r>
              <w:rPr>
                <w:rFonts w:ascii="Calibri" w:hAnsi="Calibri"/>
                <w:sz w:val="24"/>
                <w:vertAlign w:val="superscript"/>
                <w:lang w:bidi="ar"/>
              </w:rPr>
              <w:t>*#</w:t>
            </w:r>
          </w:p>
        </w:tc>
        <w:tc>
          <w:tcPr>
            <w:tcW w:w="1782" w:type="dxa"/>
            <w:tcBorders>
              <w:top w:val="nil"/>
              <w:left w:val="nil"/>
              <w:bottom w:val="nil"/>
              <w:right w:val="nil"/>
            </w:tcBorders>
            <w:shd w:val="clear" w:color="auto" w:fill="auto"/>
          </w:tcPr>
          <w:p w14:paraId="2D7B7A36">
            <w:pPr>
              <w:spacing w:before="156" w:beforeLines="50" w:line="360" w:lineRule="auto"/>
              <w:rPr>
                <w:rFonts w:ascii="Calibri" w:hAnsi="Calibri"/>
                <w:sz w:val="24"/>
              </w:rPr>
            </w:pPr>
            <w:r>
              <w:rPr>
                <w:rFonts w:ascii="Calibri" w:hAnsi="Calibri"/>
                <w:sz w:val="24"/>
                <w:lang w:bidi="ar"/>
              </w:rPr>
              <w:t>49.99±9.94</w:t>
            </w:r>
            <w:r>
              <w:rPr>
                <w:rFonts w:ascii="Calibri" w:hAnsi="Calibri"/>
                <w:sz w:val="24"/>
                <w:vertAlign w:val="superscript"/>
                <w:lang w:bidi="ar"/>
              </w:rPr>
              <w:t>*#</w:t>
            </w:r>
          </w:p>
        </w:tc>
      </w:tr>
      <w:tr w14:paraId="4C42F311">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540" w:type="dxa"/>
            <w:vMerge w:val="restart"/>
            <w:tcBorders>
              <w:top w:val="nil"/>
              <w:left w:val="nil"/>
              <w:bottom w:val="single" w:color="auto" w:sz="4" w:space="0"/>
              <w:right w:val="nil"/>
            </w:tcBorders>
            <w:shd w:val="clear" w:color="auto" w:fill="auto"/>
          </w:tcPr>
          <w:p w14:paraId="02CE4F0A">
            <w:pPr>
              <w:spacing w:line="360" w:lineRule="auto"/>
              <w:rPr>
                <w:rFonts w:ascii="Calibri" w:hAnsi="Calibri"/>
                <w:sz w:val="24"/>
              </w:rPr>
            </w:pPr>
            <w:r>
              <w:rPr>
                <w:rFonts w:hint="eastAsia" w:ascii="Calibri" w:hAnsi="Calibri" w:cs="宋体"/>
                <w:sz w:val="24"/>
                <w:lang w:bidi="ar"/>
              </w:rPr>
              <w:t>对照组</w:t>
            </w:r>
          </w:p>
        </w:tc>
        <w:tc>
          <w:tcPr>
            <w:tcW w:w="1540" w:type="dxa"/>
            <w:tcBorders>
              <w:top w:val="nil"/>
              <w:left w:val="nil"/>
              <w:bottom w:val="nil"/>
              <w:right w:val="nil"/>
            </w:tcBorders>
            <w:shd w:val="clear" w:color="auto" w:fill="auto"/>
          </w:tcPr>
          <w:p w14:paraId="534A2F8C">
            <w:pPr>
              <w:spacing w:line="360" w:lineRule="auto"/>
              <w:rPr>
                <w:rFonts w:ascii="Calibri" w:hAnsi="Calibri"/>
                <w:sz w:val="24"/>
              </w:rPr>
            </w:pPr>
            <w:r>
              <w:rPr>
                <w:rFonts w:hint="eastAsia" w:ascii="Calibri" w:hAnsi="Calibri" w:cs="宋体"/>
                <w:sz w:val="24"/>
                <w:lang w:bidi="ar"/>
              </w:rPr>
              <w:t>治疗前</w:t>
            </w:r>
          </w:p>
        </w:tc>
        <w:tc>
          <w:tcPr>
            <w:tcW w:w="1958" w:type="dxa"/>
            <w:tcBorders>
              <w:top w:val="nil"/>
              <w:left w:val="nil"/>
              <w:bottom w:val="nil"/>
              <w:right w:val="nil"/>
            </w:tcBorders>
            <w:shd w:val="clear" w:color="auto" w:fill="auto"/>
          </w:tcPr>
          <w:p w14:paraId="56506A64">
            <w:pPr>
              <w:spacing w:before="156" w:beforeLines="50" w:line="360" w:lineRule="auto"/>
              <w:rPr>
                <w:rFonts w:ascii="Calibri" w:hAnsi="Calibri"/>
                <w:sz w:val="24"/>
              </w:rPr>
            </w:pPr>
            <w:r>
              <w:rPr>
                <w:rFonts w:ascii="Calibri" w:hAnsi="Calibri"/>
                <w:sz w:val="24"/>
                <w:lang w:bidi="ar"/>
              </w:rPr>
              <w:t>59.61±14.79</w:t>
            </w:r>
          </w:p>
        </w:tc>
        <w:tc>
          <w:tcPr>
            <w:tcW w:w="1652" w:type="dxa"/>
            <w:tcBorders>
              <w:top w:val="nil"/>
              <w:left w:val="nil"/>
              <w:bottom w:val="nil"/>
              <w:right w:val="nil"/>
            </w:tcBorders>
            <w:shd w:val="clear" w:color="auto" w:fill="auto"/>
          </w:tcPr>
          <w:p w14:paraId="64BA95B5">
            <w:pPr>
              <w:spacing w:before="156" w:beforeLines="50" w:line="360" w:lineRule="auto"/>
              <w:rPr>
                <w:rFonts w:ascii="Calibri" w:hAnsi="Calibri"/>
                <w:sz w:val="24"/>
              </w:rPr>
            </w:pPr>
            <w:r>
              <w:rPr>
                <w:rFonts w:ascii="Calibri" w:hAnsi="Calibri"/>
                <w:sz w:val="24"/>
                <w:lang w:bidi="ar"/>
              </w:rPr>
              <w:t>141.19±47.52</w:t>
            </w:r>
          </w:p>
        </w:tc>
        <w:tc>
          <w:tcPr>
            <w:tcW w:w="1782" w:type="dxa"/>
            <w:tcBorders>
              <w:top w:val="nil"/>
              <w:left w:val="nil"/>
              <w:bottom w:val="nil"/>
              <w:right w:val="nil"/>
            </w:tcBorders>
            <w:shd w:val="clear" w:color="auto" w:fill="auto"/>
          </w:tcPr>
          <w:p w14:paraId="4717BCA6">
            <w:pPr>
              <w:spacing w:before="156" w:beforeLines="50" w:line="360" w:lineRule="auto"/>
              <w:rPr>
                <w:rFonts w:ascii="Calibri" w:hAnsi="Calibri"/>
                <w:sz w:val="24"/>
              </w:rPr>
            </w:pPr>
            <w:r>
              <w:rPr>
                <w:rFonts w:ascii="Calibri" w:hAnsi="Calibri"/>
                <w:sz w:val="24"/>
                <w:lang w:bidi="ar"/>
              </w:rPr>
              <w:t>128.64±45.81</w:t>
            </w:r>
          </w:p>
        </w:tc>
      </w:tr>
      <w:tr w14:paraId="1CC32999">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540" w:type="dxa"/>
            <w:vMerge w:val="continue"/>
            <w:tcBorders>
              <w:top w:val="nil"/>
              <w:left w:val="nil"/>
              <w:bottom w:val="single" w:color="auto" w:sz="4" w:space="0"/>
              <w:right w:val="nil"/>
            </w:tcBorders>
            <w:shd w:val="clear" w:color="auto" w:fill="auto"/>
          </w:tcPr>
          <w:p w14:paraId="0FACAF41">
            <w:pPr>
              <w:rPr>
                <w:rFonts w:ascii="Calibri" w:hAnsi="Calibri"/>
                <w:sz w:val="20"/>
                <w:szCs w:val="20"/>
              </w:rPr>
            </w:pPr>
          </w:p>
        </w:tc>
        <w:tc>
          <w:tcPr>
            <w:tcW w:w="1540" w:type="dxa"/>
            <w:tcBorders>
              <w:top w:val="nil"/>
              <w:left w:val="nil"/>
              <w:bottom w:val="single" w:color="auto" w:sz="4" w:space="0"/>
              <w:right w:val="nil"/>
            </w:tcBorders>
            <w:shd w:val="clear" w:color="auto" w:fill="auto"/>
          </w:tcPr>
          <w:p w14:paraId="0ABC2130">
            <w:pPr>
              <w:spacing w:line="360" w:lineRule="auto"/>
              <w:rPr>
                <w:rFonts w:ascii="Calibri" w:hAnsi="Calibri"/>
                <w:sz w:val="24"/>
              </w:rPr>
            </w:pPr>
            <w:r>
              <w:rPr>
                <w:rFonts w:hint="eastAsia" w:ascii="Calibri" w:hAnsi="Calibri" w:cs="宋体"/>
                <w:sz w:val="24"/>
                <w:lang w:bidi="ar"/>
              </w:rPr>
              <w:t>治疗后</w:t>
            </w:r>
          </w:p>
        </w:tc>
        <w:tc>
          <w:tcPr>
            <w:tcW w:w="1958" w:type="dxa"/>
            <w:tcBorders>
              <w:top w:val="nil"/>
              <w:left w:val="nil"/>
              <w:bottom w:val="single" w:color="auto" w:sz="4" w:space="0"/>
              <w:right w:val="nil"/>
            </w:tcBorders>
            <w:shd w:val="clear" w:color="auto" w:fill="auto"/>
          </w:tcPr>
          <w:p w14:paraId="4A0860AC">
            <w:pPr>
              <w:spacing w:before="156" w:beforeLines="50" w:line="360" w:lineRule="auto"/>
              <w:rPr>
                <w:rFonts w:ascii="Calibri" w:hAnsi="Calibri"/>
                <w:sz w:val="24"/>
              </w:rPr>
            </w:pPr>
            <w:r>
              <w:rPr>
                <w:rFonts w:ascii="Calibri" w:hAnsi="Calibri"/>
                <w:sz w:val="24"/>
                <w:lang w:bidi="ar"/>
              </w:rPr>
              <w:t>24.79±7.9</w:t>
            </w:r>
            <w:r>
              <w:rPr>
                <w:rFonts w:ascii="Calibri" w:hAnsi="Calibri"/>
                <w:sz w:val="24"/>
                <w:vertAlign w:val="superscript"/>
                <w:lang w:bidi="ar"/>
              </w:rPr>
              <w:t>*#</w:t>
            </w:r>
          </w:p>
        </w:tc>
        <w:tc>
          <w:tcPr>
            <w:tcW w:w="1652" w:type="dxa"/>
            <w:tcBorders>
              <w:top w:val="nil"/>
              <w:left w:val="nil"/>
              <w:bottom w:val="single" w:color="auto" w:sz="4" w:space="0"/>
              <w:right w:val="nil"/>
            </w:tcBorders>
            <w:shd w:val="clear" w:color="auto" w:fill="auto"/>
          </w:tcPr>
          <w:p w14:paraId="4A88CC3E">
            <w:pPr>
              <w:spacing w:before="156" w:beforeLines="50" w:line="360" w:lineRule="auto"/>
              <w:rPr>
                <w:rFonts w:ascii="Calibri" w:hAnsi="Calibri"/>
                <w:sz w:val="24"/>
              </w:rPr>
            </w:pPr>
            <w:r>
              <w:rPr>
                <w:rFonts w:ascii="Calibri" w:hAnsi="Calibri"/>
                <w:sz w:val="24"/>
                <w:lang w:bidi="ar"/>
              </w:rPr>
              <w:t>84.62±10.58</w:t>
            </w:r>
            <w:r>
              <w:rPr>
                <w:rFonts w:ascii="Calibri" w:hAnsi="Calibri"/>
                <w:sz w:val="24"/>
                <w:vertAlign w:val="superscript"/>
                <w:lang w:bidi="ar"/>
              </w:rPr>
              <w:t>*#</w:t>
            </w:r>
          </w:p>
        </w:tc>
        <w:tc>
          <w:tcPr>
            <w:tcW w:w="1782" w:type="dxa"/>
            <w:tcBorders>
              <w:top w:val="nil"/>
              <w:left w:val="nil"/>
              <w:bottom w:val="single" w:color="auto" w:sz="4" w:space="0"/>
              <w:right w:val="nil"/>
            </w:tcBorders>
            <w:shd w:val="clear" w:color="auto" w:fill="auto"/>
          </w:tcPr>
          <w:p w14:paraId="26A6A34D">
            <w:pPr>
              <w:spacing w:before="156" w:beforeLines="50" w:line="360" w:lineRule="auto"/>
              <w:rPr>
                <w:rFonts w:ascii="Calibri" w:hAnsi="Calibri"/>
                <w:sz w:val="24"/>
              </w:rPr>
            </w:pPr>
            <w:r>
              <w:rPr>
                <w:rFonts w:ascii="Calibri" w:hAnsi="Calibri"/>
                <w:sz w:val="24"/>
                <w:lang w:bidi="ar"/>
              </w:rPr>
              <w:t>74.22±11.19</w:t>
            </w:r>
            <w:r>
              <w:rPr>
                <w:rFonts w:ascii="Calibri" w:hAnsi="Calibri"/>
                <w:sz w:val="24"/>
                <w:vertAlign w:val="superscript"/>
                <w:lang w:bidi="ar"/>
              </w:rPr>
              <w:t>*#</w:t>
            </w:r>
          </w:p>
        </w:tc>
      </w:tr>
    </w:tbl>
    <w:p w14:paraId="1177D5CD">
      <w:pPr>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w:t>
      </w:r>
      <w:r>
        <w:rPr>
          <w:rFonts w:ascii="仿宋_GB2312" w:hAnsi="宋体" w:eastAsia="仿宋_GB2312"/>
          <w:sz w:val="32"/>
          <w:szCs w:val="32"/>
        </w:rPr>
        <w:t>3</w:t>
      </w:r>
      <w:r>
        <w:rPr>
          <w:rFonts w:hint="eastAsia" w:ascii="仿宋_GB2312" w:hAnsi="宋体" w:eastAsia="仿宋_GB2312"/>
          <w:sz w:val="32"/>
          <w:szCs w:val="32"/>
        </w:rPr>
        <w:t>）</w:t>
      </w:r>
      <w:r>
        <w:rPr>
          <w:rFonts w:ascii="仿宋_GB2312" w:hAnsi="宋体" w:eastAsia="仿宋_GB2312"/>
          <w:sz w:val="32"/>
          <w:szCs w:val="32"/>
        </w:rPr>
        <w:t xml:space="preserve"> 7</w:t>
      </w:r>
      <w:r>
        <w:rPr>
          <w:rFonts w:hint="eastAsia" w:ascii="仿宋_GB2312" w:hAnsi="宋体" w:eastAsia="仿宋_GB2312"/>
          <w:sz w:val="32"/>
          <w:szCs w:val="32"/>
        </w:rPr>
        <w:t>天肝功能指标比较</w:t>
      </w:r>
    </w:p>
    <w:p w14:paraId="17D432AF">
      <w:pPr>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两种患者治疗前</w:t>
      </w:r>
      <w:r>
        <w:rPr>
          <w:rFonts w:ascii="仿宋_GB2312" w:hAnsi="宋体" w:eastAsia="仿宋_GB2312"/>
          <w:sz w:val="32"/>
          <w:szCs w:val="32"/>
        </w:rPr>
        <w:t>ALT</w:t>
      </w:r>
      <w:r>
        <w:rPr>
          <w:rFonts w:hint="eastAsia" w:ascii="仿宋_GB2312" w:hAnsi="宋体" w:eastAsia="仿宋_GB2312"/>
          <w:sz w:val="32"/>
          <w:szCs w:val="32"/>
        </w:rPr>
        <w:t>、</w:t>
      </w:r>
      <w:r>
        <w:rPr>
          <w:rFonts w:ascii="仿宋_GB2312" w:hAnsi="宋体" w:eastAsia="仿宋_GB2312"/>
          <w:sz w:val="32"/>
          <w:szCs w:val="32"/>
        </w:rPr>
        <w:t>AST</w:t>
      </w:r>
      <w:r>
        <w:rPr>
          <w:rFonts w:hint="eastAsia" w:ascii="仿宋_GB2312" w:hAnsi="宋体" w:eastAsia="仿宋_GB2312"/>
          <w:sz w:val="32"/>
          <w:szCs w:val="32"/>
        </w:rPr>
        <w:t>和</w:t>
      </w:r>
      <w:r>
        <w:rPr>
          <w:rFonts w:ascii="仿宋_GB2312" w:hAnsi="宋体" w:eastAsia="仿宋_GB2312"/>
          <w:sz w:val="32"/>
          <w:szCs w:val="32"/>
        </w:rPr>
        <w:t>TBIL</w:t>
      </w:r>
      <w:r>
        <w:rPr>
          <w:rFonts w:hint="eastAsia" w:ascii="仿宋_GB2312" w:hAnsi="宋体" w:eastAsia="仿宋_GB2312"/>
          <w:sz w:val="32"/>
          <w:szCs w:val="32"/>
        </w:rPr>
        <w:t>水平比较无统计学差异（</w:t>
      </w:r>
      <w:r>
        <w:rPr>
          <w:rFonts w:ascii="仿宋_GB2312" w:hAnsi="宋体" w:eastAsia="仿宋_GB2312"/>
          <w:sz w:val="32"/>
          <w:szCs w:val="32"/>
        </w:rPr>
        <w:t>P</w:t>
      </w:r>
      <w:r>
        <w:rPr>
          <w:rFonts w:hint="eastAsia" w:ascii="仿宋_GB2312" w:hAnsi="宋体" w:eastAsia="仿宋_GB2312"/>
          <w:sz w:val="32"/>
          <w:szCs w:val="32"/>
        </w:rPr>
        <w:t>＞</w:t>
      </w:r>
      <w:r>
        <w:rPr>
          <w:rFonts w:ascii="仿宋_GB2312" w:hAnsi="宋体" w:eastAsia="仿宋_GB2312"/>
          <w:sz w:val="32"/>
          <w:szCs w:val="32"/>
        </w:rPr>
        <w:t>0.05</w:t>
      </w:r>
      <w:r>
        <w:rPr>
          <w:rFonts w:hint="eastAsia" w:ascii="仿宋_GB2312" w:hAnsi="宋体" w:eastAsia="仿宋_GB2312"/>
          <w:sz w:val="32"/>
          <w:szCs w:val="32"/>
        </w:rPr>
        <w:t>）。观察组和对照组治疗后的</w:t>
      </w:r>
      <w:r>
        <w:rPr>
          <w:rFonts w:ascii="仿宋_GB2312" w:hAnsi="宋体" w:eastAsia="仿宋_GB2312"/>
          <w:sz w:val="32"/>
          <w:szCs w:val="32"/>
        </w:rPr>
        <w:t>ALT</w:t>
      </w:r>
      <w:r>
        <w:rPr>
          <w:rFonts w:hint="eastAsia" w:ascii="仿宋_GB2312" w:hAnsi="宋体" w:eastAsia="仿宋_GB2312"/>
          <w:sz w:val="32"/>
          <w:szCs w:val="32"/>
        </w:rPr>
        <w:t>、</w:t>
      </w:r>
      <w:r>
        <w:rPr>
          <w:rFonts w:ascii="仿宋_GB2312" w:hAnsi="宋体" w:eastAsia="仿宋_GB2312"/>
          <w:sz w:val="32"/>
          <w:szCs w:val="32"/>
        </w:rPr>
        <w:t>AST</w:t>
      </w:r>
      <w:r>
        <w:rPr>
          <w:rFonts w:hint="eastAsia" w:ascii="仿宋_GB2312" w:hAnsi="宋体" w:eastAsia="仿宋_GB2312"/>
          <w:sz w:val="32"/>
          <w:szCs w:val="32"/>
        </w:rPr>
        <w:t>和</w:t>
      </w:r>
      <w:r>
        <w:rPr>
          <w:rFonts w:ascii="仿宋_GB2312" w:hAnsi="宋体" w:eastAsia="仿宋_GB2312"/>
          <w:sz w:val="32"/>
          <w:szCs w:val="32"/>
        </w:rPr>
        <w:t>TBIL</w:t>
      </w:r>
      <w:r>
        <w:rPr>
          <w:rFonts w:hint="eastAsia" w:ascii="仿宋_GB2312" w:hAnsi="宋体" w:eastAsia="仿宋_GB2312"/>
          <w:sz w:val="32"/>
          <w:szCs w:val="32"/>
        </w:rPr>
        <w:t>水平均较治疗前降低，差异具有统计学意义（</w:t>
      </w:r>
      <w:r>
        <w:rPr>
          <w:rFonts w:ascii="仿宋_GB2312" w:hAnsi="宋体" w:eastAsia="仿宋_GB2312"/>
          <w:sz w:val="32"/>
          <w:szCs w:val="32"/>
        </w:rPr>
        <w:t>P</w:t>
      </w:r>
      <w:r>
        <w:rPr>
          <w:rFonts w:hint="eastAsia" w:ascii="仿宋_GB2312" w:hAnsi="宋体" w:eastAsia="仿宋_GB2312"/>
          <w:sz w:val="32"/>
          <w:szCs w:val="32"/>
        </w:rPr>
        <w:t>＜</w:t>
      </w:r>
      <w:r>
        <w:rPr>
          <w:rFonts w:ascii="仿宋_GB2312" w:hAnsi="宋体" w:eastAsia="仿宋_GB2312"/>
          <w:sz w:val="32"/>
          <w:szCs w:val="32"/>
        </w:rPr>
        <w:t>0.05</w:t>
      </w:r>
      <w:r>
        <w:rPr>
          <w:rFonts w:hint="eastAsia" w:ascii="仿宋_GB2312" w:hAnsi="宋体" w:eastAsia="仿宋_GB2312"/>
          <w:sz w:val="32"/>
          <w:szCs w:val="32"/>
        </w:rPr>
        <w:t>）。观察组治疗后的</w:t>
      </w:r>
      <w:r>
        <w:rPr>
          <w:rFonts w:ascii="仿宋_GB2312" w:hAnsi="宋体" w:eastAsia="仿宋_GB2312"/>
          <w:sz w:val="32"/>
          <w:szCs w:val="32"/>
        </w:rPr>
        <w:t>ALT</w:t>
      </w:r>
      <w:r>
        <w:rPr>
          <w:rFonts w:hint="eastAsia" w:ascii="仿宋_GB2312" w:hAnsi="宋体" w:eastAsia="仿宋_GB2312"/>
          <w:sz w:val="32"/>
          <w:szCs w:val="32"/>
        </w:rPr>
        <w:t>、</w:t>
      </w:r>
      <w:r>
        <w:rPr>
          <w:rFonts w:ascii="仿宋_GB2312" w:hAnsi="宋体" w:eastAsia="仿宋_GB2312"/>
          <w:sz w:val="32"/>
          <w:szCs w:val="32"/>
        </w:rPr>
        <w:t>AST</w:t>
      </w:r>
      <w:r>
        <w:rPr>
          <w:rFonts w:hint="eastAsia" w:ascii="仿宋_GB2312" w:hAnsi="宋体" w:eastAsia="仿宋_GB2312"/>
          <w:sz w:val="32"/>
          <w:szCs w:val="32"/>
        </w:rPr>
        <w:t>和</w:t>
      </w:r>
      <w:r>
        <w:rPr>
          <w:rFonts w:ascii="仿宋_GB2312" w:hAnsi="宋体" w:eastAsia="仿宋_GB2312"/>
          <w:sz w:val="32"/>
          <w:szCs w:val="32"/>
        </w:rPr>
        <w:t>TBIL</w:t>
      </w:r>
      <w:r>
        <w:rPr>
          <w:rFonts w:hint="eastAsia" w:ascii="仿宋_GB2312" w:hAnsi="宋体" w:eastAsia="仿宋_GB2312"/>
          <w:sz w:val="32"/>
          <w:szCs w:val="32"/>
        </w:rPr>
        <w:t>水平均较对照组治疗后的降低，差异具有统计学意义（</w:t>
      </w:r>
      <w:r>
        <w:rPr>
          <w:rFonts w:ascii="仿宋_GB2312" w:hAnsi="宋体" w:eastAsia="仿宋_GB2312"/>
          <w:sz w:val="32"/>
          <w:szCs w:val="32"/>
        </w:rPr>
        <w:t>P</w:t>
      </w:r>
      <w:r>
        <w:rPr>
          <w:rFonts w:hint="eastAsia" w:ascii="仿宋_GB2312" w:hAnsi="宋体" w:eastAsia="仿宋_GB2312"/>
          <w:sz w:val="32"/>
          <w:szCs w:val="32"/>
        </w:rPr>
        <w:t>＜</w:t>
      </w:r>
      <w:r>
        <w:rPr>
          <w:rFonts w:ascii="仿宋_GB2312" w:hAnsi="宋体" w:eastAsia="仿宋_GB2312"/>
          <w:sz w:val="32"/>
          <w:szCs w:val="32"/>
        </w:rPr>
        <w:t>0.05</w:t>
      </w:r>
      <w:r>
        <w:rPr>
          <w:rFonts w:hint="eastAsia" w:ascii="仿宋_GB2312" w:hAnsi="宋体" w:eastAsia="仿宋_GB2312"/>
          <w:sz w:val="32"/>
          <w:szCs w:val="32"/>
        </w:rPr>
        <w:t>）。详见表2。</w:t>
      </w:r>
    </w:p>
    <w:p w14:paraId="6DA4CE52">
      <w:pPr>
        <w:spacing w:line="560" w:lineRule="exact"/>
        <w:ind w:firstLine="420" w:firstLineChars="200"/>
        <w:jc w:val="center"/>
        <w:rPr>
          <w:rFonts w:ascii="黑体" w:hAnsi="黑体" w:eastAsia="黑体"/>
          <w:bCs/>
        </w:rPr>
      </w:pPr>
      <w:r>
        <w:rPr>
          <w:rFonts w:ascii="黑体" w:hAnsi="黑体" w:eastAsia="黑体"/>
          <w:bCs/>
        </w:rPr>
        <w:t xml:space="preserve"> </w:t>
      </w:r>
      <w:r>
        <w:rPr>
          <w:rFonts w:hint="eastAsia" w:ascii="黑体" w:hAnsi="黑体" w:eastAsia="黑体"/>
          <w:bCs/>
        </w:rPr>
        <w:t>表2 天肝功能指标比较</w:t>
      </w:r>
    </w:p>
    <w:tbl>
      <w:tblPr>
        <w:tblStyle w:val="16"/>
        <w:tblW w:w="0" w:type="auto"/>
        <w:tblInd w:w="395" w:type="dxa"/>
        <w:tblBorders>
          <w:top w:val="single" w:color="auto" w:sz="4" w:space="0"/>
          <w:left w:val="none" w:color="auto" w:sz="4" w:space="0"/>
          <w:bottom w:val="singl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345"/>
        <w:gridCol w:w="1299"/>
        <w:gridCol w:w="1941"/>
        <w:gridCol w:w="1763"/>
        <w:gridCol w:w="1779"/>
      </w:tblGrid>
      <w:tr w14:paraId="701C8274">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345" w:type="dxa"/>
            <w:tcBorders>
              <w:top w:val="single" w:color="auto" w:sz="8" w:space="0"/>
              <w:left w:val="nil"/>
              <w:bottom w:val="single" w:color="auto" w:sz="8" w:space="0"/>
              <w:right w:val="nil"/>
            </w:tcBorders>
            <w:shd w:val="clear" w:color="auto" w:fill="auto"/>
          </w:tcPr>
          <w:p w14:paraId="7E62CC4B">
            <w:pPr>
              <w:spacing w:line="360" w:lineRule="auto"/>
              <w:rPr>
                <w:rFonts w:ascii="Calibri" w:hAnsi="Calibri"/>
                <w:sz w:val="24"/>
              </w:rPr>
            </w:pPr>
            <w:r>
              <w:rPr>
                <w:rFonts w:hint="eastAsia" w:ascii="Calibri" w:hAnsi="Calibri" w:cs="宋体"/>
                <w:sz w:val="24"/>
                <w:lang w:bidi="ar"/>
              </w:rPr>
              <w:t>组别</w:t>
            </w:r>
          </w:p>
        </w:tc>
        <w:tc>
          <w:tcPr>
            <w:tcW w:w="1299" w:type="dxa"/>
            <w:tcBorders>
              <w:top w:val="single" w:color="auto" w:sz="8" w:space="0"/>
              <w:left w:val="nil"/>
              <w:bottom w:val="single" w:color="auto" w:sz="8" w:space="0"/>
              <w:right w:val="nil"/>
            </w:tcBorders>
            <w:shd w:val="clear" w:color="auto" w:fill="auto"/>
          </w:tcPr>
          <w:p w14:paraId="522AB105">
            <w:pPr>
              <w:spacing w:line="360" w:lineRule="auto"/>
              <w:rPr>
                <w:rFonts w:ascii="Calibri" w:hAnsi="Calibri"/>
                <w:sz w:val="24"/>
              </w:rPr>
            </w:pPr>
            <w:r>
              <w:rPr>
                <w:rFonts w:hint="eastAsia" w:ascii="Calibri" w:hAnsi="Calibri" w:cs="宋体"/>
                <w:sz w:val="24"/>
                <w:lang w:bidi="ar"/>
              </w:rPr>
              <w:t>治疗时间</w:t>
            </w:r>
          </w:p>
        </w:tc>
        <w:tc>
          <w:tcPr>
            <w:tcW w:w="1941" w:type="dxa"/>
            <w:tcBorders>
              <w:top w:val="single" w:color="auto" w:sz="8" w:space="0"/>
              <w:left w:val="nil"/>
              <w:bottom w:val="single" w:color="auto" w:sz="8" w:space="0"/>
              <w:right w:val="nil"/>
            </w:tcBorders>
            <w:shd w:val="clear" w:color="auto" w:fill="auto"/>
          </w:tcPr>
          <w:p w14:paraId="188CDD10">
            <w:pPr>
              <w:spacing w:line="360" w:lineRule="auto"/>
              <w:rPr>
                <w:rFonts w:ascii="Calibri" w:hAnsi="Calibri"/>
                <w:sz w:val="24"/>
              </w:rPr>
            </w:pPr>
            <w:r>
              <w:rPr>
                <w:rFonts w:ascii="Calibri" w:hAnsi="Calibri"/>
                <w:sz w:val="24"/>
                <w:lang w:bidi="ar"/>
              </w:rPr>
              <w:t>ALT(U/L)</w:t>
            </w:r>
          </w:p>
        </w:tc>
        <w:tc>
          <w:tcPr>
            <w:tcW w:w="1763" w:type="dxa"/>
            <w:tcBorders>
              <w:top w:val="single" w:color="auto" w:sz="8" w:space="0"/>
              <w:left w:val="nil"/>
              <w:bottom w:val="single" w:color="auto" w:sz="8" w:space="0"/>
              <w:right w:val="nil"/>
            </w:tcBorders>
            <w:shd w:val="clear" w:color="auto" w:fill="auto"/>
          </w:tcPr>
          <w:p w14:paraId="655B2AC2">
            <w:pPr>
              <w:spacing w:line="360" w:lineRule="auto"/>
              <w:rPr>
                <w:rFonts w:ascii="Calibri" w:hAnsi="Calibri"/>
                <w:sz w:val="24"/>
              </w:rPr>
            </w:pPr>
            <w:r>
              <w:rPr>
                <w:rFonts w:ascii="Calibri" w:hAnsi="Calibri"/>
                <w:sz w:val="24"/>
                <w:lang w:bidi="ar"/>
              </w:rPr>
              <w:t>AST(U/L)</w:t>
            </w:r>
          </w:p>
        </w:tc>
        <w:tc>
          <w:tcPr>
            <w:tcW w:w="1779" w:type="dxa"/>
            <w:tcBorders>
              <w:top w:val="single" w:color="auto" w:sz="8" w:space="0"/>
              <w:left w:val="nil"/>
              <w:bottom w:val="single" w:color="auto" w:sz="8" w:space="0"/>
              <w:right w:val="nil"/>
            </w:tcBorders>
            <w:shd w:val="clear" w:color="auto" w:fill="auto"/>
          </w:tcPr>
          <w:p w14:paraId="778F8DD2">
            <w:pPr>
              <w:spacing w:line="360" w:lineRule="auto"/>
              <w:rPr>
                <w:rFonts w:ascii="Calibri" w:hAnsi="Calibri"/>
                <w:sz w:val="24"/>
              </w:rPr>
            </w:pPr>
            <w:r>
              <w:rPr>
                <w:rFonts w:ascii="Calibri" w:hAnsi="Calibri"/>
                <w:sz w:val="24"/>
                <w:lang w:bidi="ar"/>
              </w:rPr>
              <w:t>TBIL(umol/L)</w:t>
            </w:r>
          </w:p>
        </w:tc>
      </w:tr>
      <w:tr w14:paraId="5713A55C">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345" w:type="dxa"/>
            <w:vMerge w:val="restart"/>
            <w:tcBorders>
              <w:top w:val="single" w:color="auto" w:sz="8" w:space="0"/>
              <w:left w:val="nil"/>
              <w:bottom w:val="nil"/>
              <w:right w:val="nil"/>
            </w:tcBorders>
            <w:shd w:val="clear" w:color="auto" w:fill="auto"/>
          </w:tcPr>
          <w:p w14:paraId="298B9ABB">
            <w:pPr>
              <w:spacing w:line="360" w:lineRule="auto"/>
              <w:rPr>
                <w:rFonts w:ascii="Calibri" w:hAnsi="Calibri"/>
                <w:sz w:val="24"/>
              </w:rPr>
            </w:pPr>
            <w:r>
              <w:rPr>
                <w:rFonts w:hint="eastAsia" w:ascii="Calibri" w:hAnsi="Calibri" w:cs="宋体"/>
                <w:sz w:val="24"/>
                <w:lang w:bidi="ar"/>
              </w:rPr>
              <w:t>观察组</w:t>
            </w:r>
          </w:p>
        </w:tc>
        <w:tc>
          <w:tcPr>
            <w:tcW w:w="1299" w:type="dxa"/>
            <w:tcBorders>
              <w:top w:val="single" w:color="auto" w:sz="8" w:space="0"/>
              <w:left w:val="nil"/>
              <w:bottom w:val="nil"/>
              <w:right w:val="nil"/>
            </w:tcBorders>
            <w:shd w:val="clear" w:color="auto" w:fill="auto"/>
          </w:tcPr>
          <w:p w14:paraId="0C747A94">
            <w:pPr>
              <w:spacing w:line="360" w:lineRule="auto"/>
              <w:rPr>
                <w:rFonts w:ascii="Calibri" w:hAnsi="Calibri"/>
                <w:sz w:val="24"/>
              </w:rPr>
            </w:pPr>
            <w:r>
              <w:rPr>
                <w:rFonts w:hint="eastAsia" w:ascii="Calibri" w:hAnsi="Calibri" w:cs="宋体"/>
                <w:sz w:val="24"/>
                <w:lang w:bidi="ar"/>
              </w:rPr>
              <w:t>治疗前</w:t>
            </w:r>
          </w:p>
        </w:tc>
        <w:tc>
          <w:tcPr>
            <w:tcW w:w="1941" w:type="dxa"/>
            <w:tcBorders>
              <w:top w:val="single" w:color="auto" w:sz="8" w:space="0"/>
              <w:left w:val="nil"/>
              <w:bottom w:val="nil"/>
              <w:right w:val="nil"/>
            </w:tcBorders>
            <w:shd w:val="clear" w:color="auto" w:fill="auto"/>
          </w:tcPr>
          <w:p w14:paraId="4EAA7E85">
            <w:pPr>
              <w:spacing w:line="360" w:lineRule="auto"/>
              <w:rPr>
                <w:rFonts w:ascii="Calibri" w:hAnsi="Calibri"/>
                <w:sz w:val="24"/>
              </w:rPr>
            </w:pPr>
            <w:r>
              <w:rPr>
                <w:rFonts w:ascii="Calibri" w:hAnsi="Calibri"/>
                <w:sz w:val="24"/>
                <w:lang w:bidi="ar"/>
              </w:rPr>
              <w:t>239.24±38.14</w:t>
            </w:r>
          </w:p>
        </w:tc>
        <w:tc>
          <w:tcPr>
            <w:tcW w:w="1763" w:type="dxa"/>
            <w:tcBorders>
              <w:top w:val="single" w:color="auto" w:sz="8" w:space="0"/>
              <w:left w:val="nil"/>
              <w:bottom w:val="nil"/>
              <w:right w:val="nil"/>
            </w:tcBorders>
            <w:shd w:val="clear" w:color="auto" w:fill="auto"/>
          </w:tcPr>
          <w:p w14:paraId="7413690C">
            <w:pPr>
              <w:spacing w:line="360" w:lineRule="auto"/>
              <w:rPr>
                <w:rFonts w:ascii="Calibri" w:hAnsi="Calibri"/>
                <w:sz w:val="24"/>
              </w:rPr>
            </w:pPr>
            <w:r>
              <w:rPr>
                <w:rFonts w:ascii="Calibri" w:hAnsi="Calibri"/>
                <w:sz w:val="24"/>
                <w:lang w:bidi="ar"/>
              </w:rPr>
              <w:t>263.54±44.18</w:t>
            </w:r>
          </w:p>
        </w:tc>
        <w:tc>
          <w:tcPr>
            <w:tcW w:w="1779" w:type="dxa"/>
            <w:tcBorders>
              <w:top w:val="single" w:color="auto" w:sz="8" w:space="0"/>
              <w:left w:val="nil"/>
              <w:bottom w:val="nil"/>
              <w:right w:val="nil"/>
            </w:tcBorders>
            <w:shd w:val="clear" w:color="auto" w:fill="auto"/>
          </w:tcPr>
          <w:p w14:paraId="6B73BE85">
            <w:pPr>
              <w:spacing w:line="360" w:lineRule="auto"/>
              <w:rPr>
                <w:rFonts w:ascii="Calibri" w:hAnsi="Calibri"/>
                <w:sz w:val="24"/>
              </w:rPr>
            </w:pPr>
            <w:r>
              <w:rPr>
                <w:rFonts w:ascii="Calibri" w:hAnsi="Calibri"/>
                <w:sz w:val="24"/>
                <w:lang w:bidi="ar"/>
              </w:rPr>
              <w:t>45.14±9.5</w:t>
            </w:r>
          </w:p>
        </w:tc>
      </w:tr>
      <w:tr w14:paraId="48953D6A">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458" w:hRule="atLeast"/>
        </w:trPr>
        <w:tc>
          <w:tcPr>
            <w:tcW w:w="1345" w:type="dxa"/>
            <w:vMerge w:val="continue"/>
            <w:tcBorders>
              <w:top w:val="single" w:color="auto" w:sz="8" w:space="0"/>
              <w:left w:val="nil"/>
              <w:bottom w:val="nil"/>
              <w:right w:val="nil"/>
            </w:tcBorders>
            <w:shd w:val="clear" w:color="auto" w:fill="auto"/>
          </w:tcPr>
          <w:p w14:paraId="336EFEAC">
            <w:pPr>
              <w:rPr>
                <w:rFonts w:ascii="Calibri" w:hAnsi="Calibri"/>
                <w:sz w:val="20"/>
                <w:szCs w:val="20"/>
              </w:rPr>
            </w:pPr>
          </w:p>
        </w:tc>
        <w:tc>
          <w:tcPr>
            <w:tcW w:w="1299" w:type="dxa"/>
            <w:tcBorders>
              <w:top w:val="nil"/>
              <w:left w:val="nil"/>
              <w:bottom w:val="nil"/>
              <w:right w:val="nil"/>
            </w:tcBorders>
            <w:shd w:val="clear" w:color="auto" w:fill="auto"/>
          </w:tcPr>
          <w:p w14:paraId="5BF37850">
            <w:pPr>
              <w:spacing w:line="360" w:lineRule="auto"/>
              <w:rPr>
                <w:rFonts w:ascii="Calibri" w:hAnsi="Calibri"/>
                <w:sz w:val="24"/>
              </w:rPr>
            </w:pPr>
            <w:r>
              <w:rPr>
                <w:rFonts w:hint="eastAsia" w:ascii="Calibri" w:hAnsi="Calibri" w:cs="宋体"/>
                <w:sz w:val="24"/>
                <w:lang w:bidi="ar"/>
              </w:rPr>
              <w:t>治疗后</w:t>
            </w:r>
          </w:p>
        </w:tc>
        <w:tc>
          <w:tcPr>
            <w:tcW w:w="1941" w:type="dxa"/>
            <w:tcBorders>
              <w:top w:val="nil"/>
              <w:left w:val="nil"/>
              <w:bottom w:val="nil"/>
              <w:right w:val="nil"/>
            </w:tcBorders>
            <w:shd w:val="clear" w:color="auto" w:fill="auto"/>
          </w:tcPr>
          <w:p w14:paraId="33EDD35A">
            <w:pPr>
              <w:spacing w:line="360" w:lineRule="auto"/>
              <w:rPr>
                <w:rFonts w:ascii="Calibri" w:hAnsi="Calibri"/>
                <w:sz w:val="24"/>
              </w:rPr>
            </w:pPr>
            <w:r>
              <w:rPr>
                <w:rFonts w:ascii="Calibri" w:hAnsi="Calibri"/>
                <w:sz w:val="24"/>
                <w:lang w:bidi="ar"/>
              </w:rPr>
              <w:t>51.37±3.9</w:t>
            </w:r>
            <w:r>
              <w:rPr>
                <w:rFonts w:ascii="Calibri" w:hAnsi="Calibri"/>
                <w:sz w:val="24"/>
                <w:vertAlign w:val="superscript"/>
                <w:lang w:bidi="ar"/>
              </w:rPr>
              <w:t>*#</w:t>
            </w:r>
          </w:p>
        </w:tc>
        <w:tc>
          <w:tcPr>
            <w:tcW w:w="1763" w:type="dxa"/>
            <w:tcBorders>
              <w:top w:val="nil"/>
              <w:left w:val="nil"/>
              <w:bottom w:val="nil"/>
              <w:right w:val="nil"/>
            </w:tcBorders>
            <w:shd w:val="clear" w:color="auto" w:fill="auto"/>
          </w:tcPr>
          <w:p w14:paraId="39FEAFE2">
            <w:pPr>
              <w:spacing w:line="360" w:lineRule="auto"/>
              <w:rPr>
                <w:rFonts w:ascii="Calibri" w:hAnsi="Calibri"/>
                <w:sz w:val="24"/>
              </w:rPr>
            </w:pPr>
            <w:r>
              <w:rPr>
                <w:rFonts w:ascii="Calibri" w:hAnsi="Calibri"/>
                <w:sz w:val="24"/>
                <w:lang w:bidi="ar"/>
              </w:rPr>
              <w:t>53.33±4.7</w:t>
            </w:r>
            <w:r>
              <w:rPr>
                <w:rFonts w:ascii="Calibri" w:hAnsi="Calibri"/>
                <w:sz w:val="24"/>
                <w:vertAlign w:val="superscript"/>
                <w:lang w:bidi="ar"/>
              </w:rPr>
              <w:t>*#</w:t>
            </w:r>
          </w:p>
        </w:tc>
        <w:tc>
          <w:tcPr>
            <w:tcW w:w="1779" w:type="dxa"/>
            <w:tcBorders>
              <w:top w:val="nil"/>
              <w:left w:val="nil"/>
              <w:bottom w:val="nil"/>
              <w:right w:val="nil"/>
            </w:tcBorders>
            <w:shd w:val="clear" w:color="auto" w:fill="auto"/>
          </w:tcPr>
          <w:p w14:paraId="3CE209A7">
            <w:pPr>
              <w:spacing w:line="360" w:lineRule="auto"/>
              <w:rPr>
                <w:rFonts w:ascii="Calibri" w:hAnsi="Calibri"/>
                <w:sz w:val="24"/>
              </w:rPr>
            </w:pPr>
            <w:r>
              <w:rPr>
                <w:rFonts w:ascii="Calibri" w:hAnsi="Calibri"/>
                <w:sz w:val="24"/>
                <w:lang w:bidi="ar"/>
              </w:rPr>
              <w:t>14.32±4.1</w:t>
            </w:r>
            <w:r>
              <w:rPr>
                <w:rFonts w:ascii="Calibri" w:hAnsi="Calibri"/>
                <w:sz w:val="24"/>
                <w:vertAlign w:val="superscript"/>
                <w:lang w:bidi="ar"/>
              </w:rPr>
              <w:t>*#</w:t>
            </w:r>
          </w:p>
        </w:tc>
      </w:tr>
      <w:tr w14:paraId="66BBBDF6">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1345" w:type="dxa"/>
            <w:vMerge w:val="restart"/>
            <w:tcBorders>
              <w:top w:val="nil"/>
              <w:left w:val="nil"/>
              <w:bottom w:val="single" w:color="auto" w:sz="8" w:space="0"/>
              <w:right w:val="nil"/>
            </w:tcBorders>
            <w:shd w:val="clear" w:color="auto" w:fill="auto"/>
          </w:tcPr>
          <w:p w14:paraId="7AB84E99">
            <w:pPr>
              <w:spacing w:line="360" w:lineRule="auto"/>
              <w:rPr>
                <w:rFonts w:ascii="Calibri" w:hAnsi="Calibri"/>
                <w:sz w:val="24"/>
              </w:rPr>
            </w:pPr>
            <w:r>
              <w:rPr>
                <w:rFonts w:hint="eastAsia" w:ascii="Calibri" w:hAnsi="Calibri" w:cs="宋体"/>
                <w:sz w:val="24"/>
                <w:lang w:bidi="ar"/>
              </w:rPr>
              <w:t>对照组</w:t>
            </w:r>
          </w:p>
        </w:tc>
        <w:tc>
          <w:tcPr>
            <w:tcW w:w="1299" w:type="dxa"/>
            <w:tcBorders>
              <w:top w:val="nil"/>
              <w:left w:val="nil"/>
              <w:bottom w:val="nil"/>
              <w:right w:val="nil"/>
            </w:tcBorders>
            <w:shd w:val="clear" w:color="auto" w:fill="auto"/>
          </w:tcPr>
          <w:p w14:paraId="2B2ABF2B">
            <w:pPr>
              <w:spacing w:line="360" w:lineRule="auto"/>
              <w:rPr>
                <w:rFonts w:ascii="Calibri" w:hAnsi="Calibri"/>
                <w:sz w:val="24"/>
              </w:rPr>
            </w:pPr>
            <w:r>
              <w:rPr>
                <w:rFonts w:hint="eastAsia" w:ascii="Calibri" w:hAnsi="Calibri" w:cs="宋体"/>
                <w:sz w:val="24"/>
                <w:lang w:bidi="ar"/>
              </w:rPr>
              <w:t>治疗前</w:t>
            </w:r>
          </w:p>
        </w:tc>
        <w:tc>
          <w:tcPr>
            <w:tcW w:w="1941" w:type="dxa"/>
            <w:tcBorders>
              <w:top w:val="nil"/>
              <w:left w:val="nil"/>
              <w:bottom w:val="nil"/>
              <w:right w:val="nil"/>
            </w:tcBorders>
            <w:shd w:val="clear" w:color="auto" w:fill="auto"/>
          </w:tcPr>
          <w:p w14:paraId="03BE102A">
            <w:pPr>
              <w:spacing w:line="360" w:lineRule="auto"/>
              <w:rPr>
                <w:rFonts w:ascii="Calibri" w:hAnsi="Calibri"/>
                <w:sz w:val="24"/>
              </w:rPr>
            </w:pPr>
            <w:r>
              <w:rPr>
                <w:rFonts w:ascii="Calibri" w:hAnsi="Calibri"/>
                <w:sz w:val="24"/>
                <w:lang w:bidi="ar"/>
              </w:rPr>
              <w:t>238.41±37.69</w:t>
            </w:r>
          </w:p>
        </w:tc>
        <w:tc>
          <w:tcPr>
            <w:tcW w:w="1763" w:type="dxa"/>
            <w:tcBorders>
              <w:top w:val="nil"/>
              <w:left w:val="nil"/>
              <w:bottom w:val="nil"/>
              <w:right w:val="nil"/>
            </w:tcBorders>
            <w:shd w:val="clear" w:color="auto" w:fill="auto"/>
          </w:tcPr>
          <w:p w14:paraId="39879BD8">
            <w:pPr>
              <w:spacing w:line="360" w:lineRule="auto"/>
              <w:rPr>
                <w:rFonts w:ascii="Calibri" w:hAnsi="Calibri"/>
                <w:sz w:val="24"/>
              </w:rPr>
            </w:pPr>
            <w:r>
              <w:rPr>
                <w:rFonts w:ascii="Calibri" w:hAnsi="Calibri"/>
                <w:sz w:val="24"/>
                <w:lang w:bidi="ar"/>
              </w:rPr>
              <w:t>264.59±53.47</w:t>
            </w:r>
          </w:p>
        </w:tc>
        <w:tc>
          <w:tcPr>
            <w:tcW w:w="1779" w:type="dxa"/>
            <w:tcBorders>
              <w:top w:val="nil"/>
              <w:left w:val="nil"/>
              <w:bottom w:val="nil"/>
              <w:right w:val="nil"/>
            </w:tcBorders>
            <w:shd w:val="clear" w:color="auto" w:fill="auto"/>
          </w:tcPr>
          <w:p w14:paraId="5F7D6452">
            <w:pPr>
              <w:spacing w:line="360" w:lineRule="auto"/>
              <w:rPr>
                <w:rFonts w:ascii="Calibri" w:hAnsi="Calibri"/>
                <w:sz w:val="24"/>
              </w:rPr>
            </w:pPr>
            <w:r>
              <w:rPr>
                <w:rFonts w:ascii="Calibri" w:hAnsi="Calibri"/>
                <w:sz w:val="24"/>
                <w:lang w:bidi="ar"/>
              </w:rPr>
              <w:t>46.17±11.32</w:t>
            </w:r>
          </w:p>
        </w:tc>
      </w:tr>
      <w:tr w14:paraId="071F4B65">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1345" w:type="dxa"/>
            <w:vMerge w:val="continue"/>
            <w:tcBorders>
              <w:top w:val="nil"/>
              <w:left w:val="nil"/>
              <w:bottom w:val="single" w:color="auto" w:sz="8" w:space="0"/>
              <w:right w:val="nil"/>
            </w:tcBorders>
            <w:shd w:val="clear" w:color="auto" w:fill="auto"/>
          </w:tcPr>
          <w:p w14:paraId="544F7A94">
            <w:pPr>
              <w:rPr>
                <w:rFonts w:ascii="Calibri" w:hAnsi="Calibri"/>
                <w:sz w:val="20"/>
                <w:szCs w:val="20"/>
              </w:rPr>
            </w:pPr>
          </w:p>
        </w:tc>
        <w:tc>
          <w:tcPr>
            <w:tcW w:w="1299" w:type="dxa"/>
            <w:tcBorders>
              <w:top w:val="nil"/>
              <w:left w:val="nil"/>
              <w:bottom w:val="single" w:color="auto" w:sz="8" w:space="0"/>
              <w:right w:val="nil"/>
            </w:tcBorders>
            <w:shd w:val="clear" w:color="auto" w:fill="auto"/>
          </w:tcPr>
          <w:p w14:paraId="4E24F800">
            <w:pPr>
              <w:spacing w:line="360" w:lineRule="auto"/>
              <w:rPr>
                <w:rFonts w:ascii="Calibri" w:hAnsi="Calibri"/>
                <w:sz w:val="24"/>
              </w:rPr>
            </w:pPr>
            <w:r>
              <w:rPr>
                <w:rFonts w:hint="eastAsia" w:ascii="Calibri" w:hAnsi="Calibri" w:cs="宋体"/>
                <w:sz w:val="24"/>
                <w:lang w:bidi="ar"/>
              </w:rPr>
              <w:t>治疗后</w:t>
            </w:r>
          </w:p>
        </w:tc>
        <w:tc>
          <w:tcPr>
            <w:tcW w:w="1941" w:type="dxa"/>
            <w:tcBorders>
              <w:top w:val="nil"/>
              <w:left w:val="nil"/>
              <w:bottom w:val="single" w:color="auto" w:sz="8" w:space="0"/>
              <w:right w:val="nil"/>
            </w:tcBorders>
            <w:shd w:val="clear" w:color="auto" w:fill="auto"/>
          </w:tcPr>
          <w:p w14:paraId="406D0337">
            <w:pPr>
              <w:spacing w:line="360" w:lineRule="auto"/>
              <w:rPr>
                <w:rFonts w:ascii="Calibri" w:hAnsi="Calibri"/>
                <w:sz w:val="24"/>
              </w:rPr>
            </w:pPr>
            <w:r>
              <w:rPr>
                <w:rFonts w:ascii="Calibri" w:hAnsi="Calibri"/>
                <w:sz w:val="24"/>
                <w:lang w:bidi="ar"/>
              </w:rPr>
              <w:t>91.32±15.64</w:t>
            </w:r>
            <w:r>
              <w:rPr>
                <w:rFonts w:ascii="Calibri" w:hAnsi="Calibri"/>
                <w:sz w:val="24"/>
                <w:vertAlign w:val="superscript"/>
                <w:lang w:bidi="ar"/>
              </w:rPr>
              <w:t>*#</w:t>
            </w:r>
          </w:p>
        </w:tc>
        <w:tc>
          <w:tcPr>
            <w:tcW w:w="1763" w:type="dxa"/>
            <w:tcBorders>
              <w:top w:val="nil"/>
              <w:left w:val="nil"/>
              <w:bottom w:val="single" w:color="auto" w:sz="8" w:space="0"/>
              <w:right w:val="nil"/>
            </w:tcBorders>
            <w:shd w:val="clear" w:color="auto" w:fill="auto"/>
          </w:tcPr>
          <w:p w14:paraId="65CC716A">
            <w:pPr>
              <w:spacing w:line="360" w:lineRule="auto"/>
              <w:rPr>
                <w:rFonts w:ascii="Calibri" w:hAnsi="Calibri"/>
                <w:sz w:val="24"/>
              </w:rPr>
            </w:pPr>
            <w:r>
              <w:rPr>
                <w:rFonts w:ascii="Calibri" w:hAnsi="Calibri"/>
                <w:sz w:val="24"/>
                <w:lang w:bidi="ar"/>
              </w:rPr>
              <w:t>99.97±16.74</w:t>
            </w:r>
            <w:r>
              <w:rPr>
                <w:rFonts w:ascii="Calibri" w:hAnsi="Calibri"/>
                <w:sz w:val="24"/>
                <w:vertAlign w:val="superscript"/>
                <w:lang w:bidi="ar"/>
              </w:rPr>
              <w:t>*#</w:t>
            </w:r>
          </w:p>
        </w:tc>
        <w:tc>
          <w:tcPr>
            <w:tcW w:w="1779" w:type="dxa"/>
            <w:tcBorders>
              <w:top w:val="nil"/>
              <w:left w:val="nil"/>
              <w:bottom w:val="single" w:color="auto" w:sz="8" w:space="0"/>
              <w:right w:val="nil"/>
            </w:tcBorders>
            <w:shd w:val="clear" w:color="auto" w:fill="auto"/>
          </w:tcPr>
          <w:p w14:paraId="2DD7DA1B">
            <w:pPr>
              <w:spacing w:line="360" w:lineRule="auto"/>
              <w:rPr>
                <w:rFonts w:ascii="Calibri" w:hAnsi="Calibri"/>
                <w:sz w:val="24"/>
              </w:rPr>
            </w:pPr>
            <w:r>
              <w:rPr>
                <w:rFonts w:ascii="Calibri" w:hAnsi="Calibri"/>
                <w:sz w:val="24"/>
                <w:lang w:bidi="ar"/>
              </w:rPr>
              <w:t>22.3±4.9</w:t>
            </w:r>
            <w:r>
              <w:rPr>
                <w:rFonts w:ascii="Calibri" w:hAnsi="Calibri"/>
                <w:sz w:val="24"/>
                <w:vertAlign w:val="superscript"/>
                <w:lang w:bidi="ar"/>
              </w:rPr>
              <w:t>*#</w:t>
            </w:r>
          </w:p>
        </w:tc>
      </w:tr>
    </w:tbl>
    <w:p w14:paraId="0FF499EA">
      <w:pPr>
        <w:spacing w:line="560" w:lineRule="exact"/>
        <w:ind w:firstLine="640" w:firstLineChars="200"/>
        <w:rPr>
          <w:rFonts w:ascii="仿宋_GB2312" w:hAnsi="宋体" w:eastAsia="仿宋_GB2312"/>
          <w:bCs/>
          <w:sz w:val="32"/>
          <w:szCs w:val="32"/>
        </w:rPr>
      </w:pPr>
      <w:r>
        <w:rPr>
          <w:rFonts w:hint="eastAsia" w:ascii="仿宋_GB2312" w:hAnsi="宋体" w:eastAsia="仿宋_GB2312"/>
          <w:sz w:val="32"/>
          <w:szCs w:val="32"/>
        </w:rPr>
        <w:t>此外，标准编制组还进行了《</w:t>
      </w:r>
      <w:r>
        <w:rPr>
          <w:rFonts w:hint="eastAsia" w:ascii="仿宋_GB2312" w:hAnsi="宋体" w:eastAsia="仿宋_GB2312"/>
          <w:bCs/>
          <w:sz w:val="32"/>
          <w:szCs w:val="32"/>
        </w:rPr>
        <w:t>脓毒性肝损伤中西医病机融通中药组方的中药入血成分研究》《脓毒症肝损伤中西医病机融通中药组方的中药入血成分生物信息学研究</w:t>
      </w:r>
      <w:r>
        <w:rPr>
          <w:rFonts w:ascii="仿宋_GB2312" w:hAnsi="宋体" w:eastAsia="仿宋_GB2312"/>
          <w:bCs/>
          <w:sz w:val="32"/>
          <w:szCs w:val="32"/>
        </w:rPr>
        <w:t>》《</w:t>
      </w:r>
      <w:r>
        <w:rPr>
          <w:rFonts w:hint="eastAsia" w:ascii="仿宋_GB2312" w:hAnsi="宋体" w:eastAsia="仿宋_GB2312"/>
          <w:bCs/>
          <w:sz w:val="32"/>
          <w:szCs w:val="32"/>
        </w:rPr>
        <w:t>脓毒性肝损伤中西医病机融通中药组方的动物实验验证疗效研究</w:t>
      </w:r>
      <w:r>
        <w:rPr>
          <w:rFonts w:ascii="仿宋_GB2312" w:hAnsi="宋体" w:eastAsia="仿宋_GB2312"/>
          <w:bCs/>
          <w:sz w:val="32"/>
          <w:szCs w:val="32"/>
        </w:rPr>
        <w:t>》</w:t>
      </w:r>
      <w:r>
        <w:rPr>
          <w:rFonts w:hint="eastAsia" w:ascii="仿宋_GB2312" w:hAnsi="宋体" w:eastAsia="仿宋_GB2312"/>
          <w:bCs/>
          <w:sz w:val="32"/>
          <w:szCs w:val="32"/>
        </w:rPr>
        <w:t>，</w:t>
      </w:r>
      <w:r>
        <w:rPr>
          <w:rFonts w:ascii="仿宋_GB2312" w:hAnsi="宋体" w:eastAsia="仿宋_GB2312"/>
          <w:bCs/>
          <w:sz w:val="32"/>
          <w:szCs w:val="32"/>
        </w:rPr>
        <w:t>见附件</w:t>
      </w:r>
      <w:r>
        <w:rPr>
          <w:rFonts w:hint="eastAsia" w:ascii="仿宋_GB2312" w:hAnsi="宋体" w:eastAsia="仿宋_GB2312"/>
          <w:bCs/>
          <w:sz w:val="32"/>
          <w:szCs w:val="32"/>
        </w:rPr>
        <w:t>1。</w:t>
      </w:r>
    </w:p>
    <w:p w14:paraId="2A3D52E3">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基于</w:t>
      </w:r>
      <w:r>
        <w:rPr>
          <w:rFonts w:ascii="仿宋_GB2312" w:hAnsi="宋体" w:eastAsia="仿宋_GB2312"/>
          <w:sz w:val="32"/>
          <w:szCs w:val="32"/>
        </w:rPr>
        <w:t>前期系列研究，</w:t>
      </w:r>
      <w:r>
        <w:rPr>
          <w:rFonts w:hint="eastAsia" w:ascii="仿宋_GB2312" w:hAnsi="宋体" w:eastAsia="仿宋_GB2312"/>
          <w:sz w:val="32"/>
          <w:szCs w:val="32"/>
        </w:rPr>
        <w:t>明确采用宣痹清营汤进行</w:t>
      </w:r>
      <w:r>
        <w:rPr>
          <w:rFonts w:ascii="仿宋_GB2312" w:hAnsi="宋体" w:eastAsia="仿宋_GB2312"/>
          <w:sz w:val="32"/>
          <w:szCs w:val="32"/>
        </w:rPr>
        <w:t>中医方药救治</w:t>
      </w:r>
      <w:r>
        <w:rPr>
          <w:rFonts w:hint="eastAsia" w:ascii="仿宋_GB2312" w:hAnsi="宋体" w:eastAsia="仿宋_GB2312"/>
          <w:sz w:val="32"/>
          <w:szCs w:val="32"/>
        </w:rPr>
        <w:t>，方中旋覆花、茜草配伍醋郁金、通草宣通肝络、行气解郁，改善肝脏微循环障碍；白芍、赤芍、丹皮、丹参凉血活血，调控炎症因子释放，减轻肝细胞损伤；地骨皮、连翘（连心用）清热解毒，抑制内毒素诱导的全身炎症反应；川芎、当归养血活血，促进肝细胞再生；泽泻、茵陈、栀子、大黄利湿退黄、通腑泄热，加速胆红素及毒素排泄；大豆黄卷、生甘草和中解毒，调节免疫稳态；黄芩、竹茹清肝泄热，降低氧化应激损伤；石菖蒲、淡竹叶开窍醒神，预防肝性脑病。全方融"宣痹通络、清热解毒、凉血化瘀、利湿退黄"于一体，通过调节免疫炎症反应、改善肝脏微循环、促进肝细胞修复等多途径发挥综合治疗作用，体现了中医药"整体调节、多靶点干预"的独特优势。</w:t>
      </w:r>
    </w:p>
    <w:p w14:paraId="4F12C845">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标准编制组结合中西医病机融通救治肝损伤实际，明确了组方中各药材剂量并明确了无明确进食禁忌症，尽早予以100</w:t>
      </w:r>
      <w:r>
        <w:rPr>
          <w:rFonts w:hint="eastAsia" w:ascii="仿宋_GB2312" w:hAnsi="宋体" w:eastAsia="仿宋_GB2312"/>
          <w:sz w:val="32"/>
          <w:szCs w:val="32"/>
          <w:vertAlign w:val="superscript"/>
        </w:rPr>
        <w:t xml:space="preserve"> </w:t>
      </w:r>
      <w:r>
        <w:rPr>
          <w:rFonts w:hint="eastAsia" w:ascii="仿宋_GB2312" w:hAnsi="宋体" w:eastAsia="仿宋_GB2312"/>
          <w:sz w:val="32"/>
          <w:szCs w:val="32"/>
        </w:rPr>
        <w:t>mL/1次，1</w:t>
      </w:r>
      <w:r>
        <w:rPr>
          <w:rFonts w:hint="eastAsia" w:ascii="仿宋_GB2312" w:hAnsi="宋体" w:eastAsia="仿宋_GB2312"/>
          <w:sz w:val="32"/>
          <w:szCs w:val="32"/>
          <w:vertAlign w:val="superscript"/>
        </w:rPr>
        <w:t xml:space="preserve"> </w:t>
      </w:r>
      <w:r>
        <w:rPr>
          <w:rFonts w:hint="eastAsia" w:ascii="仿宋_GB2312" w:hAnsi="宋体" w:eastAsia="仿宋_GB2312"/>
          <w:sz w:val="32"/>
          <w:szCs w:val="32"/>
        </w:rPr>
        <w:t>d/2次鼻饲，鼻饲3</w:t>
      </w:r>
      <w:r>
        <w:rPr>
          <w:rFonts w:hint="eastAsia" w:ascii="仿宋_GB2312" w:hAnsi="宋体" w:eastAsia="仿宋_GB2312"/>
          <w:sz w:val="32"/>
          <w:szCs w:val="32"/>
          <w:vertAlign w:val="superscript"/>
        </w:rPr>
        <w:t xml:space="preserve"> </w:t>
      </w:r>
      <w:r>
        <w:rPr>
          <w:rFonts w:hint="eastAsia" w:ascii="仿宋_GB2312" w:hAnsi="宋体" w:eastAsia="仿宋_GB2312"/>
          <w:sz w:val="32"/>
          <w:szCs w:val="32"/>
        </w:rPr>
        <w:t>d～5</w:t>
      </w:r>
      <w:r>
        <w:rPr>
          <w:rFonts w:hint="eastAsia" w:ascii="仿宋_GB2312" w:hAnsi="宋体" w:eastAsia="仿宋_GB2312"/>
          <w:sz w:val="32"/>
          <w:szCs w:val="32"/>
          <w:vertAlign w:val="superscript"/>
        </w:rPr>
        <w:t xml:space="preserve"> </w:t>
      </w:r>
      <w:r>
        <w:rPr>
          <w:rFonts w:hint="eastAsia" w:ascii="仿宋_GB2312" w:hAnsi="宋体" w:eastAsia="仿宋_GB2312"/>
          <w:sz w:val="32"/>
          <w:szCs w:val="32"/>
        </w:rPr>
        <w:t>d再次予以评估的使用方法。</w:t>
      </w:r>
    </w:p>
    <w:p w14:paraId="26449E03">
      <w:pPr>
        <w:pStyle w:val="43"/>
        <w:numPr>
          <w:ilvl w:val="0"/>
          <w:numId w:val="9"/>
        </w:numPr>
        <w:ind w:firstLineChars="0"/>
        <w:rPr>
          <w:rFonts w:ascii="楷体" w:hAnsi="楷体" w:eastAsia="楷体"/>
          <w:b/>
          <w:sz w:val="32"/>
          <w:szCs w:val="32"/>
        </w:rPr>
      </w:pPr>
      <w:r>
        <w:rPr>
          <w:rFonts w:hint="eastAsia" w:ascii="楷体" w:hAnsi="楷体" w:eastAsia="楷体"/>
          <w:b/>
          <w:sz w:val="32"/>
          <w:szCs w:val="32"/>
        </w:rPr>
        <w:t>注意事项</w:t>
      </w:r>
    </w:p>
    <w:p w14:paraId="40516DB5">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根据标准</w:t>
      </w:r>
      <w:r>
        <w:rPr>
          <w:rFonts w:ascii="仿宋_GB2312" w:hAnsi="宋体" w:eastAsia="仿宋_GB2312"/>
          <w:sz w:val="32"/>
          <w:szCs w:val="32"/>
        </w:rPr>
        <w:t>编制组</w:t>
      </w:r>
      <w:r>
        <w:rPr>
          <w:rFonts w:hint="eastAsia" w:ascii="仿宋_GB2312" w:hAnsi="宋体" w:eastAsia="仿宋_GB2312"/>
          <w:sz w:val="32"/>
          <w:szCs w:val="32"/>
        </w:rPr>
        <w:t>救治</w:t>
      </w:r>
      <w:r>
        <w:rPr>
          <w:rFonts w:ascii="仿宋_GB2312" w:hAnsi="宋体" w:eastAsia="仿宋_GB2312"/>
          <w:sz w:val="32"/>
          <w:szCs w:val="32"/>
        </w:rPr>
        <w:t>工作</w:t>
      </w:r>
      <w:r>
        <w:rPr>
          <w:rFonts w:hint="eastAsia" w:ascii="仿宋_GB2312" w:hAnsi="宋体" w:eastAsia="仿宋_GB2312"/>
          <w:sz w:val="32"/>
          <w:szCs w:val="32"/>
        </w:rPr>
        <w:t>经验，</w:t>
      </w:r>
      <w:r>
        <w:rPr>
          <w:rFonts w:ascii="仿宋_GB2312" w:hAnsi="宋体" w:eastAsia="仿宋_GB2312"/>
          <w:sz w:val="32"/>
          <w:szCs w:val="32"/>
        </w:rPr>
        <w:t>明确</w:t>
      </w:r>
      <w:r>
        <w:rPr>
          <w:rFonts w:hint="eastAsia" w:ascii="仿宋_GB2312" w:hAnsi="宋体" w:eastAsia="仿宋_GB2312"/>
          <w:sz w:val="32"/>
          <w:szCs w:val="32"/>
        </w:rPr>
        <w:t>了对于期识别与动态监测SILI应避免依赖单一指标，要结合胆红素、INR、白蛋白、乳酸清除率及肝脏合成/代谢功能（如凝血因子、胆碱酯酶、血浆氨）综合评估等要求</w:t>
      </w:r>
      <w:r>
        <w:rPr>
          <w:rFonts w:ascii="仿宋_GB2312" w:hAnsi="宋体" w:eastAsia="仿宋_GB2312"/>
          <w:sz w:val="32"/>
          <w:szCs w:val="32"/>
        </w:rPr>
        <w:t>。</w:t>
      </w:r>
    </w:p>
    <w:p w14:paraId="594A7F57">
      <w:pPr>
        <w:pStyle w:val="43"/>
        <w:numPr>
          <w:ilvl w:val="0"/>
          <w:numId w:val="9"/>
        </w:numPr>
        <w:ind w:firstLineChars="0"/>
        <w:rPr>
          <w:rFonts w:ascii="楷体" w:hAnsi="楷体" w:eastAsia="楷体"/>
          <w:b/>
          <w:sz w:val="32"/>
          <w:szCs w:val="32"/>
        </w:rPr>
      </w:pPr>
      <w:r>
        <w:rPr>
          <w:rFonts w:hint="eastAsia" w:ascii="楷体" w:hAnsi="楷体" w:eastAsia="楷体"/>
          <w:b/>
          <w:sz w:val="32"/>
          <w:szCs w:val="32"/>
        </w:rPr>
        <w:t>不良反应处理</w:t>
      </w:r>
    </w:p>
    <w:p w14:paraId="762BB37A">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针对中药治疗脓毒症肝损伤可能出现的腹泻和过敏反应，制定规范化处理措施，以确保用药安全。腹泻处理：减少剂量或暂停用药适用于持续腹泻者，以避免水电解质紊乱；过敏处理：对过敏体质患者应谨慎用药，并密切监测。本方案兼顾临床可操作性及患者安全性，确保中药治疗脓毒症肝损伤的合理应用。</w:t>
      </w:r>
    </w:p>
    <w:p w14:paraId="6C97F1FC">
      <w:pPr>
        <w:spacing w:before="156" w:beforeLines="50" w:after="156" w:afterLines="50" w:line="560" w:lineRule="exact"/>
        <w:ind w:firstLine="640" w:firstLineChars="200"/>
        <w:outlineLvl w:val="0"/>
        <w:rPr>
          <w:rFonts w:ascii="黑体" w:hAnsi="宋体" w:eastAsia="黑体" w:cs="仿宋_GB2312"/>
          <w:sz w:val="32"/>
          <w:szCs w:val="32"/>
        </w:rPr>
      </w:pPr>
      <w:r>
        <w:rPr>
          <w:rFonts w:hint="eastAsia" w:ascii="黑体" w:hAnsi="宋体" w:eastAsia="黑体" w:cs="仿宋_GB2312"/>
          <w:sz w:val="32"/>
          <w:szCs w:val="32"/>
          <w:lang w:bidi="ar"/>
        </w:rPr>
        <w:t>六、重大意见分歧的处理依据和结果</w:t>
      </w:r>
    </w:p>
    <w:p w14:paraId="633EDA10">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lang w:bidi="ar"/>
        </w:rPr>
        <w:t>本标准研制过程中无重大分歧意见。</w:t>
      </w:r>
    </w:p>
    <w:p w14:paraId="042E71B0">
      <w:pPr>
        <w:spacing w:before="156" w:after="156"/>
        <w:ind w:firstLine="640" w:firstLineChars="200"/>
        <w:outlineLvl w:val="0"/>
        <w:rPr>
          <w:rFonts w:ascii="黑体" w:hAnsi="宋体" w:eastAsia="黑体" w:cs="黑体"/>
          <w:bCs/>
          <w:color w:val="FF0000"/>
          <w:sz w:val="32"/>
          <w:szCs w:val="32"/>
        </w:rPr>
      </w:pPr>
      <w:r>
        <w:rPr>
          <w:rFonts w:hint="eastAsia" w:ascii="黑体" w:hAnsi="宋体" w:eastAsia="黑体" w:cs="黑体"/>
          <w:bCs/>
          <w:sz w:val="32"/>
          <w:szCs w:val="32"/>
          <w:lang w:bidi="ar"/>
        </w:rPr>
        <w:t>七、实施标准的措施</w:t>
      </w:r>
    </w:p>
    <w:p w14:paraId="7422A18C">
      <w:pPr>
        <w:spacing w:line="560" w:lineRule="exact"/>
        <w:ind w:firstLine="640" w:firstLineChars="200"/>
        <w:rPr>
          <w:rFonts w:ascii="仿宋_GB2312" w:hAnsi="仿宋" w:eastAsia="仿宋_GB2312" w:cs="仿宋_GB2312"/>
          <w:color w:val="000000"/>
          <w:sz w:val="32"/>
          <w:szCs w:val="32"/>
          <w:lang w:bidi="ar"/>
        </w:rPr>
      </w:pPr>
      <w:r>
        <w:rPr>
          <w:rFonts w:hint="eastAsia" w:ascii="仿宋_GB2312" w:hAnsi="仿宋" w:eastAsia="仿宋_GB2312" w:cs="仿宋_GB2312"/>
          <w:color w:val="000000"/>
          <w:sz w:val="32"/>
          <w:szCs w:val="32"/>
          <w:lang w:bidi="ar"/>
        </w:rPr>
        <w:t>团体标准《脓毒症肝损伤中西医病机融通救治技术规范》发布后，积极向各级相关行政部门、医疗机构宣传，向所有医疗机构推荐执行本标准。</w:t>
      </w:r>
    </w:p>
    <w:p w14:paraId="1BF6992B">
      <w:pPr>
        <w:autoSpaceDE w:val="0"/>
        <w:autoSpaceDN w:val="0"/>
        <w:adjustRightInd w:val="0"/>
        <w:spacing w:before="156" w:beforeLines="50" w:after="156" w:afterLines="50" w:line="560" w:lineRule="exact"/>
        <w:ind w:firstLine="640" w:firstLineChars="200"/>
        <w:outlineLvl w:val="0"/>
        <w:rPr>
          <w:rFonts w:eastAsia="黑体"/>
          <w:sz w:val="32"/>
          <w:szCs w:val="32"/>
        </w:rPr>
      </w:pPr>
      <w:r>
        <w:rPr>
          <w:rFonts w:hint="eastAsia" w:eastAsia="黑体" w:cs="黑体"/>
          <w:sz w:val="32"/>
          <w:szCs w:val="32"/>
          <w:lang w:bidi="ar"/>
        </w:rPr>
        <w:t>八、其他应当说明的事项</w:t>
      </w:r>
    </w:p>
    <w:p w14:paraId="6BE1ADE6">
      <w:pPr>
        <w:widowControl/>
        <w:ind w:firstLine="640" w:firstLineChars="200"/>
        <w:jc w:val="left"/>
      </w:pPr>
      <w:r>
        <w:rPr>
          <w:rFonts w:hint="eastAsia" w:ascii="仿宋_GB2312" w:hAnsi="Calibri" w:eastAsia="仿宋_GB2312"/>
          <w:sz w:val="32"/>
          <w:szCs w:val="32"/>
          <w:lang w:bidi="ar"/>
        </w:rPr>
        <w:t>无。</w:t>
      </w:r>
    </w:p>
    <w:p w14:paraId="477A2E33">
      <w:pPr>
        <w:spacing w:line="560" w:lineRule="exact"/>
        <w:ind w:firstLine="640" w:firstLineChars="200"/>
        <w:rPr>
          <w:rFonts w:ascii="仿宋_GB2312" w:hAnsi="宋体" w:eastAsia="仿宋_GB2312"/>
          <w:sz w:val="32"/>
          <w:szCs w:val="32"/>
        </w:rPr>
      </w:pPr>
    </w:p>
    <w:p w14:paraId="06C2DA34">
      <w:pPr>
        <w:spacing w:line="560" w:lineRule="exact"/>
        <w:ind w:firstLine="960" w:firstLineChars="300"/>
        <w:jc w:val="right"/>
        <w:rPr>
          <w:rFonts w:ascii="仿宋_GB2312" w:hAnsi="宋体" w:eastAsia="仿宋_GB2312"/>
          <w:sz w:val="32"/>
          <w:szCs w:val="32"/>
        </w:rPr>
      </w:pPr>
    </w:p>
    <w:p w14:paraId="4FEBE583">
      <w:pPr>
        <w:spacing w:line="560" w:lineRule="exact"/>
        <w:ind w:firstLine="5120" w:firstLineChars="1600"/>
        <w:jc w:val="left"/>
        <w:rPr>
          <w:rFonts w:ascii="仿宋_GB2312" w:hAnsi="宋体" w:eastAsia="仿宋_GB2312"/>
          <w:sz w:val="32"/>
          <w:szCs w:val="32"/>
        </w:rPr>
      </w:pPr>
      <w:r>
        <w:rPr>
          <w:rFonts w:hint="eastAsia" w:ascii="仿宋_GB2312" w:hAnsi="宋体" w:eastAsia="仿宋_GB2312"/>
          <w:sz w:val="32"/>
          <w:szCs w:val="32"/>
        </w:rPr>
        <w:t>团体标准</w:t>
      </w:r>
    </w:p>
    <w:p w14:paraId="41293614">
      <w:pPr>
        <w:spacing w:line="560" w:lineRule="exact"/>
        <w:ind w:firstLine="960" w:firstLineChars="300"/>
        <w:jc w:val="right"/>
        <w:rPr>
          <w:rFonts w:ascii="仿宋_GB2312" w:hAnsi="宋体" w:eastAsia="仿宋_GB2312"/>
          <w:sz w:val="32"/>
          <w:szCs w:val="32"/>
        </w:rPr>
      </w:pPr>
      <w:r>
        <w:rPr>
          <w:rFonts w:hint="eastAsia" w:ascii="仿宋_GB2312" w:hAnsi="宋体" w:eastAsia="仿宋_GB2312"/>
          <w:sz w:val="32"/>
          <w:szCs w:val="32"/>
        </w:rPr>
        <w:t>《脓毒症肝损伤中西医病机融通</w:t>
      </w:r>
    </w:p>
    <w:p w14:paraId="41E41859">
      <w:pPr>
        <w:spacing w:line="560" w:lineRule="exact"/>
        <w:ind w:firstLine="4800" w:firstLineChars="1500"/>
        <w:jc w:val="left"/>
        <w:rPr>
          <w:rFonts w:ascii="仿宋_GB2312" w:hAnsi="宋体" w:eastAsia="仿宋_GB2312"/>
          <w:sz w:val="32"/>
          <w:szCs w:val="32"/>
        </w:rPr>
      </w:pPr>
      <w:r>
        <w:rPr>
          <w:rFonts w:hint="eastAsia" w:ascii="仿宋_GB2312" w:hAnsi="宋体" w:eastAsia="仿宋_GB2312"/>
          <w:sz w:val="32"/>
          <w:szCs w:val="32"/>
        </w:rPr>
        <w:t>救治技术规范》</w:t>
      </w:r>
    </w:p>
    <w:p w14:paraId="6E2FAA44">
      <w:pPr>
        <w:spacing w:line="560" w:lineRule="exact"/>
        <w:ind w:right="640" w:firstLine="5120" w:firstLineChars="1600"/>
        <w:rPr>
          <w:rFonts w:ascii="仿宋_GB2312" w:hAnsi="宋体" w:eastAsia="仿宋_GB2312"/>
          <w:sz w:val="32"/>
          <w:szCs w:val="32"/>
        </w:rPr>
      </w:pPr>
      <w:r>
        <w:rPr>
          <w:rFonts w:hint="eastAsia" w:ascii="仿宋_GB2312" w:hAnsi="宋体" w:eastAsia="仿宋_GB2312"/>
          <w:sz w:val="32"/>
          <w:szCs w:val="32"/>
        </w:rPr>
        <w:t>标准编制组</w:t>
      </w:r>
    </w:p>
    <w:p w14:paraId="06BF3692">
      <w:pPr>
        <w:spacing w:line="560" w:lineRule="exact"/>
        <w:ind w:right="640" w:firstLine="4800" w:firstLineChars="1500"/>
        <w:rPr>
          <w:rFonts w:ascii="仿宋_GB2312" w:hAnsi="宋体" w:eastAsia="仿宋_GB2312"/>
          <w:sz w:val="32"/>
          <w:szCs w:val="32"/>
        </w:rPr>
      </w:pPr>
      <w:r>
        <w:rPr>
          <w:rFonts w:hint="eastAsia" w:ascii="仿宋_GB2312" w:hAnsi="宋体" w:eastAsia="仿宋_GB2312"/>
          <w:sz w:val="32"/>
          <w:szCs w:val="32"/>
        </w:rPr>
        <w:t>2025年5月16日</w:t>
      </w:r>
    </w:p>
    <w:p w14:paraId="181BB428">
      <w:pPr>
        <w:spacing w:line="560" w:lineRule="exact"/>
        <w:ind w:right="640" w:firstLine="4800" w:firstLineChars="1500"/>
        <w:rPr>
          <w:rFonts w:ascii="仿宋_GB2312" w:hAnsi="宋体" w:eastAsia="仿宋_GB2312"/>
          <w:sz w:val="32"/>
          <w:szCs w:val="32"/>
        </w:rPr>
      </w:pPr>
    </w:p>
    <w:p w14:paraId="7BD0426C">
      <w:pPr>
        <w:spacing w:line="560" w:lineRule="exact"/>
        <w:ind w:right="640" w:firstLine="4800" w:firstLineChars="1500"/>
        <w:rPr>
          <w:rFonts w:ascii="仿宋_GB2312" w:hAnsi="宋体" w:eastAsia="仿宋_GB2312"/>
          <w:sz w:val="32"/>
          <w:szCs w:val="32"/>
        </w:rPr>
      </w:pPr>
    </w:p>
    <w:p w14:paraId="7CC2335F">
      <w:pPr>
        <w:spacing w:line="560" w:lineRule="exact"/>
        <w:ind w:right="640" w:firstLine="4800" w:firstLineChars="1500"/>
        <w:rPr>
          <w:rFonts w:ascii="仿宋_GB2312" w:hAnsi="宋体" w:eastAsia="仿宋_GB2312"/>
          <w:sz w:val="32"/>
          <w:szCs w:val="32"/>
        </w:rPr>
      </w:pPr>
    </w:p>
    <w:p w14:paraId="28612B68">
      <w:pPr>
        <w:spacing w:line="560" w:lineRule="exact"/>
        <w:ind w:right="640" w:firstLine="4800" w:firstLineChars="1500"/>
        <w:rPr>
          <w:rFonts w:ascii="仿宋_GB2312" w:hAnsi="宋体" w:eastAsia="仿宋_GB2312"/>
          <w:sz w:val="32"/>
          <w:szCs w:val="32"/>
        </w:rPr>
      </w:pPr>
    </w:p>
    <w:p w14:paraId="403B710D">
      <w:pPr>
        <w:spacing w:line="560" w:lineRule="exact"/>
        <w:ind w:right="640" w:firstLine="4800" w:firstLineChars="1500"/>
        <w:rPr>
          <w:rFonts w:ascii="仿宋_GB2312" w:hAnsi="宋体" w:eastAsia="仿宋_GB2312"/>
          <w:sz w:val="32"/>
          <w:szCs w:val="32"/>
        </w:rPr>
      </w:pPr>
    </w:p>
    <w:p w14:paraId="130935AF">
      <w:pPr>
        <w:spacing w:line="560" w:lineRule="exact"/>
        <w:ind w:right="640" w:firstLine="4800" w:firstLineChars="1500"/>
        <w:rPr>
          <w:rFonts w:hint="eastAsia" w:ascii="仿宋_GB2312" w:hAnsi="宋体" w:eastAsia="仿宋_GB2312"/>
          <w:sz w:val="32"/>
          <w:szCs w:val="32"/>
        </w:rPr>
      </w:pPr>
    </w:p>
    <w:p w14:paraId="3C25AEB3">
      <w:pPr>
        <w:spacing w:line="560" w:lineRule="exact"/>
        <w:ind w:right="640" w:firstLine="4800" w:firstLineChars="1500"/>
        <w:rPr>
          <w:rFonts w:ascii="仿宋_GB2312" w:hAnsi="宋体" w:eastAsia="仿宋_GB2312"/>
          <w:sz w:val="32"/>
          <w:szCs w:val="32"/>
        </w:rPr>
      </w:pPr>
    </w:p>
    <w:p w14:paraId="220E24C8">
      <w:pPr>
        <w:spacing w:line="560" w:lineRule="exact"/>
        <w:ind w:right="640" w:firstLine="4800" w:firstLineChars="1500"/>
        <w:rPr>
          <w:rFonts w:ascii="仿宋_GB2312" w:hAnsi="宋体" w:eastAsia="仿宋_GB2312"/>
          <w:sz w:val="32"/>
          <w:szCs w:val="32"/>
        </w:rPr>
      </w:pPr>
    </w:p>
    <w:p w14:paraId="61FE9A0E">
      <w:pPr>
        <w:spacing w:line="560" w:lineRule="exact"/>
        <w:ind w:right="640" w:firstLine="4800" w:firstLineChars="1500"/>
        <w:rPr>
          <w:rFonts w:ascii="仿宋_GB2312" w:hAnsi="宋体" w:eastAsia="仿宋_GB2312"/>
          <w:sz w:val="32"/>
          <w:szCs w:val="32"/>
        </w:rPr>
      </w:pPr>
    </w:p>
    <w:p w14:paraId="2DCA8B96">
      <w:pPr>
        <w:spacing w:line="560" w:lineRule="exact"/>
        <w:ind w:right="640"/>
        <w:rPr>
          <w:rFonts w:ascii="仿宋_GB2312" w:hAnsi="宋体" w:eastAsia="仿宋_GB2312"/>
          <w:sz w:val="32"/>
          <w:szCs w:val="32"/>
        </w:rPr>
      </w:pPr>
      <w:r>
        <w:rPr>
          <w:rFonts w:hint="eastAsia" w:ascii="仿宋_GB2312" w:hAnsi="宋体" w:eastAsia="仿宋_GB2312"/>
          <w:sz w:val="32"/>
          <w:szCs w:val="32"/>
        </w:rPr>
        <w:t>附件1</w:t>
      </w:r>
    </w:p>
    <w:p w14:paraId="32E19875">
      <w:pPr>
        <w:spacing w:before="156" w:beforeLines="50" w:line="360" w:lineRule="auto"/>
        <w:jc w:val="center"/>
        <w:outlineLvl w:val="2"/>
        <w:rPr>
          <w:rFonts w:cs="宋体"/>
          <w:b/>
          <w:bCs/>
          <w:sz w:val="24"/>
          <w:szCs w:val="32"/>
          <w:lang w:bidi="ar"/>
        </w:rPr>
      </w:pPr>
      <w:r>
        <w:rPr>
          <w:rFonts w:hint="eastAsia" w:cs="宋体"/>
          <w:b/>
          <w:bCs/>
          <w:sz w:val="24"/>
          <w:szCs w:val="32"/>
          <w:lang w:bidi="ar"/>
        </w:rPr>
        <w:t>脓毒性肝损伤中西医病机融通中药组方的中药入血成分研究</w:t>
      </w:r>
    </w:p>
    <w:p w14:paraId="5D41E936">
      <w:pPr>
        <w:spacing w:line="360" w:lineRule="auto"/>
        <w:rPr>
          <w:sz w:val="24"/>
          <w:szCs w:val="32"/>
        </w:rPr>
      </w:pPr>
      <w:r>
        <w:rPr>
          <w:rFonts w:hint="eastAsia" w:cs="宋体"/>
          <w:sz w:val="24"/>
          <w:szCs w:val="32"/>
          <w:lang w:bidi="ar"/>
        </w:rPr>
        <w:t>一、资料与方法</w:t>
      </w:r>
    </w:p>
    <w:p w14:paraId="55B92598">
      <w:pPr>
        <w:spacing w:line="360" w:lineRule="auto"/>
        <w:rPr>
          <w:sz w:val="24"/>
          <w:szCs w:val="32"/>
        </w:rPr>
      </w:pPr>
      <w:r>
        <w:rPr>
          <w:rFonts w:hint="eastAsia" w:cs="宋体"/>
          <w:sz w:val="24"/>
          <w:szCs w:val="32"/>
          <w:lang w:bidi="ar"/>
        </w:rPr>
        <w:t>（</w:t>
      </w:r>
      <w:r>
        <w:rPr>
          <w:sz w:val="24"/>
          <w:szCs w:val="32"/>
          <w:lang w:bidi="ar"/>
        </w:rPr>
        <w:t>1</w:t>
      </w:r>
      <w:r>
        <w:rPr>
          <w:rFonts w:hint="eastAsia" w:cs="宋体"/>
          <w:sz w:val="24"/>
          <w:szCs w:val="32"/>
          <w:lang w:bidi="ar"/>
        </w:rPr>
        <w:t>）实验动物</w:t>
      </w:r>
    </w:p>
    <w:p w14:paraId="66AAD4D2">
      <w:pPr>
        <w:spacing w:line="360" w:lineRule="auto"/>
        <w:ind w:firstLine="480" w:firstLineChars="200"/>
        <w:rPr>
          <w:sz w:val="24"/>
          <w:szCs w:val="32"/>
          <w:highlight w:val="red"/>
        </w:rPr>
      </w:pPr>
      <w:r>
        <w:rPr>
          <w:rFonts w:hint="eastAsia" w:cs="宋体"/>
          <w:sz w:val="24"/>
          <w:szCs w:val="22"/>
          <w:lang w:bidi="ar"/>
        </w:rPr>
        <w:t>选取</w:t>
      </w:r>
      <w:r>
        <w:rPr>
          <w:sz w:val="24"/>
          <w:szCs w:val="22"/>
          <w:lang w:bidi="ar"/>
        </w:rPr>
        <w:t>6</w:t>
      </w:r>
      <w:r>
        <w:rPr>
          <w:rFonts w:hint="eastAsia" w:cs="宋体"/>
          <w:sz w:val="24"/>
          <w:szCs w:val="22"/>
          <w:lang w:bidi="ar"/>
        </w:rPr>
        <w:t>只</w:t>
      </w:r>
      <w:r>
        <w:rPr>
          <w:sz w:val="24"/>
          <w:szCs w:val="22"/>
          <w:lang w:bidi="ar"/>
        </w:rPr>
        <w:t>SD</w:t>
      </w:r>
      <w:r>
        <w:rPr>
          <w:rFonts w:hint="eastAsia" w:cs="宋体"/>
          <w:sz w:val="24"/>
          <w:szCs w:val="22"/>
          <w:lang w:bidi="ar"/>
        </w:rPr>
        <w:t>雄性</w:t>
      </w:r>
      <w:r>
        <w:rPr>
          <w:sz w:val="24"/>
          <w:szCs w:val="22"/>
          <w:lang w:bidi="ar"/>
        </w:rPr>
        <w:t>6-8</w:t>
      </w:r>
      <w:r>
        <w:rPr>
          <w:rFonts w:hint="eastAsia" w:cs="宋体"/>
          <w:sz w:val="24"/>
          <w:szCs w:val="22"/>
          <w:lang w:bidi="ar"/>
        </w:rPr>
        <w:t>周龄大鼠，体重</w:t>
      </w:r>
      <w:r>
        <w:rPr>
          <w:sz w:val="24"/>
          <w:szCs w:val="22"/>
          <w:lang w:bidi="ar"/>
        </w:rPr>
        <w:t>180~220g</w:t>
      </w:r>
      <w:r>
        <w:rPr>
          <w:rFonts w:hint="eastAsia" w:cs="宋体"/>
          <w:sz w:val="24"/>
          <w:szCs w:val="22"/>
          <w:lang w:bidi="ar"/>
        </w:rPr>
        <w:t>，均购自湖南斯莱克景达实验动物有限公司。实验前在良好的饲养环境（温度</w:t>
      </w:r>
      <w:r>
        <w:rPr>
          <w:sz w:val="24"/>
          <w:szCs w:val="22"/>
          <w:lang w:bidi="ar"/>
        </w:rPr>
        <w:t>20~26℃</w:t>
      </w:r>
      <w:r>
        <w:rPr>
          <w:rFonts w:hint="eastAsia" w:cs="宋体"/>
          <w:sz w:val="24"/>
          <w:szCs w:val="22"/>
          <w:lang w:bidi="ar"/>
        </w:rPr>
        <w:t>、湿度</w:t>
      </w:r>
      <w:r>
        <w:rPr>
          <w:sz w:val="24"/>
          <w:szCs w:val="22"/>
          <w:lang w:bidi="ar"/>
        </w:rPr>
        <w:t>50% ~60%</w:t>
      </w:r>
      <w:r>
        <w:rPr>
          <w:rFonts w:hint="eastAsia" w:cs="宋体"/>
          <w:sz w:val="24"/>
          <w:szCs w:val="22"/>
          <w:lang w:bidi="ar"/>
        </w:rPr>
        <w:t>）下适应性喂养</w:t>
      </w:r>
      <w:r>
        <w:rPr>
          <w:sz w:val="24"/>
          <w:szCs w:val="22"/>
          <w:lang w:bidi="ar"/>
        </w:rPr>
        <w:t>7 d</w:t>
      </w:r>
      <w:r>
        <w:rPr>
          <w:rFonts w:hint="eastAsia" w:cs="宋体"/>
          <w:sz w:val="24"/>
          <w:szCs w:val="22"/>
          <w:lang w:bidi="ar"/>
        </w:rPr>
        <w:t>，自由进食进水。采用随机数字表法，将</w:t>
      </w:r>
      <w:r>
        <w:rPr>
          <w:sz w:val="24"/>
          <w:szCs w:val="22"/>
          <w:lang w:bidi="ar"/>
        </w:rPr>
        <w:t>6</w:t>
      </w:r>
      <w:r>
        <w:rPr>
          <w:rFonts w:hint="eastAsia" w:cs="宋体"/>
          <w:sz w:val="24"/>
          <w:szCs w:val="22"/>
          <w:lang w:bidi="ar"/>
        </w:rPr>
        <w:t>只大鼠随机分为宣痹温胆汤入血成分测定空白组、宣痹温胆汤入血成分测定中药组，每组各</w:t>
      </w:r>
      <w:r>
        <w:rPr>
          <w:sz w:val="24"/>
          <w:szCs w:val="22"/>
          <w:lang w:bidi="ar"/>
        </w:rPr>
        <w:t>3</w:t>
      </w:r>
      <w:r>
        <w:rPr>
          <w:rFonts w:hint="eastAsia" w:cs="宋体"/>
          <w:sz w:val="24"/>
          <w:szCs w:val="22"/>
          <w:lang w:bidi="ar"/>
        </w:rPr>
        <w:t>只。本实验获得广西中医药大学动物伦理委员会批准，所有实验动物均按照中华人民共和国科技部</w:t>
      </w:r>
      <w:r>
        <w:rPr>
          <w:sz w:val="24"/>
          <w:szCs w:val="22"/>
          <w:lang w:bidi="ar"/>
        </w:rPr>
        <w:t>2006</w:t>
      </w:r>
      <w:r>
        <w:rPr>
          <w:rFonts w:hint="eastAsia" w:cs="宋体"/>
          <w:sz w:val="24"/>
          <w:szCs w:val="22"/>
          <w:lang w:bidi="ar"/>
        </w:rPr>
        <w:t>年颁布的《关于善待实验动物的指导性意见》中的相关规定进行合理操作。</w:t>
      </w:r>
    </w:p>
    <w:p w14:paraId="79195E94">
      <w:pPr>
        <w:spacing w:line="360" w:lineRule="auto"/>
        <w:rPr>
          <w:sz w:val="24"/>
          <w:szCs w:val="32"/>
        </w:rPr>
      </w:pPr>
      <w:r>
        <w:rPr>
          <w:rFonts w:hint="eastAsia" w:cs="宋体"/>
          <w:sz w:val="24"/>
          <w:szCs w:val="32"/>
          <w:lang w:bidi="ar"/>
        </w:rPr>
        <w:t>（</w:t>
      </w:r>
      <w:r>
        <w:rPr>
          <w:sz w:val="24"/>
          <w:szCs w:val="32"/>
          <w:lang w:bidi="ar"/>
        </w:rPr>
        <w:t>2</w:t>
      </w:r>
      <w:r>
        <w:rPr>
          <w:rFonts w:hint="eastAsia" w:cs="宋体"/>
          <w:sz w:val="24"/>
          <w:szCs w:val="32"/>
          <w:lang w:bidi="ar"/>
        </w:rPr>
        <w:t>）实验药物</w:t>
      </w:r>
    </w:p>
    <w:p w14:paraId="646E0C59">
      <w:pPr>
        <w:spacing w:before="156" w:beforeLines="50" w:line="360" w:lineRule="auto"/>
        <w:ind w:firstLine="480" w:firstLineChars="200"/>
        <w:rPr>
          <w:sz w:val="24"/>
          <w:szCs w:val="22"/>
        </w:rPr>
      </w:pPr>
      <w:r>
        <w:rPr>
          <w:rFonts w:hint="eastAsia" w:cs="宋体"/>
          <w:sz w:val="24"/>
          <w:lang w:bidi="ar"/>
        </w:rPr>
        <w:t>宣痹清营汤</w:t>
      </w:r>
      <w:r>
        <w:rPr>
          <w:rFonts w:hint="eastAsia" w:cs="宋体"/>
          <w:sz w:val="24"/>
          <w:szCs w:val="22"/>
          <w:lang w:bidi="ar"/>
        </w:rPr>
        <w:t>：</w:t>
      </w:r>
      <w:r>
        <w:rPr>
          <w:rFonts w:hint="eastAsia" w:cs="宋体"/>
          <w:sz w:val="24"/>
          <w:lang w:bidi="ar"/>
        </w:rPr>
        <w:t>旋覆花</w:t>
      </w:r>
      <w:r>
        <w:rPr>
          <w:sz w:val="24"/>
          <w:lang w:bidi="ar"/>
        </w:rPr>
        <w:t>15g</w:t>
      </w:r>
      <w:r>
        <w:rPr>
          <w:rFonts w:hint="eastAsia" w:cs="宋体"/>
          <w:sz w:val="24"/>
          <w:lang w:bidi="ar"/>
        </w:rPr>
        <w:t>、茜草</w:t>
      </w:r>
      <w:r>
        <w:rPr>
          <w:sz w:val="24"/>
          <w:lang w:bidi="ar"/>
        </w:rPr>
        <w:t>15g</w:t>
      </w:r>
      <w:r>
        <w:rPr>
          <w:rFonts w:hint="eastAsia" w:cs="宋体"/>
          <w:sz w:val="24"/>
          <w:lang w:bidi="ar"/>
        </w:rPr>
        <w:t>、醋郁金</w:t>
      </w:r>
      <w:r>
        <w:rPr>
          <w:sz w:val="24"/>
          <w:lang w:bidi="ar"/>
        </w:rPr>
        <w:t>15g</w:t>
      </w:r>
      <w:r>
        <w:rPr>
          <w:rFonts w:hint="eastAsia" w:cs="宋体"/>
          <w:sz w:val="24"/>
          <w:lang w:bidi="ar"/>
        </w:rPr>
        <w:t>、通草</w:t>
      </w:r>
      <w:r>
        <w:rPr>
          <w:sz w:val="24"/>
          <w:lang w:bidi="ar"/>
        </w:rPr>
        <w:t>6g</w:t>
      </w:r>
      <w:r>
        <w:rPr>
          <w:rFonts w:hint="eastAsia" w:cs="宋体"/>
          <w:sz w:val="24"/>
          <w:lang w:bidi="ar"/>
        </w:rPr>
        <w:t>、白芍</w:t>
      </w:r>
      <w:r>
        <w:rPr>
          <w:sz w:val="24"/>
          <w:lang w:bidi="ar"/>
        </w:rPr>
        <w:t>30g</w:t>
      </w:r>
      <w:r>
        <w:rPr>
          <w:rFonts w:hint="eastAsia" w:cs="宋体"/>
          <w:sz w:val="24"/>
          <w:lang w:bidi="ar"/>
        </w:rPr>
        <w:t>、赤芍</w:t>
      </w:r>
      <w:r>
        <w:rPr>
          <w:sz w:val="24"/>
          <w:lang w:bidi="ar"/>
        </w:rPr>
        <w:t>30g</w:t>
      </w:r>
      <w:r>
        <w:rPr>
          <w:rFonts w:hint="eastAsia" w:cs="宋体"/>
          <w:sz w:val="24"/>
          <w:lang w:bidi="ar"/>
        </w:rPr>
        <w:t>、丹皮</w:t>
      </w:r>
      <w:r>
        <w:rPr>
          <w:sz w:val="24"/>
          <w:lang w:bidi="ar"/>
        </w:rPr>
        <w:t>15g</w:t>
      </w:r>
      <w:r>
        <w:rPr>
          <w:rFonts w:hint="eastAsia" w:cs="宋体"/>
          <w:sz w:val="24"/>
          <w:lang w:bidi="ar"/>
        </w:rPr>
        <w:t>、丹参</w:t>
      </w:r>
      <w:r>
        <w:rPr>
          <w:sz w:val="24"/>
          <w:lang w:bidi="ar"/>
        </w:rPr>
        <w:t>20g</w:t>
      </w:r>
      <w:r>
        <w:rPr>
          <w:rFonts w:hint="eastAsia" w:cs="宋体"/>
          <w:sz w:val="24"/>
          <w:lang w:bidi="ar"/>
        </w:rPr>
        <w:t>、地骨皮</w:t>
      </w:r>
      <w:r>
        <w:rPr>
          <w:sz w:val="24"/>
          <w:lang w:bidi="ar"/>
        </w:rPr>
        <w:t>30g</w:t>
      </w:r>
      <w:r>
        <w:rPr>
          <w:rFonts w:hint="eastAsia" w:cs="宋体"/>
          <w:sz w:val="24"/>
          <w:lang w:bidi="ar"/>
        </w:rPr>
        <w:t>、连翘（连心用）</w:t>
      </w:r>
      <w:r>
        <w:rPr>
          <w:sz w:val="24"/>
          <w:lang w:bidi="ar"/>
        </w:rPr>
        <w:t>15g</w:t>
      </w:r>
      <w:r>
        <w:rPr>
          <w:rFonts w:hint="eastAsia" w:cs="宋体"/>
          <w:sz w:val="24"/>
          <w:lang w:bidi="ar"/>
        </w:rPr>
        <w:t>、川芎</w:t>
      </w:r>
      <w:r>
        <w:rPr>
          <w:sz w:val="24"/>
          <w:lang w:bidi="ar"/>
        </w:rPr>
        <w:t>10g</w:t>
      </w:r>
      <w:r>
        <w:rPr>
          <w:rFonts w:hint="eastAsia" w:cs="宋体"/>
          <w:sz w:val="24"/>
          <w:lang w:bidi="ar"/>
        </w:rPr>
        <w:t>、当归</w:t>
      </w:r>
      <w:r>
        <w:rPr>
          <w:sz w:val="24"/>
          <w:lang w:bidi="ar"/>
        </w:rPr>
        <w:t>6g</w:t>
      </w:r>
      <w:r>
        <w:rPr>
          <w:rFonts w:hint="eastAsia" w:cs="宋体"/>
          <w:sz w:val="24"/>
          <w:lang w:bidi="ar"/>
        </w:rPr>
        <w:t>、泽泻</w:t>
      </w:r>
      <w:r>
        <w:rPr>
          <w:sz w:val="24"/>
          <w:lang w:bidi="ar"/>
        </w:rPr>
        <w:t>30g</w:t>
      </w:r>
      <w:r>
        <w:rPr>
          <w:rFonts w:hint="eastAsia" w:cs="宋体"/>
          <w:sz w:val="24"/>
          <w:lang w:bidi="ar"/>
        </w:rPr>
        <w:t>、茵陈</w:t>
      </w:r>
      <w:r>
        <w:rPr>
          <w:sz w:val="24"/>
          <w:lang w:bidi="ar"/>
        </w:rPr>
        <w:t>30g</w:t>
      </w:r>
      <w:r>
        <w:rPr>
          <w:rFonts w:hint="eastAsia" w:cs="宋体"/>
          <w:sz w:val="24"/>
          <w:lang w:bidi="ar"/>
        </w:rPr>
        <w:t>、栀子</w:t>
      </w:r>
      <w:r>
        <w:rPr>
          <w:sz w:val="24"/>
          <w:lang w:bidi="ar"/>
        </w:rPr>
        <w:t>10g</w:t>
      </w:r>
      <w:r>
        <w:rPr>
          <w:rFonts w:hint="eastAsia" w:cs="宋体"/>
          <w:sz w:val="24"/>
          <w:lang w:bidi="ar"/>
        </w:rPr>
        <w:t>、大黄</w:t>
      </w:r>
      <w:r>
        <w:rPr>
          <w:sz w:val="24"/>
          <w:lang w:bidi="ar"/>
        </w:rPr>
        <w:t>10g</w:t>
      </w:r>
      <w:r>
        <w:rPr>
          <w:rFonts w:hint="eastAsia" w:cs="宋体"/>
          <w:sz w:val="24"/>
          <w:lang w:bidi="ar"/>
        </w:rPr>
        <w:t>、大豆黄卷</w:t>
      </w:r>
      <w:r>
        <w:rPr>
          <w:sz w:val="24"/>
          <w:lang w:bidi="ar"/>
        </w:rPr>
        <w:t>15g</w:t>
      </w:r>
      <w:r>
        <w:rPr>
          <w:rFonts w:hint="eastAsia" w:cs="宋体"/>
          <w:sz w:val="24"/>
          <w:lang w:bidi="ar"/>
        </w:rPr>
        <w:t>、生甘草</w:t>
      </w:r>
      <w:r>
        <w:rPr>
          <w:sz w:val="24"/>
          <w:lang w:bidi="ar"/>
        </w:rPr>
        <w:t>10g</w:t>
      </w:r>
      <w:r>
        <w:rPr>
          <w:rFonts w:hint="eastAsia" w:cs="宋体"/>
          <w:sz w:val="24"/>
          <w:lang w:bidi="ar"/>
        </w:rPr>
        <w:t>、黄芩</w:t>
      </w:r>
      <w:r>
        <w:rPr>
          <w:sz w:val="24"/>
          <w:lang w:bidi="ar"/>
        </w:rPr>
        <w:t>10g</w:t>
      </w:r>
      <w:r>
        <w:rPr>
          <w:rFonts w:hint="eastAsia" w:cs="宋体"/>
          <w:sz w:val="24"/>
          <w:lang w:bidi="ar"/>
        </w:rPr>
        <w:t>、竹茹</w:t>
      </w:r>
      <w:r>
        <w:rPr>
          <w:sz w:val="24"/>
          <w:lang w:bidi="ar"/>
        </w:rPr>
        <w:t>15g</w:t>
      </w:r>
      <w:r>
        <w:rPr>
          <w:rFonts w:hint="eastAsia" w:cs="宋体"/>
          <w:sz w:val="24"/>
          <w:lang w:bidi="ar"/>
        </w:rPr>
        <w:t>、枳实</w:t>
      </w:r>
      <w:r>
        <w:rPr>
          <w:sz w:val="24"/>
          <w:lang w:bidi="ar"/>
        </w:rPr>
        <w:t>15g</w:t>
      </w:r>
      <w:r>
        <w:rPr>
          <w:rFonts w:hint="eastAsia" w:cs="宋体"/>
          <w:sz w:val="24"/>
          <w:lang w:bidi="ar"/>
        </w:rPr>
        <w:t>、陈皮</w:t>
      </w:r>
      <w:r>
        <w:rPr>
          <w:sz w:val="24"/>
          <w:lang w:bidi="ar"/>
        </w:rPr>
        <w:t>10g</w:t>
      </w:r>
      <w:r>
        <w:rPr>
          <w:rFonts w:hint="eastAsia" w:cs="宋体"/>
          <w:sz w:val="24"/>
          <w:lang w:bidi="ar"/>
        </w:rPr>
        <w:t>、石菖蒲</w:t>
      </w:r>
      <w:r>
        <w:rPr>
          <w:sz w:val="24"/>
          <w:lang w:bidi="ar"/>
        </w:rPr>
        <w:t>15g</w:t>
      </w:r>
      <w:r>
        <w:rPr>
          <w:rFonts w:hint="eastAsia" w:cs="宋体"/>
          <w:sz w:val="24"/>
          <w:lang w:bidi="ar"/>
        </w:rPr>
        <w:t>、淡竹叶</w:t>
      </w:r>
      <w:r>
        <w:rPr>
          <w:sz w:val="24"/>
          <w:lang w:bidi="ar"/>
        </w:rPr>
        <w:t>10g</w:t>
      </w:r>
      <w:r>
        <w:rPr>
          <w:rFonts w:hint="eastAsia" w:cs="宋体"/>
          <w:sz w:val="24"/>
          <w:szCs w:val="22"/>
          <w:lang w:bidi="ar"/>
        </w:rPr>
        <w:t>。以上中药均由广西中医药大学第一附属医院门诊中药房提供。制备方法：将上述中药浸泡于</w:t>
      </w:r>
      <w:r>
        <w:rPr>
          <w:sz w:val="24"/>
          <w:szCs w:val="22"/>
          <w:lang w:bidi="ar"/>
        </w:rPr>
        <w:t>5</w:t>
      </w:r>
      <w:r>
        <w:rPr>
          <w:rFonts w:hint="eastAsia" w:cs="宋体"/>
          <w:sz w:val="24"/>
          <w:szCs w:val="22"/>
          <w:lang w:bidi="ar"/>
        </w:rPr>
        <w:t>倍体积水中浸泡</w:t>
      </w:r>
      <w:r>
        <w:rPr>
          <w:sz w:val="24"/>
          <w:szCs w:val="22"/>
          <w:lang w:bidi="ar"/>
        </w:rPr>
        <w:t>1h</w:t>
      </w:r>
      <w:r>
        <w:rPr>
          <w:rFonts w:hint="eastAsia" w:cs="宋体"/>
          <w:sz w:val="24"/>
          <w:szCs w:val="22"/>
          <w:lang w:bidi="ar"/>
        </w:rPr>
        <w:t>，武火煎煮</w:t>
      </w:r>
      <w:r>
        <w:rPr>
          <w:sz w:val="24"/>
          <w:szCs w:val="22"/>
          <w:lang w:bidi="ar"/>
        </w:rPr>
        <w:t>10min</w:t>
      </w:r>
      <w:r>
        <w:rPr>
          <w:rFonts w:hint="eastAsia" w:cs="宋体"/>
          <w:sz w:val="24"/>
          <w:szCs w:val="22"/>
          <w:lang w:bidi="ar"/>
        </w:rPr>
        <w:t>，文火再煎煮</w:t>
      </w:r>
      <w:r>
        <w:rPr>
          <w:sz w:val="24"/>
          <w:szCs w:val="22"/>
          <w:lang w:bidi="ar"/>
        </w:rPr>
        <w:t>20min</w:t>
      </w:r>
      <w:r>
        <w:rPr>
          <w:rFonts w:hint="eastAsia" w:cs="宋体"/>
          <w:sz w:val="24"/>
          <w:szCs w:val="22"/>
          <w:lang w:bidi="ar"/>
        </w:rPr>
        <w:t>后过滤；再加入</w:t>
      </w:r>
      <w:r>
        <w:rPr>
          <w:sz w:val="24"/>
          <w:szCs w:val="22"/>
          <w:lang w:bidi="ar"/>
        </w:rPr>
        <w:t>3</w:t>
      </w:r>
      <w:r>
        <w:rPr>
          <w:rFonts w:hint="eastAsia" w:cs="宋体"/>
          <w:sz w:val="24"/>
          <w:szCs w:val="22"/>
          <w:lang w:bidi="ar"/>
        </w:rPr>
        <w:t>倍水煎煮</w:t>
      </w:r>
      <w:r>
        <w:rPr>
          <w:sz w:val="24"/>
          <w:szCs w:val="22"/>
          <w:lang w:bidi="ar"/>
        </w:rPr>
        <w:t xml:space="preserve"> 20min </w:t>
      </w:r>
      <w:r>
        <w:rPr>
          <w:rFonts w:hint="eastAsia" w:cs="宋体"/>
          <w:sz w:val="24"/>
          <w:szCs w:val="22"/>
          <w:lang w:bidi="ar"/>
        </w:rPr>
        <w:t>后过滤，两次过滤后的汤剂予以混合并浓缩至</w:t>
      </w:r>
      <w:r>
        <w:rPr>
          <w:sz w:val="24"/>
          <w:szCs w:val="22"/>
          <w:lang w:bidi="ar"/>
        </w:rPr>
        <w:t>2.04758</w:t>
      </w:r>
      <w:r>
        <w:rPr>
          <w:rFonts w:hint="eastAsia" w:cs="宋体"/>
          <w:sz w:val="24"/>
          <w:szCs w:val="22"/>
          <w:lang w:bidi="ar"/>
        </w:rPr>
        <w:t>生药</w:t>
      </w:r>
      <w:r>
        <w:rPr>
          <w:sz w:val="24"/>
          <w:szCs w:val="22"/>
          <w:lang w:bidi="ar"/>
        </w:rPr>
        <w:t>/mL</w:t>
      </w:r>
      <w:r>
        <w:rPr>
          <w:rFonts w:hint="eastAsia" w:cs="宋体"/>
          <w:sz w:val="24"/>
          <w:szCs w:val="22"/>
          <w:lang w:bidi="ar"/>
        </w:rPr>
        <w:t>药液。此外，将</w:t>
      </w:r>
      <w:r>
        <w:rPr>
          <w:sz w:val="24"/>
          <w:szCs w:val="22"/>
          <w:lang w:bidi="ar"/>
        </w:rPr>
        <w:t>10mL</w:t>
      </w:r>
      <w:r>
        <w:rPr>
          <w:rFonts w:hint="eastAsia" w:cs="宋体"/>
          <w:sz w:val="24"/>
          <w:szCs w:val="22"/>
          <w:lang w:bidi="ar"/>
        </w:rPr>
        <w:t>的宣痹温胆汤中药原液置于</w:t>
      </w:r>
      <w:r>
        <w:rPr>
          <w:sz w:val="24"/>
          <w:szCs w:val="22"/>
          <w:lang w:bidi="ar"/>
        </w:rPr>
        <w:t>4℃</w:t>
      </w:r>
      <w:r>
        <w:rPr>
          <w:rFonts w:hint="eastAsia" w:cs="宋体"/>
          <w:sz w:val="24"/>
          <w:szCs w:val="22"/>
          <w:lang w:bidi="ar"/>
        </w:rPr>
        <w:t>冰箱，以便后续中药化学成分检测分析。</w:t>
      </w:r>
    </w:p>
    <w:p w14:paraId="6C5BB6CE">
      <w:pPr>
        <w:spacing w:line="360" w:lineRule="auto"/>
        <w:rPr>
          <w:sz w:val="24"/>
          <w:szCs w:val="32"/>
        </w:rPr>
      </w:pPr>
      <w:r>
        <w:rPr>
          <w:rFonts w:hint="eastAsia" w:cs="宋体"/>
          <w:sz w:val="24"/>
          <w:szCs w:val="32"/>
          <w:lang w:bidi="ar"/>
        </w:rPr>
        <w:t>（</w:t>
      </w:r>
      <w:r>
        <w:rPr>
          <w:sz w:val="24"/>
          <w:szCs w:val="32"/>
          <w:lang w:bidi="ar"/>
        </w:rPr>
        <w:t>3</w:t>
      </w:r>
      <w:r>
        <w:rPr>
          <w:rFonts w:hint="eastAsia" w:cs="宋体"/>
          <w:sz w:val="24"/>
          <w:szCs w:val="32"/>
          <w:lang w:bidi="ar"/>
        </w:rPr>
        <w:t>）主要实验仪器与试剂</w:t>
      </w:r>
    </w:p>
    <w:p w14:paraId="7DAE1E09">
      <w:pPr>
        <w:spacing w:line="500" w:lineRule="exact"/>
        <w:ind w:firstLine="720" w:firstLineChars="300"/>
        <w:rPr>
          <w:sz w:val="24"/>
          <w:szCs w:val="32"/>
        </w:rPr>
      </w:pPr>
      <w:r>
        <w:rPr>
          <w:sz w:val="24"/>
          <w:szCs w:val="22"/>
          <w:lang w:bidi="ar"/>
        </w:rPr>
        <w:t>10%</w:t>
      </w:r>
      <w:r>
        <w:rPr>
          <w:rFonts w:hint="eastAsia" w:cs="宋体"/>
          <w:sz w:val="24"/>
          <w:szCs w:val="22"/>
          <w:lang w:bidi="ar"/>
        </w:rPr>
        <w:t>水合氯醛（福州韦伯康生物科技公司）、生理盐水（青岛海博生物技术有限公司）、碘伏（唐派医疗有限公司）、酒精（唐派医疗有限公司）、</w:t>
      </w:r>
      <w:r>
        <w:rPr>
          <w:sz w:val="24"/>
          <w:szCs w:val="22"/>
          <w:lang w:bidi="ar"/>
        </w:rPr>
        <w:t>LC-MS/MS</w:t>
      </w:r>
      <w:r>
        <w:rPr>
          <w:rFonts w:hint="eastAsia" w:cs="宋体"/>
          <w:sz w:val="24"/>
          <w:szCs w:val="22"/>
          <w:lang w:bidi="ar"/>
        </w:rPr>
        <w:t>系统组合型四极杆</w:t>
      </w:r>
      <w:r>
        <w:rPr>
          <w:sz w:val="24"/>
          <w:szCs w:val="22"/>
          <w:lang w:bidi="ar"/>
        </w:rPr>
        <w:t>Orbitrap</w:t>
      </w:r>
      <w:r>
        <w:rPr>
          <w:rFonts w:hint="eastAsia" w:cs="宋体"/>
          <w:sz w:val="24"/>
          <w:szCs w:val="22"/>
          <w:lang w:bidi="ar"/>
        </w:rPr>
        <w:t>质谱仪（美国</w:t>
      </w:r>
      <w:r>
        <w:rPr>
          <w:sz w:val="24"/>
          <w:szCs w:val="22"/>
          <w:lang w:bidi="ar"/>
        </w:rPr>
        <w:t>ThermoFisher</w:t>
      </w:r>
      <w:r>
        <w:rPr>
          <w:rFonts w:hint="eastAsia" w:cs="宋体"/>
          <w:sz w:val="24"/>
          <w:szCs w:val="22"/>
          <w:lang w:bidi="ar"/>
        </w:rPr>
        <w:t>公司）。</w:t>
      </w:r>
      <w:r>
        <w:rPr>
          <w:rFonts w:hint="eastAsia" w:cs="宋体"/>
          <w:sz w:val="24"/>
          <w:szCs w:val="32"/>
          <w:lang w:bidi="ar"/>
        </w:rPr>
        <w:t>主要实验仪器与试剂详见表</w:t>
      </w:r>
      <w:r>
        <w:rPr>
          <w:rFonts w:hint="eastAsia"/>
          <w:sz w:val="24"/>
          <w:szCs w:val="32"/>
          <w:lang w:bidi="ar"/>
        </w:rPr>
        <w:t>1</w:t>
      </w:r>
      <w:r>
        <w:rPr>
          <w:sz w:val="24"/>
          <w:szCs w:val="32"/>
          <w:lang w:bidi="ar"/>
        </w:rPr>
        <w:t>-</w:t>
      </w:r>
      <w:r>
        <w:rPr>
          <w:rFonts w:hint="eastAsia"/>
          <w:sz w:val="24"/>
          <w:szCs w:val="32"/>
          <w:lang w:bidi="ar"/>
        </w:rPr>
        <w:t>2</w:t>
      </w:r>
      <w:r>
        <w:rPr>
          <w:rFonts w:hint="eastAsia" w:cs="宋体"/>
          <w:sz w:val="24"/>
          <w:szCs w:val="32"/>
          <w:lang w:bidi="ar"/>
        </w:rPr>
        <w:t>。</w:t>
      </w:r>
    </w:p>
    <w:p w14:paraId="0E82C87F">
      <w:pPr>
        <w:ind w:firstLine="420" w:firstLineChars="200"/>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1</w:t>
      </w:r>
      <w:r>
        <w:rPr>
          <w:szCs w:val="22"/>
          <w:lang w:bidi="ar"/>
        </w:rPr>
        <w:fldChar w:fldCharType="end"/>
      </w:r>
      <w:r>
        <w:rPr>
          <w:szCs w:val="21"/>
          <w:lang w:bidi="ar"/>
        </w:rPr>
        <w:t xml:space="preserve"> </w:t>
      </w:r>
      <w:r>
        <w:rPr>
          <w:rFonts w:hint="eastAsia" w:cs="宋体"/>
          <w:sz w:val="20"/>
          <w:szCs w:val="22"/>
          <w:lang w:bidi="ar"/>
        </w:rPr>
        <w:t>实验试剂列表</w:t>
      </w:r>
    </w:p>
    <w:p w14:paraId="221C3984">
      <w:pPr>
        <w:pStyle w:val="12"/>
        <w:jc w:val="center"/>
      </w:pPr>
    </w:p>
    <w:p w14:paraId="330509D1">
      <w:pPr>
        <w:pStyle w:val="12"/>
        <w:jc w:val="center"/>
      </w:pPr>
    </w:p>
    <w:tbl>
      <w:tblPr>
        <w:tblStyle w:val="49"/>
        <w:tblpPr w:leftFromText="180" w:rightFromText="180" w:vertAnchor="text" w:horzAnchor="page" w:tblpX="1791" w:tblpY="37"/>
        <w:tblOverlap w:val="never"/>
        <w:tblW w:w="617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21"/>
        <w:gridCol w:w="810"/>
        <w:gridCol w:w="947"/>
        <w:gridCol w:w="1893"/>
      </w:tblGrid>
      <w:tr w14:paraId="2F8783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2521" w:type="dxa"/>
            <w:tcBorders>
              <w:top w:val="single" w:color="008CCE" w:sz="2" w:space="0"/>
              <w:left w:val="single" w:color="008CCE" w:sz="2" w:space="0"/>
              <w:bottom w:val="single" w:color="008CCE" w:sz="6" w:space="0"/>
              <w:right w:val="nil"/>
            </w:tcBorders>
            <w:shd w:val="clear" w:color="auto" w:fill="008CCE"/>
          </w:tcPr>
          <w:p w14:paraId="1A03C0C8">
            <w:pPr>
              <w:pStyle w:val="12"/>
              <w:spacing w:before="67" w:line="225" w:lineRule="auto"/>
              <w:ind w:left="2053"/>
              <w:jc w:val="center"/>
              <w:rPr>
                <w:rFonts w:ascii="Calibri" w:hAnsi="Calibri"/>
                <w:sz w:val="20"/>
                <w:szCs w:val="20"/>
              </w:rPr>
            </w:pPr>
            <w:r>
              <w:rPr>
                <w:rFonts w:hint="eastAsia" w:ascii="Calibri" w:hAnsi="Calibri"/>
                <w:spacing w:val="2"/>
                <w:sz w:val="20"/>
                <w:szCs w:val="20"/>
                <w:lang w:bidi="ar"/>
              </w:rPr>
              <w:t>名称</w:t>
            </w:r>
          </w:p>
        </w:tc>
        <w:tc>
          <w:tcPr>
            <w:tcW w:w="810" w:type="dxa"/>
            <w:tcBorders>
              <w:top w:val="single" w:color="008CCE" w:sz="2" w:space="0"/>
              <w:left w:val="nil"/>
              <w:bottom w:val="single" w:color="DDDDDD" w:sz="6" w:space="0"/>
              <w:right w:val="nil"/>
            </w:tcBorders>
            <w:shd w:val="clear" w:color="auto" w:fill="008CCE"/>
          </w:tcPr>
          <w:p w14:paraId="0176EBE9">
            <w:pPr>
              <w:pStyle w:val="12"/>
              <w:spacing w:before="88" w:line="187" w:lineRule="auto"/>
              <w:ind w:left="544"/>
              <w:jc w:val="center"/>
              <w:rPr>
                <w:rFonts w:ascii="Calibri" w:hAnsi="Calibri"/>
                <w:sz w:val="20"/>
                <w:szCs w:val="20"/>
              </w:rPr>
            </w:pPr>
            <w:r>
              <w:rPr>
                <w:rFonts w:ascii="Calibri" w:hAnsi="Calibri"/>
                <w:spacing w:val="7"/>
                <w:sz w:val="20"/>
                <w:szCs w:val="20"/>
                <w:lang w:bidi="ar"/>
              </w:rPr>
              <w:t>CAS</w:t>
            </w:r>
          </w:p>
        </w:tc>
        <w:tc>
          <w:tcPr>
            <w:tcW w:w="947" w:type="dxa"/>
            <w:tcBorders>
              <w:top w:val="single" w:color="008CCE" w:sz="2" w:space="0"/>
              <w:left w:val="nil"/>
              <w:bottom w:val="single" w:color="DDDDDD" w:sz="6" w:space="0"/>
              <w:right w:val="nil"/>
            </w:tcBorders>
            <w:shd w:val="clear" w:color="auto" w:fill="008CCE"/>
          </w:tcPr>
          <w:p w14:paraId="6603E10D">
            <w:pPr>
              <w:pStyle w:val="12"/>
              <w:spacing w:before="67" w:line="223" w:lineRule="auto"/>
              <w:ind w:left="330"/>
              <w:jc w:val="center"/>
              <w:rPr>
                <w:rFonts w:ascii="Calibri" w:hAnsi="Calibri"/>
                <w:sz w:val="20"/>
                <w:szCs w:val="20"/>
              </w:rPr>
            </w:pPr>
            <w:r>
              <w:rPr>
                <w:rFonts w:hint="eastAsia" w:ascii="Calibri" w:hAnsi="Calibri"/>
                <w:spacing w:val="2"/>
                <w:sz w:val="20"/>
                <w:szCs w:val="20"/>
                <w:lang w:bidi="ar"/>
              </w:rPr>
              <w:t>纯度</w:t>
            </w:r>
          </w:p>
        </w:tc>
        <w:tc>
          <w:tcPr>
            <w:tcW w:w="1893" w:type="dxa"/>
            <w:tcBorders>
              <w:top w:val="single" w:color="008CCE" w:sz="2" w:space="0"/>
              <w:left w:val="nil"/>
              <w:bottom w:val="single" w:color="008CCE" w:sz="6" w:space="0"/>
              <w:right w:val="single" w:color="008CCE" w:sz="2" w:space="0"/>
            </w:tcBorders>
            <w:shd w:val="clear" w:color="auto" w:fill="008CCE"/>
          </w:tcPr>
          <w:p w14:paraId="2D489B81">
            <w:pPr>
              <w:pStyle w:val="12"/>
              <w:spacing w:before="67" w:line="220" w:lineRule="auto"/>
              <w:ind w:left="1211"/>
              <w:jc w:val="center"/>
              <w:rPr>
                <w:rFonts w:ascii="Calibri" w:hAnsi="Calibri"/>
                <w:sz w:val="20"/>
                <w:szCs w:val="20"/>
              </w:rPr>
            </w:pPr>
            <w:r>
              <w:rPr>
                <w:rFonts w:hint="eastAsia" w:ascii="Calibri" w:hAnsi="Calibri"/>
                <w:spacing w:val="-3"/>
                <w:sz w:val="20"/>
                <w:szCs w:val="20"/>
                <w:lang w:bidi="ar"/>
              </w:rPr>
              <w:t>品牌</w:t>
            </w:r>
          </w:p>
        </w:tc>
      </w:tr>
      <w:tr w14:paraId="70F27D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trPr>
        <w:tc>
          <w:tcPr>
            <w:tcW w:w="2521" w:type="dxa"/>
            <w:tcBorders>
              <w:top w:val="single" w:color="DDDDDD" w:sz="6" w:space="0"/>
              <w:left w:val="single" w:color="DDDDDD" w:sz="2" w:space="0"/>
              <w:bottom w:val="single" w:color="DDDDDD" w:sz="2" w:space="0"/>
              <w:right w:val="nil"/>
            </w:tcBorders>
            <w:shd w:val="clear" w:color="auto" w:fill="B7DEE8"/>
          </w:tcPr>
          <w:p w14:paraId="504B23D6">
            <w:pPr>
              <w:pStyle w:val="12"/>
              <w:spacing w:before="59" w:line="223" w:lineRule="auto"/>
              <w:jc w:val="center"/>
              <w:rPr>
                <w:rFonts w:ascii="Calibri" w:hAnsi="Calibri"/>
                <w:sz w:val="20"/>
                <w:szCs w:val="20"/>
              </w:rPr>
            </w:pPr>
            <w:r>
              <w:rPr>
                <w:rFonts w:hint="eastAsia" w:ascii="Calibri" w:hAnsi="Calibri"/>
                <w:spacing w:val="4"/>
                <w:sz w:val="20"/>
                <w:szCs w:val="20"/>
                <w:lang w:bidi="ar"/>
              </w:rPr>
              <w:t>甲醇（</w:t>
            </w:r>
            <w:r>
              <w:rPr>
                <w:rFonts w:ascii="Calibri" w:hAnsi="Calibri"/>
                <w:sz w:val="20"/>
                <w:szCs w:val="20"/>
                <w:lang w:bidi="ar"/>
              </w:rPr>
              <w:t>Methanol</w:t>
            </w:r>
            <w:r>
              <w:rPr>
                <w:rFonts w:hint="eastAsia" w:ascii="Calibri" w:hAnsi="Calibri"/>
                <w:spacing w:val="4"/>
                <w:sz w:val="20"/>
                <w:szCs w:val="20"/>
                <w:lang w:bidi="ar"/>
              </w:rPr>
              <w:t>）</w:t>
            </w:r>
          </w:p>
        </w:tc>
        <w:tc>
          <w:tcPr>
            <w:tcW w:w="810" w:type="dxa"/>
            <w:tcBorders>
              <w:top w:val="single" w:color="DDDDDD" w:sz="6" w:space="0"/>
              <w:left w:val="nil"/>
              <w:bottom w:val="single" w:color="DDDDDD" w:sz="2" w:space="0"/>
              <w:right w:val="nil"/>
            </w:tcBorders>
            <w:shd w:val="clear" w:color="auto" w:fill="B7DEE8"/>
          </w:tcPr>
          <w:p w14:paraId="5DE521AC">
            <w:pPr>
              <w:pStyle w:val="12"/>
              <w:spacing w:before="81" w:line="184" w:lineRule="auto"/>
              <w:ind w:left="411"/>
              <w:jc w:val="center"/>
              <w:rPr>
                <w:rFonts w:ascii="Calibri" w:hAnsi="Calibri"/>
                <w:sz w:val="20"/>
                <w:szCs w:val="20"/>
              </w:rPr>
            </w:pPr>
            <w:r>
              <w:rPr>
                <w:rFonts w:ascii="Calibri" w:hAnsi="Calibri"/>
                <w:spacing w:val="3"/>
                <w:sz w:val="20"/>
                <w:szCs w:val="20"/>
                <w:lang w:bidi="ar"/>
              </w:rPr>
              <w:t>67-56-1</w:t>
            </w:r>
          </w:p>
        </w:tc>
        <w:tc>
          <w:tcPr>
            <w:tcW w:w="947" w:type="dxa"/>
            <w:tcBorders>
              <w:top w:val="single" w:color="DDDDDD" w:sz="6" w:space="0"/>
              <w:left w:val="nil"/>
              <w:bottom w:val="single" w:color="DDDDDD" w:sz="2" w:space="0"/>
              <w:right w:val="nil"/>
            </w:tcBorders>
            <w:shd w:val="clear" w:color="auto" w:fill="B7DEE8"/>
          </w:tcPr>
          <w:p w14:paraId="35E07A77">
            <w:pPr>
              <w:pStyle w:val="12"/>
              <w:spacing w:before="58" w:line="225" w:lineRule="auto"/>
              <w:ind w:left="222"/>
              <w:jc w:val="center"/>
              <w:rPr>
                <w:rFonts w:ascii="Calibri" w:hAnsi="Calibri"/>
                <w:sz w:val="20"/>
                <w:szCs w:val="20"/>
              </w:rPr>
            </w:pPr>
            <w:r>
              <w:rPr>
                <w:rFonts w:ascii="Calibri" w:hAnsi="Calibri"/>
                <w:sz w:val="20"/>
                <w:szCs w:val="20"/>
                <w:lang w:bidi="ar"/>
              </w:rPr>
              <w:t>LC</w:t>
            </w:r>
            <w:r>
              <w:rPr>
                <w:rFonts w:ascii="Calibri" w:hAnsi="Calibri"/>
                <w:spacing w:val="10"/>
                <w:sz w:val="20"/>
                <w:szCs w:val="20"/>
                <w:lang w:bidi="ar"/>
              </w:rPr>
              <w:t>-</w:t>
            </w:r>
            <w:r>
              <w:rPr>
                <w:rFonts w:ascii="Calibri" w:hAnsi="Calibri"/>
                <w:sz w:val="20"/>
                <w:szCs w:val="20"/>
                <w:lang w:bidi="ar"/>
              </w:rPr>
              <w:t>MS</w:t>
            </w:r>
            <w:r>
              <w:rPr>
                <w:rFonts w:hint="eastAsia" w:ascii="Calibri" w:hAnsi="Calibri"/>
                <w:spacing w:val="10"/>
                <w:sz w:val="20"/>
                <w:szCs w:val="20"/>
                <w:lang w:bidi="ar"/>
              </w:rPr>
              <w:t>级</w:t>
            </w:r>
          </w:p>
        </w:tc>
        <w:tc>
          <w:tcPr>
            <w:tcW w:w="1893" w:type="dxa"/>
            <w:tcBorders>
              <w:top w:val="single" w:color="DDDDDD" w:sz="6" w:space="0"/>
              <w:left w:val="nil"/>
              <w:bottom w:val="single" w:color="DDDDDD" w:sz="2" w:space="0"/>
              <w:right w:val="single" w:color="DDDDDD" w:sz="2" w:space="0"/>
            </w:tcBorders>
            <w:shd w:val="clear" w:color="auto" w:fill="B7DEE8"/>
          </w:tcPr>
          <w:p w14:paraId="2AF5FEE8">
            <w:pPr>
              <w:pStyle w:val="12"/>
              <w:spacing w:before="58" w:line="216" w:lineRule="auto"/>
              <w:jc w:val="center"/>
              <w:rPr>
                <w:rFonts w:ascii="Calibri" w:hAnsi="Calibri"/>
                <w:sz w:val="20"/>
                <w:szCs w:val="20"/>
              </w:rPr>
            </w:pPr>
            <w:r>
              <w:rPr>
                <w:rFonts w:ascii="Calibri" w:hAnsi="Calibri"/>
                <w:spacing w:val="4"/>
                <w:sz w:val="20"/>
                <w:szCs w:val="20"/>
                <w:lang w:bidi="ar"/>
              </w:rPr>
              <w:t>CNWT echnologies</w:t>
            </w:r>
          </w:p>
        </w:tc>
      </w:tr>
      <w:tr w14:paraId="1BF346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2521" w:type="dxa"/>
            <w:tcBorders>
              <w:top w:val="single" w:color="DDDDDD" w:sz="2" w:space="0"/>
              <w:left w:val="single" w:color="DDDDDD" w:sz="2" w:space="0"/>
              <w:bottom w:val="single" w:color="DDDDDD" w:sz="2" w:space="0"/>
              <w:right w:val="nil"/>
            </w:tcBorders>
            <w:shd w:val="clear" w:color="auto" w:fill="DAEEF3"/>
          </w:tcPr>
          <w:p w14:paraId="46474ECA">
            <w:pPr>
              <w:pStyle w:val="12"/>
              <w:spacing w:before="67" w:line="220" w:lineRule="auto"/>
              <w:jc w:val="center"/>
              <w:rPr>
                <w:rFonts w:ascii="Calibri" w:hAnsi="Calibri"/>
                <w:sz w:val="20"/>
                <w:szCs w:val="20"/>
              </w:rPr>
            </w:pPr>
            <w:r>
              <w:rPr>
                <w:rFonts w:hint="eastAsia" w:ascii="Calibri" w:hAnsi="Calibri"/>
                <w:spacing w:val="11"/>
                <w:sz w:val="20"/>
                <w:szCs w:val="20"/>
                <w:lang w:bidi="ar"/>
              </w:rPr>
              <w:t>乙腈（</w:t>
            </w:r>
            <w:r>
              <w:rPr>
                <w:rFonts w:ascii="Calibri" w:hAnsi="Calibri"/>
                <w:sz w:val="20"/>
                <w:szCs w:val="20"/>
                <w:lang w:bidi="ar"/>
              </w:rPr>
              <w:t>Acetonitrile</w:t>
            </w:r>
            <w:r>
              <w:rPr>
                <w:rFonts w:hint="eastAsia" w:ascii="Calibri" w:hAnsi="Calibri"/>
                <w:spacing w:val="11"/>
                <w:sz w:val="20"/>
                <w:szCs w:val="20"/>
                <w:lang w:bidi="ar"/>
              </w:rPr>
              <w:t>）</w:t>
            </w:r>
          </w:p>
        </w:tc>
        <w:tc>
          <w:tcPr>
            <w:tcW w:w="810" w:type="dxa"/>
            <w:tcBorders>
              <w:top w:val="single" w:color="DDDDDD" w:sz="2" w:space="0"/>
              <w:left w:val="nil"/>
              <w:bottom w:val="single" w:color="DDDDDD" w:sz="2" w:space="0"/>
              <w:right w:val="nil"/>
            </w:tcBorders>
            <w:shd w:val="clear" w:color="auto" w:fill="DAEEF3"/>
          </w:tcPr>
          <w:p w14:paraId="6B517D0E">
            <w:pPr>
              <w:pStyle w:val="12"/>
              <w:spacing w:before="89" w:line="184" w:lineRule="auto"/>
              <w:ind w:left="413"/>
              <w:jc w:val="center"/>
              <w:rPr>
                <w:rFonts w:ascii="Calibri" w:hAnsi="Calibri"/>
                <w:sz w:val="20"/>
                <w:szCs w:val="20"/>
              </w:rPr>
            </w:pPr>
            <w:r>
              <w:rPr>
                <w:rFonts w:ascii="Calibri" w:hAnsi="Calibri"/>
                <w:spacing w:val="3"/>
                <w:sz w:val="20"/>
                <w:szCs w:val="20"/>
                <w:lang w:bidi="ar"/>
              </w:rPr>
              <w:t>75-05-8</w:t>
            </w:r>
          </w:p>
        </w:tc>
        <w:tc>
          <w:tcPr>
            <w:tcW w:w="947" w:type="dxa"/>
            <w:tcBorders>
              <w:top w:val="single" w:color="DDDDDD" w:sz="2" w:space="0"/>
              <w:left w:val="nil"/>
              <w:bottom w:val="single" w:color="DDDDDD" w:sz="2" w:space="0"/>
              <w:right w:val="nil"/>
            </w:tcBorders>
            <w:shd w:val="clear" w:color="auto" w:fill="DAEEF3"/>
          </w:tcPr>
          <w:p w14:paraId="67378799">
            <w:pPr>
              <w:pStyle w:val="12"/>
              <w:spacing w:before="66" w:line="225" w:lineRule="auto"/>
              <w:ind w:left="222"/>
              <w:jc w:val="center"/>
              <w:rPr>
                <w:rFonts w:ascii="Calibri" w:hAnsi="Calibri"/>
                <w:sz w:val="20"/>
                <w:szCs w:val="20"/>
              </w:rPr>
            </w:pPr>
            <w:r>
              <w:rPr>
                <w:rFonts w:ascii="Calibri" w:hAnsi="Calibri"/>
                <w:sz w:val="20"/>
                <w:szCs w:val="20"/>
                <w:lang w:bidi="ar"/>
              </w:rPr>
              <w:t>LC</w:t>
            </w:r>
            <w:r>
              <w:rPr>
                <w:rFonts w:ascii="Calibri" w:hAnsi="Calibri"/>
                <w:spacing w:val="10"/>
                <w:sz w:val="20"/>
                <w:szCs w:val="20"/>
                <w:lang w:bidi="ar"/>
              </w:rPr>
              <w:t>-</w:t>
            </w:r>
            <w:r>
              <w:rPr>
                <w:rFonts w:ascii="Calibri" w:hAnsi="Calibri"/>
                <w:sz w:val="20"/>
                <w:szCs w:val="20"/>
                <w:lang w:bidi="ar"/>
              </w:rPr>
              <w:t>MS</w:t>
            </w:r>
            <w:r>
              <w:rPr>
                <w:rFonts w:hint="eastAsia" w:ascii="Calibri" w:hAnsi="Calibri"/>
                <w:spacing w:val="10"/>
                <w:sz w:val="20"/>
                <w:szCs w:val="20"/>
                <w:lang w:bidi="ar"/>
              </w:rPr>
              <w:t>级</w:t>
            </w:r>
          </w:p>
        </w:tc>
        <w:tc>
          <w:tcPr>
            <w:tcW w:w="1893" w:type="dxa"/>
            <w:tcBorders>
              <w:top w:val="single" w:color="DDDDDD" w:sz="2" w:space="0"/>
              <w:left w:val="nil"/>
              <w:bottom w:val="single" w:color="DDDDDD" w:sz="2" w:space="0"/>
              <w:right w:val="single" w:color="DDDDDD" w:sz="2" w:space="0"/>
            </w:tcBorders>
            <w:shd w:val="clear" w:color="auto" w:fill="DAEEF3"/>
          </w:tcPr>
          <w:p w14:paraId="2F8FB802">
            <w:pPr>
              <w:pStyle w:val="12"/>
              <w:spacing w:before="66" w:line="216" w:lineRule="auto"/>
              <w:jc w:val="center"/>
              <w:rPr>
                <w:rFonts w:ascii="Calibri" w:hAnsi="Calibri"/>
                <w:sz w:val="20"/>
                <w:szCs w:val="20"/>
              </w:rPr>
            </w:pPr>
            <w:r>
              <w:rPr>
                <w:rFonts w:ascii="Calibri" w:hAnsi="Calibri"/>
                <w:spacing w:val="4"/>
                <w:sz w:val="20"/>
                <w:szCs w:val="20"/>
                <w:lang w:bidi="ar"/>
              </w:rPr>
              <w:t>CNWT echnologies</w:t>
            </w:r>
          </w:p>
        </w:tc>
      </w:tr>
      <w:tr w14:paraId="0F6C71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2521" w:type="dxa"/>
            <w:tcBorders>
              <w:top w:val="single" w:color="DDDDDD" w:sz="2" w:space="0"/>
              <w:left w:val="single" w:color="DDDDDD" w:sz="2" w:space="0"/>
              <w:bottom w:val="single" w:color="DDDDDD" w:sz="2" w:space="0"/>
              <w:right w:val="nil"/>
            </w:tcBorders>
            <w:shd w:val="clear" w:color="auto" w:fill="B7DEE8"/>
          </w:tcPr>
          <w:p w14:paraId="3951322D">
            <w:pPr>
              <w:pStyle w:val="12"/>
              <w:spacing w:before="67" w:line="223" w:lineRule="auto"/>
              <w:jc w:val="center"/>
              <w:rPr>
                <w:rFonts w:ascii="Calibri" w:hAnsi="Calibri"/>
                <w:sz w:val="20"/>
                <w:szCs w:val="20"/>
              </w:rPr>
            </w:pPr>
            <w:r>
              <w:rPr>
                <w:rFonts w:hint="eastAsia" w:ascii="Calibri" w:hAnsi="Calibri"/>
                <w:spacing w:val="4"/>
                <w:sz w:val="20"/>
                <w:szCs w:val="20"/>
                <w:lang w:bidi="ar"/>
              </w:rPr>
              <w:t>甲酸（</w:t>
            </w:r>
            <w:r>
              <w:rPr>
                <w:rFonts w:ascii="Calibri" w:hAnsi="Calibri"/>
                <w:sz w:val="20"/>
                <w:szCs w:val="20"/>
                <w:lang w:bidi="ar"/>
              </w:rPr>
              <w:t>Formic</w:t>
            </w:r>
            <w:r>
              <w:rPr>
                <w:rFonts w:ascii="Calibri" w:hAnsi="Calibri"/>
                <w:spacing w:val="17"/>
                <w:sz w:val="20"/>
                <w:szCs w:val="20"/>
                <w:lang w:bidi="ar"/>
              </w:rPr>
              <w:t xml:space="preserve"> </w:t>
            </w:r>
            <w:r>
              <w:rPr>
                <w:rFonts w:ascii="Calibri" w:hAnsi="Calibri"/>
                <w:sz w:val="20"/>
                <w:szCs w:val="20"/>
                <w:lang w:bidi="ar"/>
              </w:rPr>
              <w:t>acid</w:t>
            </w:r>
            <w:r>
              <w:rPr>
                <w:rFonts w:hint="eastAsia" w:ascii="Calibri" w:hAnsi="Calibri"/>
                <w:spacing w:val="4"/>
                <w:sz w:val="20"/>
                <w:szCs w:val="20"/>
                <w:lang w:bidi="ar"/>
              </w:rPr>
              <w:t>）</w:t>
            </w:r>
          </w:p>
        </w:tc>
        <w:tc>
          <w:tcPr>
            <w:tcW w:w="810" w:type="dxa"/>
            <w:tcBorders>
              <w:top w:val="single" w:color="DDDDDD" w:sz="2" w:space="0"/>
              <w:left w:val="nil"/>
              <w:bottom w:val="single" w:color="DDDDDD" w:sz="2" w:space="0"/>
              <w:right w:val="nil"/>
            </w:tcBorders>
            <w:shd w:val="clear" w:color="auto" w:fill="B7DEE8"/>
          </w:tcPr>
          <w:p w14:paraId="3E2034F6">
            <w:pPr>
              <w:pStyle w:val="12"/>
              <w:spacing w:before="90" w:line="184" w:lineRule="auto"/>
              <w:ind w:left="411"/>
              <w:jc w:val="center"/>
              <w:rPr>
                <w:rFonts w:ascii="Calibri" w:hAnsi="Calibri"/>
                <w:sz w:val="20"/>
                <w:szCs w:val="20"/>
              </w:rPr>
            </w:pPr>
            <w:r>
              <w:rPr>
                <w:rFonts w:ascii="Calibri" w:hAnsi="Calibri"/>
                <w:spacing w:val="3"/>
                <w:sz w:val="20"/>
                <w:szCs w:val="20"/>
                <w:lang w:bidi="ar"/>
              </w:rPr>
              <w:t>64-18-6</w:t>
            </w:r>
          </w:p>
        </w:tc>
        <w:tc>
          <w:tcPr>
            <w:tcW w:w="947" w:type="dxa"/>
            <w:tcBorders>
              <w:top w:val="single" w:color="DDDDDD" w:sz="2" w:space="0"/>
              <w:left w:val="nil"/>
              <w:bottom w:val="single" w:color="DDDDDD" w:sz="2" w:space="0"/>
              <w:right w:val="nil"/>
            </w:tcBorders>
            <w:shd w:val="clear" w:color="auto" w:fill="B7DEE8"/>
          </w:tcPr>
          <w:p w14:paraId="663FB15C">
            <w:pPr>
              <w:pStyle w:val="12"/>
              <w:spacing w:before="67" w:line="225" w:lineRule="auto"/>
              <w:ind w:left="222"/>
              <w:jc w:val="center"/>
              <w:rPr>
                <w:rFonts w:ascii="Calibri" w:hAnsi="Calibri"/>
                <w:sz w:val="20"/>
                <w:szCs w:val="20"/>
              </w:rPr>
            </w:pPr>
            <w:r>
              <w:rPr>
                <w:rFonts w:ascii="Calibri" w:hAnsi="Calibri"/>
                <w:sz w:val="20"/>
                <w:szCs w:val="20"/>
                <w:lang w:bidi="ar"/>
              </w:rPr>
              <w:t>LC</w:t>
            </w:r>
            <w:r>
              <w:rPr>
                <w:rFonts w:ascii="Calibri" w:hAnsi="Calibri"/>
                <w:spacing w:val="10"/>
                <w:sz w:val="20"/>
                <w:szCs w:val="20"/>
                <w:lang w:bidi="ar"/>
              </w:rPr>
              <w:t>-</w:t>
            </w:r>
            <w:r>
              <w:rPr>
                <w:rFonts w:ascii="Calibri" w:hAnsi="Calibri"/>
                <w:sz w:val="20"/>
                <w:szCs w:val="20"/>
                <w:lang w:bidi="ar"/>
              </w:rPr>
              <w:t>MS</w:t>
            </w:r>
            <w:r>
              <w:rPr>
                <w:rFonts w:hint="eastAsia" w:ascii="Calibri" w:hAnsi="Calibri"/>
                <w:spacing w:val="10"/>
                <w:sz w:val="20"/>
                <w:szCs w:val="20"/>
                <w:lang w:bidi="ar"/>
              </w:rPr>
              <w:t>级</w:t>
            </w:r>
          </w:p>
        </w:tc>
        <w:tc>
          <w:tcPr>
            <w:tcW w:w="1893" w:type="dxa"/>
            <w:tcBorders>
              <w:top w:val="single" w:color="DDDDDD" w:sz="2" w:space="0"/>
              <w:left w:val="nil"/>
              <w:bottom w:val="single" w:color="DDDDDD" w:sz="2" w:space="0"/>
              <w:right w:val="single" w:color="DDDDDD" w:sz="2" w:space="0"/>
            </w:tcBorders>
            <w:shd w:val="clear" w:color="auto" w:fill="B7DEE8"/>
          </w:tcPr>
          <w:p w14:paraId="7A330B6F">
            <w:pPr>
              <w:pStyle w:val="12"/>
              <w:spacing w:before="68" w:line="184" w:lineRule="exact"/>
              <w:jc w:val="center"/>
              <w:rPr>
                <w:rFonts w:ascii="Calibri" w:hAnsi="Calibri"/>
                <w:sz w:val="20"/>
                <w:szCs w:val="20"/>
              </w:rPr>
            </w:pPr>
            <w:r>
              <w:rPr>
                <w:rFonts w:ascii="Calibri" w:hAnsi="Calibri"/>
                <w:spacing w:val="2"/>
                <w:position w:val="1"/>
                <w:sz w:val="20"/>
                <w:szCs w:val="20"/>
                <w:lang w:bidi="ar"/>
              </w:rPr>
              <w:t>SIGMA</w:t>
            </w:r>
          </w:p>
        </w:tc>
      </w:tr>
      <w:tr w14:paraId="6A4AE5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2521" w:type="dxa"/>
            <w:tcBorders>
              <w:top w:val="single" w:color="DDDDDD" w:sz="2" w:space="0"/>
              <w:left w:val="single" w:color="DDDDDD" w:sz="2" w:space="0"/>
              <w:bottom w:val="single" w:color="DDDDDD" w:sz="2" w:space="0"/>
              <w:right w:val="nil"/>
            </w:tcBorders>
            <w:shd w:val="clear" w:color="auto" w:fill="DAEEF3"/>
          </w:tcPr>
          <w:p w14:paraId="6F562E6F">
            <w:pPr>
              <w:pStyle w:val="12"/>
              <w:spacing w:before="69" w:line="216" w:lineRule="auto"/>
              <w:jc w:val="center"/>
              <w:rPr>
                <w:rFonts w:ascii="Calibri" w:hAnsi="Calibri"/>
                <w:sz w:val="20"/>
                <w:szCs w:val="20"/>
              </w:rPr>
            </w:pPr>
            <w:r>
              <w:rPr>
                <w:rFonts w:ascii="Calibri" w:hAnsi="Calibri"/>
                <w:spacing w:val="9"/>
                <w:sz w:val="20"/>
                <w:szCs w:val="20"/>
                <w:lang w:bidi="ar"/>
              </w:rPr>
              <w:t>L-2-</w:t>
            </w:r>
            <w:r>
              <w:rPr>
                <w:rFonts w:hint="eastAsia" w:ascii="Calibri" w:hAnsi="Calibri"/>
                <w:spacing w:val="9"/>
                <w:sz w:val="20"/>
                <w:szCs w:val="20"/>
                <w:lang w:bidi="ar"/>
              </w:rPr>
              <w:t>氯苯丙氨酸（</w:t>
            </w:r>
            <w:r>
              <w:rPr>
                <w:rFonts w:ascii="Calibri" w:hAnsi="Calibri"/>
                <w:spacing w:val="9"/>
                <w:sz w:val="20"/>
                <w:szCs w:val="20"/>
                <w:lang w:bidi="ar"/>
              </w:rPr>
              <w:t>2-</w:t>
            </w:r>
            <w:r>
              <w:rPr>
                <w:rFonts w:ascii="Calibri" w:hAnsi="Calibri"/>
                <w:sz w:val="20"/>
                <w:szCs w:val="20"/>
                <w:lang w:bidi="ar"/>
              </w:rPr>
              <w:t>Chloro</w:t>
            </w:r>
            <w:r>
              <w:rPr>
                <w:rFonts w:ascii="Calibri" w:hAnsi="Calibri"/>
                <w:spacing w:val="9"/>
                <w:sz w:val="20"/>
                <w:szCs w:val="20"/>
                <w:lang w:bidi="ar"/>
              </w:rPr>
              <w:t>-L-</w:t>
            </w:r>
            <w:r>
              <w:rPr>
                <w:rFonts w:ascii="Calibri" w:hAnsi="Calibri"/>
                <w:sz w:val="20"/>
                <w:szCs w:val="20"/>
                <w:lang w:bidi="ar"/>
              </w:rPr>
              <w:t>phenylalanine</w:t>
            </w:r>
            <w:r>
              <w:rPr>
                <w:rFonts w:hint="eastAsia" w:ascii="Calibri" w:hAnsi="Calibri"/>
                <w:spacing w:val="9"/>
                <w:sz w:val="20"/>
                <w:szCs w:val="20"/>
                <w:lang w:bidi="ar"/>
              </w:rPr>
              <w:t>）</w:t>
            </w:r>
          </w:p>
        </w:tc>
        <w:tc>
          <w:tcPr>
            <w:tcW w:w="810" w:type="dxa"/>
            <w:tcBorders>
              <w:top w:val="single" w:color="DDDDDD" w:sz="2" w:space="0"/>
              <w:left w:val="nil"/>
              <w:bottom w:val="single" w:color="DDDDDD" w:sz="2" w:space="0"/>
              <w:right w:val="nil"/>
            </w:tcBorders>
            <w:shd w:val="clear" w:color="auto" w:fill="DAEEF3"/>
          </w:tcPr>
          <w:p w14:paraId="37D457E0">
            <w:pPr>
              <w:pStyle w:val="12"/>
              <w:spacing w:before="91" w:line="184" w:lineRule="auto"/>
              <w:ind w:left="271"/>
              <w:jc w:val="center"/>
              <w:rPr>
                <w:rFonts w:ascii="Calibri" w:hAnsi="Calibri"/>
                <w:sz w:val="20"/>
                <w:szCs w:val="20"/>
              </w:rPr>
            </w:pPr>
            <w:r>
              <w:rPr>
                <w:rFonts w:ascii="Calibri" w:hAnsi="Calibri"/>
                <w:spacing w:val="3"/>
                <w:sz w:val="20"/>
                <w:szCs w:val="20"/>
                <w:lang w:bidi="ar"/>
              </w:rPr>
              <w:t>103616-89-3</w:t>
            </w:r>
          </w:p>
        </w:tc>
        <w:tc>
          <w:tcPr>
            <w:tcW w:w="947" w:type="dxa"/>
            <w:tcBorders>
              <w:top w:val="single" w:color="DDDDDD" w:sz="2" w:space="0"/>
              <w:left w:val="nil"/>
              <w:bottom w:val="single" w:color="DDDDDD" w:sz="2" w:space="0"/>
              <w:right w:val="nil"/>
            </w:tcBorders>
            <w:shd w:val="clear" w:color="auto" w:fill="DAEEF3"/>
          </w:tcPr>
          <w:p w14:paraId="21FF0021">
            <w:pPr>
              <w:pStyle w:val="12"/>
              <w:spacing w:before="69"/>
              <w:ind w:left="313"/>
              <w:jc w:val="center"/>
              <w:rPr>
                <w:rFonts w:ascii="Calibri" w:hAnsi="Calibri"/>
                <w:sz w:val="20"/>
                <w:szCs w:val="20"/>
              </w:rPr>
            </w:pPr>
            <w:r>
              <w:rPr>
                <w:rFonts w:ascii="Calibri" w:hAnsi="Calibri"/>
                <w:spacing w:val="-2"/>
                <w:sz w:val="20"/>
                <w:szCs w:val="20"/>
                <w:lang w:bidi="ar"/>
              </w:rPr>
              <w:t>≥98%</w:t>
            </w:r>
          </w:p>
        </w:tc>
        <w:tc>
          <w:tcPr>
            <w:tcW w:w="1893" w:type="dxa"/>
            <w:tcBorders>
              <w:top w:val="single" w:color="DDDDDD" w:sz="2" w:space="0"/>
              <w:left w:val="nil"/>
              <w:bottom w:val="single" w:color="DDDDDD" w:sz="2" w:space="0"/>
              <w:right w:val="single" w:color="DDDDDD" w:sz="2" w:space="0"/>
            </w:tcBorders>
            <w:shd w:val="clear" w:color="auto" w:fill="DAEEF3"/>
          </w:tcPr>
          <w:p w14:paraId="3B0A2AEF">
            <w:pPr>
              <w:pStyle w:val="12"/>
              <w:spacing w:before="68" w:line="220" w:lineRule="auto"/>
              <w:jc w:val="center"/>
              <w:rPr>
                <w:rFonts w:ascii="Calibri" w:hAnsi="Calibri"/>
                <w:sz w:val="20"/>
                <w:szCs w:val="20"/>
              </w:rPr>
            </w:pPr>
            <w:r>
              <w:rPr>
                <w:rFonts w:hint="eastAsia" w:ascii="Calibri" w:hAnsi="Calibri"/>
                <w:spacing w:val="1"/>
                <w:sz w:val="20"/>
                <w:szCs w:val="20"/>
                <w:lang w:bidi="ar"/>
              </w:rPr>
              <w:t>上海恒柏生物科技有限公司</w:t>
            </w:r>
          </w:p>
        </w:tc>
      </w:tr>
    </w:tbl>
    <w:p w14:paraId="26CCC39F">
      <w:pPr>
        <w:spacing w:line="66" w:lineRule="exact"/>
        <w:jc w:val="center"/>
      </w:pPr>
    </w:p>
    <w:p w14:paraId="2E38AC43">
      <w:pPr>
        <w:pStyle w:val="12"/>
        <w:jc w:val="center"/>
      </w:pPr>
    </w:p>
    <w:p w14:paraId="06AB3415">
      <w:pPr>
        <w:pStyle w:val="12"/>
        <w:jc w:val="center"/>
        <w:rPr>
          <w:rFonts w:cs="宋体"/>
          <w:sz w:val="20"/>
          <w:szCs w:val="22"/>
          <w:lang w:bidi="ar"/>
        </w:rPr>
      </w:pPr>
    </w:p>
    <w:p w14:paraId="1CBFC566">
      <w:pPr>
        <w:pStyle w:val="12"/>
        <w:jc w:val="center"/>
        <w:rPr>
          <w:rFonts w:cs="宋体"/>
          <w:sz w:val="20"/>
          <w:szCs w:val="22"/>
          <w:lang w:bidi="ar"/>
        </w:rPr>
      </w:pPr>
    </w:p>
    <w:p w14:paraId="09DCAE88">
      <w:pPr>
        <w:pStyle w:val="12"/>
        <w:jc w:val="center"/>
        <w:rPr>
          <w:rFonts w:cs="宋体"/>
          <w:sz w:val="20"/>
          <w:szCs w:val="22"/>
          <w:lang w:bidi="ar"/>
        </w:rPr>
      </w:pPr>
    </w:p>
    <w:p w14:paraId="0DC5494C">
      <w:pPr>
        <w:pStyle w:val="12"/>
        <w:jc w:val="center"/>
        <w:rPr>
          <w:rFonts w:cs="宋体"/>
          <w:sz w:val="20"/>
          <w:szCs w:val="22"/>
          <w:lang w:bidi="ar"/>
        </w:rPr>
      </w:pPr>
    </w:p>
    <w:p w14:paraId="780BF2B8">
      <w:pPr>
        <w:pStyle w:val="12"/>
        <w:jc w:val="center"/>
        <w:rPr>
          <w:rFonts w:cs="宋体"/>
          <w:sz w:val="20"/>
          <w:szCs w:val="22"/>
          <w:lang w:bidi="ar"/>
        </w:rPr>
      </w:pPr>
    </w:p>
    <w:p w14:paraId="1E9A86AF">
      <w:pPr>
        <w:pStyle w:val="12"/>
        <w:jc w:val="center"/>
        <w:rPr>
          <w:rFonts w:cs="宋体"/>
          <w:sz w:val="20"/>
          <w:szCs w:val="22"/>
          <w:lang w:bidi="ar"/>
        </w:rPr>
      </w:pPr>
    </w:p>
    <w:p w14:paraId="6F1CCC26">
      <w:pPr>
        <w:pStyle w:val="12"/>
        <w:jc w:val="center"/>
        <w:rPr>
          <w:rFonts w:cs="宋体"/>
          <w:sz w:val="20"/>
          <w:szCs w:val="22"/>
          <w:lang w:bidi="ar"/>
        </w:rPr>
      </w:pPr>
    </w:p>
    <w:p w14:paraId="071B043E">
      <w:pPr>
        <w:pStyle w:val="12"/>
        <w:jc w:val="center"/>
        <w:rPr>
          <w:rFonts w:cs="宋体"/>
          <w:sz w:val="20"/>
          <w:szCs w:val="22"/>
          <w:lang w:bidi="ar"/>
        </w:rPr>
      </w:pPr>
    </w:p>
    <w:p w14:paraId="257EA647">
      <w:pPr>
        <w:pStyle w:val="12"/>
        <w:jc w:val="center"/>
        <w:rPr>
          <w:rFonts w:cs="宋体"/>
          <w:sz w:val="20"/>
          <w:szCs w:val="22"/>
          <w:lang w:bidi="ar"/>
        </w:rPr>
      </w:pPr>
    </w:p>
    <w:p w14:paraId="03BB2FD5">
      <w:pPr>
        <w:pStyle w:val="12"/>
        <w:jc w:val="center"/>
        <w:rPr>
          <w:rFonts w:cs="宋体"/>
          <w:sz w:val="20"/>
          <w:szCs w:val="22"/>
          <w:lang w:bidi="ar"/>
        </w:rPr>
      </w:pPr>
    </w:p>
    <w:p w14:paraId="739D96A4">
      <w:pPr>
        <w:pStyle w:val="12"/>
        <w:jc w:val="center"/>
        <w:rPr>
          <w:rFonts w:cs="宋体"/>
          <w:sz w:val="20"/>
          <w:szCs w:val="22"/>
          <w:lang w:bidi="ar"/>
        </w:rPr>
      </w:pPr>
    </w:p>
    <w:p w14:paraId="1B21D480">
      <w:pPr>
        <w:pStyle w:val="12"/>
        <w:jc w:val="center"/>
        <w:rPr>
          <w:rFonts w:cs="宋体"/>
          <w:sz w:val="20"/>
          <w:szCs w:val="22"/>
          <w:lang w:bidi="ar"/>
        </w:rPr>
      </w:pPr>
    </w:p>
    <w:p w14:paraId="6B7A1B0C">
      <w:pPr>
        <w:pStyle w:val="12"/>
        <w:jc w:val="center"/>
        <w:rPr>
          <w:rFonts w:cs="宋体"/>
          <w:sz w:val="20"/>
          <w:szCs w:val="22"/>
          <w:lang w:bidi="ar"/>
        </w:rPr>
      </w:pPr>
    </w:p>
    <w:p w14:paraId="28A9030C">
      <w:pPr>
        <w:ind w:firstLine="420" w:firstLineChars="200"/>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2</w:t>
      </w:r>
      <w:r>
        <w:rPr>
          <w:szCs w:val="22"/>
          <w:lang w:bidi="ar"/>
        </w:rPr>
        <w:fldChar w:fldCharType="end"/>
      </w:r>
      <w:r>
        <w:rPr>
          <w:szCs w:val="21"/>
          <w:lang w:bidi="ar"/>
        </w:rPr>
        <w:t xml:space="preserve"> </w:t>
      </w:r>
      <w:r>
        <w:rPr>
          <w:rFonts w:hint="eastAsia" w:cs="宋体"/>
          <w:sz w:val="20"/>
          <w:szCs w:val="22"/>
          <w:lang w:bidi="ar"/>
        </w:rPr>
        <w:t>实验仪器列表</w:t>
      </w:r>
    </w:p>
    <w:p w14:paraId="50A9D5C2">
      <w:pPr>
        <w:spacing w:line="66" w:lineRule="exact"/>
      </w:pPr>
    </w:p>
    <w:tbl>
      <w:tblPr>
        <w:tblStyle w:val="49"/>
        <w:tblW w:w="5810" w:type="dxa"/>
        <w:tblInd w:w="66" w:type="dxa"/>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Layout w:type="fixed"/>
        <w:tblCellMar>
          <w:top w:w="0" w:type="dxa"/>
          <w:left w:w="0" w:type="dxa"/>
          <w:bottom w:w="0" w:type="dxa"/>
          <w:right w:w="0" w:type="dxa"/>
        </w:tblCellMar>
      </w:tblPr>
      <w:tblGrid>
        <w:gridCol w:w="1133"/>
        <w:gridCol w:w="2708"/>
        <w:gridCol w:w="1969"/>
      </w:tblGrid>
      <w:tr w14:paraId="615DDEEB">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9" w:hRule="atLeast"/>
          <w:tblHeader/>
        </w:trPr>
        <w:tc>
          <w:tcPr>
            <w:tcW w:w="1694" w:type="dxa"/>
            <w:tcBorders>
              <w:top w:val="single" w:color="008CCE" w:sz="2" w:space="0"/>
              <w:left w:val="single" w:color="008CCE" w:sz="2" w:space="0"/>
              <w:bottom w:val="single" w:color="008CCE" w:sz="6" w:space="0"/>
              <w:right w:val="nil"/>
            </w:tcBorders>
            <w:shd w:val="clear" w:color="auto" w:fill="008CCE"/>
          </w:tcPr>
          <w:p w14:paraId="0AAB392D">
            <w:pPr>
              <w:pStyle w:val="12"/>
              <w:spacing w:before="69" w:line="216" w:lineRule="auto"/>
              <w:rPr>
                <w:rFonts w:ascii="Calibri" w:hAnsi="Calibri"/>
                <w:spacing w:val="9"/>
                <w:sz w:val="20"/>
                <w:szCs w:val="20"/>
              </w:rPr>
            </w:pPr>
            <w:r>
              <w:rPr>
                <w:rFonts w:hint="eastAsia" w:ascii="Calibri" w:hAnsi="Calibri"/>
                <w:spacing w:val="9"/>
                <w:sz w:val="20"/>
                <w:szCs w:val="20"/>
                <w:lang w:bidi="ar"/>
              </w:rPr>
              <w:t>仪器</w:t>
            </w:r>
          </w:p>
        </w:tc>
        <w:tc>
          <w:tcPr>
            <w:tcW w:w="4070" w:type="dxa"/>
            <w:tcBorders>
              <w:top w:val="single" w:color="008CCE" w:sz="2" w:space="0"/>
              <w:left w:val="nil"/>
              <w:bottom w:val="single" w:color="DDDDDD" w:sz="6" w:space="0"/>
              <w:right w:val="nil"/>
            </w:tcBorders>
            <w:shd w:val="clear" w:color="auto" w:fill="008CCE"/>
          </w:tcPr>
          <w:p w14:paraId="48BD12D0">
            <w:pPr>
              <w:pStyle w:val="12"/>
              <w:spacing w:before="69" w:line="216" w:lineRule="auto"/>
              <w:rPr>
                <w:rFonts w:ascii="Calibri" w:hAnsi="Calibri"/>
                <w:spacing w:val="9"/>
                <w:sz w:val="20"/>
                <w:szCs w:val="20"/>
              </w:rPr>
            </w:pPr>
            <w:r>
              <w:rPr>
                <w:rFonts w:hint="eastAsia" w:ascii="Calibri" w:hAnsi="Calibri"/>
                <w:spacing w:val="9"/>
                <w:sz w:val="20"/>
                <w:szCs w:val="20"/>
                <w:lang w:bidi="ar"/>
              </w:rPr>
              <w:t>型号</w:t>
            </w:r>
          </w:p>
        </w:tc>
        <w:tc>
          <w:tcPr>
            <w:tcW w:w="2955" w:type="dxa"/>
            <w:tcBorders>
              <w:top w:val="single" w:color="008CCE" w:sz="2" w:space="0"/>
              <w:left w:val="nil"/>
              <w:bottom w:val="single" w:color="008CCE" w:sz="6" w:space="0"/>
              <w:right w:val="single" w:color="008CCE" w:sz="2" w:space="0"/>
            </w:tcBorders>
            <w:shd w:val="clear" w:color="auto" w:fill="008CCE"/>
          </w:tcPr>
          <w:p w14:paraId="66F047A8">
            <w:pPr>
              <w:pStyle w:val="12"/>
              <w:spacing w:before="69" w:line="216" w:lineRule="auto"/>
              <w:rPr>
                <w:rFonts w:ascii="Calibri" w:hAnsi="Calibri"/>
                <w:spacing w:val="9"/>
                <w:sz w:val="20"/>
                <w:szCs w:val="20"/>
              </w:rPr>
            </w:pPr>
            <w:r>
              <w:rPr>
                <w:rFonts w:hint="eastAsia" w:ascii="Calibri" w:hAnsi="Calibri"/>
                <w:spacing w:val="9"/>
                <w:sz w:val="20"/>
                <w:szCs w:val="20"/>
                <w:lang w:bidi="ar"/>
              </w:rPr>
              <w:t>品牌</w:t>
            </w:r>
          </w:p>
        </w:tc>
      </w:tr>
      <w:tr w14:paraId="69C197DA">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3" w:hRule="atLeast"/>
        </w:trPr>
        <w:tc>
          <w:tcPr>
            <w:tcW w:w="1694" w:type="dxa"/>
            <w:tcBorders>
              <w:top w:val="single" w:color="DDDDDD" w:sz="6" w:space="0"/>
              <w:left w:val="single" w:color="DDDDDD" w:sz="2" w:space="0"/>
              <w:bottom w:val="single" w:color="DDDDDD" w:sz="2" w:space="0"/>
              <w:right w:val="nil"/>
            </w:tcBorders>
            <w:shd w:val="clear" w:color="auto" w:fill="B7DEE8"/>
          </w:tcPr>
          <w:p w14:paraId="762F9BD3">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超高效液相</w:t>
            </w:r>
          </w:p>
        </w:tc>
        <w:tc>
          <w:tcPr>
            <w:tcW w:w="4070" w:type="dxa"/>
            <w:tcBorders>
              <w:top w:val="single" w:color="DDDDDD" w:sz="6" w:space="0"/>
              <w:left w:val="nil"/>
              <w:bottom w:val="single" w:color="DDDDDD" w:sz="2" w:space="0"/>
              <w:right w:val="nil"/>
            </w:tcBorders>
            <w:shd w:val="clear" w:color="auto" w:fill="B7DEE8"/>
          </w:tcPr>
          <w:p w14:paraId="1F123AFE">
            <w:pPr>
              <w:pStyle w:val="12"/>
              <w:spacing w:before="69" w:line="216" w:lineRule="auto"/>
              <w:jc w:val="center"/>
              <w:rPr>
                <w:rFonts w:ascii="Calibri" w:hAnsi="Calibri"/>
                <w:spacing w:val="9"/>
                <w:sz w:val="20"/>
                <w:szCs w:val="20"/>
              </w:rPr>
            </w:pPr>
            <w:r>
              <w:rPr>
                <w:rFonts w:ascii="Calibri" w:hAnsi="Calibri"/>
                <w:spacing w:val="9"/>
                <w:sz w:val="20"/>
                <w:szCs w:val="20"/>
                <w:lang w:bidi="ar"/>
              </w:rPr>
              <w:t>Vanquish</w:t>
            </w:r>
          </w:p>
        </w:tc>
        <w:tc>
          <w:tcPr>
            <w:tcW w:w="2955" w:type="dxa"/>
            <w:tcBorders>
              <w:top w:val="single" w:color="DDDDDD" w:sz="6" w:space="0"/>
              <w:left w:val="nil"/>
              <w:bottom w:val="single" w:color="DDDDDD" w:sz="2" w:space="0"/>
              <w:right w:val="single" w:color="DDDDDD" w:sz="2" w:space="0"/>
            </w:tcBorders>
            <w:shd w:val="clear" w:color="auto" w:fill="B7DEE8"/>
          </w:tcPr>
          <w:p w14:paraId="1806A3A5">
            <w:pPr>
              <w:pStyle w:val="12"/>
              <w:spacing w:before="69" w:line="216" w:lineRule="auto"/>
              <w:jc w:val="center"/>
              <w:rPr>
                <w:rFonts w:ascii="Calibri" w:hAnsi="Calibri"/>
                <w:spacing w:val="9"/>
                <w:sz w:val="20"/>
                <w:szCs w:val="20"/>
              </w:rPr>
            </w:pPr>
            <w:r>
              <w:rPr>
                <w:rFonts w:ascii="Calibri" w:hAnsi="Calibri"/>
                <w:spacing w:val="9"/>
                <w:sz w:val="20"/>
                <w:szCs w:val="20"/>
                <w:lang w:bidi="ar"/>
              </w:rPr>
              <w:t>Thermo Fisher Scientific</w:t>
            </w:r>
          </w:p>
        </w:tc>
      </w:tr>
      <w:tr w14:paraId="6877694B">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9" w:hRule="atLeast"/>
        </w:trPr>
        <w:tc>
          <w:tcPr>
            <w:tcW w:w="1694" w:type="dxa"/>
            <w:tcBorders>
              <w:top w:val="single" w:color="DDDDDD" w:sz="2" w:space="0"/>
              <w:left w:val="single" w:color="DDDDDD" w:sz="2" w:space="0"/>
              <w:bottom w:val="single" w:color="DDDDDD" w:sz="2" w:space="0"/>
              <w:right w:val="nil"/>
            </w:tcBorders>
            <w:shd w:val="clear" w:color="auto" w:fill="DAEEF3"/>
          </w:tcPr>
          <w:p w14:paraId="260D1088">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高分辨质谱</w:t>
            </w:r>
          </w:p>
        </w:tc>
        <w:tc>
          <w:tcPr>
            <w:tcW w:w="4070" w:type="dxa"/>
            <w:tcBorders>
              <w:top w:val="single" w:color="DDDDDD" w:sz="2" w:space="0"/>
              <w:left w:val="nil"/>
              <w:bottom w:val="single" w:color="DDDDDD" w:sz="2" w:space="0"/>
              <w:right w:val="nil"/>
            </w:tcBorders>
            <w:shd w:val="clear" w:color="auto" w:fill="DAEEF3"/>
          </w:tcPr>
          <w:p w14:paraId="753672EB">
            <w:pPr>
              <w:pStyle w:val="12"/>
              <w:spacing w:before="69" w:line="216" w:lineRule="auto"/>
              <w:jc w:val="center"/>
              <w:rPr>
                <w:rFonts w:ascii="Calibri" w:hAnsi="Calibri"/>
                <w:spacing w:val="9"/>
                <w:sz w:val="20"/>
                <w:szCs w:val="20"/>
              </w:rPr>
            </w:pPr>
            <w:r>
              <w:rPr>
                <w:rFonts w:ascii="Calibri" w:hAnsi="Calibri"/>
                <w:spacing w:val="9"/>
                <w:sz w:val="20"/>
                <w:szCs w:val="20"/>
                <w:lang w:bidi="ar"/>
              </w:rPr>
              <w:t>Orbitrap Exp loris 120</w:t>
            </w:r>
          </w:p>
        </w:tc>
        <w:tc>
          <w:tcPr>
            <w:tcW w:w="2955" w:type="dxa"/>
            <w:tcBorders>
              <w:top w:val="single" w:color="DDDDDD" w:sz="2" w:space="0"/>
              <w:left w:val="nil"/>
              <w:bottom w:val="single" w:color="DDDDDD" w:sz="2" w:space="0"/>
              <w:right w:val="single" w:color="DDDDDD" w:sz="2" w:space="0"/>
            </w:tcBorders>
            <w:shd w:val="clear" w:color="auto" w:fill="DAEEF3"/>
          </w:tcPr>
          <w:p w14:paraId="36131D06">
            <w:pPr>
              <w:pStyle w:val="12"/>
              <w:spacing w:before="69" w:line="216" w:lineRule="auto"/>
              <w:jc w:val="center"/>
              <w:rPr>
                <w:rFonts w:ascii="Calibri" w:hAnsi="Calibri"/>
                <w:spacing w:val="9"/>
                <w:sz w:val="20"/>
                <w:szCs w:val="20"/>
              </w:rPr>
            </w:pPr>
            <w:r>
              <w:rPr>
                <w:rFonts w:ascii="Calibri" w:hAnsi="Calibri"/>
                <w:spacing w:val="9"/>
                <w:sz w:val="20"/>
                <w:szCs w:val="20"/>
                <w:lang w:bidi="ar"/>
              </w:rPr>
              <w:t>Thermo Fisher Scientific</w:t>
            </w:r>
          </w:p>
        </w:tc>
      </w:tr>
      <w:tr w14:paraId="519806E3">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9" w:hRule="atLeast"/>
        </w:trPr>
        <w:tc>
          <w:tcPr>
            <w:tcW w:w="1694" w:type="dxa"/>
            <w:tcBorders>
              <w:top w:val="single" w:color="DDDDDD" w:sz="2" w:space="0"/>
              <w:left w:val="single" w:color="DDDDDD" w:sz="2" w:space="0"/>
              <w:bottom w:val="single" w:color="DDDDDD" w:sz="2" w:space="0"/>
              <w:right w:val="nil"/>
            </w:tcBorders>
            <w:shd w:val="clear" w:color="auto" w:fill="B7DEE8"/>
          </w:tcPr>
          <w:p w14:paraId="2CC2ED16">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离心机</w:t>
            </w:r>
          </w:p>
        </w:tc>
        <w:tc>
          <w:tcPr>
            <w:tcW w:w="4070" w:type="dxa"/>
            <w:tcBorders>
              <w:top w:val="single" w:color="DDDDDD" w:sz="2" w:space="0"/>
              <w:left w:val="nil"/>
              <w:bottom w:val="single" w:color="DDDDDD" w:sz="2" w:space="0"/>
              <w:right w:val="nil"/>
            </w:tcBorders>
            <w:shd w:val="clear" w:color="auto" w:fill="B7DEE8"/>
          </w:tcPr>
          <w:p w14:paraId="7BB83E50">
            <w:pPr>
              <w:pStyle w:val="12"/>
              <w:spacing w:before="69" w:line="216" w:lineRule="auto"/>
              <w:jc w:val="center"/>
              <w:rPr>
                <w:rFonts w:ascii="Calibri" w:hAnsi="Calibri"/>
                <w:spacing w:val="9"/>
                <w:sz w:val="20"/>
                <w:szCs w:val="20"/>
              </w:rPr>
            </w:pPr>
            <w:r>
              <w:rPr>
                <w:rFonts w:ascii="Calibri" w:hAnsi="Calibri"/>
                <w:spacing w:val="9"/>
                <w:sz w:val="20"/>
                <w:szCs w:val="20"/>
                <w:lang w:bidi="ar"/>
              </w:rPr>
              <w:t>Heraeus Fresco17</w:t>
            </w:r>
          </w:p>
        </w:tc>
        <w:tc>
          <w:tcPr>
            <w:tcW w:w="2955" w:type="dxa"/>
            <w:tcBorders>
              <w:top w:val="single" w:color="DDDDDD" w:sz="2" w:space="0"/>
              <w:left w:val="nil"/>
              <w:bottom w:val="single" w:color="DDDDDD" w:sz="2" w:space="0"/>
              <w:right w:val="single" w:color="DDDDDD" w:sz="2" w:space="0"/>
            </w:tcBorders>
            <w:shd w:val="clear" w:color="auto" w:fill="B7DEE8"/>
          </w:tcPr>
          <w:p w14:paraId="6B9B92D7">
            <w:pPr>
              <w:pStyle w:val="12"/>
              <w:spacing w:before="69" w:line="216" w:lineRule="auto"/>
              <w:jc w:val="center"/>
              <w:rPr>
                <w:rFonts w:ascii="Calibri" w:hAnsi="Calibri"/>
                <w:spacing w:val="9"/>
                <w:sz w:val="20"/>
                <w:szCs w:val="20"/>
              </w:rPr>
            </w:pPr>
            <w:r>
              <w:rPr>
                <w:rFonts w:ascii="Calibri" w:hAnsi="Calibri"/>
                <w:spacing w:val="9"/>
                <w:sz w:val="20"/>
                <w:szCs w:val="20"/>
                <w:lang w:bidi="ar"/>
              </w:rPr>
              <w:t>Thermo Fisher Scientific</w:t>
            </w:r>
          </w:p>
        </w:tc>
      </w:tr>
      <w:tr w14:paraId="5673292A">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9" w:hRule="atLeast"/>
        </w:trPr>
        <w:tc>
          <w:tcPr>
            <w:tcW w:w="1694" w:type="dxa"/>
            <w:tcBorders>
              <w:top w:val="single" w:color="DDDDDD" w:sz="2" w:space="0"/>
              <w:left w:val="single" w:color="DDDDDD" w:sz="2" w:space="0"/>
              <w:bottom w:val="single" w:color="DDDDDD" w:sz="2" w:space="0"/>
              <w:right w:val="nil"/>
            </w:tcBorders>
            <w:shd w:val="clear" w:color="auto" w:fill="DAEEF3"/>
          </w:tcPr>
          <w:p w14:paraId="20FDB111">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天平</w:t>
            </w:r>
          </w:p>
        </w:tc>
        <w:tc>
          <w:tcPr>
            <w:tcW w:w="4070" w:type="dxa"/>
            <w:tcBorders>
              <w:top w:val="single" w:color="DDDDDD" w:sz="2" w:space="0"/>
              <w:left w:val="nil"/>
              <w:bottom w:val="single" w:color="DDDDDD" w:sz="2" w:space="0"/>
              <w:right w:val="nil"/>
            </w:tcBorders>
            <w:shd w:val="clear" w:color="auto" w:fill="DAEEF3"/>
          </w:tcPr>
          <w:p w14:paraId="2B630355">
            <w:pPr>
              <w:pStyle w:val="12"/>
              <w:spacing w:before="69" w:line="216" w:lineRule="auto"/>
              <w:jc w:val="center"/>
              <w:rPr>
                <w:rFonts w:ascii="Calibri" w:hAnsi="Calibri"/>
                <w:spacing w:val="9"/>
                <w:sz w:val="20"/>
                <w:szCs w:val="20"/>
              </w:rPr>
            </w:pPr>
            <w:r>
              <w:rPr>
                <w:rFonts w:ascii="Calibri" w:hAnsi="Calibri"/>
                <w:spacing w:val="9"/>
                <w:sz w:val="20"/>
                <w:szCs w:val="20"/>
                <w:lang w:bidi="ar"/>
              </w:rPr>
              <w:t>BSA124S-CW</w:t>
            </w:r>
          </w:p>
        </w:tc>
        <w:tc>
          <w:tcPr>
            <w:tcW w:w="2955" w:type="dxa"/>
            <w:tcBorders>
              <w:top w:val="single" w:color="DDDDDD" w:sz="2" w:space="0"/>
              <w:left w:val="nil"/>
              <w:bottom w:val="single" w:color="DDDDDD" w:sz="2" w:space="0"/>
              <w:right w:val="single" w:color="DDDDDD" w:sz="2" w:space="0"/>
            </w:tcBorders>
            <w:shd w:val="clear" w:color="auto" w:fill="DAEEF3"/>
          </w:tcPr>
          <w:p w14:paraId="43E39765">
            <w:pPr>
              <w:pStyle w:val="12"/>
              <w:spacing w:before="69" w:line="216" w:lineRule="auto"/>
              <w:jc w:val="center"/>
              <w:rPr>
                <w:rFonts w:ascii="Calibri" w:hAnsi="Calibri"/>
                <w:spacing w:val="9"/>
                <w:sz w:val="20"/>
                <w:szCs w:val="20"/>
              </w:rPr>
            </w:pPr>
            <w:r>
              <w:rPr>
                <w:rFonts w:ascii="Calibri" w:hAnsi="Calibri"/>
                <w:spacing w:val="9"/>
                <w:sz w:val="20"/>
                <w:szCs w:val="20"/>
                <w:lang w:bidi="ar"/>
              </w:rPr>
              <w:t>Sartorius</w:t>
            </w:r>
          </w:p>
        </w:tc>
      </w:tr>
      <w:tr w14:paraId="14351461">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1694" w:type="dxa"/>
            <w:tcBorders>
              <w:top w:val="single" w:color="DDDDDD" w:sz="2" w:space="0"/>
              <w:left w:val="single" w:color="DDDDDD" w:sz="2" w:space="0"/>
              <w:bottom w:val="single" w:color="DDDDDD" w:sz="2" w:space="0"/>
              <w:right w:val="nil"/>
            </w:tcBorders>
            <w:shd w:val="clear" w:color="auto" w:fill="B7DEE8"/>
          </w:tcPr>
          <w:p w14:paraId="43C07B42">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研磨仪</w:t>
            </w:r>
          </w:p>
        </w:tc>
        <w:tc>
          <w:tcPr>
            <w:tcW w:w="4070" w:type="dxa"/>
            <w:tcBorders>
              <w:top w:val="single" w:color="DDDDDD" w:sz="2" w:space="0"/>
              <w:left w:val="nil"/>
              <w:bottom w:val="single" w:color="DDDDDD" w:sz="2" w:space="0"/>
              <w:right w:val="nil"/>
            </w:tcBorders>
            <w:shd w:val="clear" w:color="auto" w:fill="B7DEE8"/>
          </w:tcPr>
          <w:p w14:paraId="35CCD97F">
            <w:pPr>
              <w:pStyle w:val="12"/>
              <w:spacing w:before="69" w:line="216" w:lineRule="auto"/>
              <w:jc w:val="center"/>
              <w:rPr>
                <w:rFonts w:ascii="Calibri" w:hAnsi="Calibri"/>
                <w:spacing w:val="9"/>
                <w:sz w:val="20"/>
                <w:szCs w:val="20"/>
              </w:rPr>
            </w:pPr>
            <w:r>
              <w:rPr>
                <w:rFonts w:ascii="Calibri" w:hAnsi="Calibri"/>
                <w:spacing w:val="9"/>
                <w:sz w:val="20"/>
                <w:szCs w:val="20"/>
                <w:lang w:bidi="ar"/>
              </w:rPr>
              <w:t>JXFSTPRP-24</w:t>
            </w:r>
          </w:p>
        </w:tc>
        <w:tc>
          <w:tcPr>
            <w:tcW w:w="2955" w:type="dxa"/>
            <w:tcBorders>
              <w:top w:val="single" w:color="DDDDDD" w:sz="2" w:space="0"/>
              <w:left w:val="nil"/>
              <w:bottom w:val="single" w:color="DDDDDD" w:sz="2" w:space="0"/>
              <w:right w:val="single" w:color="DDDDDD" w:sz="2" w:space="0"/>
            </w:tcBorders>
            <w:shd w:val="clear" w:color="auto" w:fill="B7DEE8"/>
          </w:tcPr>
          <w:p w14:paraId="04A1C670">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上海净信科技有限公司</w:t>
            </w:r>
          </w:p>
        </w:tc>
      </w:tr>
      <w:tr w14:paraId="6F9E591C">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1694" w:type="dxa"/>
            <w:tcBorders>
              <w:top w:val="single" w:color="DDDDDD" w:sz="2" w:space="0"/>
              <w:left w:val="single" w:color="DDDDDD" w:sz="2" w:space="0"/>
              <w:bottom w:val="single" w:color="DDDDDD" w:sz="2" w:space="0"/>
              <w:right w:val="nil"/>
            </w:tcBorders>
            <w:shd w:val="clear" w:color="auto" w:fill="DAEEF3"/>
          </w:tcPr>
          <w:p w14:paraId="1A758DF7">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纯水仪</w:t>
            </w:r>
          </w:p>
        </w:tc>
        <w:tc>
          <w:tcPr>
            <w:tcW w:w="4070" w:type="dxa"/>
            <w:tcBorders>
              <w:top w:val="single" w:color="DDDDDD" w:sz="2" w:space="0"/>
              <w:left w:val="nil"/>
              <w:bottom w:val="single" w:color="DDDDDD" w:sz="2" w:space="0"/>
              <w:right w:val="nil"/>
            </w:tcBorders>
            <w:shd w:val="clear" w:color="auto" w:fill="DAEEF3"/>
          </w:tcPr>
          <w:p w14:paraId="7257BE61">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明澈</w:t>
            </w:r>
            <w:r>
              <w:rPr>
                <w:rFonts w:ascii="Calibri" w:hAnsi="Calibri"/>
                <w:spacing w:val="9"/>
                <w:sz w:val="20"/>
                <w:szCs w:val="20"/>
                <w:lang w:bidi="ar"/>
              </w:rPr>
              <w:t xml:space="preserve"> D24 UV</w:t>
            </w:r>
          </w:p>
        </w:tc>
        <w:tc>
          <w:tcPr>
            <w:tcW w:w="2955" w:type="dxa"/>
            <w:tcBorders>
              <w:top w:val="single" w:color="DDDDDD" w:sz="2" w:space="0"/>
              <w:left w:val="nil"/>
              <w:bottom w:val="single" w:color="DDDDDD" w:sz="2" w:space="0"/>
              <w:right w:val="single" w:color="DDDDDD" w:sz="2" w:space="0"/>
            </w:tcBorders>
            <w:shd w:val="clear" w:color="auto" w:fill="DAEEF3"/>
          </w:tcPr>
          <w:p w14:paraId="42568DD4">
            <w:pPr>
              <w:pStyle w:val="12"/>
              <w:spacing w:before="69" w:line="216" w:lineRule="auto"/>
              <w:jc w:val="center"/>
              <w:rPr>
                <w:rFonts w:ascii="Calibri" w:hAnsi="Calibri"/>
                <w:spacing w:val="9"/>
                <w:sz w:val="20"/>
                <w:szCs w:val="20"/>
              </w:rPr>
            </w:pPr>
            <w:r>
              <w:rPr>
                <w:rFonts w:ascii="Calibri" w:hAnsi="Calibri"/>
                <w:spacing w:val="9"/>
                <w:sz w:val="20"/>
                <w:szCs w:val="20"/>
                <w:lang w:bidi="ar"/>
              </w:rPr>
              <w:t>Merck Millipore</w:t>
            </w:r>
          </w:p>
        </w:tc>
      </w:tr>
      <w:tr w14:paraId="3133D5EA">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1694" w:type="dxa"/>
            <w:tcBorders>
              <w:top w:val="single" w:color="DDDDDD" w:sz="2" w:space="0"/>
              <w:left w:val="single" w:color="DDDDDD" w:sz="2" w:space="0"/>
              <w:bottom w:val="single" w:color="DDDDDD" w:sz="2" w:space="0"/>
              <w:right w:val="nil"/>
            </w:tcBorders>
            <w:shd w:val="clear" w:color="auto" w:fill="B7DEE8"/>
          </w:tcPr>
          <w:p w14:paraId="370C2B40">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超声仪</w:t>
            </w:r>
          </w:p>
        </w:tc>
        <w:tc>
          <w:tcPr>
            <w:tcW w:w="4070" w:type="dxa"/>
            <w:tcBorders>
              <w:top w:val="single" w:color="DDDDDD" w:sz="2" w:space="0"/>
              <w:left w:val="nil"/>
              <w:bottom w:val="single" w:color="DDDDDD" w:sz="2" w:space="0"/>
              <w:right w:val="nil"/>
            </w:tcBorders>
            <w:shd w:val="clear" w:color="auto" w:fill="B7DEE8"/>
          </w:tcPr>
          <w:p w14:paraId="271F4F97">
            <w:pPr>
              <w:pStyle w:val="12"/>
              <w:spacing w:before="69" w:line="216" w:lineRule="auto"/>
              <w:jc w:val="center"/>
              <w:rPr>
                <w:rFonts w:ascii="Calibri" w:hAnsi="Calibri"/>
                <w:spacing w:val="9"/>
                <w:sz w:val="20"/>
                <w:szCs w:val="20"/>
              </w:rPr>
            </w:pPr>
            <w:r>
              <w:rPr>
                <w:rFonts w:ascii="Calibri" w:hAnsi="Calibri"/>
                <w:spacing w:val="9"/>
                <w:sz w:val="20"/>
                <w:szCs w:val="20"/>
                <w:lang w:bidi="ar"/>
              </w:rPr>
              <w:t>YM-080S</w:t>
            </w:r>
          </w:p>
        </w:tc>
        <w:tc>
          <w:tcPr>
            <w:tcW w:w="2955" w:type="dxa"/>
            <w:tcBorders>
              <w:top w:val="single" w:color="DDDDDD" w:sz="2" w:space="0"/>
              <w:left w:val="nil"/>
              <w:bottom w:val="single" w:color="DDDDDD" w:sz="2" w:space="0"/>
              <w:right w:val="single" w:color="DDDDDD" w:sz="2" w:space="0"/>
            </w:tcBorders>
            <w:shd w:val="clear" w:color="auto" w:fill="B7DEE8"/>
          </w:tcPr>
          <w:p w14:paraId="49FCCF11">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深圳市方奥微电子有限公司</w:t>
            </w:r>
          </w:p>
        </w:tc>
      </w:tr>
      <w:tr w14:paraId="1C8A9F10">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1694" w:type="dxa"/>
            <w:tcBorders>
              <w:top w:val="single" w:color="DDDDDD" w:sz="2" w:space="0"/>
              <w:left w:val="single" w:color="DDDDDD" w:sz="2" w:space="0"/>
              <w:bottom w:val="single" w:color="DDDDDD" w:sz="2" w:space="0"/>
              <w:right w:val="nil"/>
            </w:tcBorders>
            <w:shd w:val="clear" w:color="auto" w:fill="DAEEF3"/>
          </w:tcPr>
          <w:p w14:paraId="00F94748">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色谱柱</w:t>
            </w:r>
          </w:p>
        </w:tc>
        <w:tc>
          <w:tcPr>
            <w:tcW w:w="4070" w:type="dxa"/>
            <w:tcBorders>
              <w:top w:val="single" w:color="DDDDDD" w:sz="2" w:space="0"/>
              <w:left w:val="nil"/>
              <w:bottom w:val="single" w:color="DDDDDD" w:sz="2" w:space="0"/>
              <w:right w:val="nil"/>
            </w:tcBorders>
            <w:shd w:val="clear" w:color="auto" w:fill="DAEEF3"/>
          </w:tcPr>
          <w:p w14:paraId="05C52C84">
            <w:pPr>
              <w:pStyle w:val="12"/>
              <w:spacing w:before="69" w:line="216" w:lineRule="auto"/>
              <w:jc w:val="center"/>
              <w:rPr>
                <w:rFonts w:ascii="Calibri" w:hAnsi="Calibri"/>
                <w:spacing w:val="9"/>
                <w:sz w:val="20"/>
                <w:szCs w:val="20"/>
              </w:rPr>
            </w:pPr>
            <w:r>
              <w:rPr>
                <w:rFonts w:ascii="Calibri" w:hAnsi="Calibri"/>
                <w:spacing w:val="9"/>
                <w:sz w:val="20"/>
                <w:szCs w:val="20"/>
                <w:lang w:bidi="ar"/>
              </w:rPr>
              <w:t>ACQUITY UPLC BEH C18 1.7 μm 2.1*100 mm</w:t>
            </w:r>
          </w:p>
        </w:tc>
        <w:tc>
          <w:tcPr>
            <w:tcW w:w="2955" w:type="dxa"/>
            <w:tcBorders>
              <w:top w:val="single" w:color="DDDDDD" w:sz="2" w:space="0"/>
              <w:left w:val="nil"/>
              <w:bottom w:val="single" w:color="DDDDDD" w:sz="2" w:space="0"/>
              <w:right w:val="single" w:color="DDDDDD" w:sz="2" w:space="0"/>
            </w:tcBorders>
            <w:shd w:val="clear" w:color="auto" w:fill="DAEEF3"/>
          </w:tcPr>
          <w:p w14:paraId="1FE13F93">
            <w:pPr>
              <w:pStyle w:val="12"/>
              <w:spacing w:before="69" w:line="216" w:lineRule="auto"/>
              <w:jc w:val="center"/>
              <w:rPr>
                <w:rFonts w:ascii="Calibri" w:hAnsi="Calibri"/>
                <w:spacing w:val="9"/>
                <w:sz w:val="20"/>
                <w:szCs w:val="20"/>
              </w:rPr>
            </w:pPr>
            <w:r>
              <w:rPr>
                <w:rFonts w:ascii="Calibri" w:hAnsi="Calibri"/>
                <w:spacing w:val="9"/>
                <w:sz w:val="20"/>
                <w:szCs w:val="20"/>
                <w:lang w:bidi="ar"/>
              </w:rPr>
              <w:t>Waters</w:t>
            </w:r>
          </w:p>
        </w:tc>
      </w:tr>
    </w:tbl>
    <w:p w14:paraId="4BB8CCF9">
      <w:pPr>
        <w:pStyle w:val="12"/>
        <w:spacing w:before="69" w:line="216" w:lineRule="auto"/>
        <w:rPr>
          <w:spacing w:val="9"/>
          <w:sz w:val="20"/>
          <w:szCs w:val="20"/>
        </w:rPr>
      </w:pPr>
    </w:p>
    <w:p w14:paraId="7D8A1A3E">
      <w:pPr>
        <w:spacing w:line="500" w:lineRule="exact"/>
        <w:rPr>
          <w:sz w:val="24"/>
          <w:szCs w:val="22"/>
        </w:rPr>
      </w:pPr>
      <w:r>
        <w:rPr>
          <w:rFonts w:hint="eastAsia" w:cs="宋体"/>
          <w:sz w:val="24"/>
          <w:szCs w:val="22"/>
          <w:lang w:bidi="ar"/>
        </w:rPr>
        <w:t>（</w:t>
      </w:r>
      <w:r>
        <w:rPr>
          <w:sz w:val="24"/>
          <w:szCs w:val="22"/>
          <w:lang w:bidi="ar"/>
        </w:rPr>
        <w:t>4</w:t>
      </w:r>
      <w:r>
        <w:rPr>
          <w:rFonts w:hint="eastAsia" w:cs="宋体"/>
          <w:sz w:val="24"/>
          <w:szCs w:val="22"/>
          <w:lang w:bidi="ar"/>
        </w:rPr>
        <w:t>）药物干预</w:t>
      </w:r>
    </w:p>
    <w:p w14:paraId="7066ADFF">
      <w:pPr>
        <w:spacing w:line="500" w:lineRule="exact"/>
        <w:ind w:firstLine="480" w:firstLineChars="200"/>
        <w:rPr>
          <w:sz w:val="24"/>
          <w:szCs w:val="22"/>
        </w:rPr>
      </w:pPr>
      <w:r>
        <w:rPr>
          <w:rFonts w:hint="eastAsia" w:cs="宋体"/>
          <w:sz w:val="24"/>
          <w:szCs w:val="22"/>
          <w:lang w:bidi="ar"/>
        </w:rPr>
        <w:t>所有动物均在动物房适应性饲养</w:t>
      </w:r>
      <w:r>
        <w:rPr>
          <w:sz w:val="24"/>
          <w:szCs w:val="22"/>
          <w:lang w:bidi="ar"/>
        </w:rPr>
        <w:t>7d</w:t>
      </w:r>
      <w:r>
        <w:rPr>
          <w:rFonts w:hint="eastAsia" w:cs="宋体"/>
          <w:sz w:val="24"/>
          <w:szCs w:val="22"/>
          <w:lang w:bidi="ar"/>
        </w:rPr>
        <w:t>后，随机分组并给予以下药物处理：</w:t>
      </w:r>
      <w:r>
        <w:rPr>
          <w:sz w:val="24"/>
          <w:szCs w:val="22"/>
          <w:lang w:bidi="ar"/>
        </w:rPr>
        <w:t xml:space="preserve"> </w:t>
      </w:r>
    </w:p>
    <w:p w14:paraId="4C007FE3">
      <w:pPr>
        <w:spacing w:line="500" w:lineRule="exact"/>
        <w:ind w:firstLine="480" w:firstLineChars="200"/>
        <w:rPr>
          <w:sz w:val="24"/>
          <w:szCs w:val="22"/>
        </w:rPr>
      </w:pPr>
      <w:r>
        <w:rPr>
          <w:sz w:val="24"/>
          <w:szCs w:val="22"/>
          <w:lang w:bidi="ar"/>
        </w:rPr>
        <w:t>①</w:t>
      </w:r>
      <w:r>
        <w:rPr>
          <w:rFonts w:hint="eastAsia" w:cs="宋体"/>
          <w:sz w:val="24"/>
          <w:lang w:bidi="ar"/>
        </w:rPr>
        <w:t>宣痹清营汤</w:t>
      </w:r>
      <w:r>
        <w:rPr>
          <w:rFonts w:hint="eastAsia" w:cs="宋体"/>
          <w:sz w:val="24"/>
          <w:szCs w:val="22"/>
          <w:lang w:bidi="ar"/>
        </w:rPr>
        <w:t>入血成分测定中药组：采用</w:t>
      </w:r>
      <w:r>
        <w:rPr>
          <w:rFonts w:hint="eastAsia" w:cs="宋体"/>
          <w:sz w:val="24"/>
          <w:lang w:bidi="ar"/>
        </w:rPr>
        <w:t>宣痹清营汤</w:t>
      </w:r>
      <w:r>
        <w:rPr>
          <w:rFonts w:hint="eastAsia" w:cs="宋体"/>
          <w:sz w:val="24"/>
          <w:szCs w:val="22"/>
          <w:lang w:bidi="ar"/>
        </w:rPr>
        <w:t>灌胃，生药剂量参考《动物实验管理与操作实用指南》，按照成人（</w:t>
      </w:r>
      <w:r>
        <w:rPr>
          <w:sz w:val="24"/>
          <w:szCs w:val="22"/>
          <w:lang w:bidi="ar"/>
        </w:rPr>
        <w:t>70kg</w:t>
      </w:r>
      <w:r>
        <w:rPr>
          <w:rFonts w:hint="eastAsia" w:cs="宋体"/>
          <w:sz w:val="24"/>
          <w:szCs w:val="22"/>
          <w:lang w:bidi="ar"/>
        </w:rPr>
        <w:t>），每日中药用量与体质量折算系数的</w:t>
      </w:r>
      <w:r>
        <w:rPr>
          <w:sz w:val="24"/>
          <w:szCs w:val="22"/>
          <w:lang w:bidi="ar"/>
        </w:rPr>
        <w:t>6.3</w:t>
      </w:r>
      <w:r>
        <w:rPr>
          <w:rFonts w:hint="eastAsia" w:cs="宋体"/>
          <w:sz w:val="24"/>
          <w:szCs w:val="22"/>
          <w:lang w:bidi="ar"/>
        </w:rPr>
        <w:t>倍计算给药剂量，</w:t>
      </w:r>
      <w:r>
        <w:rPr>
          <w:sz w:val="24"/>
          <w:szCs w:val="22"/>
          <w:lang w:bidi="ar"/>
        </w:rPr>
        <w:t>1</w:t>
      </w:r>
      <w:r>
        <w:rPr>
          <w:rFonts w:hint="eastAsia" w:cs="宋体"/>
          <w:sz w:val="24"/>
          <w:szCs w:val="22"/>
          <w:lang w:bidi="ar"/>
        </w:rPr>
        <w:t>次</w:t>
      </w:r>
      <w:r>
        <w:rPr>
          <w:sz w:val="24"/>
          <w:szCs w:val="22"/>
          <w:lang w:bidi="ar"/>
        </w:rPr>
        <w:t>/d</w:t>
      </w:r>
      <w:r>
        <w:rPr>
          <w:rFonts w:hint="eastAsia" w:cs="宋体"/>
          <w:sz w:val="24"/>
          <w:szCs w:val="22"/>
          <w:lang w:bidi="ar"/>
        </w:rPr>
        <w:t>、连续</w:t>
      </w:r>
      <w:r>
        <w:rPr>
          <w:sz w:val="24"/>
          <w:szCs w:val="22"/>
          <w:lang w:bidi="ar"/>
        </w:rPr>
        <w:t>7d</w:t>
      </w:r>
      <w:r>
        <w:rPr>
          <w:rFonts w:hint="eastAsia" w:cs="宋体"/>
          <w:sz w:val="24"/>
          <w:szCs w:val="22"/>
          <w:lang w:bidi="ar"/>
        </w:rPr>
        <w:t>。</w:t>
      </w:r>
    </w:p>
    <w:p w14:paraId="61C8BE82">
      <w:pPr>
        <w:spacing w:line="500" w:lineRule="exact"/>
        <w:ind w:firstLine="480" w:firstLineChars="200"/>
        <w:rPr>
          <w:sz w:val="24"/>
          <w:szCs w:val="22"/>
        </w:rPr>
      </w:pPr>
      <w:r>
        <w:rPr>
          <w:sz w:val="24"/>
          <w:szCs w:val="22"/>
          <w:lang w:bidi="ar"/>
        </w:rPr>
        <w:t>②</w:t>
      </w:r>
      <w:r>
        <w:rPr>
          <w:rFonts w:hint="eastAsia" w:cs="宋体"/>
          <w:sz w:val="24"/>
          <w:lang w:bidi="ar"/>
        </w:rPr>
        <w:t>宣痹清营汤</w:t>
      </w:r>
      <w:r>
        <w:rPr>
          <w:rFonts w:hint="eastAsia" w:cs="宋体"/>
          <w:sz w:val="24"/>
          <w:szCs w:val="22"/>
          <w:lang w:bidi="ar"/>
        </w:rPr>
        <w:t>入血成分测定空白组：等体积生理盐水灌胃，</w:t>
      </w:r>
      <w:r>
        <w:rPr>
          <w:sz w:val="24"/>
          <w:szCs w:val="22"/>
          <w:lang w:bidi="ar"/>
        </w:rPr>
        <w:t>1</w:t>
      </w:r>
      <w:r>
        <w:rPr>
          <w:rFonts w:hint="eastAsia" w:cs="宋体"/>
          <w:sz w:val="24"/>
          <w:szCs w:val="22"/>
          <w:lang w:bidi="ar"/>
        </w:rPr>
        <w:t>次</w:t>
      </w:r>
      <w:r>
        <w:rPr>
          <w:sz w:val="24"/>
          <w:szCs w:val="22"/>
          <w:lang w:bidi="ar"/>
        </w:rPr>
        <w:t>/d</w:t>
      </w:r>
      <w:r>
        <w:rPr>
          <w:rFonts w:hint="eastAsia" w:cs="宋体"/>
          <w:sz w:val="24"/>
          <w:szCs w:val="22"/>
          <w:lang w:bidi="ar"/>
        </w:rPr>
        <w:t>，连续</w:t>
      </w:r>
      <w:r>
        <w:rPr>
          <w:sz w:val="24"/>
          <w:szCs w:val="22"/>
          <w:lang w:bidi="ar"/>
        </w:rPr>
        <w:t>7d</w:t>
      </w:r>
      <w:r>
        <w:rPr>
          <w:rFonts w:hint="eastAsia" w:cs="宋体"/>
          <w:sz w:val="24"/>
          <w:szCs w:val="22"/>
          <w:lang w:bidi="ar"/>
        </w:rPr>
        <w:t>。</w:t>
      </w:r>
    </w:p>
    <w:p w14:paraId="45894E6B">
      <w:pPr>
        <w:spacing w:line="500" w:lineRule="exact"/>
        <w:rPr>
          <w:sz w:val="24"/>
          <w:szCs w:val="22"/>
        </w:rPr>
      </w:pPr>
      <w:r>
        <w:rPr>
          <w:rFonts w:hint="eastAsia" w:cs="宋体"/>
          <w:sz w:val="24"/>
          <w:szCs w:val="22"/>
          <w:lang w:bidi="ar"/>
        </w:rPr>
        <w:t>（</w:t>
      </w:r>
      <w:r>
        <w:rPr>
          <w:sz w:val="24"/>
          <w:szCs w:val="22"/>
          <w:lang w:bidi="ar"/>
        </w:rPr>
        <w:t>5</w:t>
      </w:r>
      <w:r>
        <w:rPr>
          <w:rFonts w:hint="eastAsia" w:cs="宋体"/>
          <w:sz w:val="24"/>
          <w:szCs w:val="22"/>
          <w:lang w:bidi="ar"/>
        </w:rPr>
        <w:t>）动物取材</w:t>
      </w:r>
    </w:p>
    <w:p w14:paraId="0676C7E8">
      <w:pPr>
        <w:spacing w:line="500" w:lineRule="exact"/>
        <w:ind w:firstLine="480" w:firstLineChars="200"/>
        <w:rPr>
          <w:sz w:val="24"/>
          <w:szCs w:val="22"/>
        </w:rPr>
      </w:pPr>
      <w:r>
        <w:rPr>
          <w:rFonts w:hint="eastAsia" w:cs="宋体"/>
          <w:sz w:val="24"/>
          <w:szCs w:val="22"/>
          <w:lang w:bidi="ar"/>
        </w:rPr>
        <w:t>药物干预</w:t>
      </w:r>
      <w:r>
        <w:rPr>
          <w:sz w:val="24"/>
          <w:szCs w:val="22"/>
          <w:lang w:bidi="ar"/>
        </w:rPr>
        <w:t>7d</w:t>
      </w:r>
      <w:r>
        <w:rPr>
          <w:rFonts w:hint="eastAsia" w:cs="宋体"/>
          <w:sz w:val="24"/>
          <w:szCs w:val="22"/>
          <w:lang w:bidi="ar"/>
        </w:rPr>
        <w:t>后，采用</w:t>
      </w:r>
      <w:r>
        <w:rPr>
          <w:sz w:val="24"/>
          <w:szCs w:val="22"/>
          <w:lang w:bidi="ar"/>
        </w:rPr>
        <w:t>10%</w:t>
      </w:r>
      <w:r>
        <w:rPr>
          <w:rFonts w:hint="eastAsia" w:cs="宋体"/>
          <w:sz w:val="24"/>
          <w:szCs w:val="22"/>
          <w:lang w:bidi="ar"/>
        </w:rPr>
        <w:t>水合氯醛（</w:t>
      </w:r>
      <w:r>
        <w:rPr>
          <w:sz w:val="24"/>
          <w:szCs w:val="22"/>
          <w:lang w:bidi="ar"/>
        </w:rPr>
        <w:t>0.5mL/100g</w:t>
      </w:r>
      <w:r>
        <w:rPr>
          <w:rFonts w:hint="eastAsia" w:cs="宋体"/>
          <w:sz w:val="24"/>
          <w:szCs w:val="22"/>
          <w:lang w:bidi="ar"/>
        </w:rPr>
        <w:t>）麻醉全部大鼠。开始取材，采集的腹主动脉血静置</w:t>
      </w:r>
      <w:r>
        <w:rPr>
          <w:sz w:val="24"/>
          <w:szCs w:val="22"/>
          <w:lang w:bidi="ar"/>
        </w:rPr>
        <w:t>2h</w:t>
      </w:r>
      <w:r>
        <w:rPr>
          <w:rFonts w:hint="eastAsia" w:cs="宋体"/>
          <w:sz w:val="24"/>
          <w:szCs w:val="22"/>
          <w:lang w:bidi="ar"/>
        </w:rPr>
        <w:t>后，开始低温离心</w:t>
      </w:r>
      <w:r>
        <w:rPr>
          <w:sz w:val="24"/>
          <w:szCs w:val="22"/>
          <w:lang w:bidi="ar"/>
        </w:rPr>
        <w:t>15min</w:t>
      </w:r>
      <w:r>
        <w:rPr>
          <w:rFonts w:hint="eastAsia" w:cs="宋体"/>
          <w:sz w:val="24"/>
          <w:szCs w:val="22"/>
          <w:lang w:bidi="ar"/>
        </w:rPr>
        <w:t>，提取上清，保存于</w:t>
      </w:r>
      <w:r>
        <w:rPr>
          <w:sz w:val="24"/>
          <w:szCs w:val="22"/>
          <w:lang w:bidi="ar"/>
        </w:rPr>
        <w:t>-80℃</w:t>
      </w:r>
      <w:r>
        <w:rPr>
          <w:rFonts w:hint="eastAsia" w:cs="宋体"/>
          <w:sz w:val="24"/>
          <w:szCs w:val="22"/>
          <w:lang w:bidi="ar"/>
        </w:rPr>
        <w:t>冰箱，留作后续入血成分检测。</w:t>
      </w:r>
    </w:p>
    <w:p w14:paraId="1EAF9D87">
      <w:pPr>
        <w:spacing w:line="360" w:lineRule="auto"/>
        <w:rPr>
          <w:sz w:val="24"/>
          <w:szCs w:val="32"/>
        </w:rPr>
      </w:pPr>
      <w:r>
        <w:rPr>
          <w:rFonts w:hint="eastAsia" w:cs="宋体"/>
          <w:sz w:val="24"/>
          <w:szCs w:val="32"/>
          <w:lang w:bidi="ar"/>
        </w:rPr>
        <w:t>（</w:t>
      </w:r>
      <w:r>
        <w:rPr>
          <w:sz w:val="24"/>
          <w:szCs w:val="32"/>
          <w:lang w:bidi="ar"/>
        </w:rPr>
        <w:t>6</w:t>
      </w:r>
      <w:r>
        <w:rPr>
          <w:rFonts w:hint="eastAsia" w:cs="宋体"/>
          <w:sz w:val="24"/>
          <w:szCs w:val="32"/>
          <w:lang w:bidi="ar"/>
        </w:rPr>
        <w:t>）代谢物提取</w:t>
      </w:r>
    </w:p>
    <w:p w14:paraId="04B3782B">
      <w:pPr>
        <w:spacing w:line="360" w:lineRule="auto"/>
        <w:ind w:firstLine="480" w:firstLineChars="200"/>
        <w:rPr>
          <w:sz w:val="24"/>
          <w:szCs w:val="32"/>
        </w:rPr>
      </w:pPr>
      <w:r>
        <w:rPr>
          <w:rFonts w:hint="eastAsia" w:cs="宋体"/>
          <w:sz w:val="24"/>
          <w:szCs w:val="32"/>
          <w:lang w:bidi="ar"/>
        </w:rPr>
        <w:t>中药：样本在冰上解冻；涡旋</w:t>
      </w:r>
      <w:r>
        <w:rPr>
          <w:sz w:val="24"/>
          <w:szCs w:val="32"/>
          <w:lang w:bidi="ar"/>
        </w:rPr>
        <w:t>30 s</w:t>
      </w:r>
      <w:r>
        <w:rPr>
          <w:rFonts w:hint="eastAsia" w:cs="宋体"/>
          <w:sz w:val="24"/>
          <w:szCs w:val="32"/>
          <w:lang w:bidi="ar"/>
        </w:rPr>
        <w:t>，将样本</w:t>
      </w:r>
      <w:r>
        <w:rPr>
          <w:sz w:val="24"/>
          <w:szCs w:val="32"/>
          <w:lang w:bidi="ar"/>
        </w:rPr>
        <w:t>4℃ , 12000 rpm</w:t>
      </w:r>
      <w:r>
        <w:rPr>
          <w:rFonts w:hint="eastAsia" w:cs="宋体"/>
          <w:sz w:val="24"/>
          <w:szCs w:val="32"/>
          <w:lang w:bidi="ar"/>
        </w:rPr>
        <w:t>（离心力</w:t>
      </w:r>
      <w:r>
        <w:rPr>
          <w:sz w:val="24"/>
          <w:szCs w:val="32"/>
          <w:lang w:bidi="ar"/>
        </w:rPr>
        <w:t xml:space="preserve">13800 </w:t>
      </w:r>
      <w:r>
        <w:rPr>
          <w:rFonts w:hint="eastAsia" w:cs="宋体"/>
          <w:sz w:val="24"/>
          <w:szCs w:val="32"/>
          <w:lang w:bidi="ar"/>
        </w:rPr>
        <w:t>（</w:t>
      </w:r>
      <w:r>
        <w:rPr>
          <w:sz w:val="24"/>
          <w:szCs w:val="32"/>
          <w:lang w:bidi="ar"/>
        </w:rPr>
        <w:t>×g</w:t>
      </w:r>
      <w:r>
        <w:rPr>
          <w:rFonts w:hint="eastAsia" w:cs="宋体"/>
          <w:sz w:val="24"/>
          <w:szCs w:val="32"/>
          <w:lang w:bidi="ar"/>
        </w:rPr>
        <w:t>），半径</w:t>
      </w:r>
      <w:r>
        <w:rPr>
          <w:sz w:val="24"/>
          <w:szCs w:val="32"/>
          <w:lang w:bidi="ar"/>
        </w:rPr>
        <w:t>8.6 cm</w:t>
      </w:r>
      <w:r>
        <w:rPr>
          <w:rFonts w:hint="eastAsia" w:cs="宋体"/>
          <w:sz w:val="24"/>
          <w:szCs w:val="32"/>
          <w:lang w:bidi="ar"/>
        </w:rPr>
        <w:t>）离心</w:t>
      </w:r>
      <w:r>
        <w:rPr>
          <w:sz w:val="24"/>
          <w:szCs w:val="32"/>
          <w:lang w:bidi="ar"/>
        </w:rPr>
        <w:t>15 min</w:t>
      </w:r>
      <w:r>
        <w:rPr>
          <w:rFonts w:hint="eastAsia" w:cs="宋体"/>
          <w:sz w:val="24"/>
          <w:szCs w:val="32"/>
          <w:lang w:bidi="ar"/>
        </w:rPr>
        <w:t>；取上清</w:t>
      </w:r>
      <w:r>
        <w:rPr>
          <w:sz w:val="24"/>
          <w:szCs w:val="32"/>
          <w:lang w:bidi="ar"/>
        </w:rPr>
        <w:t>300μL</w:t>
      </w:r>
      <w:r>
        <w:rPr>
          <w:rFonts w:hint="eastAsia" w:cs="宋体"/>
          <w:sz w:val="24"/>
          <w:szCs w:val="32"/>
          <w:lang w:bidi="ar"/>
        </w:rPr>
        <w:t>于</w:t>
      </w:r>
      <w:r>
        <w:rPr>
          <w:sz w:val="24"/>
          <w:szCs w:val="32"/>
          <w:lang w:bidi="ar"/>
        </w:rPr>
        <w:t>EP</w:t>
      </w:r>
      <w:r>
        <w:rPr>
          <w:rFonts w:hint="eastAsia" w:cs="宋体"/>
          <w:sz w:val="24"/>
          <w:szCs w:val="32"/>
          <w:lang w:bidi="ar"/>
        </w:rPr>
        <w:t>管中，加入</w:t>
      </w:r>
      <w:r>
        <w:rPr>
          <w:sz w:val="24"/>
          <w:szCs w:val="32"/>
          <w:lang w:bidi="ar"/>
        </w:rPr>
        <w:t>1000 μL</w:t>
      </w:r>
      <w:r>
        <w:rPr>
          <w:rFonts w:hint="eastAsia" w:cs="宋体"/>
          <w:sz w:val="24"/>
          <w:szCs w:val="32"/>
          <w:lang w:bidi="ar"/>
        </w:rPr>
        <w:t>提取液（甲醇：水</w:t>
      </w:r>
      <w:r>
        <w:rPr>
          <w:sz w:val="24"/>
          <w:szCs w:val="32"/>
          <w:lang w:bidi="ar"/>
        </w:rPr>
        <w:t>=4</w:t>
      </w:r>
      <w:r>
        <w:rPr>
          <w:rFonts w:hint="eastAsia" w:cs="宋体"/>
          <w:sz w:val="24"/>
          <w:szCs w:val="32"/>
          <w:lang w:bidi="ar"/>
        </w:rPr>
        <w:t>：</w:t>
      </w:r>
      <w:r>
        <w:rPr>
          <w:sz w:val="24"/>
          <w:szCs w:val="32"/>
          <w:lang w:bidi="ar"/>
        </w:rPr>
        <w:t>1</w:t>
      </w:r>
      <w:r>
        <w:rPr>
          <w:rFonts w:hint="eastAsia" w:cs="宋体"/>
          <w:sz w:val="24"/>
          <w:szCs w:val="32"/>
          <w:lang w:bidi="ar"/>
        </w:rPr>
        <w:t>，内标浓度为</w:t>
      </w:r>
      <w:r>
        <w:rPr>
          <w:sz w:val="24"/>
          <w:szCs w:val="32"/>
          <w:lang w:bidi="ar"/>
        </w:rPr>
        <w:t>10μg/mL</w:t>
      </w:r>
      <w:r>
        <w:rPr>
          <w:rFonts w:hint="eastAsia" w:cs="宋体"/>
          <w:sz w:val="24"/>
          <w:szCs w:val="32"/>
          <w:lang w:bidi="ar"/>
        </w:rPr>
        <w:t>）；涡旋</w:t>
      </w:r>
      <w:r>
        <w:rPr>
          <w:sz w:val="24"/>
          <w:szCs w:val="32"/>
          <w:lang w:bidi="ar"/>
        </w:rPr>
        <w:t>30 s</w:t>
      </w:r>
      <w:r>
        <w:rPr>
          <w:rFonts w:hint="eastAsia" w:cs="宋体"/>
          <w:sz w:val="24"/>
          <w:szCs w:val="32"/>
          <w:lang w:bidi="ar"/>
        </w:rPr>
        <w:t>，冰水浴超声</w:t>
      </w:r>
      <w:r>
        <w:rPr>
          <w:sz w:val="24"/>
          <w:szCs w:val="32"/>
          <w:lang w:bidi="ar"/>
        </w:rPr>
        <w:t>5 min</w:t>
      </w:r>
      <w:r>
        <w:rPr>
          <w:rFonts w:hint="eastAsia" w:cs="宋体"/>
          <w:sz w:val="24"/>
          <w:szCs w:val="32"/>
          <w:lang w:bidi="ar"/>
        </w:rPr>
        <w:t>；</w:t>
      </w:r>
    </w:p>
    <w:p w14:paraId="08C371B7">
      <w:pPr>
        <w:spacing w:line="360" w:lineRule="auto"/>
        <w:rPr>
          <w:sz w:val="24"/>
          <w:szCs w:val="32"/>
        </w:rPr>
      </w:pPr>
      <w:r>
        <w:rPr>
          <w:sz w:val="24"/>
          <w:szCs w:val="32"/>
          <w:lang w:bidi="ar"/>
        </w:rPr>
        <w:t>-40℃</w:t>
      </w:r>
      <w:r>
        <w:rPr>
          <w:rFonts w:hint="eastAsia" w:cs="宋体"/>
          <w:sz w:val="24"/>
          <w:szCs w:val="32"/>
          <w:lang w:bidi="ar"/>
        </w:rPr>
        <w:t>静置</w:t>
      </w:r>
      <w:r>
        <w:rPr>
          <w:sz w:val="24"/>
          <w:szCs w:val="32"/>
          <w:lang w:bidi="ar"/>
        </w:rPr>
        <w:t>1 h</w:t>
      </w:r>
      <w:r>
        <w:rPr>
          <w:rFonts w:hint="eastAsia" w:cs="宋体"/>
          <w:sz w:val="24"/>
          <w:szCs w:val="32"/>
          <w:lang w:bidi="ar"/>
        </w:rPr>
        <w:t>后将样本</w:t>
      </w:r>
      <w:r>
        <w:rPr>
          <w:sz w:val="24"/>
          <w:szCs w:val="32"/>
          <w:lang w:bidi="ar"/>
        </w:rPr>
        <w:t>4℃ , 12000 rpm</w:t>
      </w:r>
      <w:r>
        <w:rPr>
          <w:rFonts w:hint="eastAsia" w:cs="宋体"/>
          <w:sz w:val="24"/>
          <w:szCs w:val="32"/>
          <w:lang w:bidi="ar"/>
        </w:rPr>
        <w:t>（离心力</w:t>
      </w:r>
      <w:r>
        <w:rPr>
          <w:sz w:val="24"/>
          <w:szCs w:val="32"/>
          <w:lang w:bidi="ar"/>
        </w:rPr>
        <w:t xml:space="preserve">13800 </w:t>
      </w:r>
      <w:r>
        <w:rPr>
          <w:rFonts w:hint="eastAsia" w:cs="宋体"/>
          <w:sz w:val="24"/>
          <w:szCs w:val="32"/>
          <w:lang w:bidi="ar"/>
        </w:rPr>
        <w:t>（</w:t>
      </w:r>
      <w:r>
        <w:rPr>
          <w:sz w:val="24"/>
          <w:szCs w:val="32"/>
          <w:lang w:bidi="ar"/>
        </w:rPr>
        <w:t>×g</w:t>
      </w:r>
      <w:r>
        <w:rPr>
          <w:rFonts w:hint="eastAsia" w:cs="宋体"/>
          <w:sz w:val="24"/>
          <w:szCs w:val="32"/>
          <w:lang w:bidi="ar"/>
        </w:rPr>
        <w:t>），半径</w:t>
      </w:r>
      <w:r>
        <w:rPr>
          <w:sz w:val="24"/>
          <w:szCs w:val="32"/>
          <w:lang w:bidi="ar"/>
        </w:rPr>
        <w:t>8.6 cm</w:t>
      </w:r>
      <w:r>
        <w:rPr>
          <w:rFonts w:hint="eastAsia" w:cs="宋体"/>
          <w:sz w:val="24"/>
          <w:szCs w:val="32"/>
          <w:lang w:bidi="ar"/>
        </w:rPr>
        <w:t>）离心</w:t>
      </w:r>
      <w:r>
        <w:rPr>
          <w:sz w:val="24"/>
          <w:szCs w:val="32"/>
          <w:lang w:bidi="ar"/>
        </w:rPr>
        <w:t>15 min</w:t>
      </w:r>
      <w:r>
        <w:rPr>
          <w:rFonts w:hint="eastAsia" w:cs="宋体"/>
          <w:sz w:val="24"/>
          <w:szCs w:val="32"/>
          <w:lang w:bidi="ar"/>
        </w:rPr>
        <w:t>；小心地取上清经</w:t>
      </w:r>
      <w:r>
        <w:rPr>
          <w:sz w:val="24"/>
          <w:szCs w:val="32"/>
          <w:lang w:bidi="ar"/>
        </w:rPr>
        <w:t>0.22μm</w:t>
      </w:r>
      <w:r>
        <w:rPr>
          <w:rFonts w:hint="eastAsia" w:cs="宋体"/>
          <w:sz w:val="24"/>
          <w:szCs w:val="32"/>
          <w:lang w:bidi="ar"/>
        </w:rPr>
        <w:t>微孔滤膜过滤；</w:t>
      </w:r>
      <w:r>
        <w:rPr>
          <w:sz w:val="24"/>
          <w:szCs w:val="32"/>
          <w:lang w:bidi="ar"/>
        </w:rPr>
        <w:t>-80℃</w:t>
      </w:r>
      <w:r>
        <w:rPr>
          <w:rFonts w:hint="eastAsia" w:cs="宋体"/>
          <w:sz w:val="24"/>
          <w:szCs w:val="32"/>
          <w:lang w:bidi="ar"/>
        </w:rPr>
        <w:t>储存直到上机检测。</w:t>
      </w:r>
    </w:p>
    <w:p w14:paraId="333F42B3">
      <w:pPr>
        <w:spacing w:line="360" w:lineRule="auto"/>
        <w:ind w:firstLine="480" w:firstLineChars="200"/>
        <w:rPr>
          <w:sz w:val="24"/>
          <w:szCs w:val="32"/>
        </w:rPr>
      </w:pPr>
      <w:r>
        <w:rPr>
          <w:rFonts w:hint="eastAsia" w:cs="宋体"/>
          <w:sz w:val="24"/>
          <w:szCs w:val="32"/>
          <w:lang w:bidi="ar"/>
        </w:rPr>
        <w:t>血清：取</w:t>
      </w:r>
      <w:r>
        <w:rPr>
          <w:sz w:val="24"/>
          <w:szCs w:val="32"/>
          <w:lang w:bidi="ar"/>
        </w:rPr>
        <w:t>300μL</w:t>
      </w:r>
      <w:r>
        <w:rPr>
          <w:rFonts w:hint="eastAsia" w:cs="宋体"/>
          <w:sz w:val="24"/>
          <w:szCs w:val="32"/>
          <w:lang w:bidi="ar"/>
        </w:rPr>
        <w:t>血清样本，加入</w:t>
      </w:r>
      <w:r>
        <w:rPr>
          <w:sz w:val="24"/>
          <w:szCs w:val="32"/>
          <w:lang w:bidi="ar"/>
        </w:rPr>
        <w:t>30μL</w:t>
      </w:r>
      <w:r>
        <w:rPr>
          <w:rFonts w:hint="eastAsia" w:cs="宋体"/>
          <w:sz w:val="24"/>
          <w:szCs w:val="32"/>
          <w:lang w:bidi="ar"/>
        </w:rPr>
        <w:t>盐酸（</w:t>
      </w:r>
      <w:r>
        <w:rPr>
          <w:sz w:val="24"/>
          <w:szCs w:val="32"/>
          <w:lang w:bidi="ar"/>
        </w:rPr>
        <w:t>2 mol/L</w:t>
      </w:r>
      <w:r>
        <w:rPr>
          <w:rFonts w:hint="eastAsia" w:cs="宋体"/>
          <w:sz w:val="24"/>
          <w:szCs w:val="32"/>
          <w:lang w:bidi="ar"/>
        </w:rPr>
        <w:t>）；涡旋</w:t>
      </w:r>
      <w:r>
        <w:rPr>
          <w:sz w:val="24"/>
          <w:szCs w:val="32"/>
          <w:lang w:bidi="ar"/>
        </w:rPr>
        <w:t>1 min</w:t>
      </w:r>
      <w:r>
        <w:rPr>
          <w:rFonts w:hint="eastAsia" w:cs="宋体"/>
          <w:sz w:val="24"/>
          <w:szCs w:val="32"/>
          <w:lang w:bidi="ar"/>
        </w:rPr>
        <w:t>，</w:t>
      </w:r>
      <w:r>
        <w:rPr>
          <w:sz w:val="24"/>
          <w:szCs w:val="32"/>
          <w:lang w:bidi="ar"/>
        </w:rPr>
        <w:t>4℃</w:t>
      </w:r>
      <w:r>
        <w:rPr>
          <w:rFonts w:hint="eastAsia" w:cs="宋体"/>
          <w:sz w:val="24"/>
          <w:szCs w:val="32"/>
          <w:lang w:bidi="ar"/>
        </w:rPr>
        <w:t>静置</w:t>
      </w:r>
      <w:r>
        <w:rPr>
          <w:sz w:val="24"/>
          <w:szCs w:val="32"/>
          <w:lang w:bidi="ar"/>
        </w:rPr>
        <w:t>15 min</w:t>
      </w:r>
      <w:r>
        <w:rPr>
          <w:rFonts w:hint="eastAsia" w:cs="宋体"/>
          <w:sz w:val="24"/>
          <w:szCs w:val="32"/>
          <w:lang w:bidi="ar"/>
        </w:rPr>
        <w:t>；重复涡旋静置四次后，加入</w:t>
      </w:r>
      <w:r>
        <w:rPr>
          <w:sz w:val="24"/>
          <w:szCs w:val="32"/>
          <w:lang w:bidi="ar"/>
        </w:rPr>
        <w:t>1.2 mL</w:t>
      </w:r>
      <w:r>
        <w:rPr>
          <w:rFonts w:hint="eastAsia" w:cs="宋体"/>
          <w:sz w:val="24"/>
          <w:szCs w:val="32"/>
          <w:lang w:bidi="ar"/>
        </w:rPr>
        <w:t>乙腈；涡旋</w:t>
      </w:r>
      <w:r>
        <w:rPr>
          <w:sz w:val="24"/>
          <w:szCs w:val="32"/>
          <w:lang w:bidi="ar"/>
        </w:rPr>
        <w:t>5 min</w:t>
      </w:r>
      <w:r>
        <w:rPr>
          <w:rFonts w:hint="eastAsia" w:cs="宋体"/>
          <w:sz w:val="24"/>
          <w:szCs w:val="32"/>
          <w:lang w:bidi="ar"/>
        </w:rPr>
        <w:t>，</w:t>
      </w:r>
      <w:r>
        <w:rPr>
          <w:sz w:val="24"/>
          <w:szCs w:val="32"/>
          <w:lang w:bidi="ar"/>
        </w:rPr>
        <w:t>12000 rpm</w:t>
      </w:r>
      <w:r>
        <w:rPr>
          <w:rFonts w:hint="eastAsia" w:cs="宋体"/>
          <w:sz w:val="24"/>
          <w:szCs w:val="32"/>
          <w:lang w:bidi="ar"/>
        </w:rPr>
        <w:t>（离心力</w:t>
      </w:r>
      <w:r>
        <w:rPr>
          <w:sz w:val="24"/>
          <w:szCs w:val="32"/>
          <w:lang w:bidi="ar"/>
        </w:rPr>
        <w:t xml:space="preserve">13800 </w:t>
      </w:r>
      <w:r>
        <w:rPr>
          <w:rFonts w:hint="eastAsia" w:cs="宋体"/>
          <w:sz w:val="24"/>
          <w:szCs w:val="32"/>
          <w:lang w:bidi="ar"/>
        </w:rPr>
        <w:t>（</w:t>
      </w:r>
      <w:r>
        <w:rPr>
          <w:sz w:val="24"/>
          <w:szCs w:val="32"/>
          <w:lang w:bidi="ar"/>
        </w:rPr>
        <w:t>×g</w:t>
      </w:r>
      <w:r>
        <w:rPr>
          <w:rFonts w:hint="eastAsia" w:cs="宋体"/>
          <w:sz w:val="24"/>
          <w:szCs w:val="32"/>
          <w:lang w:bidi="ar"/>
        </w:rPr>
        <w:t>），半径</w:t>
      </w:r>
      <w:r>
        <w:rPr>
          <w:sz w:val="24"/>
          <w:szCs w:val="32"/>
          <w:lang w:bidi="ar"/>
        </w:rPr>
        <w:t>8.6 cm</w:t>
      </w:r>
      <w:r>
        <w:rPr>
          <w:rFonts w:hint="eastAsia" w:cs="宋体"/>
          <w:sz w:val="24"/>
          <w:szCs w:val="32"/>
          <w:lang w:bidi="ar"/>
        </w:rPr>
        <w:t>）离心</w:t>
      </w:r>
      <w:r>
        <w:rPr>
          <w:sz w:val="24"/>
          <w:szCs w:val="32"/>
          <w:lang w:bidi="ar"/>
        </w:rPr>
        <w:t>5 min</w:t>
      </w:r>
      <w:r>
        <w:rPr>
          <w:rFonts w:hint="eastAsia" w:cs="宋体"/>
          <w:sz w:val="24"/>
          <w:szCs w:val="32"/>
          <w:lang w:bidi="ar"/>
        </w:rPr>
        <w:t>，取上清</w:t>
      </w:r>
      <w:r>
        <w:rPr>
          <w:sz w:val="24"/>
          <w:szCs w:val="32"/>
          <w:lang w:bidi="ar"/>
        </w:rPr>
        <w:t>1350μL</w:t>
      </w:r>
      <w:r>
        <w:rPr>
          <w:rFonts w:hint="eastAsia" w:cs="宋体"/>
          <w:sz w:val="24"/>
          <w:szCs w:val="32"/>
          <w:lang w:bidi="ar"/>
        </w:rPr>
        <w:t>氮吹干燥；加入</w:t>
      </w:r>
      <w:r>
        <w:rPr>
          <w:sz w:val="24"/>
          <w:szCs w:val="32"/>
          <w:lang w:bidi="ar"/>
        </w:rPr>
        <w:t>112.5 μL 80%</w:t>
      </w:r>
      <w:r>
        <w:rPr>
          <w:rFonts w:hint="eastAsia" w:cs="宋体"/>
          <w:sz w:val="24"/>
          <w:szCs w:val="32"/>
          <w:lang w:bidi="ar"/>
        </w:rPr>
        <w:t>甲醇（内标浓度为</w:t>
      </w:r>
      <w:r>
        <w:rPr>
          <w:sz w:val="24"/>
          <w:szCs w:val="32"/>
          <w:lang w:bidi="ar"/>
        </w:rPr>
        <w:t>10μg/mL</w:t>
      </w:r>
      <w:r>
        <w:rPr>
          <w:rFonts w:hint="eastAsia" w:cs="宋体"/>
          <w:sz w:val="24"/>
          <w:szCs w:val="32"/>
          <w:lang w:bidi="ar"/>
        </w:rPr>
        <w:t>）复溶，涡旋</w:t>
      </w:r>
      <w:r>
        <w:rPr>
          <w:sz w:val="24"/>
          <w:szCs w:val="32"/>
          <w:lang w:bidi="ar"/>
        </w:rPr>
        <w:t>5 min</w:t>
      </w:r>
      <w:r>
        <w:rPr>
          <w:rFonts w:hint="eastAsia" w:cs="宋体"/>
          <w:sz w:val="24"/>
          <w:szCs w:val="32"/>
          <w:lang w:bidi="ar"/>
        </w:rPr>
        <w:t>，</w:t>
      </w:r>
      <w:r>
        <w:rPr>
          <w:sz w:val="24"/>
          <w:szCs w:val="32"/>
          <w:lang w:bidi="ar"/>
        </w:rPr>
        <w:t>12000 rpm</w:t>
      </w:r>
      <w:r>
        <w:rPr>
          <w:rFonts w:hint="eastAsia" w:cs="宋体"/>
          <w:sz w:val="24"/>
          <w:szCs w:val="32"/>
          <w:lang w:bidi="ar"/>
        </w:rPr>
        <w:t>（离心力</w:t>
      </w:r>
      <w:r>
        <w:rPr>
          <w:sz w:val="24"/>
          <w:szCs w:val="32"/>
          <w:lang w:bidi="ar"/>
        </w:rPr>
        <w:t>13800</w:t>
      </w:r>
      <w:r>
        <w:rPr>
          <w:rFonts w:hint="eastAsia" w:cs="宋体"/>
          <w:sz w:val="24"/>
          <w:szCs w:val="32"/>
          <w:lang w:bidi="ar"/>
        </w:rPr>
        <w:t>（</w:t>
      </w:r>
      <w:r>
        <w:rPr>
          <w:sz w:val="24"/>
          <w:szCs w:val="32"/>
          <w:lang w:bidi="ar"/>
        </w:rPr>
        <w:t>×g</w:t>
      </w:r>
      <w:r>
        <w:rPr>
          <w:rFonts w:hint="eastAsia" w:cs="宋体"/>
          <w:sz w:val="24"/>
          <w:szCs w:val="32"/>
          <w:lang w:bidi="ar"/>
        </w:rPr>
        <w:t>），半径</w:t>
      </w:r>
      <w:r>
        <w:rPr>
          <w:sz w:val="24"/>
          <w:szCs w:val="32"/>
          <w:lang w:bidi="ar"/>
        </w:rPr>
        <w:t>8.6 cm</w:t>
      </w:r>
      <w:r>
        <w:rPr>
          <w:rFonts w:hint="eastAsia" w:cs="宋体"/>
          <w:sz w:val="24"/>
          <w:szCs w:val="32"/>
          <w:lang w:bidi="ar"/>
        </w:rPr>
        <w:t>）离心</w:t>
      </w:r>
      <w:r>
        <w:rPr>
          <w:sz w:val="24"/>
          <w:szCs w:val="32"/>
          <w:lang w:bidi="ar"/>
        </w:rPr>
        <w:t>5 min</w:t>
      </w:r>
      <w:r>
        <w:rPr>
          <w:rFonts w:hint="eastAsia" w:cs="宋体"/>
          <w:sz w:val="24"/>
          <w:szCs w:val="32"/>
          <w:lang w:bidi="ar"/>
        </w:rPr>
        <w:t>；取</w:t>
      </w:r>
      <w:r>
        <w:rPr>
          <w:sz w:val="24"/>
          <w:szCs w:val="32"/>
          <w:lang w:bidi="ar"/>
        </w:rPr>
        <w:t>90μL</w:t>
      </w:r>
      <w:r>
        <w:rPr>
          <w:rFonts w:hint="eastAsia" w:cs="宋体"/>
          <w:sz w:val="24"/>
          <w:szCs w:val="32"/>
          <w:lang w:bidi="ar"/>
        </w:rPr>
        <w:t>上清到进样瓶中上机检测。</w:t>
      </w:r>
    </w:p>
    <w:p w14:paraId="327C42C0">
      <w:pPr>
        <w:spacing w:line="360" w:lineRule="auto"/>
        <w:rPr>
          <w:sz w:val="24"/>
          <w:szCs w:val="32"/>
        </w:rPr>
      </w:pPr>
      <w:r>
        <w:rPr>
          <w:rFonts w:hint="eastAsia" w:cs="宋体"/>
          <w:sz w:val="24"/>
          <w:szCs w:val="32"/>
          <w:lang w:bidi="ar"/>
        </w:rPr>
        <w:t>（</w:t>
      </w:r>
      <w:r>
        <w:rPr>
          <w:sz w:val="24"/>
          <w:szCs w:val="32"/>
          <w:lang w:bidi="ar"/>
        </w:rPr>
        <w:t>7</w:t>
      </w:r>
      <w:r>
        <w:rPr>
          <w:rFonts w:hint="eastAsia" w:cs="宋体"/>
          <w:sz w:val="24"/>
          <w:szCs w:val="32"/>
          <w:lang w:bidi="ar"/>
        </w:rPr>
        <w:t>）上机检测</w:t>
      </w:r>
    </w:p>
    <w:p w14:paraId="5F504D4C">
      <w:pPr>
        <w:spacing w:line="360" w:lineRule="auto"/>
        <w:ind w:firstLine="480" w:firstLineChars="200"/>
        <w:rPr>
          <w:sz w:val="24"/>
          <w:szCs w:val="32"/>
        </w:rPr>
      </w:pPr>
      <w:r>
        <w:rPr>
          <w:sz w:val="24"/>
          <w:szCs w:val="32"/>
          <w:lang w:bidi="ar"/>
        </w:rPr>
        <w:t xml:space="preserve">Vanquish </w:t>
      </w:r>
      <w:r>
        <w:rPr>
          <w:rFonts w:hint="eastAsia" w:cs="宋体"/>
          <w:sz w:val="24"/>
          <w:szCs w:val="32"/>
          <w:lang w:bidi="ar"/>
        </w:rPr>
        <w:t>（</w:t>
      </w:r>
      <w:r>
        <w:rPr>
          <w:sz w:val="24"/>
          <w:szCs w:val="32"/>
          <w:lang w:bidi="ar"/>
        </w:rPr>
        <w:t xml:space="preserve">Thermo Fisher Scientific) </w:t>
      </w:r>
      <w:r>
        <w:rPr>
          <w:rFonts w:hint="eastAsia" w:cs="宋体"/>
          <w:sz w:val="24"/>
          <w:szCs w:val="32"/>
          <w:lang w:bidi="ar"/>
        </w:rPr>
        <w:t>超高效液相控制下按照下表中的流动相参数进行分析。所使用的色谱柱为购自</w:t>
      </w:r>
      <w:r>
        <w:rPr>
          <w:sz w:val="24"/>
          <w:szCs w:val="32"/>
          <w:lang w:bidi="ar"/>
        </w:rPr>
        <w:t>Waters</w:t>
      </w:r>
      <w:r>
        <w:rPr>
          <w:rFonts w:hint="eastAsia" w:cs="宋体"/>
          <w:sz w:val="24"/>
          <w:szCs w:val="32"/>
          <w:lang w:bidi="ar"/>
        </w:rPr>
        <w:t>的</w:t>
      </w:r>
      <w:r>
        <w:rPr>
          <w:sz w:val="24"/>
          <w:szCs w:val="32"/>
          <w:lang w:bidi="ar"/>
        </w:rPr>
        <w:t xml:space="preserve">UPLC BEH C18 </w:t>
      </w:r>
      <w:r>
        <w:rPr>
          <w:rFonts w:hint="eastAsia" w:cs="宋体"/>
          <w:sz w:val="24"/>
          <w:szCs w:val="32"/>
          <w:lang w:bidi="ar"/>
        </w:rPr>
        <w:t>色谱柱</w:t>
      </w:r>
      <w:r>
        <w:rPr>
          <w:sz w:val="24"/>
          <w:szCs w:val="32"/>
          <w:lang w:bidi="ar"/>
        </w:rPr>
        <w:t xml:space="preserve"> </w:t>
      </w:r>
      <w:r>
        <w:rPr>
          <w:rFonts w:hint="eastAsia" w:cs="宋体"/>
          <w:sz w:val="24"/>
          <w:szCs w:val="32"/>
          <w:lang w:bidi="ar"/>
        </w:rPr>
        <w:t>（</w:t>
      </w:r>
      <w:r>
        <w:rPr>
          <w:sz w:val="24"/>
          <w:szCs w:val="32"/>
          <w:lang w:bidi="ar"/>
        </w:rPr>
        <w:t>1.7μm * 2.1 * 100 mm)</w:t>
      </w:r>
      <w:r>
        <w:rPr>
          <w:rFonts w:hint="eastAsia" w:cs="宋体"/>
          <w:sz w:val="24"/>
          <w:szCs w:val="32"/>
          <w:lang w:bidi="ar"/>
        </w:rPr>
        <w:t>。进样体积为</w:t>
      </w:r>
      <w:r>
        <w:rPr>
          <w:sz w:val="24"/>
          <w:szCs w:val="32"/>
          <w:lang w:bidi="ar"/>
        </w:rPr>
        <w:t>5μL</w:t>
      </w:r>
      <w:r>
        <w:rPr>
          <w:rFonts w:hint="eastAsia" w:cs="宋体"/>
          <w:sz w:val="24"/>
          <w:szCs w:val="32"/>
          <w:lang w:bidi="ar"/>
        </w:rPr>
        <w:t>。注：时间单位为</w:t>
      </w:r>
      <w:r>
        <w:rPr>
          <w:sz w:val="24"/>
          <w:szCs w:val="32"/>
          <w:lang w:bidi="ar"/>
        </w:rPr>
        <w:t>min</w:t>
      </w:r>
      <w:r>
        <w:rPr>
          <w:rFonts w:hint="eastAsia" w:cs="宋体"/>
          <w:sz w:val="24"/>
          <w:szCs w:val="32"/>
          <w:lang w:bidi="ar"/>
        </w:rPr>
        <w:t>，流速单位为</w:t>
      </w:r>
      <w:r>
        <w:rPr>
          <w:sz w:val="24"/>
          <w:szCs w:val="32"/>
          <w:lang w:bidi="ar"/>
        </w:rPr>
        <w:t>μL/min</w:t>
      </w:r>
      <w:r>
        <w:rPr>
          <w:rFonts w:hint="eastAsia" w:cs="宋体"/>
          <w:sz w:val="24"/>
          <w:szCs w:val="32"/>
          <w:lang w:bidi="ar"/>
        </w:rPr>
        <w:t>，</w:t>
      </w:r>
      <w:r>
        <w:rPr>
          <w:sz w:val="24"/>
          <w:szCs w:val="32"/>
          <w:lang w:bidi="ar"/>
        </w:rPr>
        <w:t>A</w:t>
      </w:r>
      <w:r>
        <w:rPr>
          <w:rFonts w:hint="eastAsia" w:cs="宋体"/>
          <w:sz w:val="24"/>
          <w:szCs w:val="32"/>
          <w:lang w:bidi="ar"/>
        </w:rPr>
        <w:t>和</w:t>
      </w:r>
      <w:r>
        <w:rPr>
          <w:sz w:val="24"/>
          <w:szCs w:val="32"/>
          <w:lang w:bidi="ar"/>
        </w:rPr>
        <w:t>B</w:t>
      </w:r>
      <w:r>
        <w:rPr>
          <w:rFonts w:hint="eastAsia" w:cs="宋体"/>
          <w:sz w:val="24"/>
          <w:szCs w:val="32"/>
          <w:lang w:bidi="ar"/>
        </w:rPr>
        <w:t>相中都加入</w:t>
      </w:r>
      <w:r>
        <w:rPr>
          <w:sz w:val="24"/>
          <w:szCs w:val="32"/>
          <w:lang w:bidi="ar"/>
        </w:rPr>
        <w:t>0.1%</w:t>
      </w:r>
      <w:r>
        <w:rPr>
          <w:rFonts w:hint="eastAsia" w:cs="宋体"/>
          <w:sz w:val="24"/>
          <w:szCs w:val="32"/>
          <w:lang w:bidi="ar"/>
        </w:rPr>
        <w:t>甲酸。详见表</w:t>
      </w:r>
      <w:r>
        <w:rPr>
          <w:rFonts w:hint="eastAsia"/>
          <w:sz w:val="24"/>
          <w:szCs w:val="32"/>
          <w:lang w:bidi="ar"/>
        </w:rPr>
        <w:t>3</w:t>
      </w:r>
      <w:r>
        <w:rPr>
          <w:rFonts w:hint="eastAsia" w:cs="宋体"/>
          <w:sz w:val="24"/>
          <w:szCs w:val="32"/>
          <w:lang w:bidi="ar"/>
        </w:rPr>
        <w:t>。</w:t>
      </w:r>
    </w:p>
    <w:p w14:paraId="53BB49E8">
      <w:pPr>
        <w:ind w:firstLine="420" w:firstLineChars="200"/>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3</w:t>
      </w:r>
      <w:r>
        <w:rPr>
          <w:szCs w:val="22"/>
          <w:lang w:bidi="ar"/>
        </w:rPr>
        <w:fldChar w:fldCharType="end"/>
      </w:r>
      <w:r>
        <w:rPr>
          <w:szCs w:val="21"/>
          <w:lang w:bidi="ar"/>
        </w:rPr>
        <w:t xml:space="preserve"> </w:t>
      </w:r>
      <w:r>
        <w:rPr>
          <w:rFonts w:hint="eastAsia" w:cs="宋体"/>
          <w:sz w:val="20"/>
          <w:szCs w:val="22"/>
          <w:lang w:bidi="ar"/>
        </w:rPr>
        <w:t>液相色谱流动相条件表</w:t>
      </w:r>
    </w:p>
    <w:p w14:paraId="2EA4C6EE">
      <w:pPr>
        <w:spacing w:line="65" w:lineRule="exact"/>
      </w:pPr>
    </w:p>
    <w:tbl>
      <w:tblPr>
        <w:tblStyle w:val="49"/>
        <w:tblW w:w="2620" w:type="dxa"/>
        <w:tblInd w:w="2749" w:type="dxa"/>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Layout w:type="fixed"/>
        <w:tblCellMar>
          <w:top w:w="0" w:type="dxa"/>
          <w:left w:w="0" w:type="dxa"/>
          <w:bottom w:w="0" w:type="dxa"/>
          <w:right w:w="0" w:type="dxa"/>
        </w:tblCellMar>
      </w:tblPr>
      <w:tblGrid>
        <w:gridCol w:w="620"/>
        <w:gridCol w:w="599"/>
        <w:gridCol w:w="599"/>
        <w:gridCol w:w="802"/>
      </w:tblGrid>
      <w:tr w14:paraId="57C1E77E">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7" w:hRule="atLeast"/>
        </w:trPr>
        <w:tc>
          <w:tcPr>
            <w:tcW w:w="928" w:type="dxa"/>
            <w:tcBorders>
              <w:top w:val="single" w:color="008CCE" w:sz="2" w:space="0"/>
              <w:left w:val="single" w:color="008CCE" w:sz="2" w:space="0"/>
              <w:bottom w:val="single" w:color="008CCE" w:sz="6" w:space="0"/>
              <w:right w:val="nil"/>
            </w:tcBorders>
            <w:shd w:val="clear" w:color="auto" w:fill="008CCE"/>
          </w:tcPr>
          <w:p w14:paraId="07FC01C9">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时间</w:t>
            </w:r>
          </w:p>
        </w:tc>
        <w:tc>
          <w:tcPr>
            <w:tcW w:w="899" w:type="dxa"/>
            <w:tcBorders>
              <w:top w:val="single" w:color="008CCE" w:sz="2" w:space="0"/>
              <w:left w:val="nil"/>
              <w:bottom w:val="single" w:color="DDDDDD" w:sz="6" w:space="0"/>
              <w:right w:val="nil"/>
            </w:tcBorders>
            <w:shd w:val="clear" w:color="auto" w:fill="008CCE"/>
          </w:tcPr>
          <w:p w14:paraId="598F4578">
            <w:pPr>
              <w:pStyle w:val="12"/>
              <w:spacing w:before="69" w:line="216" w:lineRule="auto"/>
              <w:jc w:val="center"/>
              <w:rPr>
                <w:rFonts w:ascii="Calibri" w:hAnsi="Calibri"/>
                <w:spacing w:val="9"/>
                <w:sz w:val="20"/>
                <w:szCs w:val="20"/>
              </w:rPr>
            </w:pPr>
            <w:r>
              <w:rPr>
                <w:rFonts w:hint="eastAsia" w:ascii="Calibri" w:hAnsi="Calibri"/>
                <w:spacing w:val="9"/>
                <w:sz w:val="20"/>
                <w:szCs w:val="20"/>
                <w:lang w:bidi="ar"/>
              </w:rPr>
              <w:t>流速</w:t>
            </w:r>
          </w:p>
        </w:tc>
        <w:tc>
          <w:tcPr>
            <w:tcW w:w="899" w:type="dxa"/>
            <w:tcBorders>
              <w:top w:val="single" w:color="008CCE" w:sz="2" w:space="0"/>
              <w:left w:val="nil"/>
              <w:bottom w:val="single" w:color="DDDDDD" w:sz="6" w:space="0"/>
              <w:right w:val="nil"/>
            </w:tcBorders>
            <w:shd w:val="clear" w:color="auto" w:fill="008CCE"/>
          </w:tcPr>
          <w:p w14:paraId="73A7CB5F">
            <w:pPr>
              <w:pStyle w:val="12"/>
              <w:spacing w:before="69" w:line="216" w:lineRule="auto"/>
              <w:jc w:val="center"/>
              <w:rPr>
                <w:rFonts w:ascii="Calibri" w:hAnsi="Calibri"/>
                <w:spacing w:val="9"/>
                <w:sz w:val="20"/>
                <w:szCs w:val="20"/>
              </w:rPr>
            </w:pPr>
            <w:r>
              <w:rPr>
                <w:rFonts w:ascii="Calibri" w:hAnsi="Calibri"/>
                <w:spacing w:val="9"/>
                <w:sz w:val="20"/>
                <w:szCs w:val="20"/>
                <w:lang w:bidi="ar"/>
              </w:rPr>
              <w:t>A%</w:t>
            </w:r>
            <w:r>
              <w:rPr>
                <w:rFonts w:hint="eastAsia" w:ascii="Calibri" w:hAnsi="Calibri"/>
                <w:spacing w:val="9"/>
                <w:sz w:val="20"/>
                <w:szCs w:val="20"/>
                <w:lang w:bidi="ar"/>
              </w:rPr>
              <w:t>水</w:t>
            </w:r>
          </w:p>
        </w:tc>
        <w:tc>
          <w:tcPr>
            <w:tcW w:w="1206" w:type="dxa"/>
            <w:tcBorders>
              <w:top w:val="single" w:color="008CCE" w:sz="2" w:space="0"/>
              <w:left w:val="nil"/>
              <w:bottom w:val="single" w:color="008CCE" w:sz="6" w:space="0"/>
              <w:right w:val="single" w:color="008CCE" w:sz="2" w:space="0"/>
            </w:tcBorders>
            <w:shd w:val="clear" w:color="auto" w:fill="008CCE"/>
          </w:tcPr>
          <w:p w14:paraId="640B20F2">
            <w:pPr>
              <w:pStyle w:val="12"/>
              <w:spacing w:before="69" w:line="216" w:lineRule="auto"/>
              <w:jc w:val="center"/>
              <w:rPr>
                <w:rFonts w:ascii="Calibri" w:hAnsi="Calibri"/>
                <w:spacing w:val="9"/>
                <w:sz w:val="20"/>
                <w:szCs w:val="20"/>
              </w:rPr>
            </w:pPr>
            <w:r>
              <w:rPr>
                <w:rFonts w:ascii="Calibri" w:hAnsi="Calibri"/>
                <w:spacing w:val="9"/>
                <w:sz w:val="20"/>
                <w:szCs w:val="20"/>
                <w:lang w:bidi="ar"/>
              </w:rPr>
              <w:t>B%</w:t>
            </w:r>
            <w:r>
              <w:rPr>
                <w:rFonts w:hint="eastAsia" w:ascii="Calibri" w:hAnsi="Calibri"/>
                <w:spacing w:val="9"/>
                <w:sz w:val="20"/>
                <w:szCs w:val="20"/>
                <w:lang w:bidi="ar"/>
              </w:rPr>
              <w:t>乙腈</w:t>
            </w:r>
          </w:p>
        </w:tc>
      </w:tr>
      <w:tr w14:paraId="6557A3CA">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3" w:hRule="atLeast"/>
        </w:trPr>
        <w:tc>
          <w:tcPr>
            <w:tcW w:w="928" w:type="dxa"/>
            <w:tcBorders>
              <w:top w:val="single" w:color="DDDDDD" w:sz="6" w:space="0"/>
              <w:left w:val="single" w:color="DDDDDD" w:sz="2" w:space="0"/>
              <w:bottom w:val="single" w:color="DDDDDD" w:sz="2" w:space="0"/>
              <w:right w:val="nil"/>
            </w:tcBorders>
            <w:shd w:val="clear" w:color="auto" w:fill="B7DEE8"/>
          </w:tcPr>
          <w:p w14:paraId="50C99491">
            <w:pPr>
              <w:pStyle w:val="12"/>
              <w:spacing w:before="69" w:line="216" w:lineRule="auto"/>
              <w:jc w:val="center"/>
              <w:rPr>
                <w:rFonts w:ascii="Calibri" w:hAnsi="Calibri"/>
                <w:spacing w:val="9"/>
                <w:sz w:val="20"/>
                <w:szCs w:val="20"/>
              </w:rPr>
            </w:pPr>
            <w:r>
              <w:rPr>
                <w:rFonts w:ascii="Calibri" w:hAnsi="Calibri"/>
                <w:spacing w:val="9"/>
                <w:sz w:val="20"/>
                <w:szCs w:val="20"/>
                <w:lang w:bidi="ar"/>
              </w:rPr>
              <w:t>0</w:t>
            </w:r>
          </w:p>
        </w:tc>
        <w:tc>
          <w:tcPr>
            <w:tcW w:w="899" w:type="dxa"/>
            <w:tcBorders>
              <w:top w:val="single" w:color="DDDDDD" w:sz="6" w:space="0"/>
              <w:left w:val="nil"/>
              <w:bottom w:val="single" w:color="DDDDDD" w:sz="2" w:space="0"/>
              <w:right w:val="nil"/>
            </w:tcBorders>
            <w:shd w:val="clear" w:color="auto" w:fill="B7DEE8"/>
          </w:tcPr>
          <w:p w14:paraId="36A6328F">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6" w:space="0"/>
              <w:left w:val="nil"/>
              <w:bottom w:val="single" w:color="DDDDDD" w:sz="2" w:space="0"/>
              <w:right w:val="nil"/>
            </w:tcBorders>
            <w:shd w:val="clear" w:color="auto" w:fill="B7DEE8"/>
          </w:tcPr>
          <w:p w14:paraId="5B5B0BE3">
            <w:pPr>
              <w:pStyle w:val="12"/>
              <w:spacing w:before="69" w:line="216" w:lineRule="auto"/>
              <w:jc w:val="center"/>
              <w:rPr>
                <w:rFonts w:ascii="Calibri" w:hAnsi="Calibri"/>
                <w:spacing w:val="9"/>
                <w:sz w:val="20"/>
                <w:szCs w:val="20"/>
              </w:rPr>
            </w:pPr>
            <w:r>
              <w:rPr>
                <w:rFonts w:ascii="Calibri" w:hAnsi="Calibri"/>
                <w:spacing w:val="9"/>
                <w:sz w:val="20"/>
                <w:szCs w:val="20"/>
                <w:lang w:bidi="ar"/>
              </w:rPr>
              <w:t>95</w:t>
            </w:r>
          </w:p>
        </w:tc>
        <w:tc>
          <w:tcPr>
            <w:tcW w:w="1206" w:type="dxa"/>
            <w:tcBorders>
              <w:top w:val="single" w:color="DDDDDD" w:sz="6" w:space="0"/>
              <w:left w:val="nil"/>
              <w:bottom w:val="single" w:color="DDDDDD" w:sz="2" w:space="0"/>
              <w:right w:val="single" w:color="DDDDDD" w:sz="2" w:space="0"/>
            </w:tcBorders>
            <w:shd w:val="clear" w:color="auto" w:fill="B7DEE8"/>
          </w:tcPr>
          <w:p w14:paraId="7C704700">
            <w:pPr>
              <w:pStyle w:val="12"/>
              <w:spacing w:before="69" w:line="216" w:lineRule="auto"/>
              <w:jc w:val="center"/>
              <w:rPr>
                <w:rFonts w:ascii="Calibri" w:hAnsi="Calibri"/>
                <w:spacing w:val="9"/>
                <w:sz w:val="20"/>
                <w:szCs w:val="20"/>
              </w:rPr>
            </w:pPr>
            <w:r>
              <w:rPr>
                <w:rFonts w:ascii="Calibri" w:hAnsi="Calibri"/>
                <w:spacing w:val="9"/>
                <w:sz w:val="20"/>
                <w:szCs w:val="20"/>
                <w:lang w:bidi="ar"/>
              </w:rPr>
              <w:t>5</w:t>
            </w:r>
          </w:p>
        </w:tc>
      </w:tr>
      <w:tr w14:paraId="19D8AAA0">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9" w:hRule="atLeast"/>
        </w:trPr>
        <w:tc>
          <w:tcPr>
            <w:tcW w:w="928" w:type="dxa"/>
            <w:tcBorders>
              <w:top w:val="single" w:color="DDDDDD" w:sz="2" w:space="0"/>
              <w:left w:val="single" w:color="DDDDDD" w:sz="2" w:space="0"/>
              <w:bottom w:val="single" w:color="DDDDDD" w:sz="2" w:space="0"/>
              <w:right w:val="nil"/>
            </w:tcBorders>
            <w:shd w:val="clear" w:color="auto" w:fill="DAEEF3"/>
          </w:tcPr>
          <w:p w14:paraId="261A31FD">
            <w:pPr>
              <w:pStyle w:val="12"/>
              <w:spacing w:before="69" w:line="216" w:lineRule="auto"/>
              <w:jc w:val="center"/>
              <w:rPr>
                <w:rFonts w:ascii="Calibri" w:hAnsi="Calibri"/>
                <w:spacing w:val="9"/>
                <w:sz w:val="20"/>
                <w:szCs w:val="20"/>
              </w:rPr>
            </w:pPr>
            <w:r>
              <w:rPr>
                <w:rFonts w:ascii="Calibri" w:hAnsi="Calibri"/>
                <w:spacing w:val="9"/>
                <w:sz w:val="20"/>
                <w:szCs w:val="20"/>
                <w:lang w:bidi="ar"/>
              </w:rPr>
              <w:t>3.5</w:t>
            </w:r>
          </w:p>
        </w:tc>
        <w:tc>
          <w:tcPr>
            <w:tcW w:w="899" w:type="dxa"/>
            <w:tcBorders>
              <w:top w:val="single" w:color="DDDDDD" w:sz="2" w:space="0"/>
              <w:left w:val="nil"/>
              <w:bottom w:val="single" w:color="DDDDDD" w:sz="2" w:space="0"/>
              <w:right w:val="nil"/>
            </w:tcBorders>
            <w:shd w:val="clear" w:color="auto" w:fill="DAEEF3"/>
          </w:tcPr>
          <w:p w14:paraId="6E62CF3C">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DAEEF3"/>
          </w:tcPr>
          <w:p w14:paraId="649491F4">
            <w:pPr>
              <w:pStyle w:val="12"/>
              <w:spacing w:before="69" w:line="216" w:lineRule="auto"/>
              <w:jc w:val="center"/>
              <w:rPr>
                <w:rFonts w:ascii="Calibri" w:hAnsi="Calibri"/>
                <w:spacing w:val="9"/>
                <w:sz w:val="20"/>
                <w:szCs w:val="20"/>
              </w:rPr>
            </w:pPr>
            <w:r>
              <w:rPr>
                <w:rFonts w:ascii="Calibri" w:hAnsi="Calibri"/>
                <w:spacing w:val="9"/>
                <w:sz w:val="20"/>
                <w:szCs w:val="20"/>
                <w:lang w:bidi="ar"/>
              </w:rPr>
              <w:t>85</w:t>
            </w:r>
          </w:p>
        </w:tc>
        <w:tc>
          <w:tcPr>
            <w:tcW w:w="1206" w:type="dxa"/>
            <w:tcBorders>
              <w:top w:val="single" w:color="DDDDDD" w:sz="2" w:space="0"/>
              <w:left w:val="nil"/>
              <w:bottom w:val="single" w:color="DDDDDD" w:sz="2" w:space="0"/>
              <w:right w:val="single" w:color="DDDDDD" w:sz="2" w:space="0"/>
            </w:tcBorders>
            <w:shd w:val="clear" w:color="auto" w:fill="DAEEF3"/>
          </w:tcPr>
          <w:p w14:paraId="730142DA">
            <w:pPr>
              <w:pStyle w:val="12"/>
              <w:spacing w:before="69" w:line="216" w:lineRule="auto"/>
              <w:jc w:val="center"/>
              <w:rPr>
                <w:rFonts w:ascii="Calibri" w:hAnsi="Calibri"/>
                <w:spacing w:val="9"/>
                <w:sz w:val="20"/>
                <w:szCs w:val="20"/>
              </w:rPr>
            </w:pPr>
            <w:r>
              <w:rPr>
                <w:rFonts w:ascii="Calibri" w:hAnsi="Calibri"/>
                <w:spacing w:val="9"/>
                <w:sz w:val="20"/>
                <w:szCs w:val="20"/>
                <w:lang w:bidi="ar"/>
              </w:rPr>
              <w:t>15</w:t>
            </w:r>
          </w:p>
        </w:tc>
      </w:tr>
      <w:tr w14:paraId="205B8E35">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9" w:hRule="atLeast"/>
        </w:trPr>
        <w:tc>
          <w:tcPr>
            <w:tcW w:w="928" w:type="dxa"/>
            <w:tcBorders>
              <w:top w:val="single" w:color="DDDDDD" w:sz="2" w:space="0"/>
              <w:left w:val="single" w:color="DDDDDD" w:sz="2" w:space="0"/>
              <w:bottom w:val="single" w:color="DDDDDD" w:sz="2" w:space="0"/>
              <w:right w:val="nil"/>
            </w:tcBorders>
            <w:shd w:val="clear" w:color="auto" w:fill="B7DEE8"/>
          </w:tcPr>
          <w:p w14:paraId="4732CEC1">
            <w:pPr>
              <w:pStyle w:val="12"/>
              <w:spacing w:before="69" w:line="216" w:lineRule="auto"/>
              <w:jc w:val="center"/>
              <w:rPr>
                <w:rFonts w:ascii="Calibri" w:hAnsi="Calibri"/>
                <w:spacing w:val="9"/>
                <w:sz w:val="20"/>
                <w:szCs w:val="20"/>
              </w:rPr>
            </w:pPr>
            <w:r>
              <w:rPr>
                <w:rFonts w:ascii="Calibri" w:hAnsi="Calibri"/>
                <w:spacing w:val="9"/>
                <w:sz w:val="20"/>
                <w:szCs w:val="20"/>
                <w:lang w:bidi="ar"/>
              </w:rPr>
              <w:t>6</w:t>
            </w:r>
          </w:p>
        </w:tc>
        <w:tc>
          <w:tcPr>
            <w:tcW w:w="899" w:type="dxa"/>
            <w:tcBorders>
              <w:top w:val="single" w:color="DDDDDD" w:sz="2" w:space="0"/>
              <w:left w:val="nil"/>
              <w:bottom w:val="single" w:color="DDDDDD" w:sz="2" w:space="0"/>
              <w:right w:val="nil"/>
            </w:tcBorders>
            <w:shd w:val="clear" w:color="auto" w:fill="B7DEE8"/>
          </w:tcPr>
          <w:p w14:paraId="626E940F">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B7DEE8"/>
          </w:tcPr>
          <w:p w14:paraId="33CA81FE">
            <w:pPr>
              <w:pStyle w:val="12"/>
              <w:spacing w:before="69" w:line="216" w:lineRule="auto"/>
              <w:jc w:val="center"/>
              <w:rPr>
                <w:rFonts w:ascii="Calibri" w:hAnsi="Calibri"/>
                <w:spacing w:val="9"/>
                <w:sz w:val="20"/>
                <w:szCs w:val="20"/>
              </w:rPr>
            </w:pPr>
            <w:r>
              <w:rPr>
                <w:rFonts w:ascii="Calibri" w:hAnsi="Calibri"/>
                <w:spacing w:val="9"/>
                <w:sz w:val="20"/>
                <w:szCs w:val="20"/>
                <w:lang w:bidi="ar"/>
              </w:rPr>
              <w:t>70</w:t>
            </w:r>
          </w:p>
        </w:tc>
        <w:tc>
          <w:tcPr>
            <w:tcW w:w="1206" w:type="dxa"/>
            <w:tcBorders>
              <w:top w:val="single" w:color="DDDDDD" w:sz="2" w:space="0"/>
              <w:left w:val="nil"/>
              <w:bottom w:val="single" w:color="DDDDDD" w:sz="2" w:space="0"/>
              <w:right w:val="single" w:color="DDDDDD" w:sz="2" w:space="0"/>
            </w:tcBorders>
            <w:shd w:val="clear" w:color="auto" w:fill="B7DEE8"/>
          </w:tcPr>
          <w:p w14:paraId="6E72C2A9">
            <w:pPr>
              <w:pStyle w:val="12"/>
              <w:spacing w:before="69" w:line="216" w:lineRule="auto"/>
              <w:jc w:val="center"/>
              <w:rPr>
                <w:rFonts w:ascii="Calibri" w:hAnsi="Calibri"/>
                <w:spacing w:val="9"/>
                <w:sz w:val="20"/>
                <w:szCs w:val="20"/>
              </w:rPr>
            </w:pPr>
            <w:r>
              <w:rPr>
                <w:rFonts w:ascii="Calibri" w:hAnsi="Calibri"/>
                <w:spacing w:val="9"/>
                <w:sz w:val="20"/>
                <w:szCs w:val="20"/>
                <w:lang w:bidi="ar"/>
              </w:rPr>
              <w:t>30</w:t>
            </w:r>
          </w:p>
        </w:tc>
      </w:tr>
      <w:tr w14:paraId="16E7B64E">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79" w:hRule="atLeast"/>
        </w:trPr>
        <w:tc>
          <w:tcPr>
            <w:tcW w:w="928" w:type="dxa"/>
            <w:tcBorders>
              <w:top w:val="single" w:color="DDDDDD" w:sz="2" w:space="0"/>
              <w:left w:val="single" w:color="DDDDDD" w:sz="2" w:space="0"/>
              <w:bottom w:val="single" w:color="DDDDDD" w:sz="2" w:space="0"/>
              <w:right w:val="nil"/>
            </w:tcBorders>
            <w:shd w:val="clear" w:color="auto" w:fill="DAEEF3"/>
          </w:tcPr>
          <w:p w14:paraId="3D180104">
            <w:pPr>
              <w:pStyle w:val="12"/>
              <w:spacing w:before="69" w:line="216" w:lineRule="auto"/>
              <w:jc w:val="center"/>
              <w:rPr>
                <w:rFonts w:ascii="Calibri" w:hAnsi="Calibri"/>
                <w:spacing w:val="9"/>
                <w:sz w:val="20"/>
                <w:szCs w:val="20"/>
              </w:rPr>
            </w:pPr>
            <w:r>
              <w:rPr>
                <w:rFonts w:ascii="Calibri" w:hAnsi="Calibri"/>
                <w:spacing w:val="9"/>
                <w:sz w:val="20"/>
                <w:szCs w:val="20"/>
                <w:lang w:bidi="ar"/>
              </w:rPr>
              <w:t>6.5</w:t>
            </w:r>
          </w:p>
        </w:tc>
        <w:tc>
          <w:tcPr>
            <w:tcW w:w="899" w:type="dxa"/>
            <w:tcBorders>
              <w:top w:val="single" w:color="DDDDDD" w:sz="2" w:space="0"/>
              <w:left w:val="nil"/>
              <w:bottom w:val="single" w:color="DDDDDD" w:sz="2" w:space="0"/>
              <w:right w:val="nil"/>
            </w:tcBorders>
            <w:shd w:val="clear" w:color="auto" w:fill="DAEEF3"/>
          </w:tcPr>
          <w:p w14:paraId="5360F4B4">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DAEEF3"/>
          </w:tcPr>
          <w:p w14:paraId="416B5CEB">
            <w:pPr>
              <w:pStyle w:val="12"/>
              <w:spacing w:before="69" w:line="216" w:lineRule="auto"/>
              <w:jc w:val="center"/>
              <w:rPr>
                <w:rFonts w:ascii="Calibri" w:hAnsi="Calibri"/>
                <w:spacing w:val="9"/>
                <w:sz w:val="20"/>
                <w:szCs w:val="20"/>
              </w:rPr>
            </w:pPr>
            <w:r>
              <w:rPr>
                <w:rFonts w:ascii="Calibri" w:hAnsi="Calibri"/>
                <w:spacing w:val="9"/>
                <w:sz w:val="20"/>
                <w:szCs w:val="20"/>
                <w:lang w:bidi="ar"/>
              </w:rPr>
              <w:t>70</w:t>
            </w:r>
          </w:p>
        </w:tc>
        <w:tc>
          <w:tcPr>
            <w:tcW w:w="1206" w:type="dxa"/>
            <w:tcBorders>
              <w:top w:val="single" w:color="DDDDDD" w:sz="2" w:space="0"/>
              <w:left w:val="nil"/>
              <w:bottom w:val="single" w:color="DDDDDD" w:sz="2" w:space="0"/>
              <w:right w:val="single" w:color="DDDDDD" w:sz="2" w:space="0"/>
            </w:tcBorders>
            <w:shd w:val="clear" w:color="auto" w:fill="DAEEF3"/>
          </w:tcPr>
          <w:p w14:paraId="2670C704">
            <w:pPr>
              <w:pStyle w:val="12"/>
              <w:spacing w:before="69" w:line="216" w:lineRule="auto"/>
              <w:jc w:val="center"/>
              <w:rPr>
                <w:rFonts w:ascii="Calibri" w:hAnsi="Calibri"/>
                <w:spacing w:val="9"/>
                <w:sz w:val="20"/>
                <w:szCs w:val="20"/>
              </w:rPr>
            </w:pPr>
            <w:r>
              <w:rPr>
                <w:rFonts w:ascii="Calibri" w:hAnsi="Calibri"/>
                <w:spacing w:val="9"/>
                <w:sz w:val="20"/>
                <w:szCs w:val="20"/>
                <w:lang w:bidi="ar"/>
              </w:rPr>
              <w:t>30</w:t>
            </w:r>
          </w:p>
        </w:tc>
      </w:tr>
      <w:tr w14:paraId="1DF91631">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B7DEE8"/>
          </w:tcPr>
          <w:p w14:paraId="1DD142CD">
            <w:pPr>
              <w:pStyle w:val="12"/>
              <w:spacing w:before="69" w:line="216" w:lineRule="auto"/>
              <w:jc w:val="center"/>
              <w:rPr>
                <w:rFonts w:ascii="Calibri" w:hAnsi="Calibri"/>
                <w:spacing w:val="9"/>
                <w:sz w:val="20"/>
                <w:szCs w:val="20"/>
              </w:rPr>
            </w:pPr>
            <w:r>
              <w:rPr>
                <w:rFonts w:ascii="Calibri" w:hAnsi="Calibri"/>
                <w:spacing w:val="9"/>
                <w:sz w:val="20"/>
                <w:szCs w:val="20"/>
                <w:lang w:bidi="ar"/>
              </w:rPr>
              <w:t>12</w:t>
            </w:r>
          </w:p>
        </w:tc>
        <w:tc>
          <w:tcPr>
            <w:tcW w:w="899" w:type="dxa"/>
            <w:tcBorders>
              <w:top w:val="single" w:color="DDDDDD" w:sz="2" w:space="0"/>
              <w:left w:val="nil"/>
              <w:bottom w:val="single" w:color="DDDDDD" w:sz="2" w:space="0"/>
              <w:right w:val="nil"/>
            </w:tcBorders>
            <w:shd w:val="clear" w:color="auto" w:fill="B7DEE8"/>
          </w:tcPr>
          <w:p w14:paraId="0333E17C">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B7DEE8"/>
          </w:tcPr>
          <w:p w14:paraId="0C7E0589">
            <w:pPr>
              <w:pStyle w:val="12"/>
              <w:spacing w:before="69" w:line="216" w:lineRule="auto"/>
              <w:jc w:val="center"/>
              <w:rPr>
                <w:rFonts w:ascii="Calibri" w:hAnsi="Calibri"/>
                <w:spacing w:val="9"/>
                <w:sz w:val="20"/>
                <w:szCs w:val="20"/>
              </w:rPr>
            </w:pPr>
            <w:r>
              <w:rPr>
                <w:rFonts w:ascii="Calibri" w:hAnsi="Calibri"/>
                <w:spacing w:val="9"/>
                <w:sz w:val="20"/>
                <w:szCs w:val="20"/>
                <w:lang w:bidi="ar"/>
              </w:rPr>
              <w:t>30</w:t>
            </w:r>
          </w:p>
        </w:tc>
        <w:tc>
          <w:tcPr>
            <w:tcW w:w="1206" w:type="dxa"/>
            <w:tcBorders>
              <w:top w:val="single" w:color="DDDDDD" w:sz="2" w:space="0"/>
              <w:left w:val="nil"/>
              <w:bottom w:val="single" w:color="DDDDDD" w:sz="2" w:space="0"/>
              <w:right w:val="single" w:color="DDDDDD" w:sz="2" w:space="0"/>
            </w:tcBorders>
            <w:shd w:val="clear" w:color="auto" w:fill="B7DEE8"/>
          </w:tcPr>
          <w:p w14:paraId="6AA4790D">
            <w:pPr>
              <w:pStyle w:val="12"/>
              <w:spacing w:before="69" w:line="216" w:lineRule="auto"/>
              <w:jc w:val="center"/>
              <w:rPr>
                <w:rFonts w:ascii="Calibri" w:hAnsi="Calibri"/>
                <w:spacing w:val="9"/>
                <w:sz w:val="20"/>
                <w:szCs w:val="20"/>
              </w:rPr>
            </w:pPr>
            <w:r>
              <w:rPr>
                <w:rFonts w:ascii="Calibri" w:hAnsi="Calibri"/>
                <w:spacing w:val="9"/>
                <w:sz w:val="20"/>
                <w:szCs w:val="20"/>
                <w:lang w:bidi="ar"/>
              </w:rPr>
              <w:t>70</w:t>
            </w:r>
          </w:p>
        </w:tc>
      </w:tr>
      <w:tr w14:paraId="0F1DA93B">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DAEEF3"/>
          </w:tcPr>
          <w:p w14:paraId="257EC00C">
            <w:pPr>
              <w:pStyle w:val="12"/>
              <w:spacing w:before="69" w:line="216" w:lineRule="auto"/>
              <w:jc w:val="center"/>
              <w:rPr>
                <w:rFonts w:ascii="Calibri" w:hAnsi="Calibri"/>
                <w:spacing w:val="9"/>
                <w:sz w:val="20"/>
                <w:szCs w:val="20"/>
              </w:rPr>
            </w:pPr>
            <w:r>
              <w:rPr>
                <w:rFonts w:ascii="Calibri" w:hAnsi="Calibri"/>
                <w:spacing w:val="9"/>
                <w:sz w:val="20"/>
                <w:szCs w:val="20"/>
                <w:lang w:bidi="ar"/>
              </w:rPr>
              <w:t>12.5</w:t>
            </w:r>
          </w:p>
        </w:tc>
        <w:tc>
          <w:tcPr>
            <w:tcW w:w="899" w:type="dxa"/>
            <w:tcBorders>
              <w:top w:val="single" w:color="DDDDDD" w:sz="2" w:space="0"/>
              <w:left w:val="nil"/>
              <w:bottom w:val="single" w:color="DDDDDD" w:sz="2" w:space="0"/>
              <w:right w:val="nil"/>
            </w:tcBorders>
            <w:shd w:val="clear" w:color="auto" w:fill="DAEEF3"/>
          </w:tcPr>
          <w:p w14:paraId="01465566">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DAEEF3"/>
          </w:tcPr>
          <w:p w14:paraId="5ACA5F7B">
            <w:pPr>
              <w:pStyle w:val="12"/>
              <w:spacing w:before="69" w:line="216" w:lineRule="auto"/>
              <w:jc w:val="center"/>
              <w:rPr>
                <w:rFonts w:ascii="Calibri" w:hAnsi="Calibri"/>
                <w:spacing w:val="9"/>
                <w:sz w:val="20"/>
                <w:szCs w:val="20"/>
              </w:rPr>
            </w:pPr>
            <w:r>
              <w:rPr>
                <w:rFonts w:ascii="Calibri" w:hAnsi="Calibri"/>
                <w:spacing w:val="9"/>
                <w:sz w:val="20"/>
                <w:szCs w:val="20"/>
                <w:lang w:bidi="ar"/>
              </w:rPr>
              <w:t>30</w:t>
            </w:r>
          </w:p>
        </w:tc>
        <w:tc>
          <w:tcPr>
            <w:tcW w:w="1206" w:type="dxa"/>
            <w:tcBorders>
              <w:top w:val="single" w:color="DDDDDD" w:sz="2" w:space="0"/>
              <w:left w:val="nil"/>
              <w:bottom w:val="single" w:color="DDDDDD" w:sz="2" w:space="0"/>
              <w:right w:val="single" w:color="DDDDDD" w:sz="2" w:space="0"/>
            </w:tcBorders>
            <w:shd w:val="clear" w:color="auto" w:fill="DAEEF3"/>
          </w:tcPr>
          <w:p w14:paraId="1A7B4E7A">
            <w:pPr>
              <w:pStyle w:val="12"/>
              <w:spacing w:before="69" w:line="216" w:lineRule="auto"/>
              <w:jc w:val="center"/>
              <w:rPr>
                <w:rFonts w:ascii="Calibri" w:hAnsi="Calibri"/>
                <w:spacing w:val="9"/>
                <w:sz w:val="20"/>
                <w:szCs w:val="20"/>
              </w:rPr>
            </w:pPr>
            <w:r>
              <w:rPr>
                <w:rFonts w:ascii="Calibri" w:hAnsi="Calibri"/>
                <w:spacing w:val="9"/>
                <w:sz w:val="20"/>
                <w:szCs w:val="20"/>
                <w:lang w:bidi="ar"/>
              </w:rPr>
              <w:t>70</w:t>
            </w:r>
          </w:p>
        </w:tc>
      </w:tr>
      <w:tr w14:paraId="6977BC3B">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B7DEE8"/>
          </w:tcPr>
          <w:p w14:paraId="080E31D5">
            <w:pPr>
              <w:pStyle w:val="12"/>
              <w:spacing w:before="69" w:line="216" w:lineRule="auto"/>
              <w:jc w:val="center"/>
              <w:rPr>
                <w:rFonts w:ascii="Calibri" w:hAnsi="Calibri"/>
                <w:spacing w:val="9"/>
                <w:sz w:val="20"/>
                <w:szCs w:val="20"/>
              </w:rPr>
            </w:pPr>
            <w:r>
              <w:rPr>
                <w:rFonts w:ascii="Calibri" w:hAnsi="Calibri"/>
                <w:spacing w:val="9"/>
                <w:sz w:val="20"/>
                <w:szCs w:val="20"/>
                <w:lang w:bidi="ar"/>
              </w:rPr>
              <w:t>18</w:t>
            </w:r>
          </w:p>
        </w:tc>
        <w:tc>
          <w:tcPr>
            <w:tcW w:w="899" w:type="dxa"/>
            <w:tcBorders>
              <w:top w:val="single" w:color="DDDDDD" w:sz="2" w:space="0"/>
              <w:left w:val="nil"/>
              <w:bottom w:val="single" w:color="DDDDDD" w:sz="2" w:space="0"/>
              <w:right w:val="nil"/>
            </w:tcBorders>
            <w:shd w:val="clear" w:color="auto" w:fill="B7DEE8"/>
          </w:tcPr>
          <w:p w14:paraId="428A8160">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B7DEE8"/>
          </w:tcPr>
          <w:p w14:paraId="79AA91B9">
            <w:pPr>
              <w:pStyle w:val="12"/>
              <w:spacing w:before="69" w:line="216" w:lineRule="auto"/>
              <w:jc w:val="center"/>
              <w:rPr>
                <w:rFonts w:ascii="Calibri" w:hAnsi="Calibri"/>
                <w:spacing w:val="9"/>
                <w:sz w:val="20"/>
                <w:szCs w:val="20"/>
              </w:rPr>
            </w:pPr>
            <w:r>
              <w:rPr>
                <w:rFonts w:ascii="Calibri" w:hAnsi="Calibri"/>
                <w:spacing w:val="9"/>
                <w:sz w:val="20"/>
                <w:szCs w:val="20"/>
                <w:lang w:bidi="ar"/>
              </w:rPr>
              <w:t>0</w:t>
            </w:r>
          </w:p>
        </w:tc>
        <w:tc>
          <w:tcPr>
            <w:tcW w:w="1206" w:type="dxa"/>
            <w:tcBorders>
              <w:top w:val="single" w:color="DDDDDD" w:sz="2" w:space="0"/>
              <w:left w:val="nil"/>
              <w:bottom w:val="single" w:color="DDDDDD" w:sz="2" w:space="0"/>
              <w:right w:val="single" w:color="DDDDDD" w:sz="2" w:space="0"/>
            </w:tcBorders>
            <w:shd w:val="clear" w:color="auto" w:fill="B7DEE8"/>
          </w:tcPr>
          <w:p w14:paraId="30350B5B">
            <w:pPr>
              <w:pStyle w:val="12"/>
              <w:spacing w:before="69" w:line="216" w:lineRule="auto"/>
              <w:jc w:val="center"/>
              <w:rPr>
                <w:rFonts w:ascii="Calibri" w:hAnsi="Calibri"/>
                <w:spacing w:val="9"/>
                <w:sz w:val="20"/>
                <w:szCs w:val="20"/>
              </w:rPr>
            </w:pPr>
            <w:r>
              <w:rPr>
                <w:rFonts w:ascii="Calibri" w:hAnsi="Calibri"/>
                <w:spacing w:val="9"/>
                <w:sz w:val="20"/>
                <w:szCs w:val="20"/>
                <w:lang w:bidi="ar"/>
              </w:rPr>
              <w:t>100</w:t>
            </w:r>
          </w:p>
        </w:tc>
      </w:tr>
      <w:tr w14:paraId="7D4B0A81">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DAEEF3"/>
          </w:tcPr>
          <w:p w14:paraId="3481E958">
            <w:pPr>
              <w:pStyle w:val="12"/>
              <w:spacing w:before="69" w:line="216" w:lineRule="auto"/>
              <w:jc w:val="center"/>
              <w:rPr>
                <w:rFonts w:ascii="Calibri" w:hAnsi="Calibri"/>
                <w:spacing w:val="9"/>
                <w:sz w:val="20"/>
                <w:szCs w:val="20"/>
              </w:rPr>
            </w:pPr>
            <w:r>
              <w:rPr>
                <w:rFonts w:ascii="Calibri" w:hAnsi="Calibri"/>
                <w:spacing w:val="9"/>
                <w:sz w:val="20"/>
                <w:szCs w:val="20"/>
                <w:lang w:bidi="ar"/>
              </w:rPr>
              <w:t>22</w:t>
            </w:r>
          </w:p>
        </w:tc>
        <w:tc>
          <w:tcPr>
            <w:tcW w:w="899" w:type="dxa"/>
            <w:tcBorders>
              <w:top w:val="single" w:color="DDDDDD" w:sz="2" w:space="0"/>
              <w:left w:val="nil"/>
              <w:bottom w:val="single" w:color="DDDDDD" w:sz="2" w:space="0"/>
              <w:right w:val="nil"/>
            </w:tcBorders>
            <w:shd w:val="clear" w:color="auto" w:fill="DAEEF3"/>
          </w:tcPr>
          <w:p w14:paraId="1C36107E">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DAEEF3"/>
          </w:tcPr>
          <w:p w14:paraId="1E9EA1E3">
            <w:pPr>
              <w:pStyle w:val="12"/>
              <w:spacing w:before="69" w:line="216" w:lineRule="auto"/>
              <w:jc w:val="center"/>
              <w:rPr>
                <w:rFonts w:ascii="Calibri" w:hAnsi="Calibri"/>
                <w:spacing w:val="9"/>
                <w:sz w:val="20"/>
                <w:szCs w:val="20"/>
              </w:rPr>
            </w:pPr>
            <w:r>
              <w:rPr>
                <w:rFonts w:ascii="Calibri" w:hAnsi="Calibri"/>
                <w:spacing w:val="9"/>
                <w:sz w:val="20"/>
                <w:szCs w:val="20"/>
                <w:lang w:bidi="ar"/>
              </w:rPr>
              <w:t>0</w:t>
            </w:r>
          </w:p>
        </w:tc>
        <w:tc>
          <w:tcPr>
            <w:tcW w:w="1206" w:type="dxa"/>
            <w:tcBorders>
              <w:top w:val="single" w:color="DDDDDD" w:sz="2" w:space="0"/>
              <w:left w:val="nil"/>
              <w:bottom w:val="single" w:color="DDDDDD" w:sz="2" w:space="0"/>
              <w:right w:val="single" w:color="DDDDDD" w:sz="2" w:space="0"/>
            </w:tcBorders>
            <w:shd w:val="clear" w:color="auto" w:fill="DAEEF3"/>
          </w:tcPr>
          <w:p w14:paraId="603A90AF">
            <w:pPr>
              <w:pStyle w:val="12"/>
              <w:spacing w:before="69" w:line="216" w:lineRule="auto"/>
              <w:jc w:val="center"/>
              <w:rPr>
                <w:rFonts w:ascii="Calibri" w:hAnsi="Calibri"/>
                <w:spacing w:val="9"/>
                <w:sz w:val="20"/>
                <w:szCs w:val="20"/>
              </w:rPr>
            </w:pPr>
            <w:r>
              <w:rPr>
                <w:rFonts w:ascii="Calibri" w:hAnsi="Calibri"/>
                <w:spacing w:val="9"/>
                <w:sz w:val="20"/>
                <w:szCs w:val="20"/>
                <w:lang w:bidi="ar"/>
              </w:rPr>
              <w:t>100</w:t>
            </w:r>
          </w:p>
        </w:tc>
      </w:tr>
      <w:tr w14:paraId="50C9805D">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B7DEE8"/>
          </w:tcPr>
          <w:p w14:paraId="22EFD43C">
            <w:pPr>
              <w:pStyle w:val="12"/>
              <w:spacing w:before="69" w:line="216" w:lineRule="auto"/>
              <w:jc w:val="center"/>
              <w:rPr>
                <w:rFonts w:ascii="Calibri" w:hAnsi="Calibri"/>
                <w:spacing w:val="9"/>
                <w:sz w:val="20"/>
                <w:szCs w:val="20"/>
              </w:rPr>
            </w:pPr>
            <w:r>
              <w:rPr>
                <w:rFonts w:ascii="Calibri" w:hAnsi="Calibri"/>
                <w:spacing w:val="9"/>
                <w:sz w:val="20"/>
                <w:szCs w:val="20"/>
                <w:lang w:bidi="ar"/>
              </w:rPr>
              <w:t>25</w:t>
            </w:r>
          </w:p>
        </w:tc>
        <w:tc>
          <w:tcPr>
            <w:tcW w:w="899" w:type="dxa"/>
            <w:tcBorders>
              <w:top w:val="single" w:color="DDDDDD" w:sz="2" w:space="0"/>
              <w:left w:val="nil"/>
              <w:bottom w:val="single" w:color="DDDDDD" w:sz="2" w:space="0"/>
              <w:right w:val="nil"/>
            </w:tcBorders>
            <w:shd w:val="clear" w:color="auto" w:fill="B7DEE8"/>
          </w:tcPr>
          <w:p w14:paraId="590FCDBE">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B7DEE8"/>
          </w:tcPr>
          <w:p w14:paraId="3BB86223">
            <w:pPr>
              <w:pStyle w:val="12"/>
              <w:spacing w:before="69" w:line="216" w:lineRule="auto"/>
              <w:jc w:val="center"/>
              <w:rPr>
                <w:rFonts w:ascii="Calibri" w:hAnsi="Calibri"/>
                <w:spacing w:val="9"/>
                <w:sz w:val="20"/>
                <w:szCs w:val="20"/>
              </w:rPr>
            </w:pPr>
            <w:r>
              <w:rPr>
                <w:rFonts w:ascii="Calibri" w:hAnsi="Calibri"/>
                <w:spacing w:val="9"/>
                <w:sz w:val="20"/>
                <w:szCs w:val="20"/>
                <w:lang w:bidi="ar"/>
              </w:rPr>
              <w:t>0</w:t>
            </w:r>
          </w:p>
        </w:tc>
        <w:tc>
          <w:tcPr>
            <w:tcW w:w="1206" w:type="dxa"/>
            <w:tcBorders>
              <w:top w:val="single" w:color="DDDDDD" w:sz="2" w:space="0"/>
              <w:left w:val="nil"/>
              <w:bottom w:val="single" w:color="DDDDDD" w:sz="2" w:space="0"/>
              <w:right w:val="single" w:color="DDDDDD" w:sz="2" w:space="0"/>
            </w:tcBorders>
            <w:shd w:val="clear" w:color="auto" w:fill="B7DEE8"/>
          </w:tcPr>
          <w:p w14:paraId="3CE0E574">
            <w:pPr>
              <w:pStyle w:val="12"/>
              <w:spacing w:before="69" w:line="216" w:lineRule="auto"/>
              <w:jc w:val="center"/>
              <w:rPr>
                <w:rFonts w:ascii="Calibri" w:hAnsi="Calibri"/>
                <w:spacing w:val="9"/>
                <w:sz w:val="20"/>
                <w:szCs w:val="20"/>
              </w:rPr>
            </w:pPr>
            <w:r>
              <w:rPr>
                <w:rFonts w:ascii="Calibri" w:hAnsi="Calibri"/>
                <w:spacing w:val="9"/>
                <w:sz w:val="20"/>
                <w:szCs w:val="20"/>
                <w:lang w:bidi="ar"/>
              </w:rPr>
              <w:t>100</w:t>
            </w:r>
          </w:p>
        </w:tc>
      </w:tr>
      <w:tr w14:paraId="3669C789">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DAEEF3"/>
          </w:tcPr>
          <w:p w14:paraId="5896C11A">
            <w:pPr>
              <w:pStyle w:val="12"/>
              <w:spacing w:before="69" w:line="216" w:lineRule="auto"/>
              <w:jc w:val="center"/>
              <w:rPr>
                <w:rFonts w:ascii="Calibri" w:hAnsi="Calibri"/>
                <w:spacing w:val="9"/>
                <w:sz w:val="20"/>
                <w:szCs w:val="20"/>
              </w:rPr>
            </w:pPr>
            <w:r>
              <w:rPr>
                <w:rFonts w:ascii="Calibri" w:hAnsi="Calibri"/>
                <w:spacing w:val="9"/>
                <w:sz w:val="20"/>
                <w:szCs w:val="20"/>
                <w:lang w:bidi="ar"/>
              </w:rPr>
              <w:t>26</w:t>
            </w:r>
          </w:p>
        </w:tc>
        <w:tc>
          <w:tcPr>
            <w:tcW w:w="899" w:type="dxa"/>
            <w:tcBorders>
              <w:top w:val="single" w:color="DDDDDD" w:sz="2" w:space="0"/>
              <w:left w:val="nil"/>
              <w:bottom w:val="single" w:color="DDDDDD" w:sz="2" w:space="0"/>
              <w:right w:val="nil"/>
            </w:tcBorders>
            <w:shd w:val="clear" w:color="auto" w:fill="DAEEF3"/>
          </w:tcPr>
          <w:p w14:paraId="07110D7C">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DAEEF3"/>
          </w:tcPr>
          <w:p w14:paraId="2A274A95">
            <w:pPr>
              <w:pStyle w:val="12"/>
              <w:spacing w:before="69" w:line="216" w:lineRule="auto"/>
              <w:jc w:val="center"/>
              <w:rPr>
                <w:rFonts w:ascii="Calibri" w:hAnsi="Calibri"/>
                <w:spacing w:val="9"/>
                <w:sz w:val="20"/>
                <w:szCs w:val="20"/>
              </w:rPr>
            </w:pPr>
            <w:r>
              <w:rPr>
                <w:rFonts w:ascii="Calibri" w:hAnsi="Calibri"/>
                <w:spacing w:val="9"/>
                <w:sz w:val="20"/>
                <w:szCs w:val="20"/>
                <w:lang w:bidi="ar"/>
              </w:rPr>
              <w:t>95</w:t>
            </w:r>
          </w:p>
        </w:tc>
        <w:tc>
          <w:tcPr>
            <w:tcW w:w="1206" w:type="dxa"/>
            <w:tcBorders>
              <w:top w:val="single" w:color="DDDDDD" w:sz="2" w:space="0"/>
              <w:left w:val="nil"/>
              <w:bottom w:val="single" w:color="DDDDDD" w:sz="2" w:space="0"/>
              <w:right w:val="single" w:color="DDDDDD" w:sz="2" w:space="0"/>
            </w:tcBorders>
            <w:shd w:val="clear" w:color="auto" w:fill="DAEEF3"/>
          </w:tcPr>
          <w:p w14:paraId="2BAEB3B8">
            <w:pPr>
              <w:pStyle w:val="12"/>
              <w:spacing w:before="69" w:line="216" w:lineRule="auto"/>
              <w:jc w:val="center"/>
              <w:rPr>
                <w:rFonts w:ascii="Calibri" w:hAnsi="Calibri"/>
                <w:spacing w:val="9"/>
                <w:sz w:val="20"/>
                <w:szCs w:val="20"/>
              </w:rPr>
            </w:pPr>
            <w:r>
              <w:rPr>
                <w:rFonts w:ascii="Calibri" w:hAnsi="Calibri"/>
                <w:spacing w:val="9"/>
                <w:sz w:val="20"/>
                <w:szCs w:val="20"/>
                <w:lang w:bidi="ar"/>
              </w:rPr>
              <w:t>5</w:t>
            </w:r>
          </w:p>
        </w:tc>
      </w:tr>
      <w:tr w14:paraId="676F1707">
        <w:tblPrEx>
          <w:tblBorders>
            <w:top w:val="single" w:color="DDDDDD" w:sz="2" w:space="0"/>
            <w:left w:val="single" w:color="DDDDDD" w:sz="2" w:space="0"/>
            <w:bottom w:val="single" w:color="DDDDDD" w:sz="2" w:space="0"/>
            <w:right w:val="single" w:color="DDDDDD" w:sz="2" w:space="0"/>
            <w:insideH w:val="single" w:color="DDDDDD" w:sz="2" w:space="0"/>
            <w:insideV w:val="single" w:color="DDDDDD" w:sz="2" w:space="0"/>
          </w:tblBorders>
          <w:tblCellMar>
            <w:top w:w="0" w:type="dxa"/>
            <w:left w:w="0" w:type="dxa"/>
            <w:bottom w:w="0" w:type="dxa"/>
            <w:right w:w="0" w:type="dxa"/>
          </w:tblCellMar>
        </w:tblPrEx>
        <w:trPr>
          <w:trHeight w:val="280" w:hRule="atLeast"/>
        </w:trPr>
        <w:tc>
          <w:tcPr>
            <w:tcW w:w="928" w:type="dxa"/>
            <w:tcBorders>
              <w:top w:val="single" w:color="DDDDDD" w:sz="2" w:space="0"/>
              <w:left w:val="single" w:color="DDDDDD" w:sz="2" w:space="0"/>
              <w:bottom w:val="single" w:color="DDDDDD" w:sz="2" w:space="0"/>
              <w:right w:val="nil"/>
            </w:tcBorders>
            <w:shd w:val="clear" w:color="auto" w:fill="B7DEE8"/>
          </w:tcPr>
          <w:p w14:paraId="18C671F1">
            <w:pPr>
              <w:pStyle w:val="12"/>
              <w:spacing w:before="69" w:line="216" w:lineRule="auto"/>
              <w:jc w:val="center"/>
              <w:rPr>
                <w:rFonts w:ascii="Calibri" w:hAnsi="Calibri"/>
                <w:spacing w:val="9"/>
                <w:sz w:val="20"/>
                <w:szCs w:val="20"/>
              </w:rPr>
            </w:pPr>
            <w:r>
              <w:rPr>
                <w:rFonts w:ascii="Calibri" w:hAnsi="Calibri"/>
                <w:spacing w:val="9"/>
                <w:sz w:val="20"/>
                <w:szCs w:val="20"/>
                <w:lang w:bidi="ar"/>
              </w:rPr>
              <w:t>30</w:t>
            </w:r>
          </w:p>
        </w:tc>
        <w:tc>
          <w:tcPr>
            <w:tcW w:w="899" w:type="dxa"/>
            <w:tcBorders>
              <w:top w:val="single" w:color="DDDDDD" w:sz="2" w:space="0"/>
              <w:left w:val="nil"/>
              <w:bottom w:val="single" w:color="DDDDDD" w:sz="2" w:space="0"/>
              <w:right w:val="nil"/>
            </w:tcBorders>
            <w:shd w:val="clear" w:color="auto" w:fill="B7DEE8"/>
          </w:tcPr>
          <w:p w14:paraId="67B4A1A4">
            <w:pPr>
              <w:pStyle w:val="12"/>
              <w:spacing w:before="69" w:line="216" w:lineRule="auto"/>
              <w:jc w:val="center"/>
              <w:rPr>
                <w:rFonts w:ascii="Calibri" w:hAnsi="Calibri"/>
                <w:spacing w:val="9"/>
                <w:sz w:val="20"/>
                <w:szCs w:val="20"/>
              </w:rPr>
            </w:pPr>
            <w:r>
              <w:rPr>
                <w:rFonts w:ascii="Calibri" w:hAnsi="Calibri"/>
                <w:spacing w:val="9"/>
                <w:sz w:val="20"/>
                <w:szCs w:val="20"/>
                <w:lang w:bidi="ar"/>
              </w:rPr>
              <w:t>400</w:t>
            </w:r>
          </w:p>
        </w:tc>
        <w:tc>
          <w:tcPr>
            <w:tcW w:w="899" w:type="dxa"/>
            <w:tcBorders>
              <w:top w:val="single" w:color="DDDDDD" w:sz="2" w:space="0"/>
              <w:left w:val="nil"/>
              <w:bottom w:val="single" w:color="DDDDDD" w:sz="2" w:space="0"/>
              <w:right w:val="nil"/>
            </w:tcBorders>
            <w:shd w:val="clear" w:color="auto" w:fill="B7DEE8"/>
          </w:tcPr>
          <w:p w14:paraId="3466B4AB">
            <w:pPr>
              <w:pStyle w:val="12"/>
              <w:spacing w:before="69" w:line="216" w:lineRule="auto"/>
              <w:jc w:val="center"/>
              <w:rPr>
                <w:rFonts w:ascii="Calibri" w:hAnsi="Calibri"/>
                <w:spacing w:val="9"/>
                <w:sz w:val="20"/>
                <w:szCs w:val="20"/>
              </w:rPr>
            </w:pPr>
            <w:r>
              <w:rPr>
                <w:rFonts w:ascii="Calibri" w:hAnsi="Calibri"/>
                <w:spacing w:val="9"/>
                <w:sz w:val="20"/>
                <w:szCs w:val="20"/>
                <w:lang w:bidi="ar"/>
              </w:rPr>
              <w:t>95</w:t>
            </w:r>
          </w:p>
        </w:tc>
        <w:tc>
          <w:tcPr>
            <w:tcW w:w="1206" w:type="dxa"/>
            <w:tcBorders>
              <w:top w:val="single" w:color="DDDDDD" w:sz="2" w:space="0"/>
              <w:left w:val="nil"/>
              <w:bottom w:val="single" w:color="DDDDDD" w:sz="2" w:space="0"/>
              <w:right w:val="single" w:color="DDDDDD" w:sz="2" w:space="0"/>
            </w:tcBorders>
            <w:shd w:val="clear" w:color="auto" w:fill="B7DEE8"/>
          </w:tcPr>
          <w:p w14:paraId="2D557F28">
            <w:pPr>
              <w:pStyle w:val="12"/>
              <w:spacing w:before="69" w:line="216" w:lineRule="auto"/>
              <w:jc w:val="center"/>
              <w:rPr>
                <w:rFonts w:ascii="Calibri" w:hAnsi="Calibri"/>
                <w:spacing w:val="9"/>
                <w:sz w:val="20"/>
                <w:szCs w:val="20"/>
              </w:rPr>
            </w:pPr>
            <w:r>
              <w:rPr>
                <w:rFonts w:ascii="Calibri" w:hAnsi="Calibri"/>
                <w:spacing w:val="9"/>
                <w:sz w:val="20"/>
                <w:szCs w:val="20"/>
                <w:lang w:bidi="ar"/>
              </w:rPr>
              <w:t>5</w:t>
            </w:r>
          </w:p>
        </w:tc>
      </w:tr>
    </w:tbl>
    <w:p w14:paraId="76F85C65">
      <w:pPr>
        <w:spacing w:line="360" w:lineRule="auto"/>
        <w:ind w:firstLine="480" w:firstLineChars="200"/>
        <w:rPr>
          <w:sz w:val="24"/>
          <w:szCs w:val="32"/>
        </w:rPr>
      </w:pPr>
      <w:r>
        <w:rPr>
          <w:sz w:val="24"/>
          <w:szCs w:val="32"/>
          <w:lang w:bidi="ar"/>
        </w:rPr>
        <w:t>Orbitrap Exp loris 120</w:t>
      </w:r>
      <w:r>
        <w:rPr>
          <w:rFonts w:hint="eastAsia" w:cs="宋体"/>
          <w:sz w:val="24"/>
          <w:szCs w:val="32"/>
          <w:lang w:bidi="ar"/>
        </w:rPr>
        <w:t>质谱仪能够在控制软件（</w:t>
      </w:r>
      <w:r>
        <w:rPr>
          <w:sz w:val="24"/>
          <w:szCs w:val="32"/>
          <w:lang w:bidi="ar"/>
        </w:rPr>
        <w:t>Xcalibur, Thermo Fisher Scientific</w:t>
      </w:r>
      <w:r>
        <w:rPr>
          <w:rFonts w:hint="eastAsia" w:cs="宋体"/>
          <w:sz w:val="24"/>
          <w:szCs w:val="32"/>
          <w:lang w:bidi="ar"/>
        </w:rPr>
        <w:t>）控制下基于</w:t>
      </w:r>
      <w:r>
        <w:rPr>
          <w:sz w:val="24"/>
          <w:szCs w:val="32"/>
          <w:lang w:bidi="ar"/>
        </w:rPr>
        <w:t>FullScan-ddMS2</w:t>
      </w:r>
      <w:r>
        <w:rPr>
          <w:rFonts w:hint="eastAsia" w:cs="宋体"/>
          <w:sz w:val="24"/>
          <w:szCs w:val="32"/>
          <w:lang w:bidi="ar"/>
        </w:rPr>
        <w:t>功能进行一级、二级质谱数据采集。详细参数如下：</w:t>
      </w:r>
      <w:r>
        <w:rPr>
          <w:sz w:val="24"/>
          <w:szCs w:val="32"/>
          <w:lang w:bidi="ar"/>
        </w:rPr>
        <w:t xml:space="preserve">Sheath gas flow rate : 30 Arb, Aux gas flow rate : 10 Arb, Ion Transfer Tube Temp : 350℃, Vaporizer Temp : 350℃, Full ms resolution : 60000, MS/MS resolution : 15000, Collision energy : 16/32/48 in NCE mode, Spray Voltage : 5.5 kV </w:t>
      </w:r>
      <w:r>
        <w:rPr>
          <w:rFonts w:hint="eastAsia" w:cs="宋体"/>
          <w:sz w:val="24"/>
          <w:szCs w:val="32"/>
          <w:lang w:bidi="ar"/>
        </w:rPr>
        <w:t>（</w:t>
      </w:r>
      <w:r>
        <w:rPr>
          <w:sz w:val="24"/>
          <w:szCs w:val="32"/>
          <w:lang w:bidi="ar"/>
        </w:rPr>
        <w:t>positive)</w:t>
      </w:r>
      <w:r>
        <w:rPr>
          <w:rFonts w:hint="eastAsia" w:cs="宋体"/>
          <w:sz w:val="24"/>
          <w:szCs w:val="32"/>
          <w:lang w:bidi="ar"/>
        </w:rPr>
        <w:t>或</w:t>
      </w:r>
      <w:r>
        <w:rPr>
          <w:sz w:val="24"/>
          <w:szCs w:val="32"/>
          <w:lang w:bidi="ar"/>
        </w:rPr>
        <w:t xml:space="preserve">-4 kV </w:t>
      </w:r>
      <w:r>
        <w:rPr>
          <w:rFonts w:hint="eastAsia" w:cs="宋体"/>
          <w:sz w:val="24"/>
          <w:szCs w:val="32"/>
          <w:lang w:bidi="ar"/>
        </w:rPr>
        <w:t>（</w:t>
      </w:r>
      <w:r>
        <w:rPr>
          <w:sz w:val="24"/>
          <w:szCs w:val="32"/>
          <w:lang w:bidi="ar"/>
        </w:rPr>
        <w:t>negative)</w:t>
      </w:r>
      <w:r>
        <w:rPr>
          <w:rFonts w:hint="eastAsia" w:cs="宋体"/>
          <w:sz w:val="24"/>
          <w:szCs w:val="32"/>
          <w:lang w:bidi="ar"/>
        </w:rPr>
        <w:t>。</w:t>
      </w:r>
    </w:p>
    <w:p w14:paraId="3BDF3F1C">
      <w:pPr>
        <w:spacing w:line="360" w:lineRule="auto"/>
        <w:rPr>
          <w:sz w:val="24"/>
          <w:szCs w:val="32"/>
        </w:rPr>
      </w:pPr>
      <w:r>
        <w:rPr>
          <w:rFonts w:hint="eastAsia" w:cs="宋体"/>
          <w:sz w:val="24"/>
          <w:szCs w:val="32"/>
          <w:lang w:bidi="ar"/>
        </w:rPr>
        <w:t>（</w:t>
      </w:r>
      <w:r>
        <w:rPr>
          <w:sz w:val="24"/>
          <w:szCs w:val="32"/>
          <w:lang w:bidi="ar"/>
        </w:rPr>
        <w:t>8</w:t>
      </w:r>
      <w:r>
        <w:rPr>
          <w:rFonts w:hint="eastAsia" w:cs="宋体"/>
          <w:sz w:val="24"/>
          <w:szCs w:val="32"/>
          <w:lang w:bidi="ar"/>
        </w:rPr>
        <w:t>）数据处理</w:t>
      </w:r>
    </w:p>
    <w:p w14:paraId="0FEA792E">
      <w:pPr>
        <w:spacing w:line="360" w:lineRule="auto"/>
        <w:ind w:firstLine="480" w:firstLineChars="200"/>
        <w:rPr>
          <w:sz w:val="24"/>
          <w:szCs w:val="32"/>
        </w:rPr>
      </w:pPr>
      <w:r>
        <w:rPr>
          <w:rFonts w:hint="eastAsia" w:cs="宋体"/>
          <w:sz w:val="24"/>
          <w:szCs w:val="32"/>
          <w:lang w:bidi="ar"/>
        </w:rPr>
        <w:t>使用</w:t>
      </w:r>
      <w:r>
        <w:rPr>
          <w:sz w:val="24"/>
          <w:szCs w:val="32"/>
          <w:lang w:bidi="ar"/>
        </w:rPr>
        <w:t>XCMS</w:t>
      </w:r>
      <w:r>
        <w:rPr>
          <w:rFonts w:hint="eastAsia" w:cs="宋体"/>
          <w:sz w:val="24"/>
          <w:szCs w:val="32"/>
          <w:lang w:bidi="ar"/>
        </w:rPr>
        <w:t>软件将质谱原始导入。进行保留时间矫正、峰识别、峰提取、峰积分、峰对齐等工作，利用自建二级质谱数据库及相应裂解规律匹配法</w:t>
      </w:r>
      <w:r>
        <w:rPr>
          <w:sz w:val="24"/>
          <w:szCs w:val="32"/>
          <w:lang w:bidi="ar"/>
        </w:rPr>
        <w:t xml:space="preserve"> </w:t>
      </w:r>
      <w:r>
        <w:rPr>
          <w:rFonts w:hint="eastAsia" w:cs="宋体"/>
          <w:sz w:val="24"/>
          <w:szCs w:val="32"/>
          <w:lang w:bidi="ar"/>
        </w:rPr>
        <w:t>对含有</w:t>
      </w:r>
      <w:r>
        <w:rPr>
          <w:sz w:val="24"/>
          <w:szCs w:val="32"/>
          <w:lang w:bidi="ar"/>
        </w:rPr>
        <w:t>MSMS</w:t>
      </w:r>
      <w:r>
        <w:rPr>
          <w:rFonts w:hint="eastAsia" w:cs="宋体"/>
          <w:sz w:val="24"/>
          <w:szCs w:val="32"/>
          <w:lang w:bidi="ar"/>
        </w:rPr>
        <w:t>数据的峰进行物质鉴定。</w:t>
      </w:r>
    </w:p>
    <w:p w14:paraId="30AE8D32">
      <w:pPr>
        <w:spacing w:line="360" w:lineRule="auto"/>
        <w:rPr>
          <w:sz w:val="24"/>
          <w:szCs w:val="32"/>
        </w:rPr>
      </w:pPr>
      <w:r>
        <w:rPr>
          <w:rFonts w:hint="eastAsia"/>
          <w:sz w:val="24"/>
          <w:szCs w:val="32"/>
          <w:lang w:bidi="ar"/>
        </w:rPr>
        <w:t>二、</w:t>
      </w:r>
      <w:r>
        <w:rPr>
          <w:rFonts w:hint="eastAsia" w:cs="宋体"/>
          <w:sz w:val="24"/>
          <w:szCs w:val="32"/>
          <w:lang w:bidi="ar"/>
        </w:rPr>
        <w:t>结果</w:t>
      </w:r>
    </w:p>
    <w:p w14:paraId="307C6FA0">
      <w:pPr>
        <w:spacing w:line="360" w:lineRule="auto"/>
        <w:rPr>
          <w:sz w:val="24"/>
          <w:szCs w:val="32"/>
        </w:rPr>
      </w:pPr>
      <w:r>
        <w:rPr>
          <w:rFonts w:hint="eastAsia" w:cs="宋体"/>
          <w:sz w:val="24"/>
          <w:szCs w:val="32"/>
          <w:lang w:bidi="ar"/>
        </w:rPr>
        <w:t>（</w:t>
      </w:r>
      <w:r>
        <w:rPr>
          <w:sz w:val="24"/>
          <w:szCs w:val="32"/>
          <w:lang w:bidi="ar"/>
        </w:rPr>
        <w:t>1</w:t>
      </w:r>
      <w:r>
        <w:rPr>
          <w:rFonts w:hint="eastAsia" w:cs="宋体"/>
          <w:sz w:val="24"/>
          <w:szCs w:val="32"/>
          <w:lang w:bidi="ar"/>
        </w:rPr>
        <w:t>）组方入血成分检测</w:t>
      </w:r>
    </w:p>
    <w:p w14:paraId="39E31F36">
      <w:pPr>
        <w:spacing w:line="360" w:lineRule="auto"/>
        <w:ind w:firstLine="480" w:firstLineChars="200"/>
        <w:rPr>
          <w:sz w:val="24"/>
          <w:szCs w:val="32"/>
        </w:rPr>
      </w:pPr>
      <w:r>
        <w:rPr>
          <w:rFonts w:hint="eastAsia" w:cs="宋体"/>
          <w:sz w:val="24"/>
          <w:szCs w:val="32"/>
          <w:lang w:bidi="ar"/>
        </w:rPr>
        <w:t>通过大鼠血清、中药原液</w:t>
      </w:r>
      <w:r>
        <w:rPr>
          <w:sz w:val="24"/>
          <w:szCs w:val="32"/>
          <w:lang w:bidi="ar"/>
        </w:rPr>
        <w:t>-UHPLC-QE-MS</w:t>
      </w:r>
      <w:r>
        <w:rPr>
          <w:rFonts w:hint="eastAsia" w:cs="宋体"/>
          <w:sz w:val="24"/>
          <w:szCs w:val="32"/>
          <w:lang w:bidi="ar"/>
        </w:rPr>
        <w:t>中药非靶标代谢组学检测进行分析，共鉴定出宣痹温胆汤中正离子模式和负离子模式各前</w:t>
      </w:r>
      <w:r>
        <w:rPr>
          <w:sz w:val="24"/>
          <w:szCs w:val="32"/>
          <w:lang w:bidi="ar"/>
        </w:rPr>
        <w:t>20</w:t>
      </w:r>
      <w:r>
        <w:rPr>
          <w:rFonts w:hint="eastAsia" w:cs="宋体"/>
          <w:sz w:val="24"/>
          <w:szCs w:val="32"/>
          <w:lang w:bidi="ar"/>
        </w:rPr>
        <w:t>种原型入血成分（表</w:t>
      </w:r>
      <w:r>
        <w:rPr>
          <w:rFonts w:hint="eastAsia"/>
          <w:sz w:val="24"/>
          <w:szCs w:val="32"/>
          <w:lang w:bidi="ar"/>
        </w:rPr>
        <w:t>4</w:t>
      </w:r>
      <w:r>
        <w:rPr>
          <w:rFonts w:hint="eastAsia" w:cs="宋体"/>
          <w:sz w:val="24"/>
          <w:szCs w:val="32"/>
          <w:lang w:bidi="ar"/>
        </w:rPr>
        <w:t>）。依据打分值选择正、副离子模式排名前</w:t>
      </w:r>
      <w:r>
        <w:rPr>
          <w:sz w:val="24"/>
          <w:szCs w:val="32"/>
          <w:lang w:bidi="ar"/>
        </w:rPr>
        <w:t>10</w:t>
      </w:r>
      <w:r>
        <w:rPr>
          <w:rFonts w:hint="eastAsia" w:cs="宋体"/>
          <w:sz w:val="24"/>
          <w:szCs w:val="32"/>
          <w:lang w:bidi="ar"/>
        </w:rPr>
        <w:t>的物质进行</w:t>
      </w:r>
      <w:r>
        <w:rPr>
          <w:sz w:val="24"/>
          <w:szCs w:val="32"/>
          <w:lang w:bidi="ar"/>
        </w:rPr>
        <w:t>TIC</w:t>
      </w:r>
      <w:r>
        <w:rPr>
          <w:rFonts w:hint="eastAsia" w:cs="宋体"/>
          <w:sz w:val="24"/>
          <w:szCs w:val="32"/>
          <w:lang w:bidi="ar"/>
        </w:rPr>
        <w:t>图标峰示例（图</w:t>
      </w:r>
      <w:r>
        <w:rPr>
          <w:sz w:val="24"/>
          <w:szCs w:val="32"/>
          <w:lang w:bidi="ar"/>
        </w:rPr>
        <w:t>1</w:t>
      </w:r>
      <w:r>
        <w:rPr>
          <w:rFonts w:hint="eastAsia" w:cs="宋体"/>
          <w:sz w:val="24"/>
          <w:szCs w:val="32"/>
          <w:lang w:bidi="ar"/>
        </w:rPr>
        <w:t>）。</w:t>
      </w:r>
    </w:p>
    <w:p w14:paraId="12189C4B">
      <w:pPr>
        <w:spacing w:line="360" w:lineRule="auto"/>
        <w:ind w:firstLine="480" w:firstLineChars="200"/>
        <w:rPr>
          <w:sz w:val="24"/>
          <w:szCs w:val="32"/>
        </w:rPr>
      </w:pPr>
    </w:p>
    <w:p w14:paraId="5A1A7725">
      <w:pPr>
        <w:ind w:firstLine="420" w:firstLineChars="200"/>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4</w:t>
      </w:r>
      <w:r>
        <w:rPr>
          <w:szCs w:val="22"/>
          <w:lang w:bidi="ar"/>
        </w:rPr>
        <w:fldChar w:fldCharType="end"/>
      </w:r>
      <w:r>
        <w:rPr>
          <w:rFonts w:hint="eastAsia" w:cs="宋体"/>
          <w:sz w:val="24"/>
          <w:szCs w:val="32"/>
          <w:lang w:bidi="ar"/>
        </w:rPr>
        <w:t>宣痹清营汤方前</w:t>
      </w:r>
      <w:r>
        <w:rPr>
          <w:sz w:val="24"/>
          <w:szCs w:val="32"/>
          <w:lang w:bidi="ar"/>
        </w:rPr>
        <w:t>7</w:t>
      </w:r>
      <w:r>
        <w:rPr>
          <w:rFonts w:hint="eastAsia" w:cs="宋体"/>
          <w:sz w:val="24"/>
          <w:szCs w:val="32"/>
          <w:lang w:bidi="ar"/>
        </w:rPr>
        <w:t>代谢成分表</w:t>
      </w:r>
    </w:p>
    <w:p w14:paraId="6ECD5D7F">
      <w:pPr>
        <w:spacing w:line="360" w:lineRule="auto"/>
        <w:ind w:firstLine="480" w:firstLineChars="200"/>
        <w:jc w:val="center"/>
        <w:rPr>
          <w:sz w:val="24"/>
          <w:szCs w:val="32"/>
        </w:rPr>
      </w:pPr>
    </w:p>
    <w:p w14:paraId="502E3DE7">
      <w:pPr>
        <w:spacing w:before="156" w:beforeLines="50" w:line="360" w:lineRule="auto"/>
        <w:jc w:val="center"/>
        <w:rPr>
          <w:b/>
          <w:bCs/>
          <w:sz w:val="24"/>
        </w:rPr>
      </w:pPr>
      <w:r>
        <w:rPr>
          <w:b/>
          <w:bCs/>
          <w:sz w:val="24"/>
        </w:rPr>
        <w:drawing>
          <wp:inline distT="0" distB="0" distL="114300" distR="114300">
            <wp:extent cx="4718050" cy="2952750"/>
            <wp:effectExtent l="0" t="0" r="6350" b="6350"/>
            <wp:docPr id="44" name="图片 457" descr="173475577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7" descr="1734755774391"/>
                    <pic:cNvPicPr>
                      <a:picLocks noChangeAspect="1"/>
                    </pic:cNvPicPr>
                  </pic:nvPicPr>
                  <pic:blipFill>
                    <a:blip r:embed="rId7"/>
                    <a:stretch>
                      <a:fillRect/>
                    </a:stretch>
                  </pic:blipFill>
                  <pic:spPr>
                    <a:xfrm>
                      <a:off x="0" y="0"/>
                      <a:ext cx="4718050" cy="2952750"/>
                    </a:xfrm>
                    <a:prstGeom prst="rect">
                      <a:avLst/>
                    </a:prstGeom>
                    <a:noFill/>
                    <a:ln>
                      <a:noFill/>
                    </a:ln>
                  </pic:spPr>
                </pic:pic>
              </a:graphicData>
            </a:graphic>
          </wp:inline>
        </w:drawing>
      </w:r>
    </w:p>
    <w:p w14:paraId="15DDDF49">
      <w:pPr>
        <w:spacing w:before="156" w:beforeLines="50" w:line="360" w:lineRule="auto"/>
        <w:jc w:val="center"/>
        <w:rPr>
          <w:b/>
          <w:bCs/>
          <w:sz w:val="24"/>
        </w:rPr>
      </w:pPr>
    </w:p>
    <w:p w14:paraId="00DFAB2B">
      <w:pPr>
        <w:spacing w:before="156" w:beforeLines="50" w:line="360" w:lineRule="auto"/>
        <w:jc w:val="center"/>
        <w:rPr>
          <w:b/>
          <w:bCs/>
          <w:sz w:val="24"/>
        </w:rPr>
      </w:pPr>
      <w:r>
        <w:rPr>
          <w:b/>
          <w:bCs/>
          <w:sz w:val="24"/>
        </w:rPr>
        <w:drawing>
          <wp:inline distT="0" distB="0" distL="114300" distR="114300">
            <wp:extent cx="2565400" cy="1314450"/>
            <wp:effectExtent l="0" t="0" r="0" b="6350"/>
            <wp:docPr id="43" name="图片 303" descr="173475585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3" descr="1734755854584"/>
                    <pic:cNvPicPr>
                      <a:picLocks noChangeAspect="1"/>
                    </pic:cNvPicPr>
                  </pic:nvPicPr>
                  <pic:blipFill>
                    <a:blip r:embed="rId8"/>
                    <a:stretch>
                      <a:fillRect/>
                    </a:stretch>
                  </pic:blipFill>
                  <pic:spPr>
                    <a:xfrm>
                      <a:off x="0" y="0"/>
                      <a:ext cx="2565400" cy="1314450"/>
                    </a:xfrm>
                    <a:prstGeom prst="rect">
                      <a:avLst/>
                    </a:prstGeom>
                    <a:noFill/>
                    <a:ln>
                      <a:noFill/>
                    </a:ln>
                  </pic:spPr>
                </pic:pic>
              </a:graphicData>
            </a:graphic>
          </wp:inline>
        </w:drawing>
      </w:r>
      <w:r>
        <w:rPr>
          <w:b/>
          <w:bCs/>
          <w:sz w:val="24"/>
        </w:rPr>
        <w:drawing>
          <wp:inline distT="0" distB="0" distL="114300" distR="114300">
            <wp:extent cx="2616200" cy="1308100"/>
            <wp:effectExtent l="0" t="0" r="0" b="0"/>
            <wp:docPr id="45" name="图片 304" descr="173475589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4" descr="1734755895189"/>
                    <pic:cNvPicPr>
                      <a:picLocks noChangeAspect="1"/>
                    </pic:cNvPicPr>
                  </pic:nvPicPr>
                  <pic:blipFill>
                    <a:blip r:embed="rId9"/>
                    <a:stretch>
                      <a:fillRect/>
                    </a:stretch>
                  </pic:blipFill>
                  <pic:spPr>
                    <a:xfrm>
                      <a:off x="0" y="0"/>
                      <a:ext cx="2616200" cy="1308100"/>
                    </a:xfrm>
                    <a:prstGeom prst="rect">
                      <a:avLst/>
                    </a:prstGeom>
                    <a:noFill/>
                    <a:ln>
                      <a:noFill/>
                    </a:ln>
                  </pic:spPr>
                </pic:pic>
              </a:graphicData>
            </a:graphic>
          </wp:inline>
        </w:drawing>
      </w:r>
    </w:p>
    <w:p w14:paraId="5880102D">
      <w:pPr>
        <w:pStyle w:val="12"/>
        <w:spacing w:line="360" w:lineRule="auto"/>
        <w:ind w:firstLine="400" w:firstLineChars="200"/>
        <w:jc w:val="center"/>
      </w:pPr>
      <w:r>
        <w:rPr>
          <w:rFonts w:cs="宋体"/>
          <w:sz w:val="20"/>
          <w:szCs w:val="22"/>
          <w:lang w:bidi="ar"/>
        </w:rPr>
        <w:t xml:space="preserve"> </w:t>
      </w:r>
      <w:r>
        <w:rPr>
          <w:rFonts w:hint="eastAsia" w:cs="宋体"/>
          <w:sz w:val="20"/>
          <w:szCs w:val="22"/>
          <w:lang w:bidi="ar"/>
        </w:rPr>
        <w:t>图</w:t>
      </w:r>
      <w:r>
        <w:rPr>
          <w:sz w:val="20"/>
          <w:szCs w:val="22"/>
          <w:lang w:bidi="ar"/>
        </w:rPr>
        <w:t xml:space="preserve"> </w:t>
      </w:r>
      <w:r>
        <w:rPr>
          <w:sz w:val="20"/>
          <w:szCs w:val="22"/>
          <w:lang w:bidi="ar"/>
        </w:rPr>
        <w:fldChar w:fldCharType="begin"/>
      </w:r>
      <w:r>
        <w:rPr>
          <w:sz w:val="20"/>
          <w:szCs w:val="22"/>
          <w:lang w:bidi="ar"/>
        </w:rPr>
        <w:instrText xml:space="preserve"> SEQ </w:instrText>
      </w:r>
      <w:r>
        <w:rPr>
          <w:rFonts w:hint="eastAsia" w:cs="宋体"/>
          <w:sz w:val="20"/>
          <w:szCs w:val="22"/>
          <w:lang w:bidi="ar"/>
        </w:rPr>
        <w:instrText xml:space="preserve">图</w:instrText>
      </w:r>
      <w:r>
        <w:rPr>
          <w:sz w:val="20"/>
          <w:szCs w:val="22"/>
          <w:lang w:bidi="ar"/>
        </w:rPr>
        <w:instrText xml:space="preserve"> \* ARABIC </w:instrText>
      </w:r>
      <w:r>
        <w:rPr>
          <w:sz w:val="20"/>
          <w:szCs w:val="22"/>
          <w:lang w:bidi="ar"/>
        </w:rPr>
        <w:fldChar w:fldCharType="separate"/>
      </w:r>
      <w:r>
        <w:rPr>
          <w:sz w:val="20"/>
          <w:szCs w:val="22"/>
          <w:lang w:bidi="ar"/>
        </w:rPr>
        <w:t>1</w:t>
      </w:r>
      <w:r>
        <w:rPr>
          <w:sz w:val="20"/>
          <w:szCs w:val="22"/>
          <w:lang w:bidi="ar"/>
        </w:rPr>
        <w:fldChar w:fldCharType="end"/>
      </w:r>
      <w:r>
        <w:rPr>
          <w:sz w:val="20"/>
          <w:szCs w:val="22"/>
          <w:lang w:bidi="ar"/>
        </w:rPr>
        <w:t xml:space="preserve"> </w:t>
      </w:r>
      <w:r>
        <w:rPr>
          <w:rFonts w:hint="eastAsia" w:cs="宋体"/>
          <w:lang w:bidi="ar"/>
        </w:rPr>
        <w:t>血清药物化学分析韦恩图</w:t>
      </w:r>
    </w:p>
    <w:p w14:paraId="6EFE0F80">
      <w:pPr>
        <w:pStyle w:val="12"/>
        <w:spacing w:line="360" w:lineRule="auto"/>
        <w:ind w:firstLine="400" w:firstLineChars="200"/>
        <w:jc w:val="center"/>
        <w:rPr>
          <w:rFonts w:cs="宋体"/>
          <w:sz w:val="20"/>
          <w:szCs w:val="22"/>
          <w:lang w:bidi="ar"/>
        </w:rPr>
      </w:pPr>
      <w:r>
        <w:rPr>
          <w:rFonts w:hint="eastAsia" w:cs="宋体"/>
          <w:sz w:val="20"/>
          <w:szCs w:val="22"/>
          <w:lang w:bidi="ar"/>
        </w:rPr>
        <w:t>正负离子模式</w:t>
      </w:r>
      <w:r>
        <w:rPr>
          <w:rFonts w:cs="宋体"/>
          <w:sz w:val="20"/>
          <w:szCs w:val="22"/>
          <w:lang w:bidi="ar"/>
        </w:rPr>
        <w:t>XBT1</w:t>
      </w:r>
      <w:r>
        <w:rPr>
          <w:rFonts w:hint="eastAsia" w:cs="宋体"/>
          <w:sz w:val="20"/>
          <w:szCs w:val="22"/>
          <w:lang w:bidi="ar"/>
        </w:rPr>
        <w:t>样本</w:t>
      </w:r>
      <w:r>
        <w:rPr>
          <w:rFonts w:cs="宋体"/>
          <w:sz w:val="20"/>
          <w:szCs w:val="22"/>
          <w:lang w:bidi="ar"/>
        </w:rPr>
        <w:t>TIC</w:t>
      </w:r>
      <w:r>
        <w:rPr>
          <w:rFonts w:hint="eastAsia" w:cs="宋体"/>
          <w:sz w:val="20"/>
          <w:szCs w:val="22"/>
          <w:lang w:bidi="ar"/>
        </w:rPr>
        <w:t>标峰图</w:t>
      </w:r>
    </w:p>
    <w:p w14:paraId="62EC9570">
      <w:pPr>
        <w:ind w:firstLine="420" w:firstLineChars="200"/>
        <w:jc w:val="center"/>
        <w:rPr>
          <w:rFonts w:cs="宋体"/>
          <w:szCs w:val="22"/>
          <w:lang w:bidi="ar"/>
        </w:rPr>
      </w:pPr>
      <w:r>
        <w:rPr>
          <w:rFonts w:hint="eastAsia" w:cs="宋体"/>
          <w:szCs w:val="22"/>
          <w:lang w:bidi="ar"/>
        </w:rPr>
        <w:t>注：左图：负离子；右图：阳离子</w:t>
      </w:r>
    </w:p>
    <w:p w14:paraId="23D09CAC">
      <w:pPr>
        <w:rPr>
          <w:rFonts w:cs="宋体"/>
          <w:szCs w:val="22"/>
          <w:lang w:bidi="ar"/>
        </w:rPr>
      </w:pPr>
      <w:r>
        <w:rPr>
          <w:rFonts w:hint="eastAsia" w:cs="宋体"/>
          <w:szCs w:val="22"/>
          <w:lang w:bidi="ar"/>
        </w:rPr>
        <w:br w:type="page"/>
      </w:r>
    </w:p>
    <w:p w14:paraId="2DDA8783">
      <w:pPr>
        <w:spacing w:before="156" w:beforeLines="50" w:line="360" w:lineRule="auto"/>
        <w:jc w:val="center"/>
        <w:outlineLvl w:val="2"/>
        <w:rPr>
          <w:b/>
          <w:bCs/>
          <w:sz w:val="24"/>
        </w:rPr>
      </w:pPr>
      <w:bookmarkStart w:id="5" w:name="_Toc25716"/>
      <w:r>
        <w:rPr>
          <w:rFonts w:hint="eastAsia" w:cs="宋体"/>
          <w:b/>
          <w:bCs/>
          <w:sz w:val="24"/>
          <w:lang w:bidi="ar"/>
        </w:rPr>
        <w:t>脓毒症肝损伤</w:t>
      </w:r>
      <w:r>
        <w:rPr>
          <w:rFonts w:hint="eastAsia" w:cs="宋体"/>
          <w:b/>
          <w:bCs/>
          <w:sz w:val="24"/>
          <w:szCs w:val="32"/>
          <w:lang w:bidi="ar"/>
        </w:rPr>
        <w:t>中西医病机融通中药组方的中药入血成分生物信息学研究</w:t>
      </w:r>
      <w:bookmarkEnd w:id="5"/>
    </w:p>
    <w:p w14:paraId="37ABE1BD">
      <w:pPr>
        <w:spacing w:line="360" w:lineRule="auto"/>
        <w:rPr>
          <w:sz w:val="24"/>
        </w:rPr>
      </w:pPr>
      <w:r>
        <w:rPr>
          <w:rFonts w:hint="eastAsia"/>
          <w:sz w:val="24"/>
          <w:lang w:bidi="ar"/>
        </w:rPr>
        <w:t>一、</w:t>
      </w:r>
      <w:r>
        <w:rPr>
          <w:rFonts w:hint="eastAsia" w:cs="宋体"/>
          <w:sz w:val="24"/>
          <w:lang w:bidi="ar"/>
        </w:rPr>
        <w:t>血清药物化学分析韦恩图</w:t>
      </w:r>
    </w:p>
    <w:p w14:paraId="4178090B">
      <w:pPr>
        <w:spacing w:line="360" w:lineRule="auto"/>
        <w:ind w:firstLine="480" w:firstLineChars="200"/>
        <w:rPr>
          <w:sz w:val="24"/>
        </w:rPr>
      </w:pPr>
      <w:r>
        <w:rPr>
          <w:rFonts w:hint="eastAsia" w:cs="宋体"/>
          <w:sz w:val="24"/>
          <w:lang w:bidi="ar"/>
        </w:rPr>
        <w:t>将空白组、中药组和含药组的代谢物结果以韦恩图（</w:t>
      </w:r>
      <w:r>
        <w:rPr>
          <w:sz w:val="24"/>
          <w:lang w:bidi="ar"/>
        </w:rPr>
        <w:t>venn plot</w:t>
      </w:r>
      <w:r>
        <w:rPr>
          <w:rFonts w:hint="eastAsia" w:cs="宋体"/>
          <w:sz w:val="24"/>
          <w:lang w:bidi="ar"/>
        </w:rPr>
        <w:t>）的</w:t>
      </w:r>
      <w:r>
        <w:rPr>
          <w:sz w:val="24"/>
          <w:lang w:bidi="ar"/>
        </w:rPr>
        <w:t xml:space="preserve"> </w:t>
      </w:r>
      <w:r>
        <w:rPr>
          <w:rFonts w:hint="eastAsia" w:cs="宋体"/>
          <w:sz w:val="24"/>
          <w:lang w:bidi="ar"/>
        </w:rPr>
        <w:t>方式进行展示。韦恩图每一个椭圆代表一个组，并用不同的颜色进行映射，交集和非交集个数分别用数字进行统计展示在图中，韦恩图常用于发现多组间共有的代谢物，可以直观展示药用成分入血情况。图</w:t>
      </w:r>
      <w:r>
        <w:rPr>
          <w:rFonts w:hint="eastAsia"/>
          <w:sz w:val="24"/>
          <w:lang w:bidi="ar"/>
        </w:rPr>
        <w:t>2</w:t>
      </w:r>
      <w:r>
        <w:rPr>
          <w:rFonts w:hint="eastAsia" w:cs="宋体"/>
          <w:sz w:val="24"/>
          <w:lang w:bidi="ar"/>
        </w:rPr>
        <w:t>显示宣痹清营汤有</w:t>
      </w:r>
      <w:r>
        <w:rPr>
          <w:sz w:val="24"/>
          <w:lang w:bidi="ar"/>
        </w:rPr>
        <w:t>58</w:t>
      </w:r>
      <w:r>
        <w:rPr>
          <w:rFonts w:hint="eastAsia" w:cs="宋体"/>
          <w:sz w:val="24"/>
          <w:lang w:bidi="ar"/>
        </w:rPr>
        <w:t>种</w:t>
      </w:r>
      <w:r>
        <w:rPr>
          <w:sz w:val="24"/>
          <w:lang w:bidi="ar"/>
        </w:rPr>
        <w:t>1</w:t>
      </w:r>
      <w:r>
        <w:rPr>
          <w:rFonts w:hint="eastAsia" w:cs="宋体"/>
          <w:sz w:val="24"/>
          <w:lang w:bidi="ar"/>
        </w:rPr>
        <w:t>级有效成分，</w:t>
      </w:r>
      <w:r>
        <w:rPr>
          <w:sz w:val="24"/>
          <w:lang w:bidi="ar"/>
        </w:rPr>
        <w:t>1707</w:t>
      </w:r>
      <w:r>
        <w:rPr>
          <w:rFonts w:hint="eastAsia" w:cs="宋体"/>
          <w:sz w:val="24"/>
          <w:lang w:bidi="ar"/>
        </w:rPr>
        <w:t>种</w:t>
      </w:r>
      <w:r>
        <w:rPr>
          <w:sz w:val="24"/>
          <w:lang w:bidi="ar"/>
        </w:rPr>
        <w:t>II</w:t>
      </w:r>
      <w:r>
        <w:rPr>
          <w:rFonts w:hint="eastAsia" w:cs="宋体"/>
          <w:sz w:val="24"/>
          <w:lang w:bidi="ar"/>
        </w:rPr>
        <w:t>级有效成分，</w:t>
      </w:r>
      <w:r>
        <w:rPr>
          <w:sz w:val="24"/>
          <w:lang w:bidi="ar"/>
        </w:rPr>
        <w:t>1</w:t>
      </w:r>
    </w:p>
    <w:p w14:paraId="4C0627A7">
      <w:pPr>
        <w:spacing w:line="360" w:lineRule="auto"/>
        <w:rPr>
          <w:sz w:val="24"/>
        </w:rPr>
      </w:pPr>
      <w:r>
        <w:rPr>
          <w:rFonts w:hint="eastAsia" w:cs="宋体"/>
          <w:sz w:val="24"/>
          <w:lang w:bidi="ar"/>
        </w:rPr>
        <w:t>种</w:t>
      </w:r>
      <w:r>
        <w:rPr>
          <w:sz w:val="24"/>
          <w:lang w:bidi="ar"/>
        </w:rPr>
        <w:t>III</w:t>
      </w:r>
      <w:r>
        <w:rPr>
          <w:rFonts w:hint="eastAsia" w:cs="宋体"/>
          <w:sz w:val="24"/>
          <w:lang w:bidi="ar"/>
        </w:rPr>
        <w:t>级有效成分。</w:t>
      </w:r>
    </w:p>
    <w:p w14:paraId="6F25B80D">
      <w:pPr>
        <w:spacing w:line="360" w:lineRule="auto"/>
        <w:ind w:firstLine="480" w:firstLineChars="200"/>
        <w:jc w:val="center"/>
        <w:rPr>
          <w:sz w:val="24"/>
        </w:rPr>
      </w:pPr>
      <w:r>
        <w:rPr>
          <w:sz w:val="24"/>
        </w:rPr>
        <w:drawing>
          <wp:inline distT="0" distB="0" distL="114300" distR="114300">
            <wp:extent cx="2743200" cy="2660650"/>
            <wp:effectExtent l="0" t="0" r="0" b="6350"/>
            <wp:docPr id="62" name="图片 458" descr="173475613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8" descr="1734756131099"/>
                    <pic:cNvPicPr>
                      <a:picLocks noChangeAspect="1"/>
                    </pic:cNvPicPr>
                  </pic:nvPicPr>
                  <pic:blipFill>
                    <a:blip r:embed="rId10"/>
                    <a:stretch>
                      <a:fillRect/>
                    </a:stretch>
                  </pic:blipFill>
                  <pic:spPr>
                    <a:xfrm>
                      <a:off x="0" y="0"/>
                      <a:ext cx="2743200" cy="2660650"/>
                    </a:xfrm>
                    <a:prstGeom prst="rect">
                      <a:avLst/>
                    </a:prstGeom>
                    <a:noFill/>
                    <a:ln>
                      <a:noFill/>
                    </a:ln>
                  </pic:spPr>
                </pic:pic>
              </a:graphicData>
            </a:graphic>
          </wp:inline>
        </w:drawing>
      </w:r>
    </w:p>
    <w:p w14:paraId="6A5A2E01">
      <w:pPr>
        <w:pStyle w:val="12"/>
        <w:spacing w:line="360" w:lineRule="auto"/>
        <w:ind w:firstLine="400" w:firstLineChars="200"/>
        <w:jc w:val="center"/>
      </w:pPr>
      <w:r>
        <w:rPr>
          <w:rFonts w:hint="eastAsia" w:cs="宋体"/>
          <w:sz w:val="20"/>
          <w:szCs w:val="22"/>
          <w:lang w:bidi="ar"/>
        </w:rPr>
        <w:t>图</w:t>
      </w:r>
      <w:r>
        <w:rPr>
          <w:sz w:val="20"/>
          <w:szCs w:val="22"/>
          <w:lang w:bidi="ar"/>
        </w:rPr>
        <w:t xml:space="preserve"> </w:t>
      </w:r>
      <w:r>
        <w:rPr>
          <w:sz w:val="20"/>
          <w:szCs w:val="22"/>
          <w:lang w:bidi="ar"/>
        </w:rPr>
        <w:fldChar w:fldCharType="begin"/>
      </w:r>
      <w:r>
        <w:rPr>
          <w:sz w:val="20"/>
          <w:szCs w:val="22"/>
          <w:lang w:bidi="ar"/>
        </w:rPr>
        <w:instrText xml:space="preserve"> SEQ </w:instrText>
      </w:r>
      <w:r>
        <w:rPr>
          <w:rFonts w:hint="eastAsia" w:cs="宋体"/>
          <w:sz w:val="20"/>
          <w:szCs w:val="22"/>
          <w:lang w:bidi="ar"/>
        </w:rPr>
        <w:instrText xml:space="preserve">图</w:instrText>
      </w:r>
      <w:r>
        <w:rPr>
          <w:sz w:val="20"/>
          <w:szCs w:val="22"/>
          <w:lang w:bidi="ar"/>
        </w:rPr>
        <w:instrText xml:space="preserve"> \* ARABIC </w:instrText>
      </w:r>
      <w:r>
        <w:rPr>
          <w:sz w:val="20"/>
          <w:szCs w:val="22"/>
          <w:lang w:bidi="ar"/>
        </w:rPr>
        <w:fldChar w:fldCharType="separate"/>
      </w:r>
      <w:r>
        <w:rPr>
          <w:sz w:val="20"/>
          <w:szCs w:val="22"/>
          <w:lang w:bidi="ar"/>
        </w:rPr>
        <w:t>2</w:t>
      </w:r>
      <w:r>
        <w:rPr>
          <w:sz w:val="20"/>
          <w:szCs w:val="22"/>
          <w:lang w:bidi="ar"/>
        </w:rPr>
        <w:fldChar w:fldCharType="end"/>
      </w:r>
      <w:r>
        <w:rPr>
          <w:sz w:val="20"/>
          <w:szCs w:val="22"/>
          <w:lang w:bidi="ar"/>
        </w:rPr>
        <w:t xml:space="preserve"> </w:t>
      </w:r>
      <w:r>
        <w:rPr>
          <w:rFonts w:hint="eastAsia" w:cs="宋体"/>
          <w:lang w:bidi="ar"/>
        </w:rPr>
        <w:t>血清药物化学分析韦恩图</w:t>
      </w:r>
    </w:p>
    <w:p w14:paraId="465A06DC">
      <w:pPr>
        <w:spacing w:line="360" w:lineRule="auto"/>
        <w:ind w:firstLine="420" w:firstLineChars="200"/>
        <w:jc w:val="center"/>
        <w:rPr>
          <w:szCs w:val="21"/>
        </w:rPr>
      </w:pPr>
      <w:r>
        <w:rPr>
          <w:rFonts w:hint="eastAsia" w:cs="宋体"/>
          <w:szCs w:val="21"/>
          <w:lang w:bidi="ar"/>
        </w:rPr>
        <w:t>注：图中不同颜色的椭圆代表不同的组别之间的代谢物，椭圆中的数字</w:t>
      </w:r>
      <w:r>
        <w:rPr>
          <w:szCs w:val="21"/>
          <w:lang w:bidi="ar"/>
        </w:rPr>
        <w:t xml:space="preserve"> </w:t>
      </w:r>
      <w:r>
        <w:rPr>
          <w:rFonts w:hint="eastAsia" w:cs="宋体"/>
          <w:szCs w:val="21"/>
          <w:lang w:bidi="ar"/>
        </w:rPr>
        <w:t>代表组别之间共有的或特有的代谢物的个数。</w:t>
      </w:r>
    </w:p>
    <w:p w14:paraId="1B772EE4">
      <w:pPr>
        <w:spacing w:line="360" w:lineRule="auto"/>
        <w:ind w:firstLine="480" w:firstLineChars="200"/>
        <w:rPr>
          <w:sz w:val="24"/>
        </w:rPr>
      </w:pPr>
      <w:r>
        <w:rPr>
          <w:rFonts w:hint="eastAsia" w:cs="宋体"/>
          <w:sz w:val="24"/>
          <w:lang w:bidi="ar"/>
        </w:rPr>
        <w:t>二、入血成分相关性分析</w:t>
      </w:r>
    </w:p>
    <w:p w14:paraId="1FB0F982">
      <w:pPr>
        <w:spacing w:line="360" w:lineRule="auto"/>
        <w:ind w:firstLine="480" w:firstLineChars="200"/>
        <w:rPr>
          <w:sz w:val="24"/>
        </w:rPr>
      </w:pPr>
      <w:r>
        <w:rPr>
          <w:rFonts w:hint="eastAsia" w:cs="宋体"/>
          <w:sz w:val="24"/>
          <w:lang w:bidi="ar"/>
        </w:rPr>
        <w:t>相关性分析是指对两个或多个具备相关性的变量元素进行分析，从</w:t>
      </w:r>
      <w:r>
        <w:rPr>
          <w:sz w:val="24"/>
          <w:lang w:bidi="ar"/>
        </w:rPr>
        <w:t xml:space="preserve">  </w:t>
      </w:r>
      <w:r>
        <w:rPr>
          <w:rFonts w:hint="eastAsia" w:cs="宋体"/>
          <w:sz w:val="24"/>
          <w:lang w:bidi="ar"/>
        </w:rPr>
        <w:t>而衡量两个变量因素的相关密切程度，两个变量之间的相关程度通过相</w:t>
      </w:r>
      <w:r>
        <w:rPr>
          <w:sz w:val="24"/>
          <w:lang w:bidi="ar"/>
        </w:rPr>
        <w:t xml:space="preserve">  </w:t>
      </w:r>
      <w:r>
        <w:rPr>
          <w:rFonts w:hint="eastAsia" w:cs="宋体"/>
          <w:sz w:val="24"/>
          <w:lang w:bidi="ar"/>
        </w:rPr>
        <w:t>关系数</w:t>
      </w:r>
      <w:r>
        <w:rPr>
          <w:sz w:val="24"/>
          <w:lang w:bidi="ar"/>
        </w:rPr>
        <w:t>r</w:t>
      </w:r>
      <w:r>
        <w:rPr>
          <w:rFonts w:hint="eastAsia" w:cs="宋体"/>
          <w:sz w:val="24"/>
          <w:lang w:bidi="ar"/>
        </w:rPr>
        <w:t>来表示。相关系数</w:t>
      </w:r>
      <w:r>
        <w:rPr>
          <w:sz w:val="24"/>
          <w:lang w:bidi="ar"/>
        </w:rPr>
        <w:t>r</w:t>
      </w:r>
      <w:r>
        <w:rPr>
          <w:rFonts w:hint="eastAsia" w:cs="宋体"/>
          <w:sz w:val="24"/>
          <w:lang w:bidi="ar"/>
        </w:rPr>
        <w:t>的值在</w:t>
      </w:r>
      <w:r>
        <w:rPr>
          <w:sz w:val="24"/>
          <w:lang w:bidi="ar"/>
        </w:rPr>
        <w:t>-1</w:t>
      </w:r>
      <w:r>
        <w:rPr>
          <w:rFonts w:hint="eastAsia" w:cs="宋体"/>
          <w:sz w:val="24"/>
          <w:lang w:bidi="ar"/>
        </w:rPr>
        <w:t>和</w:t>
      </w:r>
      <w:r>
        <w:rPr>
          <w:sz w:val="24"/>
          <w:lang w:bidi="ar"/>
        </w:rPr>
        <w:t>1</w:t>
      </w:r>
      <w:r>
        <w:rPr>
          <w:rFonts w:hint="eastAsia" w:cs="宋体"/>
          <w:sz w:val="24"/>
          <w:lang w:bidi="ar"/>
        </w:rPr>
        <w:t>之间，但可以是此范围内的任何</w:t>
      </w:r>
      <w:r>
        <w:rPr>
          <w:sz w:val="24"/>
          <w:lang w:bidi="ar"/>
        </w:rPr>
        <w:t xml:space="preserve"> </w:t>
      </w:r>
      <w:r>
        <w:rPr>
          <w:rFonts w:hint="eastAsia" w:cs="宋体"/>
          <w:sz w:val="24"/>
          <w:lang w:bidi="ar"/>
        </w:rPr>
        <w:t>值。正相关时，</w:t>
      </w:r>
      <w:r>
        <w:rPr>
          <w:sz w:val="24"/>
          <w:lang w:bidi="ar"/>
        </w:rPr>
        <w:t>r</w:t>
      </w:r>
      <w:r>
        <w:rPr>
          <w:rFonts w:hint="eastAsia" w:cs="宋体"/>
          <w:sz w:val="24"/>
          <w:lang w:bidi="ar"/>
        </w:rPr>
        <w:t>值在</w:t>
      </w:r>
      <w:r>
        <w:rPr>
          <w:sz w:val="24"/>
          <w:lang w:bidi="ar"/>
        </w:rPr>
        <w:t>0</w:t>
      </w:r>
      <w:r>
        <w:rPr>
          <w:rFonts w:hint="eastAsia" w:cs="宋体"/>
          <w:sz w:val="24"/>
          <w:lang w:bidi="ar"/>
        </w:rPr>
        <w:t>和</w:t>
      </w:r>
      <w:r>
        <w:rPr>
          <w:sz w:val="24"/>
          <w:lang w:bidi="ar"/>
        </w:rPr>
        <w:t>1</w:t>
      </w:r>
      <w:r>
        <w:rPr>
          <w:rFonts w:hint="eastAsia" w:cs="宋体"/>
          <w:sz w:val="24"/>
          <w:lang w:bidi="ar"/>
        </w:rPr>
        <w:t>之间；负相关时，</w:t>
      </w:r>
      <w:r>
        <w:rPr>
          <w:sz w:val="24"/>
          <w:lang w:bidi="ar"/>
        </w:rPr>
        <w:t>r</w:t>
      </w:r>
      <w:r>
        <w:rPr>
          <w:rFonts w:hint="eastAsia" w:cs="宋体"/>
          <w:sz w:val="24"/>
          <w:lang w:bidi="ar"/>
        </w:rPr>
        <w:t>值在</w:t>
      </w:r>
      <w:r>
        <w:rPr>
          <w:sz w:val="24"/>
          <w:lang w:bidi="ar"/>
        </w:rPr>
        <w:t>-1</w:t>
      </w:r>
      <w:r>
        <w:rPr>
          <w:rFonts w:hint="eastAsia" w:cs="宋体"/>
          <w:sz w:val="24"/>
          <w:lang w:bidi="ar"/>
        </w:rPr>
        <w:t>和</w:t>
      </w:r>
      <w:r>
        <w:rPr>
          <w:sz w:val="24"/>
          <w:lang w:bidi="ar"/>
        </w:rPr>
        <w:t>0</w:t>
      </w:r>
      <w:r>
        <w:rPr>
          <w:rFonts w:hint="eastAsia" w:cs="宋体"/>
          <w:sz w:val="24"/>
          <w:lang w:bidi="ar"/>
        </w:rPr>
        <w:t>之间。</w:t>
      </w:r>
      <w:r>
        <w:rPr>
          <w:sz w:val="24"/>
          <w:lang w:bidi="ar"/>
        </w:rPr>
        <w:t>r</w:t>
      </w:r>
      <w:r>
        <w:rPr>
          <w:rFonts w:hint="eastAsia" w:cs="宋体"/>
          <w:sz w:val="24"/>
          <w:lang w:bidi="ar"/>
        </w:rPr>
        <w:t>的绝对</w:t>
      </w:r>
      <w:r>
        <w:rPr>
          <w:sz w:val="24"/>
          <w:lang w:bidi="ar"/>
        </w:rPr>
        <w:t xml:space="preserve">  </w:t>
      </w:r>
      <w:r>
        <w:rPr>
          <w:rFonts w:hint="eastAsia" w:cs="宋体"/>
          <w:sz w:val="24"/>
          <w:lang w:bidi="ar"/>
        </w:rPr>
        <w:t>值越接近</w:t>
      </w:r>
      <w:r>
        <w:rPr>
          <w:sz w:val="24"/>
          <w:lang w:bidi="ar"/>
        </w:rPr>
        <w:t>1</w:t>
      </w:r>
      <w:r>
        <w:rPr>
          <w:rFonts w:hint="eastAsia" w:cs="宋体"/>
          <w:sz w:val="24"/>
          <w:lang w:bidi="ar"/>
        </w:rPr>
        <w:t>，两变量的关联程度越强，</w:t>
      </w:r>
      <w:r>
        <w:rPr>
          <w:sz w:val="24"/>
          <w:lang w:bidi="ar"/>
        </w:rPr>
        <w:t>r</w:t>
      </w:r>
      <w:r>
        <w:rPr>
          <w:rFonts w:hint="eastAsia" w:cs="宋体"/>
          <w:sz w:val="24"/>
          <w:lang w:bidi="ar"/>
        </w:rPr>
        <w:t>的绝对值越接近</w:t>
      </w:r>
      <w:r>
        <w:rPr>
          <w:sz w:val="24"/>
          <w:lang w:bidi="ar"/>
        </w:rPr>
        <w:t>0</w:t>
      </w:r>
      <w:r>
        <w:rPr>
          <w:rFonts w:hint="eastAsia" w:cs="宋体"/>
          <w:sz w:val="24"/>
          <w:lang w:bidi="ar"/>
        </w:rPr>
        <w:t>，两变量的关联程度越弱。图</w:t>
      </w:r>
      <w:r>
        <w:rPr>
          <w:rFonts w:hint="eastAsia"/>
          <w:sz w:val="24"/>
          <w:lang w:bidi="ar"/>
        </w:rPr>
        <w:t>3</w:t>
      </w:r>
      <w:r>
        <w:rPr>
          <w:rFonts w:hint="eastAsia" w:cs="宋体"/>
          <w:sz w:val="24"/>
          <w:lang w:bidi="ar"/>
        </w:rPr>
        <w:t>。</w:t>
      </w:r>
    </w:p>
    <w:p w14:paraId="6A5E118A">
      <w:pPr>
        <w:spacing w:line="360" w:lineRule="auto"/>
        <w:rPr>
          <w:sz w:val="24"/>
        </w:rPr>
      </w:pPr>
      <w:r>
        <w:rPr>
          <w:sz w:val="24"/>
        </w:rPr>
        <w:drawing>
          <wp:inline distT="0" distB="0" distL="114300" distR="114300">
            <wp:extent cx="5727700" cy="2692400"/>
            <wp:effectExtent l="0" t="0" r="0" b="0"/>
            <wp:docPr id="63" name="图片 307" descr="173475615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07" descr="1734756159262"/>
                    <pic:cNvPicPr>
                      <a:picLocks noChangeAspect="1"/>
                    </pic:cNvPicPr>
                  </pic:nvPicPr>
                  <pic:blipFill>
                    <a:blip r:embed="rId11"/>
                    <a:stretch>
                      <a:fillRect/>
                    </a:stretch>
                  </pic:blipFill>
                  <pic:spPr>
                    <a:xfrm>
                      <a:off x="0" y="0"/>
                      <a:ext cx="5727700" cy="2692400"/>
                    </a:xfrm>
                    <a:prstGeom prst="rect">
                      <a:avLst/>
                    </a:prstGeom>
                    <a:noFill/>
                    <a:ln>
                      <a:noFill/>
                    </a:ln>
                  </pic:spPr>
                </pic:pic>
              </a:graphicData>
            </a:graphic>
          </wp:inline>
        </w:drawing>
      </w:r>
    </w:p>
    <w:p w14:paraId="6B00B676">
      <w:pPr>
        <w:pStyle w:val="12"/>
        <w:spacing w:line="360" w:lineRule="auto"/>
        <w:jc w:val="center"/>
      </w:pPr>
      <w:r>
        <w:rPr>
          <w:rFonts w:hint="eastAsia" w:eastAsia="黑体" w:cs="黑体"/>
          <w:sz w:val="20"/>
          <w:szCs w:val="22"/>
          <w:lang w:bidi="ar"/>
        </w:rPr>
        <w:t>图</w:t>
      </w:r>
      <w:r>
        <w:rPr>
          <w:rFonts w:eastAsia="黑体"/>
          <w:sz w:val="20"/>
          <w:szCs w:val="22"/>
          <w:lang w:bidi="ar"/>
        </w:rPr>
        <w:t xml:space="preserve"> </w:t>
      </w:r>
      <w:r>
        <w:rPr>
          <w:rFonts w:eastAsia="黑体"/>
          <w:sz w:val="20"/>
          <w:szCs w:val="22"/>
          <w:lang w:bidi="ar"/>
        </w:rPr>
        <w:fldChar w:fldCharType="begin"/>
      </w:r>
      <w:r>
        <w:rPr>
          <w:rFonts w:eastAsia="黑体"/>
          <w:sz w:val="20"/>
          <w:szCs w:val="22"/>
          <w:lang w:bidi="ar"/>
        </w:rPr>
        <w:instrText xml:space="preserve"> SEQ </w:instrText>
      </w:r>
      <w:r>
        <w:rPr>
          <w:rFonts w:hint="eastAsia" w:eastAsia="黑体" w:cs="黑体"/>
          <w:sz w:val="20"/>
          <w:szCs w:val="22"/>
          <w:lang w:bidi="ar"/>
        </w:rPr>
        <w:instrText xml:space="preserve">图</w:instrText>
      </w:r>
      <w:r>
        <w:rPr>
          <w:rFonts w:eastAsia="黑体"/>
          <w:sz w:val="20"/>
          <w:szCs w:val="22"/>
          <w:lang w:bidi="ar"/>
        </w:rPr>
        <w:instrText xml:space="preserve"> \* ARABIC </w:instrText>
      </w:r>
      <w:r>
        <w:rPr>
          <w:rFonts w:eastAsia="黑体"/>
          <w:sz w:val="20"/>
          <w:szCs w:val="22"/>
          <w:lang w:bidi="ar"/>
        </w:rPr>
        <w:fldChar w:fldCharType="separate"/>
      </w:r>
      <w:r>
        <w:rPr>
          <w:rFonts w:eastAsia="黑体"/>
          <w:sz w:val="20"/>
          <w:szCs w:val="22"/>
          <w:lang w:bidi="ar"/>
        </w:rPr>
        <w:t>3</w:t>
      </w:r>
      <w:r>
        <w:rPr>
          <w:rFonts w:eastAsia="黑体"/>
          <w:sz w:val="20"/>
          <w:szCs w:val="22"/>
          <w:lang w:bidi="ar"/>
        </w:rPr>
        <w:fldChar w:fldCharType="end"/>
      </w:r>
      <w:r>
        <w:rPr>
          <w:rFonts w:hint="eastAsia" w:cs="宋体"/>
          <w:lang w:bidi="ar"/>
        </w:rPr>
        <w:t>入血成分相关性分析热图</w:t>
      </w:r>
    </w:p>
    <w:p w14:paraId="5D8A25A1">
      <w:pPr>
        <w:spacing w:line="360" w:lineRule="auto"/>
        <w:ind w:firstLine="420" w:firstLineChars="200"/>
        <w:jc w:val="center"/>
        <w:rPr>
          <w:szCs w:val="21"/>
        </w:rPr>
      </w:pPr>
      <w:r>
        <w:rPr>
          <w:rFonts w:hint="eastAsia" w:cs="宋体"/>
          <w:szCs w:val="21"/>
          <w:lang w:bidi="ar"/>
        </w:rPr>
        <w:t>图中横纵坐标代表该组入血的代谢物，不同位置的色块代表对应位</w:t>
      </w:r>
      <w:r>
        <w:rPr>
          <w:szCs w:val="21"/>
          <w:lang w:bidi="ar"/>
        </w:rPr>
        <w:t xml:space="preserve"> </w:t>
      </w:r>
      <w:r>
        <w:rPr>
          <w:rFonts w:hint="eastAsia" w:cs="宋体"/>
          <w:szCs w:val="21"/>
          <w:lang w:bidi="ar"/>
        </w:rPr>
        <w:t>置代谢物间的相关系数大小，红色表示正相关，蓝色表示负相关，颜色</w:t>
      </w:r>
      <w:r>
        <w:rPr>
          <w:szCs w:val="21"/>
          <w:lang w:bidi="ar"/>
        </w:rPr>
        <w:t xml:space="preserve"> </w:t>
      </w:r>
      <w:r>
        <w:rPr>
          <w:rFonts w:hint="eastAsia" w:cs="宋体"/>
          <w:szCs w:val="21"/>
          <w:lang w:bidi="ar"/>
        </w:rPr>
        <w:t>越深代表相关性越强。同时非显著性相关用叉号进行标注。</w:t>
      </w:r>
    </w:p>
    <w:p w14:paraId="3FD7CB73">
      <w:pPr>
        <w:spacing w:line="360" w:lineRule="auto"/>
        <w:ind w:firstLine="480" w:firstLineChars="200"/>
        <w:rPr>
          <w:sz w:val="24"/>
        </w:rPr>
      </w:pPr>
      <w:r>
        <w:rPr>
          <w:rFonts w:hint="eastAsia"/>
          <w:sz w:val="24"/>
          <w:lang w:bidi="ar"/>
        </w:rPr>
        <w:t>三、</w:t>
      </w:r>
      <w:r>
        <w:rPr>
          <w:rFonts w:hint="eastAsia" w:cs="宋体"/>
          <w:sz w:val="24"/>
          <w:lang w:bidi="ar"/>
        </w:rPr>
        <w:t>网络药理学分析</w:t>
      </w:r>
    </w:p>
    <w:p w14:paraId="576D82A2">
      <w:pPr>
        <w:spacing w:line="360" w:lineRule="auto"/>
        <w:ind w:firstLine="480" w:firstLineChars="200"/>
        <w:rPr>
          <w:sz w:val="24"/>
        </w:rPr>
      </w:pPr>
      <w:r>
        <w:rPr>
          <w:rFonts w:hint="eastAsia" w:cs="宋体"/>
          <w:sz w:val="24"/>
          <w:lang w:bidi="ar"/>
        </w:rPr>
        <w:t>（</w:t>
      </w:r>
      <w:r>
        <w:rPr>
          <w:sz w:val="24"/>
          <w:lang w:bidi="ar"/>
        </w:rPr>
        <w:t>1</w:t>
      </w:r>
      <w:r>
        <w:rPr>
          <w:rFonts w:hint="eastAsia" w:cs="宋体"/>
          <w:sz w:val="24"/>
          <w:lang w:bidi="ar"/>
        </w:rPr>
        <w:t>）获取实验测得入血</w:t>
      </w:r>
      <w:r>
        <w:rPr>
          <w:sz w:val="24"/>
          <w:lang w:bidi="ar"/>
        </w:rPr>
        <w:t>\</w:t>
      </w:r>
      <w:r>
        <w:rPr>
          <w:rFonts w:hint="eastAsia" w:cs="宋体"/>
          <w:sz w:val="24"/>
          <w:lang w:bidi="ar"/>
        </w:rPr>
        <w:t>入组织成分作用靶点</w:t>
      </w:r>
    </w:p>
    <w:p w14:paraId="32D4A8BC">
      <w:pPr>
        <w:spacing w:line="360" w:lineRule="auto"/>
        <w:ind w:firstLine="480" w:firstLineChars="200"/>
        <w:rPr>
          <w:sz w:val="24"/>
        </w:rPr>
      </w:pPr>
      <w:r>
        <w:rPr>
          <w:rFonts w:hint="eastAsia" w:cs="宋体"/>
          <w:sz w:val="24"/>
          <w:lang w:bidi="ar"/>
        </w:rPr>
        <w:t>将实验检测结果从</w:t>
      </w:r>
      <w:r>
        <w:rPr>
          <w:sz w:val="24"/>
          <w:lang w:bidi="ar"/>
        </w:rPr>
        <w:t>ChEMBL</w:t>
      </w:r>
      <w:r>
        <w:rPr>
          <w:rFonts w:hint="eastAsia" w:cs="宋体"/>
          <w:sz w:val="24"/>
          <w:lang w:bidi="ar"/>
        </w:rPr>
        <w:t>数据库、</w:t>
      </w:r>
      <w:r>
        <w:rPr>
          <w:sz w:val="24"/>
          <w:lang w:bidi="ar"/>
        </w:rPr>
        <w:t>TCMIO</w:t>
      </w:r>
      <w:r>
        <w:rPr>
          <w:rFonts w:hint="eastAsia" w:cs="宋体"/>
          <w:sz w:val="24"/>
          <w:lang w:bidi="ar"/>
        </w:rPr>
        <w:t>等中查得代谢物的作用靶</w:t>
      </w:r>
      <w:r>
        <w:rPr>
          <w:sz w:val="24"/>
          <w:lang w:bidi="ar"/>
        </w:rPr>
        <w:t xml:space="preserve"> </w:t>
      </w:r>
      <w:r>
        <w:rPr>
          <w:rFonts w:hint="eastAsia" w:cs="宋体"/>
          <w:sz w:val="24"/>
          <w:lang w:bidi="ar"/>
        </w:rPr>
        <w:t>点</w:t>
      </w:r>
      <w:r>
        <w:rPr>
          <w:sz w:val="24"/>
          <w:lang w:bidi="ar"/>
        </w:rPr>
        <w:t>,</w:t>
      </w:r>
      <w:r>
        <w:rPr>
          <w:rFonts w:hint="eastAsia" w:cs="宋体"/>
          <w:sz w:val="24"/>
          <w:lang w:bidi="ar"/>
        </w:rPr>
        <w:t>并根据吸收率和类药性对代谢物进行筛选</w:t>
      </w:r>
      <w:r>
        <w:rPr>
          <w:sz w:val="24"/>
          <w:lang w:bidi="ar"/>
        </w:rPr>
        <w:t>,</w:t>
      </w:r>
      <w:r>
        <w:rPr>
          <w:rFonts w:hint="eastAsia" w:cs="宋体"/>
          <w:sz w:val="24"/>
          <w:lang w:bidi="ar"/>
        </w:rPr>
        <w:t>选取</w:t>
      </w:r>
      <w:r>
        <w:rPr>
          <w:sz w:val="24"/>
          <w:lang w:bidi="ar"/>
        </w:rPr>
        <w:t>Percent Human Oral Absorption</w:t>
      </w:r>
      <w:r>
        <w:rPr>
          <w:rFonts w:hint="eastAsia" w:cs="宋体"/>
          <w:sz w:val="24"/>
          <w:lang w:bidi="ar"/>
        </w:rPr>
        <w:t>≥</w:t>
      </w:r>
      <w:r>
        <w:rPr>
          <w:sz w:val="24"/>
          <w:lang w:bidi="ar"/>
        </w:rPr>
        <w:t>30%,DL</w:t>
      </w:r>
      <w:r>
        <w:rPr>
          <w:rFonts w:hint="eastAsia" w:cs="宋体"/>
          <w:sz w:val="24"/>
          <w:lang w:bidi="ar"/>
        </w:rPr>
        <w:t>≥</w:t>
      </w:r>
      <w:r>
        <w:rPr>
          <w:sz w:val="24"/>
          <w:lang w:bidi="ar"/>
        </w:rPr>
        <w:t>0.18</w:t>
      </w:r>
      <w:r>
        <w:rPr>
          <w:rFonts w:hint="eastAsia" w:cs="宋体"/>
          <w:sz w:val="24"/>
          <w:lang w:bidi="ar"/>
        </w:rPr>
        <w:t>。查得结果如下表</w:t>
      </w:r>
      <w:r>
        <w:rPr>
          <w:rFonts w:hint="eastAsia"/>
          <w:sz w:val="24"/>
          <w:lang w:bidi="ar"/>
        </w:rPr>
        <w:t>5</w:t>
      </w:r>
      <w:r>
        <w:rPr>
          <w:rFonts w:hint="eastAsia" w:cs="宋体"/>
          <w:sz w:val="24"/>
          <w:lang w:bidi="ar"/>
        </w:rPr>
        <w:t>：</w:t>
      </w:r>
    </w:p>
    <w:p w14:paraId="7C112BFF">
      <w:pPr>
        <w:ind w:firstLine="420" w:firstLineChars="200"/>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5</w:t>
      </w:r>
      <w:r>
        <w:rPr>
          <w:szCs w:val="22"/>
          <w:lang w:bidi="ar"/>
        </w:rPr>
        <w:fldChar w:fldCharType="end"/>
      </w:r>
      <w:r>
        <w:rPr>
          <w:szCs w:val="21"/>
          <w:lang w:bidi="ar"/>
        </w:rPr>
        <w:t xml:space="preserve"> </w:t>
      </w:r>
      <w:r>
        <w:rPr>
          <w:rFonts w:hint="eastAsia" w:cs="宋体"/>
          <w:szCs w:val="21"/>
          <w:lang w:bidi="ar"/>
        </w:rPr>
        <w:t>中药有效成分代谢物作用靶点表（前</w:t>
      </w:r>
      <w:r>
        <w:rPr>
          <w:szCs w:val="21"/>
          <w:lang w:bidi="ar"/>
        </w:rPr>
        <w:t>7</w:t>
      </w:r>
      <w:r>
        <w:rPr>
          <w:rFonts w:hint="eastAsia" w:cs="宋体"/>
          <w:szCs w:val="21"/>
          <w:lang w:bidi="ar"/>
        </w:rPr>
        <w:t>行</w:t>
      </w:r>
      <w:r>
        <w:rPr>
          <w:szCs w:val="21"/>
          <w:lang w:bidi="ar"/>
        </w:rPr>
        <w:t>)</w:t>
      </w:r>
    </w:p>
    <w:p w14:paraId="46BCA03B">
      <w:pPr>
        <w:rPr>
          <w:szCs w:val="21"/>
        </w:rPr>
      </w:pPr>
      <w:r>
        <w:rPr>
          <w:szCs w:val="21"/>
        </w:rPr>
        <w:drawing>
          <wp:inline distT="0" distB="0" distL="114300" distR="114300">
            <wp:extent cx="5727700" cy="2025650"/>
            <wp:effectExtent l="0" t="0" r="0" b="6350"/>
            <wp:docPr id="64" name="图片 308" descr="173475621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8" descr="1734756213065"/>
                    <pic:cNvPicPr>
                      <a:picLocks noChangeAspect="1"/>
                    </pic:cNvPicPr>
                  </pic:nvPicPr>
                  <pic:blipFill>
                    <a:blip r:embed="rId12"/>
                    <a:stretch>
                      <a:fillRect/>
                    </a:stretch>
                  </pic:blipFill>
                  <pic:spPr>
                    <a:xfrm>
                      <a:off x="0" y="0"/>
                      <a:ext cx="5727700" cy="2025650"/>
                    </a:xfrm>
                    <a:prstGeom prst="rect">
                      <a:avLst/>
                    </a:prstGeom>
                    <a:noFill/>
                    <a:ln>
                      <a:noFill/>
                    </a:ln>
                  </pic:spPr>
                </pic:pic>
              </a:graphicData>
            </a:graphic>
          </wp:inline>
        </w:drawing>
      </w:r>
    </w:p>
    <w:p w14:paraId="4E046EE7">
      <w:pPr>
        <w:spacing w:line="360" w:lineRule="auto"/>
        <w:rPr>
          <w:sz w:val="24"/>
        </w:rPr>
      </w:pPr>
      <w:r>
        <w:rPr>
          <w:rFonts w:hint="eastAsia" w:cs="宋体"/>
          <w:sz w:val="24"/>
          <w:lang w:bidi="ar"/>
        </w:rPr>
        <w:t>（</w:t>
      </w:r>
      <w:r>
        <w:rPr>
          <w:sz w:val="24"/>
          <w:lang w:bidi="ar"/>
        </w:rPr>
        <w:t>2</w:t>
      </w:r>
      <w:r>
        <w:rPr>
          <w:rFonts w:hint="eastAsia" w:cs="宋体"/>
          <w:sz w:val="24"/>
          <w:lang w:bidi="ar"/>
        </w:rPr>
        <w:t>）获取关注疾病治疗靶点</w:t>
      </w:r>
    </w:p>
    <w:p w14:paraId="16A93FDA">
      <w:pPr>
        <w:spacing w:line="360" w:lineRule="auto"/>
        <w:ind w:firstLine="480" w:firstLineChars="200"/>
        <w:rPr>
          <w:sz w:val="24"/>
        </w:rPr>
      </w:pPr>
      <w:r>
        <w:rPr>
          <w:rFonts w:hint="eastAsia" w:cs="宋体"/>
          <w:sz w:val="24"/>
          <w:lang w:bidi="ar"/>
        </w:rPr>
        <w:t>将疾病从</w:t>
      </w:r>
      <w:r>
        <w:rPr>
          <w:sz w:val="24"/>
          <w:lang w:bidi="ar"/>
        </w:rPr>
        <w:t>genecards</w:t>
      </w:r>
      <w:r>
        <w:rPr>
          <w:rFonts w:hint="eastAsia" w:cs="宋体"/>
          <w:sz w:val="24"/>
          <w:lang w:bidi="ar"/>
        </w:rPr>
        <w:t>数据库查得疾病治疗靶点。表</w:t>
      </w:r>
      <w:r>
        <w:rPr>
          <w:rFonts w:hint="eastAsia"/>
          <w:sz w:val="24"/>
          <w:lang w:bidi="ar"/>
        </w:rPr>
        <w:t>6</w:t>
      </w:r>
      <w:r>
        <w:rPr>
          <w:rFonts w:hint="eastAsia" w:cs="宋体"/>
          <w:sz w:val="24"/>
          <w:lang w:bidi="ar"/>
        </w:rPr>
        <w:t>。</w:t>
      </w:r>
    </w:p>
    <w:p w14:paraId="23B2D3C0">
      <w:pPr>
        <w:spacing w:line="360" w:lineRule="auto"/>
        <w:ind w:firstLine="480" w:firstLineChars="200"/>
        <w:jc w:val="center"/>
        <w:rPr>
          <w:sz w:val="24"/>
        </w:rPr>
      </w:pPr>
      <w:r>
        <w:rPr>
          <w:rFonts w:hint="eastAsia" w:cs="宋体"/>
          <w:sz w:val="24"/>
          <w:lang w:bidi="ar"/>
        </w:rPr>
        <w:t>表</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表</w:instrText>
      </w:r>
      <w:r>
        <w:rPr>
          <w:sz w:val="24"/>
          <w:lang w:bidi="ar"/>
        </w:rPr>
        <w:instrText xml:space="preserve"> \* ARABIC </w:instrText>
      </w:r>
      <w:r>
        <w:rPr>
          <w:sz w:val="24"/>
          <w:lang w:bidi="ar"/>
        </w:rPr>
        <w:fldChar w:fldCharType="separate"/>
      </w:r>
      <w:r>
        <w:rPr>
          <w:sz w:val="24"/>
          <w:lang w:bidi="ar"/>
        </w:rPr>
        <w:t>6</w:t>
      </w:r>
      <w:r>
        <w:rPr>
          <w:sz w:val="24"/>
          <w:lang w:bidi="ar"/>
        </w:rPr>
        <w:fldChar w:fldCharType="end"/>
      </w:r>
      <w:r>
        <w:rPr>
          <w:sz w:val="24"/>
          <w:lang w:bidi="ar"/>
        </w:rPr>
        <w:t xml:space="preserve"> </w:t>
      </w:r>
      <w:r>
        <w:rPr>
          <w:rFonts w:hint="eastAsia" w:cs="宋体"/>
          <w:sz w:val="24"/>
          <w:lang w:bidi="ar"/>
        </w:rPr>
        <w:t>关注疾病治疗靶点表（前</w:t>
      </w:r>
      <w:r>
        <w:rPr>
          <w:sz w:val="24"/>
          <w:lang w:bidi="ar"/>
        </w:rPr>
        <w:t>7</w:t>
      </w:r>
      <w:r>
        <w:rPr>
          <w:rFonts w:hint="eastAsia" w:cs="宋体"/>
          <w:sz w:val="24"/>
          <w:lang w:bidi="ar"/>
        </w:rPr>
        <w:t>行</w:t>
      </w:r>
      <w:r>
        <w:rPr>
          <w:sz w:val="24"/>
          <w:lang w:bidi="ar"/>
        </w:rPr>
        <w:t>)</w:t>
      </w:r>
    </w:p>
    <w:p w14:paraId="1950C62A">
      <w:pPr>
        <w:rPr>
          <w:szCs w:val="21"/>
        </w:rPr>
      </w:pPr>
      <w:r>
        <w:rPr>
          <w:szCs w:val="21"/>
        </w:rPr>
        <w:drawing>
          <wp:inline distT="0" distB="0" distL="114300" distR="114300">
            <wp:extent cx="5727700" cy="2349500"/>
            <wp:effectExtent l="0" t="0" r="0" b="0"/>
            <wp:docPr id="65" name="图片 309" descr="173475622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9" descr="1734756227799"/>
                    <pic:cNvPicPr>
                      <a:picLocks noChangeAspect="1"/>
                    </pic:cNvPicPr>
                  </pic:nvPicPr>
                  <pic:blipFill>
                    <a:blip r:embed="rId13"/>
                    <a:stretch>
                      <a:fillRect/>
                    </a:stretch>
                  </pic:blipFill>
                  <pic:spPr>
                    <a:xfrm>
                      <a:off x="0" y="0"/>
                      <a:ext cx="5727700" cy="2349500"/>
                    </a:xfrm>
                    <a:prstGeom prst="rect">
                      <a:avLst/>
                    </a:prstGeom>
                    <a:noFill/>
                    <a:ln>
                      <a:noFill/>
                    </a:ln>
                  </pic:spPr>
                </pic:pic>
              </a:graphicData>
            </a:graphic>
          </wp:inline>
        </w:drawing>
      </w:r>
    </w:p>
    <w:p w14:paraId="2D9C56C4">
      <w:pPr>
        <w:rPr>
          <w:szCs w:val="21"/>
        </w:rPr>
      </w:pPr>
      <w:r>
        <w:rPr>
          <w:rFonts w:hint="eastAsia" w:cs="宋体"/>
          <w:szCs w:val="21"/>
          <w:lang w:bidi="ar"/>
        </w:rPr>
        <w:t>（</w:t>
      </w:r>
      <w:r>
        <w:rPr>
          <w:szCs w:val="21"/>
          <w:lang w:bidi="ar"/>
        </w:rPr>
        <w:t>3</w:t>
      </w:r>
      <w:r>
        <w:rPr>
          <w:rFonts w:hint="eastAsia" w:cs="宋体"/>
          <w:szCs w:val="21"/>
          <w:lang w:bidi="ar"/>
        </w:rPr>
        <w:t>）作用靶点</w:t>
      </w:r>
      <w:r>
        <w:rPr>
          <w:szCs w:val="21"/>
          <w:lang w:bidi="ar"/>
        </w:rPr>
        <w:t>VENN</w:t>
      </w:r>
      <w:r>
        <w:rPr>
          <w:rFonts w:hint="eastAsia" w:cs="宋体"/>
          <w:szCs w:val="21"/>
          <w:lang w:bidi="ar"/>
        </w:rPr>
        <w:t>分析</w:t>
      </w:r>
    </w:p>
    <w:p w14:paraId="7D3FBD0C">
      <w:pPr>
        <w:spacing w:line="360" w:lineRule="auto"/>
        <w:ind w:firstLine="480" w:firstLineChars="200"/>
        <w:rPr>
          <w:sz w:val="24"/>
        </w:rPr>
      </w:pPr>
      <w:r>
        <w:rPr>
          <w:rFonts w:hint="eastAsia" w:cs="宋体"/>
          <w:sz w:val="24"/>
          <w:lang w:bidi="ar"/>
        </w:rPr>
        <w:t>将入血成分作用靶点、疾病治疗靶点的结果以韦恩图（</w:t>
      </w:r>
      <w:r>
        <w:rPr>
          <w:sz w:val="24"/>
          <w:lang w:bidi="ar"/>
        </w:rPr>
        <w:t>venn plot</w:t>
      </w:r>
      <w:r>
        <w:rPr>
          <w:rFonts w:hint="eastAsia" w:cs="宋体"/>
          <w:sz w:val="24"/>
          <w:lang w:bidi="ar"/>
        </w:rPr>
        <w:t>）。韦恩图每一个椭圆代表一个组，并用不同的颜色进行映射，交集和非交集个数分别用数字进行统计展示在图</w:t>
      </w:r>
      <w:r>
        <w:rPr>
          <w:rFonts w:hint="eastAsia"/>
          <w:sz w:val="24"/>
          <w:lang w:bidi="ar"/>
        </w:rPr>
        <w:t>4</w:t>
      </w:r>
      <w:r>
        <w:rPr>
          <w:rFonts w:hint="eastAsia" w:cs="宋体"/>
          <w:sz w:val="24"/>
          <w:lang w:bidi="ar"/>
        </w:rPr>
        <w:t>中。</w:t>
      </w:r>
    </w:p>
    <w:p w14:paraId="4329E31E">
      <w:pPr>
        <w:ind w:firstLine="420" w:firstLineChars="200"/>
        <w:jc w:val="center"/>
        <w:rPr>
          <w:szCs w:val="21"/>
        </w:rPr>
      </w:pPr>
      <w:r>
        <w:rPr>
          <w:szCs w:val="21"/>
        </w:rPr>
        <w:drawing>
          <wp:inline distT="0" distB="0" distL="114300" distR="114300">
            <wp:extent cx="3187700" cy="2063750"/>
            <wp:effectExtent l="0" t="0" r="0" b="6350"/>
            <wp:docPr id="66" name="图片 310" descr="17347562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0" descr="1734756241640"/>
                    <pic:cNvPicPr>
                      <a:picLocks noChangeAspect="1"/>
                    </pic:cNvPicPr>
                  </pic:nvPicPr>
                  <pic:blipFill>
                    <a:blip r:embed="rId14"/>
                    <a:stretch>
                      <a:fillRect/>
                    </a:stretch>
                  </pic:blipFill>
                  <pic:spPr>
                    <a:xfrm>
                      <a:off x="0" y="0"/>
                      <a:ext cx="3187700" cy="2063750"/>
                    </a:xfrm>
                    <a:prstGeom prst="rect">
                      <a:avLst/>
                    </a:prstGeom>
                    <a:noFill/>
                    <a:ln>
                      <a:noFill/>
                    </a:ln>
                  </pic:spPr>
                </pic:pic>
              </a:graphicData>
            </a:graphic>
          </wp:inline>
        </w:drawing>
      </w:r>
    </w:p>
    <w:p w14:paraId="2973D5A3">
      <w:pPr>
        <w:ind w:firstLine="420" w:firstLineChars="200"/>
        <w:jc w:val="center"/>
        <w:rPr>
          <w:sz w:val="15"/>
          <w:szCs w:val="15"/>
        </w:rPr>
      </w:pP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4</w:t>
      </w:r>
      <w:r>
        <w:rPr>
          <w:szCs w:val="22"/>
          <w:lang w:bidi="ar"/>
        </w:rPr>
        <w:fldChar w:fldCharType="end"/>
      </w:r>
      <w:r>
        <w:rPr>
          <w:rFonts w:hint="eastAsia" w:cs="宋体"/>
          <w:sz w:val="15"/>
          <w:szCs w:val="15"/>
          <w:lang w:bidi="ar"/>
        </w:rPr>
        <w:t>靶点韦恩图（</w:t>
      </w:r>
      <w:r>
        <w:rPr>
          <w:sz w:val="15"/>
          <w:szCs w:val="15"/>
          <w:lang w:bidi="ar"/>
        </w:rPr>
        <w:t>Venn plot of targets analysis</w:t>
      </w:r>
      <w:r>
        <w:rPr>
          <w:rFonts w:hint="eastAsia" w:cs="宋体"/>
          <w:sz w:val="15"/>
          <w:szCs w:val="15"/>
          <w:lang w:bidi="ar"/>
        </w:rPr>
        <w:t>）</w:t>
      </w:r>
    </w:p>
    <w:p w14:paraId="145E1C10">
      <w:pPr>
        <w:spacing w:line="360" w:lineRule="auto"/>
        <w:ind w:firstLine="480" w:firstLineChars="200"/>
        <w:rPr>
          <w:sz w:val="24"/>
        </w:rPr>
      </w:pPr>
      <w:r>
        <w:rPr>
          <w:rFonts w:hint="eastAsia" w:cs="宋体"/>
          <w:sz w:val="24"/>
          <w:lang w:bidi="ar"/>
        </w:rPr>
        <w:t>注：图中不同颜色的椭圆代表不同的组别之间的靶点，椭圆中的数字代</w:t>
      </w:r>
      <w:r>
        <w:rPr>
          <w:sz w:val="24"/>
          <w:lang w:bidi="ar"/>
        </w:rPr>
        <w:t xml:space="preserve"> </w:t>
      </w:r>
      <w:r>
        <w:rPr>
          <w:rFonts w:hint="eastAsia" w:cs="宋体"/>
          <w:sz w:val="24"/>
          <w:lang w:bidi="ar"/>
        </w:rPr>
        <w:t>表组别之间共有的或特有的靶点的个数。</w:t>
      </w:r>
    </w:p>
    <w:p w14:paraId="7A9A0D3C">
      <w:pPr>
        <w:rPr>
          <w:szCs w:val="21"/>
        </w:rPr>
      </w:pPr>
    </w:p>
    <w:p w14:paraId="5FA69677">
      <w:pPr>
        <w:spacing w:line="360" w:lineRule="auto"/>
        <w:rPr>
          <w:sz w:val="24"/>
        </w:rPr>
      </w:pPr>
      <w:r>
        <w:rPr>
          <w:rFonts w:hint="eastAsia" w:cs="宋体"/>
          <w:sz w:val="24"/>
          <w:lang w:bidi="ar"/>
        </w:rPr>
        <w:t>（</w:t>
      </w:r>
      <w:r>
        <w:rPr>
          <w:sz w:val="24"/>
          <w:lang w:bidi="ar"/>
        </w:rPr>
        <w:t>4</w:t>
      </w:r>
      <w:r>
        <w:rPr>
          <w:rFonts w:hint="eastAsia" w:cs="宋体"/>
          <w:sz w:val="24"/>
          <w:lang w:bidi="ar"/>
        </w:rPr>
        <w:t>）代谢物作用靶点及疾病治疗靶点</w:t>
      </w:r>
      <w:r>
        <w:rPr>
          <w:sz w:val="24"/>
          <w:lang w:bidi="ar"/>
        </w:rPr>
        <w:t>GO</w:t>
      </w:r>
      <w:r>
        <w:rPr>
          <w:rFonts w:hint="eastAsia" w:cs="宋体"/>
          <w:sz w:val="24"/>
          <w:lang w:bidi="ar"/>
        </w:rPr>
        <w:t>富集分析</w:t>
      </w:r>
    </w:p>
    <w:p w14:paraId="130B7AE9">
      <w:pPr>
        <w:spacing w:line="360" w:lineRule="auto"/>
        <w:ind w:firstLine="480" w:firstLineChars="200"/>
        <w:rPr>
          <w:sz w:val="24"/>
        </w:rPr>
      </w:pPr>
      <w:r>
        <w:rPr>
          <w:sz w:val="24"/>
          <w:lang w:bidi="ar"/>
        </w:rPr>
        <w:t>GO</w:t>
      </w:r>
      <w:r>
        <w:rPr>
          <w:rFonts w:hint="eastAsia" w:cs="宋体"/>
          <w:sz w:val="24"/>
          <w:lang w:bidi="ar"/>
        </w:rPr>
        <w:t>数据库（</w:t>
      </w:r>
      <w:r>
        <w:rPr>
          <w:sz w:val="24"/>
          <w:lang w:bidi="ar"/>
        </w:rPr>
        <w:t>geneontology.org</w:t>
      </w:r>
      <w:r>
        <w:rPr>
          <w:rFonts w:hint="eastAsia" w:cs="宋体"/>
          <w:sz w:val="24"/>
          <w:lang w:bidi="ar"/>
        </w:rPr>
        <w:t>）包含了基因参与的生物过程，所处的细胞位置，发挥的分子功能三方面功能信息，比较全面地概括了基因的功能信息，在基因表达谱分析中，</w:t>
      </w:r>
      <w:r>
        <w:rPr>
          <w:sz w:val="24"/>
          <w:lang w:bidi="ar"/>
        </w:rPr>
        <w:t>GO</w:t>
      </w:r>
      <w:r>
        <w:rPr>
          <w:rFonts w:hint="eastAsia" w:cs="宋体"/>
          <w:sz w:val="24"/>
          <w:lang w:bidi="ar"/>
        </w:rPr>
        <w:t>常用于提供基因功能分类标签和基因功能研究的背景知识。利用</w:t>
      </w:r>
      <w:r>
        <w:rPr>
          <w:sz w:val="24"/>
          <w:lang w:bidi="ar"/>
        </w:rPr>
        <w:t>GO</w:t>
      </w:r>
      <w:r>
        <w:rPr>
          <w:rFonts w:hint="eastAsia" w:cs="宋体"/>
          <w:sz w:val="24"/>
          <w:lang w:bidi="ar"/>
        </w:rPr>
        <w:t>的知识体系和结构特点，旨在发掘与基因差异表达现象关联的单个特征基因功能类或多个特征功能类的组合。将基因向</w:t>
      </w:r>
      <w:r>
        <w:rPr>
          <w:sz w:val="24"/>
          <w:lang w:bidi="ar"/>
        </w:rPr>
        <w:t>Gene Ontology</w:t>
      </w:r>
      <w:r>
        <w:rPr>
          <w:rFonts w:hint="eastAsia" w:cs="宋体"/>
          <w:sz w:val="24"/>
          <w:lang w:bidi="ar"/>
        </w:rPr>
        <w:t>数据库的各节点映射，并利用</w:t>
      </w:r>
      <w:r>
        <w:rPr>
          <w:sz w:val="24"/>
          <w:lang w:bidi="ar"/>
        </w:rPr>
        <w:t xml:space="preserve">GO </w:t>
      </w:r>
      <w:r>
        <w:rPr>
          <w:rFonts w:hint="eastAsia" w:cs="宋体"/>
          <w:sz w:val="24"/>
          <w:lang w:bidi="ar"/>
        </w:rPr>
        <w:t>（</w:t>
      </w:r>
      <w:r>
        <w:rPr>
          <w:sz w:val="24"/>
          <w:lang w:bidi="ar"/>
        </w:rPr>
        <w:t xml:space="preserve">http://www.geneontology.org/) </w:t>
      </w:r>
      <w:r>
        <w:rPr>
          <w:rFonts w:hint="eastAsia" w:cs="宋体"/>
          <w:sz w:val="24"/>
          <w:lang w:bidi="ar"/>
        </w:rPr>
        <w:t>进行功能富集性分析。靶点蛋白按照</w:t>
      </w:r>
      <w:r>
        <w:rPr>
          <w:sz w:val="24"/>
          <w:lang w:bidi="ar"/>
        </w:rPr>
        <w:t>Biological Process</w:t>
      </w:r>
      <w:r>
        <w:rPr>
          <w:rFonts w:hint="eastAsia" w:cs="宋体"/>
          <w:sz w:val="24"/>
          <w:lang w:bidi="ar"/>
        </w:rPr>
        <w:t>（</w:t>
      </w:r>
      <w:r>
        <w:rPr>
          <w:sz w:val="24"/>
          <w:lang w:bidi="ar"/>
        </w:rPr>
        <w:t>GO-BP</w:t>
      </w:r>
      <w:r>
        <w:rPr>
          <w:rFonts w:hint="eastAsia" w:cs="宋体"/>
          <w:sz w:val="24"/>
          <w:lang w:bidi="ar"/>
        </w:rPr>
        <w:t>），</w:t>
      </w:r>
      <w:r>
        <w:rPr>
          <w:sz w:val="24"/>
          <w:lang w:bidi="ar"/>
        </w:rPr>
        <w:t>Cellular Component</w:t>
      </w:r>
      <w:r>
        <w:rPr>
          <w:rFonts w:hint="eastAsia" w:cs="宋体"/>
          <w:sz w:val="24"/>
          <w:lang w:bidi="ar"/>
        </w:rPr>
        <w:t>（</w:t>
      </w:r>
      <w:r>
        <w:rPr>
          <w:sz w:val="24"/>
          <w:lang w:bidi="ar"/>
        </w:rPr>
        <w:t>GO-CC</w:t>
      </w:r>
      <w:r>
        <w:rPr>
          <w:rFonts w:hint="eastAsia" w:cs="宋体"/>
          <w:sz w:val="24"/>
          <w:lang w:bidi="ar"/>
        </w:rPr>
        <w:t>），</w:t>
      </w:r>
      <w:r>
        <w:rPr>
          <w:sz w:val="24"/>
          <w:lang w:bidi="ar"/>
        </w:rPr>
        <w:t>Molecular Function</w:t>
      </w:r>
      <w:r>
        <w:rPr>
          <w:rFonts w:hint="eastAsia" w:cs="宋体"/>
          <w:sz w:val="24"/>
          <w:lang w:bidi="ar"/>
        </w:rPr>
        <w:t>（</w:t>
      </w:r>
      <w:r>
        <w:rPr>
          <w:sz w:val="24"/>
          <w:lang w:bidi="ar"/>
        </w:rPr>
        <w:t>GO-MF</w:t>
      </w:r>
      <w:r>
        <w:rPr>
          <w:rFonts w:hint="eastAsia" w:cs="宋体"/>
          <w:sz w:val="24"/>
          <w:lang w:bidi="ar"/>
        </w:rPr>
        <w:t>）三种独立的方式进</w:t>
      </w:r>
      <w:r>
        <w:rPr>
          <w:sz w:val="24"/>
          <w:lang w:bidi="ar"/>
        </w:rPr>
        <w:t xml:space="preserve"> </w:t>
      </w:r>
      <w:r>
        <w:rPr>
          <w:rFonts w:hint="eastAsia" w:cs="宋体"/>
          <w:sz w:val="24"/>
          <w:lang w:bidi="ar"/>
        </w:rPr>
        <w:t>行分类展示。</w:t>
      </w:r>
    </w:p>
    <w:p w14:paraId="34774B01">
      <w:pPr>
        <w:spacing w:line="360" w:lineRule="auto"/>
        <w:ind w:firstLine="480" w:firstLineChars="200"/>
        <w:rPr>
          <w:sz w:val="24"/>
        </w:rPr>
      </w:pPr>
      <w:r>
        <w:rPr>
          <w:sz w:val="24"/>
          <w:lang w:bidi="ar"/>
        </w:rPr>
        <w:t>GO</w:t>
      </w:r>
      <w:r>
        <w:rPr>
          <w:rFonts w:hint="eastAsia" w:cs="宋体"/>
          <w:sz w:val="24"/>
          <w:lang w:bidi="ar"/>
        </w:rPr>
        <w:t>富集分析结果如下表</w:t>
      </w:r>
      <w:r>
        <w:rPr>
          <w:rFonts w:hint="eastAsia"/>
          <w:sz w:val="24"/>
          <w:lang w:bidi="ar"/>
        </w:rPr>
        <w:t>7</w:t>
      </w:r>
      <w:r>
        <w:rPr>
          <w:rFonts w:hint="eastAsia" w:cs="宋体"/>
          <w:sz w:val="24"/>
          <w:lang w:bidi="ar"/>
        </w:rPr>
        <w:t>所示：</w:t>
      </w:r>
    </w:p>
    <w:p w14:paraId="4B15C989">
      <w:pPr>
        <w:ind w:firstLine="420" w:firstLineChars="200"/>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7</w:t>
      </w:r>
      <w:r>
        <w:rPr>
          <w:szCs w:val="22"/>
          <w:lang w:bidi="ar"/>
        </w:rPr>
        <w:fldChar w:fldCharType="end"/>
      </w:r>
      <w:r>
        <w:rPr>
          <w:szCs w:val="22"/>
          <w:lang w:bidi="ar"/>
        </w:rPr>
        <w:t xml:space="preserve"> </w:t>
      </w:r>
      <w:r>
        <w:rPr>
          <w:szCs w:val="21"/>
          <w:lang w:bidi="ar"/>
        </w:rPr>
        <w:t>GO</w:t>
      </w:r>
      <w:r>
        <w:rPr>
          <w:rFonts w:hint="eastAsia" w:cs="宋体"/>
          <w:szCs w:val="21"/>
          <w:lang w:bidi="ar"/>
        </w:rPr>
        <w:t>功能分析表（前</w:t>
      </w:r>
      <w:r>
        <w:rPr>
          <w:szCs w:val="21"/>
          <w:lang w:bidi="ar"/>
        </w:rPr>
        <w:t>7</w:t>
      </w:r>
      <w:r>
        <w:rPr>
          <w:rFonts w:hint="eastAsia" w:cs="宋体"/>
          <w:szCs w:val="21"/>
          <w:lang w:bidi="ar"/>
        </w:rPr>
        <w:t>行</w:t>
      </w:r>
      <w:r>
        <w:rPr>
          <w:szCs w:val="21"/>
          <w:lang w:bidi="ar"/>
        </w:rPr>
        <w:t>)</w:t>
      </w:r>
    </w:p>
    <w:p w14:paraId="70042355">
      <w:pPr>
        <w:jc w:val="center"/>
        <w:rPr>
          <w:sz w:val="15"/>
          <w:szCs w:val="15"/>
        </w:rPr>
      </w:pPr>
      <w:r>
        <w:rPr>
          <w:sz w:val="15"/>
          <w:szCs w:val="15"/>
        </w:rPr>
        <w:drawing>
          <wp:inline distT="0" distB="0" distL="114300" distR="114300">
            <wp:extent cx="5003800" cy="2514600"/>
            <wp:effectExtent l="0" t="0" r="0" b="0"/>
            <wp:docPr id="67" name="图片 311" descr="173475628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11" descr="1734756286047"/>
                    <pic:cNvPicPr>
                      <a:picLocks noChangeAspect="1"/>
                    </pic:cNvPicPr>
                  </pic:nvPicPr>
                  <pic:blipFill>
                    <a:blip r:embed="rId15"/>
                    <a:stretch>
                      <a:fillRect/>
                    </a:stretch>
                  </pic:blipFill>
                  <pic:spPr>
                    <a:xfrm>
                      <a:off x="0" y="0"/>
                      <a:ext cx="5003800" cy="2514600"/>
                    </a:xfrm>
                    <a:prstGeom prst="rect">
                      <a:avLst/>
                    </a:prstGeom>
                    <a:noFill/>
                    <a:ln>
                      <a:noFill/>
                    </a:ln>
                  </pic:spPr>
                </pic:pic>
              </a:graphicData>
            </a:graphic>
          </wp:inline>
        </w:drawing>
      </w:r>
    </w:p>
    <w:p w14:paraId="7835D445">
      <w:pPr>
        <w:jc w:val="center"/>
        <w:rPr>
          <w:sz w:val="15"/>
          <w:szCs w:val="15"/>
        </w:rPr>
      </w:pPr>
      <w:r>
        <w:rPr>
          <w:rFonts w:hint="eastAsia" w:cs="宋体"/>
          <w:sz w:val="15"/>
          <w:szCs w:val="15"/>
          <w:lang w:bidi="ar"/>
        </w:rPr>
        <w:t>注：</w:t>
      </w:r>
      <w:r>
        <w:rPr>
          <w:sz w:val="15"/>
          <w:szCs w:val="15"/>
          <w:lang w:bidi="ar"/>
        </w:rPr>
        <w:t>ONTOLOGY: GO</w:t>
      </w:r>
      <w:r>
        <w:rPr>
          <w:rFonts w:hint="eastAsia" w:cs="宋体"/>
          <w:sz w:val="15"/>
          <w:szCs w:val="15"/>
          <w:lang w:bidi="ar"/>
        </w:rPr>
        <w:t>富集分析生物过程分类；</w:t>
      </w:r>
      <w:r>
        <w:rPr>
          <w:sz w:val="15"/>
          <w:szCs w:val="15"/>
          <w:lang w:bidi="ar"/>
        </w:rPr>
        <w:t xml:space="preserve"> ID</w:t>
      </w:r>
      <w:r>
        <w:rPr>
          <w:rFonts w:hint="eastAsia" w:cs="宋体"/>
          <w:sz w:val="15"/>
          <w:szCs w:val="15"/>
          <w:lang w:bidi="ar"/>
        </w:rPr>
        <w:t>：</w:t>
      </w:r>
      <w:r>
        <w:rPr>
          <w:sz w:val="15"/>
          <w:szCs w:val="15"/>
          <w:lang w:bidi="ar"/>
        </w:rPr>
        <w:t>GO</w:t>
      </w:r>
      <w:r>
        <w:rPr>
          <w:rFonts w:hint="eastAsia" w:cs="宋体"/>
          <w:sz w:val="15"/>
          <w:szCs w:val="15"/>
          <w:lang w:bidi="ar"/>
        </w:rPr>
        <w:t>条目在数据库中的识别号；</w:t>
      </w:r>
      <w:r>
        <w:rPr>
          <w:sz w:val="15"/>
          <w:szCs w:val="15"/>
          <w:lang w:bidi="ar"/>
        </w:rPr>
        <w:t xml:space="preserve"> Description</w:t>
      </w:r>
      <w:r>
        <w:rPr>
          <w:rFonts w:hint="eastAsia" w:cs="宋体"/>
          <w:sz w:val="15"/>
          <w:szCs w:val="15"/>
          <w:lang w:bidi="ar"/>
        </w:rPr>
        <w:t>：富集的项目，包含</w:t>
      </w:r>
      <w:r>
        <w:rPr>
          <w:sz w:val="15"/>
          <w:szCs w:val="15"/>
          <w:lang w:bidi="ar"/>
        </w:rPr>
        <w:t>GO</w:t>
      </w:r>
      <w:r>
        <w:rPr>
          <w:rFonts w:hint="eastAsia" w:cs="宋体"/>
          <w:sz w:val="15"/>
          <w:szCs w:val="15"/>
          <w:lang w:bidi="ar"/>
        </w:rPr>
        <w:t>名称；</w:t>
      </w:r>
      <w:r>
        <w:rPr>
          <w:sz w:val="15"/>
          <w:szCs w:val="15"/>
          <w:lang w:bidi="ar"/>
        </w:rPr>
        <w:t xml:space="preserve"> pvalue</w:t>
      </w:r>
      <w:r>
        <w:rPr>
          <w:rFonts w:hint="eastAsia" w:cs="宋体"/>
          <w:sz w:val="15"/>
          <w:szCs w:val="15"/>
          <w:lang w:bidi="ar"/>
        </w:rPr>
        <w:t>：</w:t>
      </w:r>
      <w:r>
        <w:rPr>
          <w:sz w:val="15"/>
          <w:szCs w:val="15"/>
          <w:lang w:bidi="ar"/>
        </w:rPr>
        <w:t>Fisher</w:t>
      </w:r>
      <w:r>
        <w:rPr>
          <w:rFonts w:hint="eastAsia" w:cs="宋体"/>
          <w:sz w:val="15"/>
          <w:szCs w:val="15"/>
          <w:lang w:bidi="ar"/>
        </w:rPr>
        <w:t>精确检验的打分值；</w:t>
      </w:r>
      <w:r>
        <w:rPr>
          <w:sz w:val="15"/>
          <w:szCs w:val="15"/>
          <w:lang w:bidi="ar"/>
        </w:rPr>
        <w:t xml:space="preserve"> p.adjust</w:t>
      </w:r>
      <w:r>
        <w:rPr>
          <w:rFonts w:hint="eastAsia" w:cs="宋体"/>
          <w:sz w:val="15"/>
          <w:szCs w:val="15"/>
          <w:lang w:bidi="ar"/>
        </w:rPr>
        <w:t>：采用</w:t>
      </w:r>
      <w:r>
        <w:rPr>
          <w:sz w:val="15"/>
          <w:szCs w:val="15"/>
          <w:lang w:bidi="ar"/>
        </w:rPr>
        <w:t>fdr</w:t>
      </w:r>
      <w:r>
        <w:rPr>
          <w:rFonts w:hint="eastAsia" w:cs="宋体"/>
          <w:sz w:val="15"/>
          <w:szCs w:val="15"/>
          <w:lang w:bidi="ar"/>
        </w:rPr>
        <w:t>方法校正后的</w:t>
      </w:r>
      <w:r>
        <w:rPr>
          <w:sz w:val="15"/>
          <w:szCs w:val="15"/>
          <w:lang w:bidi="ar"/>
        </w:rPr>
        <w:t>P</w:t>
      </w:r>
      <w:r>
        <w:rPr>
          <w:rFonts w:hint="eastAsia" w:cs="宋体"/>
          <w:sz w:val="15"/>
          <w:szCs w:val="15"/>
          <w:lang w:bidi="ar"/>
        </w:rPr>
        <w:t>值；</w:t>
      </w:r>
      <w:r>
        <w:rPr>
          <w:sz w:val="15"/>
          <w:szCs w:val="15"/>
          <w:lang w:bidi="ar"/>
        </w:rPr>
        <w:t xml:space="preserve"> Count</w:t>
      </w:r>
      <w:r>
        <w:rPr>
          <w:rFonts w:hint="eastAsia" w:cs="宋体"/>
          <w:sz w:val="15"/>
          <w:szCs w:val="15"/>
          <w:lang w:bidi="ar"/>
        </w:rPr>
        <w:t>：差异靶点蛋白中映射到该</w:t>
      </w:r>
      <w:r>
        <w:rPr>
          <w:sz w:val="15"/>
          <w:szCs w:val="15"/>
          <w:lang w:bidi="ar"/>
        </w:rPr>
        <w:t>GO</w:t>
      </w:r>
      <w:r>
        <w:rPr>
          <w:rFonts w:hint="eastAsia" w:cs="宋体"/>
          <w:sz w:val="15"/>
          <w:szCs w:val="15"/>
          <w:lang w:bidi="ar"/>
        </w:rPr>
        <w:t>条目上的蛋白个数。</w:t>
      </w:r>
    </w:p>
    <w:p w14:paraId="71E4654F">
      <w:pPr>
        <w:rPr>
          <w:szCs w:val="21"/>
        </w:rPr>
      </w:pPr>
    </w:p>
    <w:p w14:paraId="4CFA33C4">
      <w:pPr>
        <w:rPr>
          <w:szCs w:val="21"/>
        </w:rPr>
      </w:pPr>
      <w:r>
        <w:rPr>
          <w:rFonts w:hint="eastAsia" w:cs="宋体"/>
          <w:szCs w:val="21"/>
          <w:lang w:bidi="ar"/>
        </w:rPr>
        <w:t>以直方图的形式展示靶点蛋白</w:t>
      </w:r>
      <w:r>
        <w:rPr>
          <w:szCs w:val="21"/>
          <w:lang w:bidi="ar"/>
        </w:rPr>
        <w:t>GO</w:t>
      </w:r>
      <w:r>
        <w:rPr>
          <w:rFonts w:hint="eastAsia" w:cs="宋体"/>
          <w:szCs w:val="21"/>
          <w:lang w:bidi="ar"/>
        </w:rPr>
        <w:t>分析结果（展示</w:t>
      </w:r>
      <w:r>
        <w:rPr>
          <w:szCs w:val="21"/>
          <w:lang w:bidi="ar"/>
        </w:rPr>
        <w:t>GO</w:t>
      </w:r>
      <w:r>
        <w:rPr>
          <w:rFonts w:hint="eastAsia" w:cs="宋体"/>
          <w:szCs w:val="21"/>
          <w:lang w:bidi="ar"/>
        </w:rPr>
        <w:t>各分类前十）（图</w:t>
      </w:r>
      <w:r>
        <w:rPr>
          <w:rFonts w:hint="eastAsia"/>
          <w:szCs w:val="21"/>
          <w:lang w:bidi="ar"/>
        </w:rPr>
        <w:t>5</w:t>
      </w:r>
      <w:r>
        <w:rPr>
          <w:rFonts w:hint="eastAsia" w:cs="宋体"/>
          <w:szCs w:val="21"/>
          <w:lang w:bidi="ar"/>
        </w:rPr>
        <w:t>）：</w:t>
      </w:r>
    </w:p>
    <w:p w14:paraId="5C3202D1">
      <w:pPr>
        <w:ind w:firstLine="420" w:firstLineChars="200"/>
        <w:jc w:val="center"/>
        <w:rPr>
          <w:szCs w:val="21"/>
        </w:rPr>
      </w:pPr>
      <w:r>
        <w:rPr>
          <w:szCs w:val="21"/>
        </w:rPr>
        <w:drawing>
          <wp:inline distT="0" distB="0" distL="114300" distR="114300">
            <wp:extent cx="4565650" cy="4730750"/>
            <wp:effectExtent l="0" t="0" r="6350" b="6350"/>
            <wp:docPr id="68" name="图片 367" descr="17347563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67" descr="1734756303950"/>
                    <pic:cNvPicPr>
                      <a:picLocks noChangeAspect="1"/>
                    </pic:cNvPicPr>
                  </pic:nvPicPr>
                  <pic:blipFill>
                    <a:blip r:embed="rId16"/>
                    <a:stretch>
                      <a:fillRect/>
                    </a:stretch>
                  </pic:blipFill>
                  <pic:spPr>
                    <a:xfrm>
                      <a:off x="0" y="0"/>
                      <a:ext cx="4565650" cy="4730750"/>
                    </a:xfrm>
                    <a:prstGeom prst="rect">
                      <a:avLst/>
                    </a:prstGeom>
                    <a:noFill/>
                    <a:ln>
                      <a:noFill/>
                    </a:ln>
                  </pic:spPr>
                </pic:pic>
              </a:graphicData>
            </a:graphic>
          </wp:inline>
        </w:drawing>
      </w:r>
    </w:p>
    <w:p w14:paraId="32831DB6">
      <w:pPr>
        <w:pStyle w:val="12"/>
        <w:jc w:val="center"/>
      </w:pPr>
      <w:r>
        <w:rPr>
          <w:rFonts w:hint="eastAsia" w:cs="宋体"/>
          <w:sz w:val="20"/>
          <w:szCs w:val="22"/>
          <w:lang w:bidi="ar"/>
        </w:rPr>
        <w:t>图</w:t>
      </w:r>
      <w:r>
        <w:rPr>
          <w:sz w:val="20"/>
          <w:szCs w:val="22"/>
          <w:lang w:bidi="ar"/>
        </w:rPr>
        <w:t xml:space="preserve"> </w:t>
      </w:r>
      <w:r>
        <w:rPr>
          <w:sz w:val="20"/>
          <w:szCs w:val="22"/>
          <w:lang w:bidi="ar"/>
        </w:rPr>
        <w:fldChar w:fldCharType="begin"/>
      </w:r>
      <w:r>
        <w:rPr>
          <w:sz w:val="20"/>
          <w:szCs w:val="22"/>
          <w:lang w:bidi="ar"/>
        </w:rPr>
        <w:instrText xml:space="preserve"> SEQ </w:instrText>
      </w:r>
      <w:r>
        <w:rPr>
          <w:rFonts w:hint="eastAsia" w:cs="宋体"/>
          <w:sz w:val="20"/>
          <w:szCs w:val="22"/>
          <w:lang w:bidi="ar"/>
        </w:rPr>
        <w:instrText xml:space="preserve">图</w:instrText>
      </w:r>
      <w:r>
        <w:rPr>
          <w:sz w:val="20"/>
          <w:szCs w:val="22"/>
          <w:lang w:bidi="ar"/>
        </w:rPr>
        <w:instrText xml:space="preserve"> \* ARABIC </w:instrText>
      </w:r>
      <w:r>
        <w:rPr>
          <w:sz w:val="20"/>
          <w:szCs w:val="22"/>
          <w:lang w:bidi="ar"/>
        </w:rPr>
        <w:fldChar w:fldCharType="separate"/>
      </w:r>
      <w:r>
        <w:rPr>
          <w:sz w:val="20"/>
          <w:szCs w:val="22"/>
          <w:lang w:bidi="ar"/>
        </w:rPr>
        <w:t>5</w:t>
      </w:r>
      <w:r>
        <w:rPr>
          <w:sz w:val="20"/>
          <w:szCs w:val="22"/>
          <w:lang w:bidi="ar"/>
        </w:rPr>
        <w:fldChar w:fldCharType="end"/>
      </w:r>
      <w:r>
        <w:rPr>
          <w:sz w:val="20"/>
          <w:szCs w:val="22"/>
          <w:lang w:bidi="ar"/>
        </w:rPr>
        <w:t xml:space="preserve"> </w:t>
      </w:r>
      <w:r>
        <w:rPr>
          <w:rFonts w:hint="eastAsia" w:cs="宋体"/>
          <w:sz w:val="15"/>
          <w:szCs w:val="15"/>
          <w:lang w:bidi="ar"/>
        </w:rPr>
        <w:t>靶点蛋白</w:t>
      </w:r>
      <w:r>
        <w:rPr>
          <w:sz w:val="15"/>
          <w:szCs w:val="15"/>
          <w:lang w:bidi="ar"/>
        </w:rPr>
        <w:t>GO</w:t>
      </w:r>
      <w:r>
        <w:rPr>
          <w:rFonts w:hint="eastAsia" w:cs="宋体"/>
          <w:sz w:val="15"/>
          <w:szCs w:val="15"/>
          <w:lang w:bidi="ar"/>
        </w:rPr>
        <w:t>富集分析分类直方图</w:t>
      </w:r>
    </w:p>
    <w:p w14:paraId="274E20EB">
      <w:pPr>
        <w:ind w:firstLine="300" w:firstLineChars="200"/>
        <w:jc w:val="center"/>
        <w:rPr>
          <w:sz w:val="15"/>
          <w:szCs w:val="15"/>
        </w:rPr>
      </w:pPr>
      <w:r>
        <w:rPr>
          <w:rFonts w:hint="eastAsia" w:cs="宋体"/>
          <w:sz w:val="15"/>
          <w:szCs w:val="15"/>
          <w:lang w:bidi="ar"/>
        </w:rPr>
        <w:t>注：图中横坐标为</w:t>
      </w:r>
      <w:r>
        <w:rPr>
          <w:sz w:val="15"/>
          <w:szCs w:val="15"/>
          <w:lang w:bidi="ar"/>
        </w:rPr>
        <w:t>GO Term</w:t>
      </w:r>
      <w:r>
        <w:rPr>
          <w:rFonts w:hint="eastAsia" w:cs="宋体"/>
          <w:sz w:val="15"/>
          <w:szCs w:val="15"/>
          <w:lang w:bidi="ar"/>
        </w:rPr>
        <w:t>，纵坐标为映射的差异表达蛋白个数，不同颜</w:t>
      </w:r>
      <w:r>
        <w:rPr>
          <w:sz w:val="15"/>
          <w:szCs w:val="15"/>
          <w:lang w:bidi="ar"/>
        </w:rPr>
        <w:t xml:space="preserve"> </w:t>
      </w:r>
      <w:r>
        <w:rPr>
          <w:rFonts w:hint="eastAsia" w:cs="宋体"/>
          <w:sz w:val="15"/>
          <w:szCs w:val="15"/>
          <w:lang w:bidi="ar"/>
        </w:rPr>
        <w:t>色分别代表</w:t>
      </w:r>
      <w:r>
        <w:rPr>
          <w:sz w:val="15"/>
          <w:szCs w:val="15"/>
          <w:lang w:bidi="ar"/>
        </w:rPr>
        <w:t>BP</w:t>
      </w:r>
      <w:r>
        <w:rPr>
          <w:rFonts w:hint="eastAsia" w:cs="宋体"/>
          <w:sz w:val="15"/>
          <w:szCs w:val="15"/>
          <w:lang w:bidi="ar"/>
        </w:rPr>
        <w:t>、</w:t>
      </w:r>
      <w:r>
        <w:rPr>
          <w:sz w:val="15"/>
          <w:szCs w:val="15"/>
          <w:lang w:bidi="ar"/>
        </w:rPr>
        <w:t>CC</w:t>
      </w:r>
      <w:r>
        <w:rPr>
          <w:rFonts w:hint="eastAsia" w:cs="宋体"/>
          <w:sz w:val="15"/>
          <w:szCs w:val="15"/>
          <w:lang w:bidi="ar"/>
        </w:rPr>
        <w:t>、</w:t>
      </w:r>
      <w:r>
        <w:rPr>
          <w:sz w:val="15"/>
          <w:szCs w:val="15"/>
          <w:lang w:bidi="ar"/>
        </w:rPr>
        <w:t>MF</w:t>
      </w:r>
      <w:r>
        <w:rPr>
          <w:rFonts w:hint="eastAsia" w:cs="宋体"/>
          <w:sz w:val="15"/>
          <w:szCs w:val="15"/>
          <w:lang w:bidi="ar"/>
        </w:rPr>
        <w:t>，透明度表示</w:t>
      </w:r>
      <w:r>
        <w:rPr>
          <w:sz w:val="15"/>
          <w:szCs w:val="15"/>
          <w:lang w:bidi="ar"/>
        </w:rPr>
        <w:t>pvalue</w:t>
      </w:r>
      <w:r>
        <w:rPr>
          <w:rFonts w:hint="eastAsia" w:cs="宋体"/>
          <w:sz w:val="15"/>
          <w:szCs w:val="15"/>
          <w:lang w:bidi="ar"/>
        </w:rPr>
        <w:t>大小，颜色越深，</w:t>
      </w:r>
      <w:r>
        <w:rPr>
          <w:sz w:val="15"/>
          <w:szCs w:val="15"/>
          <w:lang w:bidi="ar"/>
        </w:rPr>
        <w:t>pvalue</w:t>
      </w:r>
      <w:r>
        <w:rPr>
          <w:rFonts w:hint="eastAsia" w:cs="宋体"/>
          <w:sz w:val="15"/>
          <w:szCs w:val="15"/>
          <w:lang w:bidi="ar"/>
        </w:rPr>
        <w:t>越</w:t>
      </w:r>
      <w:r>
        <w:rPr>
          <w:sz w:val="15"/>
          <w:szCs w:val="15"/>
          <w:lang w:bidi="ar"/>
        </w:rPr>
        <w:t xml:space="preserve"> </w:t>
      </w:r>
      <w:r>
        <w:rPr>
          <w:rFonts w:hint="eastAsia" w:cs="宋体"/>
          <w:sz w:val="15"/>
          <w:szCs w:val="15"/>
          <w:lang w:bidi="ar"/>
        </w:rPr>
        <w:t>小。</w:t>
      </w:r>
    </w:p>
    <w:p w14:paraId="7495871B">
      <w:pPr>
        <w:rPr>
          <w:szCs w:val="21"/>
        </w:rPr>
      </w:pPr>
      <w:r>
        <w:rPr>
          <w:rFonts w:hint="eastAsia" w:cs="宋体"/>
          <w:szCs w:val="21"/>
          <w:lang w:bidi="ar"/>
        </w:rPr>
        <w:t>以气泡图的形式展示靶点蛋白</w:t>
      </w:r>
      <w:r>
        <w:rPr>
          <w:szCs w:val="21"/>
          <w:lang w:bidi="ar"/>
        </w:rPr>
        <w:t>GO</w:t>
      </w:r>
      <w:r>
        <w:rPr>
          <w:rFonts w:hint="eastAsia" w:cs="宋体"/>
          <w:szCs w:val="21"/>
          <w:lang w:bidi="ar"/>
        </w:rPr>
        <w:t>分析结果（展示</w:t>
      </w:r>
      <w:r>
        <w:rPr>
          <w:szCs w:val="21"/>
          <w:lang w:bidi="ar"/>
        </w:rPr>
        <w:t>GO</w:t>
      </w:r>
      <w:r>
        <w:rPr>
          <w:rFonts w:hint="eastAsia" w:cs="宋体"/>
          <w:szCs w:val="21"/>
          <w:lang w:bidi="ar"/>
        </w:rPr>
        <w:t>各分类前十）（图</w:t>
      </w:r>
      <w:r>
        <w:rPr>
          <w:rFonts w:hint="eastAsia"/>
          <w:szCs w:val="21"/>
          <w:lang w:bidi="ar"/>
        </w:rPr>
        <w:t>6</w:t>
      </w:r>
      <w:r>
        <w:rPr>
          <w:rFonts w:hint="eastAsia" w:cs="宋体"/>
          <w:szCs w:val="21"/>
          <w:lang w:bidi="ar"/>
        </w:rPr>
        <w:t>）：</w:t>
      </w:r>
    </w:p>
    <w:p w14:paraId="22E4A4E1">
      <w:pPr>
        <w:jc w:val="center"/>
        <w:rPr>
          <w:szCs w:val="21"/>
        </w:rPr>
      </w:pPr>
      <w:r>
        <w:rPr>
          <w:szCs w:val="21"/>
        </w:rPr>
        <w:drawing>
          <wp:inline distT="0" distB="0" distL="114300" distR="114300">
            <wp:extent cx="5867400" cy="5060950"/>
            <wp:effectExtent l="0" t="0" r="0" b="6350"/>
            <wp:docPr id="69" name="图片 313" descr="173475632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3" descr="1734756324230"/>
                    <pic:cNvPicPr>
                      <a:picLocks noChangeAspect="1"/>
                    </pic:cNvPicPr>
                  </pic:nvPicPr>
                  <pic:blipFill>
                    <a:blip r:embed="rId17"/>
                    <a:stretch>
                      <a:fillRect/>
                    </a:stretch>
                  </pic:blipFill>
                  <pic:spPr>
                    <a:xfrm>
                      <a:off x="0" y="0"/>
                      <a:ext cx="5867400" cy="5060950"/>
                    </a:xfrm>
                    <a:prstGeom prst="rect">
                      <a:avLst/>
                    </a:prstGeom>
                    <a:noFill/>
                    <a:ln>
                      <a:noFill/>
                    </a:ln>
                  </pic:spPr>
                </pic:pic>
              </a:graphicData>
            </a:graphic>
          </wp:inline>
        </w:drawing>
      </w:r>
    </w:p>
    <w:p w14:paraId="7DA7F1DF">
      <w:pPr>
        <w:spacing w:line="360" w:lineRule="auto"/>
        <w:ind w:firstLine="480" w:firstLineChars="200"/>
        <w:jc w:val="center"/>
        <w:rPr>
          <w:sz w:val="24"/>
        </w:rPr>
      </w:pPr>
      <w:r>
        <w:rPr>
          <w:rFonts w:hint="eastAsia" w:cs="宋体"/>
          <w:sz w:val="24"/>
          <w:lang w:bidi="ar"/>
        </w:rPr>
        <w:t>图</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图</w:instrText>
      </w:r>
      <w:r>
        <w:rPr>
          <w:sz w:val="24"/>
          <w:lang w:bidi="ar"/>
        </w:rPr>
        <w:instrText xml:space="preserve"> \* ARABIC </w:instrText>
      </w:r>
      <w:r>
        <w:rPr>
          <w:sz w:val="24"/>
          <w:lang w:bidi="ar"/>
        </w:rPr>
        <w:fldChar w:fldCharType="separate"/>
      </w:r>
      <w:r>
        <w:rPr>
          <w:sz w:val="24"/>
          <w:lang w:bidi="ar"/>
        </w:rPr>
        <w:t>6</w:t>
      </w:r>
      <w:r>
        <w:rPr>
          <w:sz w:val="24"/>
          <w:lang w:bidi="ar"/>
        </w:rPr>
        <w:fldChar w:fldCharType="end"/>
      </w:r>
      <w:r>
        <w:rPr>
          <w:rFonts w:hint="eastAsia" w:cs="宋体"/>
          <w:sz w:val="24"/>
          <w:lang w:bidi="ar"/>
        </w:rPr>
        <w:t>靶点蛋白</w:t>
      </w:r>
      <w:r>
        <w:rPr>
          <w:sz w:val="24"/>
          <w:lang w:bidi="ar"/>
        </w:rPr>
        <w:t>GO</w:t>
      </w:r>
      <w:r>
        <w:rPr>
          <w:rFonts w:hint="eastAsia" w:cs="宋体"/>
          <w:sz w:val="24"/>
          <w:lang w:bidi="ar"/>
        </w:rPr>
        <w:t>富集分析分类气泡图</w:t>
      </w:r>
    </w:p>
    <w:p w14:paraId="1A8B2CD6">
      <w:pPr>
        <w:spacing w:line="360" w:lineRule="auto"/>
        <w:ind w:firstLine="480" w:firstLineChars="200"/>
        <w:rPr>
          <w:sz w:val="24"/>
        </w:rPr>
      </w:pPr>
      <w:r>
        <w:rPr>
          <w:rFonts w:hint="eastAsia" w:cs="宋体"/>
          <w:sz w:val="24"/>
          <w:lang w:bidi="ar"/>
        </w:rPr>
        <w:t>注：图中横坐标为富集程度</w:t>
      </w:r>
      <w:r>
        <w:rPr>
          <w:sz w:val="24"/>
          <w:lang w:bidi="ar"/>
        </w:rPr>
        <w:t>Rich factor</w:t>
      </w:r>
      <w:r>
        <w:rPr>
          <w:rFonts w:hint="eastAsia" w:cs="宋体"/>
          <w:sz w:val="24"/>
          <w:lang w:bidi="ar"/>
        </w:rPr>
        <w:t>值，纵坐标为</w:t>
      </w:r>
      <w:r>
        <w:rPr>
          <w:sz w:val="24"/>
          <w:lang w:bidi="ar"/>
        </w:rPr>
        <w:t>GO Term</w:t>
      </w:r>
      <w:r>
        <w:rPr>
          <w:rFonts w:hint="eastAsia" w:cs="宋体"/>
          <w:sz w:val="24"/>
          <w:lang w:bidi="ar"/>
        </w:rPr>
        <w:t>。其中，</w:t>
      </w:r>
      <w:r>
        <w:rPr>
          <w:sz w:val="24"/>
          <w:lang w:bidi="ar"/>
        </w:rPr>
        <w:t xml:space="preserve"> </w:t>
      </w:r>
      <w:r>
        <w:rPr>
          <w:rFonts w:hint="eastAsia" w:cs="宋体"/>
          <w:sz w:val="24"/>
          <w:lang w:bidi="ar"/>
        </w:rPr>
        <w:t>形状的大小表示映射的差异表达蛋白个数，形状越大，数量越多；形状</w:t>
      </w:r>
      <w:r>
        <w:rPr>
          <w:sz w:val="24"/>
          <w:lang w:bidi="ar"/>
        </w:rPr>
        <w:t xml:space="preserve"> </w:t>
      </w:r>
      <w:r>
        <w:rPr>
          <w:rFonts w:hint="eastAsia" w:cs="宋体"/>
          <w:sz w:val="24"/>
          <w:lang w:bidi="ar"/>
        </w:rPr>
        <w:t>的颜色表示矫正后的</w:t>
      </w:r>
      <w:r>
        <w:rPr>
          <w:sz w:val="24"/>
          <w:lang w:bidi="ar"/>
        </w:rPr>
        <w:t>pvalue</w:t>
      </w:r>
      <w:r>
        <w:rPr>
          <w:rFonts w:hint="eastAsia" w:cs="宋体"/>
          <w:sz w:val="24"/>
          <w:lang w:bidi="ar"/>
        </w:rPr>
        <w:t>大小，颜色越红，</w:t>
      </w:r>
      <w:r>
        <w:rPr>
          <w:sz w:val="24"/>
          <w:lang w:bidi="ar"/>
        </w:rPr>
        <w:t>pvalue</w:t>
      </w:r>
      <w:r>
        <w:rPr>
          <w:rFonts w:hint="eastAsia" w:cs="宋体"/>
          <w:sz w:val="24"/>
          <w:lang w:bidi="ar"/>
        </w:rPr>
        <w:t>越小。</w:t>
      </w:r>
    </w:p>
    <w:p w14:paraId="48639554">
      <w:pPr>
        <w:spacing w:line="360" w:lineRule="auto"/>
        <w:rPr>
          <w:sz w:val="24"/>
        </w:rPr>
      </w:pPr>
      <w:r>
        <w:rPr>
          <w:rFonts w:hint="eastAsia" w:cs="宋体"/>
          <w:sz w:val="24"/>
          <w:lang w:bidi="ar"/>
        </w:rPr>
        <w:t>（</w:t>
      </w:r>
      <w:r>
        <w:rPr>
          <w:sz w:val="24"/>
          <w:lang w:bidi="ar"/>
        </w:rPr>
        <w:t>5</w:t>
      </w:r>
      <w:r>
        <w:rPr>
          <w:rFonts w:hint="eastAsia" w:cs="宋体"/>
          <w:sz w:val="24"/>
          <w:lang w:bidi="ar"/>
        </w:rPr>
        <w:t>）代谢物作用靶点及疾病治疗靶点的</w:t>
      </w:r>
      <w:r>
        <w:rPr>
          <w:sz w:val="24"/>
          <w:lang w:bidi="ar"/>
        </w:rPr>
        <w:t xml:space="preserve">KEGG Pathway </w:t>
      </w:r>
      <w:r>
        <w:rPr>
          <w:rFonts w:hint="eastAsia" w:cs="宋体"/>
          <w:sz w:val="24"/>
          <w:lang w:bidi="ar"/>
        </w:rPr>
        <w:t>分析</w:t>
      </w:r>
    </w:p>
    <w:p w14:paraId="2C949DEF">
      <w:pPr>
        <w:spacing w:line="360" w:lineRule="auto"/>
        <w:ind w:firstLine="480" w:firstLineChars="200"/>
        <w:rPr>
          <w:sz w:val="24"/>
        </w:rPr>
      </w:pPr>
      <w:r>
        <w:rPr>
          <w:rFonts w:hint="eastAsia" w:cs="宋体"/>
          <w:sz w:val="24"/>
          <w:lang w:bidi="ar"/>
        </w:rPr>
        <w:t>京都基因与基因组百科全书（</w:t>
      </w:r>
      <w:r>
        <w:rPr>
          <w:sz w:val="24"/>
          <w:lang w:bidi="ar"/>
        </w:rPr>
        <w:t>Kyoto Encyclopedia of Genes and Genomes, KEGG) Pathway</w:t>
      </w:r>
      <w:r>
        <w:rPr>
          <w:rFonts w:hint="eastAsia" w:cs="宋体"/>
          <w:sz w:val="24"/>
          <w:lang w:bidi="ar"/>
        </w:rPr>
        <w:t>数据库（</w:t>
      </w:r>
      <w:r>
        <w:rPr>
          <w:sz w:val="24"/>
          <w:lang w:bidi="ar"/>
        </w:rPr>
        <w:t>www.kegg.jp/kegg/pathway.html)</w:t>
      </w:r>
      <w:r>
        <w:rPr>
          <w:rFonts w:hint="eastAsia" w:cs="宋体"/>
          <w:sz w:val="24"/>
          <w:lang w:bidi="ar"/>
        </w:rPr>
        <w:t>，储存了基因和基因组的功能信息，包括图解的细胞生化过程如代谢、</w:t>
      </w:r>
      <w:r>
        <w:rPr>
          <w:sz w:val="24"/>
          <w:lang w:bidi="ar"/>
        </w:rPr>
        <w:t xml:space="preserve"> </w:t>
      </w:r>
      <w:r>
        <w:rPr>
          <w:rFonts w:hint="eastAsia" w:cs="宋体"/>
          <w:sz w:val="24"/>
          <w:lang w:bidi="ar"/>
        </w:rPr>
        <w:t>膜转运、信号传递、细胞周期，以及同系保守的子通路等信息。通过对</w:t>
      </w:r>
      <w:r>
        <w:rPr>
          <w:sz w:val="24"/>
          <w:lang w:bidi="ar"/>
        </w:rPr>
        <w:t xml:space="preserve"> </w:t>
      </w:r>
      <w:r>
        <w:rPr>
          <w:rFonts w:hint="eastAsia" w:cs="宋体"/>
          <w:sz w:val="24"/>
          <w:lang w:bidi="ar"/>
        </w:rPr>
        <w:t>靶点蛋白显著富集的代谢通路进行分析，可以了解中药有效成分通过影</w:t>
      </w:r>
      <w:r>
        <w:rPr>
          <w:sz w:val="24"/>
          <w:lang w:bidi="ar"/>
        </w:rPr>
        <w:t xml:space="preserve"> </w:t>
      </w:r>
      <w:r>
        <w:rPr>
          <w:rFonts w:hint="eastAsia" w:cs="宋体"/>
          <w:sz w:val="24"/>
          <w:lang w:bidi="ar"/>
        </w:rPr>
        <w:t>响哪些通路来治疗疾病。对结果利用</w:t>
      </w:r>
      <w:r>
        <w:rPr>
          <w:sz w:val="24"/>
          <w:lang w:bidi="ar"/>
        </w:rPr>
        <w:t>KEGG</w:t>
      </w:r>
      <w:r>
        <w:rPr>
          <w:rFonts w:hint="eastAsia" w:cs="宋体"/>
          <w:sz w:val="24"/>
          <w:lang w:bidi="ar"/>
        </w:rPr>
        <w:t>网站搜索</w:t>
      </w:r>
      <w:r>
        <w:rPr>
          <w:sz w:val="24"/>
          <w:lang w:bidi="ar"/>
        </w:rPr>
        <w:t xml:space="preserve">Homo sapiens </w:t>
      </w:r>
      <w:r>
        <w:rPr>
          <w:rFonts w:hint="eastAsia" w:cs="宋体"/>
          <w:sz w:val="24"/>
          <w:lang w:bidi="ar"/>
        </w:rPr>
        <w:t>（</w:t>
      </w:r>
      <w:r>
        <w:rPr>
          <w:sz w:val="24"/>
          <w:lang w:bidi="ar"/>
        </w:rPr>
        <w:t>human)</w:t>
      </w:r>
      <w:r>
        <w:rPr>
          <w:rFonts w:hint="eastAsia" w:cs="宋体"/>
          <w:sz w:val="24"/>
          <w:lang w:bidi="ar"/>
        </w:rPr>
        <w:t>数据库提供的绘图模块进行靶点蛋白渲染。</w:t>
      </w:r>
    </w:p>
    <w:p w14:paraId="37DA1E59">
      <w:pPr>
        <w:spacing w:line="360" w:lineRule="auto"/>
        <w:ind w:firstLine="480" w:firstLineChars="200"/>
        <w:rPr>
          <w:sz w:val="24"/>
        </w:rPr>
      </w:pPr>
      <w:r>
        <w:rPr>
          <w:rFonts w:hint="eastAsia" w:cs="宋体"/>
          <w:sz w:val="24"/>
          <w:lang w:bidi="ar"/>
        </w:rPr>
        <w:t>通路分析表示例如下（表</w:t>
      </w:r>
      <w:r>
        <w:rPr>
          <w:sz w:val="24"/>
          <w:lang w:bidi="ar"/>
        </w:rPr>
        <w:t>8</w:t>
      </w:r>
      <w:r>
        <w:rPr>
          <w:rFonts w:hint="eastAsia" w:cs="宋体"/>
          <w:sz w:val="24"/>
          <w:lang w:bidi="ar"/>
        </w:rPr>
        <w:t>）：</w:t>
      </w:r>
    </w:p>
    <w:p w14:paraId="52F94883">
      <w:pPr>
        <w:jc w:val="center"/>
        <w:rPr>
          <w:szCs w:val="21"/>
        </w:rPr>
      </w:pPr>
      <w:r>
        <w:rPr>
          <w:rFonts w:hint="eastAsia" w:cs="宋体"/>
          <w:szCs w:val="22"/>
          <w:lang w:bidi="ar"/>
        </w:rPr>
        <w:t>表</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表</w:instrText>
      </w:r>
      <w:r>
        <w:rPr>
          <w:szCs w:val="22"/>
          <w:lang w:bidi="ar"/>
        </w:rPr>
        <w:instrText xml:space="preserve"> \* ARABIC </w:instrText>
      </w:r>
      <w:r>
        <w:rPr>
          <w:szCs w:val="22"/>
          <w:lang w:bidi="ar"/>
        </w:rPr>
        <w:fldChar w:fldCharType="separate"/>
      </w:r>
      <w:r>
        <w:rPr>
          <w:szCs w:val="22"/>
          <w:lang w:bidi="ar"/>
        </w:rPr>
        <w:t>8</w:t>
      </w:r>
      <w:r>
        <w:rPr>
          <w:szCs w:val="22"/>
          <w:lang w:bidi="ar"/>
        </w:rPr>
        <w:fldChar w:fldCharType="end"/>
      </w:r>
      <w:r>
        <w:rPr>
          <w:szCs w:val="22"/>
          <w:lang w:bidi="ar"/>
        </w:rPr>
        <w:t xml:space="preserve"> </w:t>
      </w:r>
      <w:r>
        <w:rPr>
          <w:rFonts w:hint="eastAsia" w:cs="宋体"/>
          <w:szCs w:val="21"/>
          <w:lang w:bidi="ar"/>
        </w:rPr>
        <w:t>通路分析表（前</w:t>
      </w:r>
      <w:r>
        <w:rPr>
          <w:szCs w:val="21"/>
          <w:lang w:bidi="ar"/>
        </w:rPr>
        <w:t>7</w:t>
      </w:r>
      <w:r>
        <w:rPr>
          <w:rFonts w:hint="eastAsia" w:cs="宋体"/>
          <w:szCs w:val="21"/>
          <w:lang w:bidi="ar"/>
        </w:rPr>
        <w:t>行</w:t>
      </w:r>
      <w:r>
        <w:rPr>
          <w:szCs w:val="21"/>
          <w:lang w:bidi="ar"/>
        </w:rPr>
        <w:t>)</w:t>
      </w:r>
    </w:p>
    <w:p w14:paraId="7B78CDE3">
      <w:pPr>
        <w:jc w:val="center"/>
        <w:rPr>
          <w:sz w:val="15"/>
          <w:szCs w:val="15"/>
        </w:rPr>
      </w:pPr>
      <w:r>
        <w:rPr>
          <w:sz w:val="15"/>
          <w:szCs w:val="15"/>
        </w:rPr>
        <w:drawing>
          <wp:inline distT="0" distB="0" distL="114300" distR="114300">
            <wp:extent cx="5727700" cy="2533650"/>
            <wp:effectExtent l="0" t="0" r="0" b="6350"/>
            <wp:docPr id="46" name="图片 314" descr="173475634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4" descr="1734756341814"/>
                    <pic:cNvPicPr>
                      <a:picLocks noChangeAspect="1"/>
                    </pic:cNvPicPr>
                  </pic:nvPicPr>
                  <pic:blipFill>
                    <a:blip r:embed="rId18"/>
                    <a:stretch>
                      <a:fillRect/>
                    </a:stretch>
                  </pic:blipFill>
                  <pic:spPr>
                    <a:xfrm>
                      <a:off x="0" y="0"/>
                      <a:ext cx="5727700" cy="2533650"/>
                    </a:xfrm>
                    <a:prstGeom prst="rect">
                      <a:avLst/>
                    </a:prstGeom>
                    <a:noFill/>
                    <a:ln>
                      <a:noFill/>
                    </a:ln>
                  </pic:spPr>
                </pic:pic>
              </a:graphicData>
            </a:graphic>
          </wp:inline>
        </w:drawing>
      </w:r>
    </w:p>
    <w:p w14:paraId="49EE7ACA">
      <w:pPr>
        <w:spacing w:line="360" w:lineRule="auto"/>
        <w:rPr>
          <w:sz w:val="24"/>
        </w:rPr>
      </w:pPr>
      <w:r>
        <w:rPr>
          <w:rFonts w:hint="eastAsia" w:cs="宋体"/>
          <w:sz w:val="24"/>
          <w:lang w:bidi="ar"/>
        </w:rPr>
        <w:t>注：</w:t>
      </w:r>
      <w:r>
        <w:rPr>
          <w:sz w:val="24"/>
          <w:lang w:bidi="ar"/>
        </w:rPr>
        <w:t>ID</w:t>
      </w:r>
      <w:r>
        <w:rPr>
          <w:rFonts w:hint="eastAsia" w:cs="宋体"/>
          <w:sz w:val="24"/>
          <w:lang w:bidi="ar"/>
        </w:rPr>
        <w:t>：在</w:t>
      </w:r>
      <w:r>
        <w:rPr>
          <w:sz w:val="24"/>
          <w:lang w:bidi="ar"/>
        </w:rPr>
        <w:t>KEGG</w:t>
      </w:r>
      <w:r>
        <w:rPr>
          <w:rFonts w:hint="eastAsia" w:cs="宋体"/>
          <w:sz w:val="24"/>
          <w:lang w:bidi="ar"/>
        </w:rPr>
        <w:t>数据库中的识别号；</w:t>
      </w:r>
      <w:r>
        <w:rPr>
          <w:sz w:val="24"/>
          <w:lang w:bidi="ar"/>
        </w:rPr>
        <w:t xml:space="preserve"> Description</w:t>
      </w:r>
      <w:r>
        <w:rPr>
          <w:rFonts w:hint="eastAsia" w:cs="宋体"/>
          <w:sz w:val="24"/>
          <w:lang w:bidi="ar"/>
        </w:rPr>
        <w:t>：富集的项目，包含</w:t>
      </w:r>
      <w:r>
        <w:rPr>
          <w:sz w:val="24"/>
          <w:lang w:bidi="ar"/>
        </w:rPr>
        <w:t>KEGG</w:t>
      </w:r>
      <w:r>
        <w:rPr>
          <w:rFonts w:hint="eastAsia" w:cs="宋体"/>
          <w:sz w:val="24"/>
          <w:lang w:bidi="ar"/>
        </w:rPr>
        <w:t>名称；</w:t>
      </w:r>
      <w:r>
        <w:rPr>
          <w:sz w:val="24"/>
          <w:lang w:bidi="ar"/>
        </w:rPr>
        <w:t xml:space="preserve"> pvalue</w:t>
      </w:r>
      <w:r>
        <w:rPr>
          <w:rFonts w:hint="eastAsia" w:cs="宋体"/>
          <w:sz w:val="24"/>
          <w:lang w:bidi="ar"/>
        </w:rPr>
        <w:t>：</w:t>
      </w:r>
      <w:r>
        <w:rPr>
          <w:sz w:val="24"/>
          <w:lang w:bidi="ar"/>
        </w:rPr>
        <w:t>Fisher</w:t>
      </w:r>
      <w:r>
        <w:rPr>
          <w:rFonts w:hint="eastAsia" w:cs="宋体"/>
          <w:sz w:val="24"/>
          <w:lang w:bidi="ar"/>
        </w:rPr>
        <w:t>精确检验的打分值；</w:t>
      </w:r>
      <w:r>
        <w:rPr>
          <w:sz w:val="24"/>
          <w:lang w:bidi="ar"/>
        </w:rPr>
        <w:t xml:space="preserve"> p.adjust</w:t>
      </w:r>
      <w:r>
        <w:rPr>
          <w:rFonts w:hint="eastAsia" w:cs="宋体"/>
          <w:sz w:val="24"/>
          <w:lang w:bidi="ar"/>
        </w:rPr>
        <w:t>：采用</w:t>
      </w:r>
      <w:r>
        <w:rPr>
          <w:sz w:val="24"/>
          <w:lang w:bidi="ar"/>
        </w:rPr>
        <w:t>fdr</w:t>
      </w:r>
      <w:r>
        <w:rPr>
          <w:rFonts w:hint="eastAsia" w:cs="宋体"/>
          <w:sz w:val="24"/>
          <w:lang w:bidi="ar"/>
        </w:rPr>
        <w:t>方法校正后的</w:t>
      </w:r>
      <w:r>
        <w:rPr>
          <w:sz w:val="24"/>
          <w:lang w:bidi="ar"/>
        </w:rPr>
        <w:t>P</w:t>
      </w:r>
      <w:r>
        <w:rPr>
          <w:rFonts w:hint="eastAsia" w:cs="宋体"/>
          <w:sz w:val="24"/>
          <w:lang w:bidi="ar"/>
        </w:rPr>
        <w:t>值；</w:t>
      </w:r>
      <w:r>
        <w:rPr>
          <w:sz w:val="24"/>
          <w:lang w:bidi="ar"/>
        </w:rPr>
        <w:t xml:space="preserve"> Count</w:t>
      </w:r>
      <w:r>
        <w:rPr>
          <w:rFonts w:hint="eastAsia" w:cs="宋体"/>
          <w:sz w:val="24"/>
          <w:lang w:bidi="ar"/>
        </w:rPr>
        <w:t>：靶点蛋白中映射到该</w:t>
      </w:r>
      <w:r>
        <w:rPr>
          <w:sz w:val="24"/>
          <w:lang w:bidi="ar"/>
        </w:rPr>
        <w:t>KEGG</w:t>
      </w:r>
      <w:r>
        <w:rPr>
          <w:rFonts w:hint="eastAsia" w:cs="宋体"/>
          <w:sz w:val="24"/>
          <w:lang w:bidi="ar"/>
        </w:rPr>
        <w:t>条目上的蛋白个数。</w:t>
      </w:r>
    </w:p>
    <w:p w14:paraId="6466C5F0">
      <w:pPr>
        <w:jc w:val="center"/>
        <w:rPr>
          <w:sz w:val="15"/>
          <w:szCs w:val="15"/>
        </w:rPr>
      </w:pPr>
    </w:p>
    <w:p w14:paraId="0F355390">
      <w:pPr>
        <w:rPr>
          <w:szCs w:val="21"/>
        </w:rPr>
      </w:pPr>
      <w:r>
        <w:rPr>
          <w:rFonts w:hint="eastAsia" w:cs="宋体"/>
          <w:szCs w:val="21"/>
          <w:lang w:bidi="ar"/>
        </w:rPr>
        <w:t>以气泡图的形式展示靶点蛋白通路富集分析结果（图</w:t>
      </w:r>
      <w:r>
        <w:rPr>
          <w:rFonts w:hint="eastAsia"/>
          <w:szCs w:val="21"/>
          <w:lang w:bidi="ar"/>
        </w:rPr>
        <w:t>7</w:t>
      </w:r>
      <w:r>
        <w:rPr>
          <w:rFonts w:hint="eastAsia" w:cs="宋体"/>
          <w:szCs w:val="21"/>
          <w:lang w:bidi="ar"/>
        </w:rPr>
        <w:t>）：</w:t>
      </w:r>
    </w:p>
    <w:p w14:paraId="470993DC">
      <w:pPr>
        <w:rPr>
          <w:szCs w:val="21"/>
        </w:rPr>
      </w:pPr>
    </w:p>
    <w:p w14:paraId="59DBB27D">
      <w:pPr>
        <w:jc w:val="center"/>
        <w:rPr>
          <w:sz w:val="15"/>
          <w:szCs w:val="15"/>
        </w:rPr>
      </w:pPr>
      <w:r>
        <w:rPr>
          <w:sz w:val="15"/>
          <w:szCs w:val="15"/>
        </w:rPr>
        <w:drawing>
          <wp:inline distT="0" distB="0" distL="114300" distR="114300">
            <wp:extent cx="4235450" cy="3098800"/>
            <wp:effectExtent l="0" t="0" r="6350" b="0"/>
            <wp:docPr id="47" name="图片 459" descr="173475635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9" descr="1734756359305"/>
                    <pic:cNvPicPr>
                      <a:picLocks noChangeAspect="1"/>
                    </pic:cNvPicPr>
                  </pic:nvPicPr>
                  <pic:blipFill>
                    <a:blip r:embed="rId19"/>
                    <a:stretch>
                      <a:fillRect/>
                    </a:stretch>
                  </pic:blipFill>
                  <pic:spPr>
                    <a:xfrm>
                      <a:off x="0" y="0"/>
                      <a:ext cx="4235450" cy="3098800"/>
                    </a:xfrm>
                    <a:prstGeom prst="rect">
                      <a:avLst/>
                    </a:prstGeom>
                    <a:noFill/>
                    <a:ln>
                      <a:noFill/>
                    </a:ln>
                  </pic:spPr>
                </pic:pic>
              </a:graphicData>
            </a:graphic>
          </wp:inline>
        </w:drawing>
      </w:r>
    </w:p>
    <w:p w14:paraId="7D1E21CE">
      <w:pPr>
        <w:spacing w:line="360" w:lineRule="auto"/>
        <w:jc w:val="center"/>
        <w:rPr>
          <w:sz w:val="24"/>
        </w:rPr>
      </w:pPr>
      <w:r>
        <w:rPr>
          <w:rFonts w:hint="eastAsia" w:cs="宋体"/>
          <w:sz w:val="24"/>
          <w:lang w:bidi="ar"/>
        </w:rPr>
        <w:t>图</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图</w:instrText>
      </w:r>
      <w:r>
        <w:rPr>
          <w:sz w:val="24"/>
          <w:lang w:bidi="ar"/>
        </w:rPr>
        <w:instrText xml:space="preserve"> \* ARABIC </w:instrText>
      </w:r>
      <w:r>
        <w:rPr>
          <w:sz w:val="24"/>
          <w:lang w:bidi="ar"/>
        </w:rPr>
        <w:fldChar w:fldCharType="separate"/>
      </w:r>
      <w:r>
        <w:rPr>
          <w:sz w:val="24"/>
          <w:lang w:bidi="ar"/>
        </w:rPr>
        <w:t>7</w:t>
      </w:r>
      <w:r>
        <w:rPr>
          <w:sz w:val="24"/>
          <w:lang w:bidi="ar"/>
        </w:rPr>
        <w:fldChar w:fldCharType="end"/>
      </w:r>
      <w:r>
        <w:rPr>
          <w:sz w:val="24"/>
          <w:lang w:bidi="ar"/>
        </w:rPr>
        <w:t xml:space="preserve"> </w:t>
      </w:r>
      <w:r>
        <w:rPr>
          <w:rFonts w:hint="eastAsia" w:cs="宋体"/>
          <w:sz w:val="24"/>
          <w:lang w:bidi="ar"/>
        </w:rPr>
        <w:t>靶点蛋白的</w:t>
      </w:r>
      <w:r>
        <w:rPr>
          <w:sz w:val="24"/>
          <w:lang w:bidi="ar"/>
        </w:rPr>
        <w:t>KEGG</w:t>
      </w:r>
      <w:r>
        <w:rPr>
          <w:rFonts w:hint="eastAsia" w:cs="宋体"/>
          <w:sz w:val="24"/>
          <w:lang w:bidi="ar"/>
        </w:rPr>
        <w:t>代谢通路富集分析气泡图</w:t>
      </w:r>
    </w:p>
    <w:p w14:paraId="30A62D3E">
      <w:pPr>
        <w:spacing w:line="360" w:lineRule="auto"/>
        <w:rPr>
          <w:sz w:val="24"/>
        </w:rPr>
      </w:pPr>
      <w:r>
        <w:rPr>
          <w:rFonts w:hint="eastAsia" w:cs="宋体"/>
          <w:sz w:val="24"/>
          <w:lang w:bidi="ar"/>
        </w:rPr>
        <w:t>注：图中横坐标为富集程度</w:t>
      </w:r>
      <w:r>
        <w:rPr>
          <w:sz w:val="24"/>
          <w:lang w:bidi="ar"/>
        </w:rPr>
        <w:t>Rich factor</w:t>
      </w:r>
      <w:r>
        <w:rPr>
          <w:rFonts w:hint="eastAsia" w:cs="宋体"/>
          <w:sz w:val="24"/>
          <w:lang w:bidi="ar"/>
        </w:rPr>
        <w:t>值，纵坐标为</w:t>
      </w:r>
      <w:r>
        <w:rPr>
          <w:sz w:val="24"/>
          <w:lang w:bidi="ar"/>
        </w:rPr>
        <w:t>KEGG Pathway</w:t>
      </w:r>
      <w:r>
        <w:rPr>
          <w:rFonts w:hint="eastAsia" w:cs="宋体"/>
          <w:sz w:val="24"/>
          <w:lang w:bidi="ar"/>
        </w:rPr>
        <w:t>信</w:t>
      </w:r>
      <w:r>
        <w:rPr>
          <w:sz w:val="24"/>
          <w:lang w:bidi="ar"/>
        </w:rPr>
        <w:t xml:space="preserve"> </w:t>
      </w:r>
      <w:r>
        <w:rPr>
          <w:rFonts w:hint="eastAsia" w:cs="宋体"/>
          <w:sz w:val="24"/>
          <w:lang w:bidi="ar"/>
        </w:rPr>
        <w:t>息。其中，圆圈的大小表示映射通路的靶蛋白个数，圆圈越大，数量越</w:t>
      </w:r>
      <w:r>
        <w:rPr>
          <w:sz w:val="24"/>
          <w:lang w:bidi="ar"/>
        </w:rPr>
        <w:t xml:space="preserve"> </w:t>
      </w:r>
      <w:r>
        <w:rPr>
          <w:rFonts w:hint="eastAsia" w:cs="宋体"/>
          <w:sz w:val="24"/>
          <w:lang w:bidi="ar"/>
        </w:rPr>
        <w:t>多；圆圈的颜色表示矫正后的</w:t>
      </w:r>
      <w:r>
        <w:rPr>
          <w:sz w:val="24"/>
          <w:lang w:bidi="ar"/>
        </w:rPr>
        <w:t>pvalue</w:t>
      </w:r>
      <w:r>
        <w:rPr>
          <w:rFonts w:hint="eastAsia" w:cs="宋体"/>
          <w:sz w:val="24"/>
          <w:lang w:bidi="ar"/>
        </w:rPr>
        <w:t>大小，颜色越红，</w:t>
      </w:r>
      <w:r>
        <w:rPr>
          <w:sz w:val="24"/>
          <w:lang w:bidi="ar"/>
        </w:rPr>
        <w:t>pvalue</w:t>
      </w:r>
      <w:r>
        <w:rPr>
          <w:rFonts w:hint="eastAsia" w:cs="宋体"/>
          <w:sz w:val="24"/>
          <w:lang w:bidi="ar"/>
        </w:rPr>
        <w:t>越小。</w:t>
      </w:r>
    </w:p>
    <w:p w14:paraId="70C1F3A3">
      <w:pPr>
        <w:spacing w:line="360" w:lineRule="auto"/>
        <w:rPr>
          <w:sz w:val="24"/>
        </w:rPr>
      </w:pPr>
      <w:r>
        <w:rPr>
          <w:rFonts w:hint="eastAsia" w:cs="宋体"/>
          <w:sz w:val="24"/>
          <w:lang w:bidi="ar"/>
        </w:rPr>
        <w:t>以直方图的形式展示靶点蛋白通路分析结果（展示部分结果）（图</w:t>
      </w:r>
      <w:r>
        <w:rPr>
          <w:rFonts w:hint="eastAsia"/>
          <w:sz w:val="24"/>
          <w:lang w:bidi="ar"/>
        </w:rPr>
        <w:t>8</w:t>
      </w:r>
      <w:r>
        <w:rPr>
          <w:rFonts w:hint="eastAsia" w:cs="宋体"/>
          <w:sz w:val="24"/>
          <w:lang w:bidi="ar"/>
        </w:rPr>
        <w:t>）：</w:t>
      </w:r>
    </w:p>
    <w:p w14:paraId="4DB16F91">
      <w:pPr>
        <w:spacing w:line="360" w:lineRule="auto"/>
        <w:rPr>
          <w:sz w:val="24"/>
        </w:rPr>
      </w:pPr>
      <w:r>
        <w:rPr>
          <w:sz w:val="24"/>
        </w:rPr>
        <w:drawing>
          <wp:inline distT="0" distB="0" distL="114300" distR="114300">
            <wp:extent cx="6229350" cy="6546850"/>
            <wp:effectExtent l="0" t="0" r="6350" b="6350"/>
            <wp:docPr id="48" name="图片 316" descr="173475637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6" descr="1734756377195"/>
                    <pic:cNvPicPr>
                      <a:picLocks noChangeAspect="1"/>
                    </pic:cNvPicPr>
                  </pic:nvPicPr>
                  <pic:blipFill>
                    <a:blip r:embed="rId20"/>
                    <a:stretch>
                      <a:fillRect/>
                    </a:stretch>
                  </pic:blipFill>
                  <pic:spPr>
                    <a:xfrm>
                      <a:off x="0" y="0"/>
                      <a:ext cx="6229350" cy="6546850"/>
                    </a:xfrm>
                    <a:prstGeom prst="rect">
                      <a:avLst/>
                    </a:prstGeom>
                    <a:noFill/>
                    <a:ln>
                      <a:noFill/>
                    </a:ln>
                  </pic:spPr>
                </pic:pic>
              </a:graphicData>
            </a:graphic>
          </wp:inline>
        </w:drawing>
      </w:r>
    </w:p>
    <w:p w14:paraId="0866D412">
      <w:pPr>
        <w:spacing w:line="360" w:lineRule="auto"/>
        <w:ind w:firstLine="480" w:firstLineChars="200"/>
        <w:jc w:val="center"/>
        <w:rPr>
          <w:sz w:val="24"/>
        </w:rPr>
      </w:pPr>
      <w:r>
        <w:rPr>
          <w:rFonts w:hint="eastAsia" w:cs="宋体"/>
          <w:sz w:val="24"/>
          <w:lang w:bidi="ar"/>
        </w:rPr>
        <w:t>图</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图</w:instrText>
      </w:r>
      <w:r>
        <w:rPr>
          <w:sz w:val="24"/>
          <w:lang w:bidi="ar"/>
        </w:rPr>
        <w:instrText xml:space="preserve"> \* ARABIC </w:instrText>
      </w:r>
      <w:r>
        <w:rPr>
          <w:sz w:val="24"/>
          <w:lang w:bidi="ar"/>
        </w:rPr>
        <w:fldChar w:fldCharType="separate"/>
      </w:r>
      <w:r>
        <w:rPr>
          <w:sz w:val="24"/>
          <w:lang w:bidi="ar"/>
        </w:rPr>
        <w:t>8</w:t>
      </w:r>
      <w:r>
        <w:rPr>
          <w:sz w:val="24"/>
          <w:lang w:bidi="ar"/>
        </w:rPr>
        <w:fldChar w:fldCharType="end"/>
      </w:r>
      <w:r>
        <w:rPr>
          <w:sz w:val="24"/>
          <w:lang w:bidi="ar"/>
        </w:rPr>
        <w:t xml:space="preserve"> </w:t>
      </w:r>
      <w:r>
        <w:rPr>
          <w:rFonts w:hint="eastAsia" w:cs="宋体"/>
          <w:sz w:val="24"/>
          <w:lang w:bidi="ar"/>
        </w:rPr>
        <w:t>靶点蛋白通路富集分析直方图</w:t>
      </w:r>
    </w:p>
    <w:p w14:paraId="7EECA13A">
      <w:pPr>
        <w:spacing w:line="360" w:lineRule="auto"/>
        <w:ind w:firstLine="480" w:firstLineChars="200"/>
        <w:rPr>
          <w:sz w:val="24"/>
        </w:rPr>
      </w:pPr>
      <w:r>
        <w:rPr>
          <w:rFonts w:hint="eastAsia" w:cs="宋体"/>
          <w:sz w:val="24"/>
          <w:lang w:bidi="ar"/>
        </w:rPr>
        <w:t>注：图中横坐标为</w:t>
      </w:r>
      <w:r>
        <w:rPr>
          <w:sz w:val="24"/>
          <w:lang w:bidi="ar"/>
        </w:rPr>
        <w:t>-log10</w:t>
      </w:r>
      <w:r>
        <w:rPr>
          <w:rFonts w:hint="eastAsia" w:cs="宋体"/>
          <w:sz w:val="24"/>
          <w:lang w:bidi="ar"/>
        </w:rPr>
        <w:t>（</w:t>
      </w:r>
      <w:r>
        <w:rPr>
          <w:sz w:val="24"/>
          <w:lang w:bidi="ar"/>
        </w:rPr>
        <w:t>pvalue)</w:t>
      </w:r>
      <w:r>
        <w:rPr>
          <w:rFonts w:hint="eastAsia" w:cs="宋体"/>
          <w:sz w:val="24"/>
          <w:lang w:bidi="ar"/>
        </w:rPr>
        <w:t>，纵坐标为通路名称，其中，柱子长</w:t>
      </w:r>
      <w:r>
        <w:rPr>
          <w:sz w:val="24"/>
          <w:lang w:bidi="ar"/>
        </w:rPr>
        <w:t xml:space="preserve"> </w:t>
      </w:r>
      <w:r>
        <w:rPr>
          <w:rFonts w:hint="eastAsia" w:cs="宋体"/>
          <w:sz w:val="24"/>
          <w:lang w:bidi="ar"/>
        </w:rPr>
        <w:t>度表示</w:t>
      </w:r>
      <w:r>
        <w:rPr>
          <w:sz w:val="24"/>
          <w:lang w:bidi="ar"/>
        </w:rPr>
        <w:t>pvalue</w:t>
      </w:r>
      <w:r>
        <w:rPr>
          <w:rFonts w:hint="eastAsia" w:cs="宋体"/>
          <w:sz w:val="24"/>
          <w:lang w:bidi="ar"/>
        </w:rPr>
        <w:t>大小，柱子越长，</w:t>
      </w:r>
      <w:r>
        <w:rPr>
          <w:sz w:val="24"/>
          <w:lang w:bidi="ar"/>
        </w:rPr>
        <w:t>pvalue</w:t>
      </w:r>
      <w:r>
        <w:rPr>
          <w:rFonts w:hint="eastAsia" w:cs="宋体"/>
          <w:sz w:val="24"/>
          <w:lang w:bidi="ar"/>
        </w:rPr>
        <w:t>越小；颜色越深，映射到该通路</w:t>
      </w:r>
      <w:r>
        <w:rPr>
          <w:sz w:val="24"/>
          <w:lang w:bidi="ar"/>
        </w:rPr>
        <w:t xml:space="preserve"> </w:t>
      </w:r>
      <w:r>
        <w:rPr>
          <w:rFonts w:hint="eastAsia" w:cs="宋体"/>
          <w:sz w:val="24"/>
          <w:lang w:bidi="ar"/>
        </w:rPr>
        <w:t>上的靶点蛋白越多。</w:t>
      </w:r>
    </w:p>
    <w:p w14:paraId="4F6EB569">
      <w:pPr>
        <w:spacing w:line="360" w:lineRule="auto"/>
        <w:rPr>
          <w:sz w:val="24"/>
        </w:rPr>
      </w:pPr>
    </w:p>
    <w:p w14:paraId="12D77AE1">
      <w:pPr>
        <w:spacing w:line="360" w:lineRule="auto"/>
        <w:rPr>
          <w:sz w:val="24"/>
        </w:rPr>
      </w:pPr>
    </w:p>
    <w:p w14:paraId="1466900D">
      <w:pPr>
        <w:spacing w:line="360" w:lineRule="auto"/>
        <w:rPr>
          <w:sz w:val="24"/>
        </w:rPr>
      </w:pPr>
      <w:r>
        <w:rPr>
          <w:rFonts w:hint="eastAsia" w:cs="宋体"/>
          <w:sz w:val="24"/>
          <w:lang w:bidi="ar"/>
        </w:rPr>
        <w:t>（</w:t>
      </w:r>
      <w:r>
        <w:rPr>
          <w:sz w:val="24"/>
          <w:lang w:bidi="ar"/>
        </w:rPr>
        <w:t>6</w:t>
      </w:r>
      <w:r>
        <w:rPr>
          <w:rFonts w:hint="eastAsia" w:cs="宋体"/>
          <w:sz w:val="24"/>
          <w:lang w:bidi="ar"/>
        </w:rPr>
        <w:t>）靶点蛋白的</w:t>
      </w:r>
      <w:r>
        <w:rPr>
          <w:sz w:val="24"/>
          <w:lang w:bidi="ar"/>
        </w:rPr>
        <w:t>PPI</w:t>
      </w:r>
      <w:r>
        <w:rPr>
          <w:rFonts w:hint="eastAsia" w:cs="宋体"/>
          <w:sz w:val="24"/>
          <w:lang w:bidi="ar"/>
        </w:rPr>
        <w:t>网络构建分析</w:t>
      </w:r>
      <w:r>
        <w:rPr>
          <w:sz w:val="24"/>
          <w:lang w:bidi="ar"/>
        </w:rPr>
        <w:t xml:space="preserve"> </w:t>
      </w:r>
    </w:p>
    <w:p w14:paraId="33D16853">
      <w:pPr>
        <w:spacing w:line="360" w:lineRule="auto"/>
        <w:ind w:firstLine="480" w:firstLineChars="200"/>
        <w:rPr>
          <w:sz w:val="24"/>
        </w:rPr>
      </w:pPr>
      <w:r>
        <w:rPr>
          <w:rFonts w:hint="eastAsia" w:cs="宋体"/>
          <w:sz w:val="24"/>
          <w:lang w:bidi="ar"/>
        </w:rPr>
        <w:t>靶点蛋白质</w:t>
      </w:r>
      <w:r>
        <w:rPr>
          <w:sz w:val="24"/>
          <w:lang w:bidi="ar"/>
        </w:rPr>
        <w:t>-</w:t>
      </w:r>
      <w:r>
        <w:rPr>
          <w:rFonts w:hint="eastAsia" w:cs="宋体"/>
          <w:sz w:val="24"/>
          <w:lang w:bidi="ar"/>
        </w:rPr>
        <w:t>靶点蛋白质相互作用网络分析（</w:t>
      </w:r>
      <w:r>
        <w:rPr>
          <w:sz w:val="24"/>
          <w:lang w:bidi="ar"/>
        </w:rPr>
        <w:t>Protein-Protein Interaction Network Analysis, PPI Network Analysis</w:t>
      </w:r>
      <w:r>
        <w:rPr>
          <w:rFonts w:hint="eastAsia" w:cs="宋体"/>
          <w:sz w:val="24"/>
          <w:lang w:bidi="ar"/>
        </w:rPr>
        <w:t>），是蛋白质</w:t>
      </w:r>
      <w:r>
        <w:rPr>
          <w:sz w:val="24"/>
          <w:lang w:bidi="ar"/>
        </w:rPr>
        <w:t xml:space="preserve"> </w:t>
      </w:r>
      <w:r>
        <w:rPr>
          <w:rFonts w:hint="eastAsia" w:cs="宋体"/>
          <w:sz w:val="24"/>
          <w:lang w:bidi="ar"/>
        </w:rPr>
        <w:t>组学的重要研究内容之一。蛋白质在行使生物功能时通过形成</w:t>
      </w:r>
      <w:r>
        <w:rPr>
          <w:sz w:val="24"/>
          <w:lang w:bidi="ar"/>
        </w:rPr>
        <w:t>PPI</w:t>
      </w:r>
      <w:r>
        <w:rPr>
          <w:rFonts w:hint="eastAsia" w:cs="宋体"/>
          <w:sz w:val="24"/>
          <w:lang w:bidi="ar"/>
        </w:rPr>
        <w:t>网络以</w:t>
      </w:r>
      <w:r>
        <w:rPr>
          <w:sz w:val="24"/>
          <w:lang w:bidi="ar"/>
        </w:rPr>
        <w:t xml:space="preserve"> </w:t>
      </w:r>
      <w:r>
        <w:rPr>
          <w:rFonts w:hint="eastAsia" w:cs="宋体"/>
          <w:sz w:val="24"/>
          <w:lang w:bidi="ar"/>
        </w:rPr>
        <w:t>维持时间和空间上的协调一致，构建靶点蛋白的相互作用网络，可以进</w:t>
      </w:r>
      <w:r>
        <w:rPr>
          <w:sz w:val="24"/>
          <w:lang w:bidi="ar"/>
        </w:rPr>
        <w:t xml:space="preserve"> </w:t>
      </w:r>
      <w:r>
        <w:rPr>
          <w:rFonts w:hint="eastAsia" w:cs="宋体"/>
          <w:sz w:val="24"/>
          <w:lang w:bidi="ar"/>
        </w:rPr>
        <w:t>一步帮助我们寻找靶点蛋白中的关键节点。</w:t>
      </w:r>
      <w:r>
        <w:rPr>
          <w:sz w:val="24"/>
          <w:lang w:bidi="ar"/>
        </w:rPr>
        <w:t xml:space="preserve"> </w:t>
      </w:r>
      <w:r>
        <w:rPr>
          <w:rFonts w:hint="eastAsia" w:cs="宋体"/>
          <w:sz w:val="24"/>
          <w:lang w:bidi="ar"/>
        </w:rPr>
        <w:t>本项目构建</w:t>
      </w:r>
      <w:r>
        <w:rPr>
          <w:sz w:val="24"/>
          <w:lang w:bidi="ar"/>
        </w:rPr>
        <w:t>PPI</w:t>
      </w:r>
      <w:r>
        <w:rPr>
          <w:rFonts w:hint="eastAsia" w:cs="宋体"/>
          <w:sz w:val="24"/>
          <w:lang w:bidi="ar"/>
        </w:rPr>
        <w:t>网络的蛋白</w:t>
      </w:r>
      <w:r>
        <w:rPr>
          <w:sz w:val="24"/>
          <w:lang w:bidi="ar"/>
        </w:rPr>
        <w:t xml:space="preserve"> </w:t>
      </w:r>
      <w:r>
        <w:rPr>
          <w:rFonts w:hint="eastAsia" w:cs="宋体"/>
          <w:sz w:val="24"/>
          <w:lang w:bidi="ar"/>
        </w:rPr>
        <w:t>质相互作用信息采用</w:t>
      </w:r>
      <w:r>
        <w:rPr>
          <w:sz w:val="24"/>
          <w:lang w:bidi="ar"/>
        </w:rPr>
        <w:t>STRING</w:t>
      </w:r>
      <w:r>
        <w:rPr>
          <w:rFonts w:hint="eastAsia" w:cs="宋体"/>
          <w:sz w:val="24"/>
          <w:lang w:bidi="ar"/>
        </w:rPr>
        <w:t>数据库（</w:t>
      </w:r>
      <w:r>
        <w:rPr>
          <w:sz w:val="24"/>
          <w:lang w:bidi="ar"/>
        </w:rPr>
        <w:t>v11</w:t>
      </w:r>
      <w:r>
        <w:rPr>
          <w:rFonts w:hint="eastAsia" w:cs="宋体"/>
          <w:sz w:val="24"/>
          <w:lang w:bidi="ar"/>
        </w:rPr>
        <w:t>，</w:t>
      </w:r>
      <w:r>
        <w:rPr>
          <w:sz w:val="24"/>
          <w:lang w:bidi="ar"/>
        </w:rPr>
        <w:t>string-db.org</w:t>
      </w:r>
      <w:r>
        <w:rPr>
          <w:rFonts w:hint="eastAsia" w:cs="宋体"/>
          <w:sz w:val="24"/>
          <w:lang w:bidi="ar"/>
        </w:rPr>
        <w:t>）</w:t>
      </w:r>
      <w:r>
        <w:rPr>
          <w:sz w:val="24"/>
          <w:lang w:bidi="ar"/>
        </w:rPr>
        <w:t xml:space="preserve"> </w:t>
      </w:r>
      <w:r>
        <w:rPr>
          <w:rFonts w:hint="eastAsia" w:cs="宋体"/>
          <w:sz w:val="24"/>
          <w:lang w:bidi="ar"/>
        </w:rPr>
        <w:t>。将靶</w:t>
      </w:r>
      <w:r>
        <w:rPr>
          <w:sz w:val="24"/>
          <w:lang w:bidi="ar"/>
        </w:rPr>
        <w:t xml:space="preserve"> </w:t>
      </w:r>
      <w:r>
        <w:rPr>
          <w:rFonts w:hint="eastAsia" w:cs="宋体"/>
          <w:sz w:val="24"/>
          <w:lang w:bidi="ar"/>
        </w:rPr>
        <w:t>点蛋白查询</w:t>
      </w:r>
      <w:r>
        <w:rPr>
          <w:sz w:val="24"/>
          <w:lang w:bidi="ar"/>
        </w:rPr>
        <w:t>STRING</w:t>
      </w:r>
      <w:r>
        <w:rPr>
          <w:rFonts w:hint="eastAsia" w:cs="宋体"/>
          <w:sz w:val="24"/>
          <w:lang w:bidi="ar"/>
        </w:rPr>
        <w:t>数据库</w:t>
      </w:r>
      <w:r>
        <w:rPr>
          <w:sz w:val="24"/>
          <w:lang w:bidi="ar"/>
        </w:rPr>
        <w:t xml:space="preserve">Homo sapiens </w:t>
      </w:r>
      <w:r>
        <w:rPr>
          <w:rFonts w:hint="eastAsia" w:cs="宋体"/>
          <w:sz w:val="24"/>
          <w:lang w:bidi="ar"/>
        </w:rPr>
        <w:t>（</w:t>
      </w:r>
      <w:r>
        <w:rPr>
          <w:sz w:val="24"/>
          <w:lang w:bidi="ar"/>
        </w:rPr>
        <w:t>human)</w:t>
      </w:r>
      <w:r>
        <w:rPr>
          <w:rFonts w:hint="eastAsia" w:cs="宋体"/>
          <w:sz w:val="24"/>
          <w:lang w:bidi="ar"/>
        </w:rPr>
        <w:t>中的蛋白相互作用关</w:t>
      </w:r>
      <w:r>
        <w:rPr>
          <w:sz w:val="24"/>
          <w:lang w:bidi="ar"/>
        </w:rPr>
        <w:t xml:space="preserve"> </w:t>
      </w:r>
      <w:r>
        <w:rPr>
          <w:rFonts w:hint="eastAsia" w:cs="宋体"/>
          <w:sz w:val="24"/>
          <w:lang w:bidi="ar"/>
        </w:rPr>
        <w:t>系，构建靶点蛋白的网络互作图。网络互作图如下图</w:t>
      </w:r>
      <w:r>
        <w:rPr>
          <w:rFonts w:hint="eastAsia"/>
          <w:sz w:val="24"/>
          <w:lang w:bidi="ar"/>
        </w:rPr>
        <w:t>9</w:t>
      </w:r>
      <w:r>
        <w:rPr>
          <w:rFonts w:hint="eastAsia" w:cs="宋体"/>
          <w:sz w:val="24"/>
          <w:lang w:bidi="ar"/>
        </w:rPr>
        <w:t>：</w:t>
      </w:r>
    </w:p>
    <w:p w14:paraId="1DD9651D">
      <w:pPr>
        <w:jc w:val="center"/>
        <w:rPr>
          <w:szCs w:val="21"/>
        </w:rPr>
      </w:pPr>
      <w:r>
        <w:rPr>
          <w:szCs w:val="21"/>
        </w:rPr>
        <w:drawing>
          <wp:inline distT="0" distB="0" distL="114300" distR="114300">
            <wp:extent cx="5530850" cy="5721350"/>
            <wp:effectExtent l="0" t="0" r="6350" b="6350"/>
            <wp:docPr id="49" name="图片 317" descr="173475639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7" descr="1734756392334"/>
                    <pic:cNvPicPr>
                      <a:picLocks noChangeAspect="1"/>
                    </pic:cNvPicPr>
                  </pic:nvPicPr>
                  <pic:blipFill>
                    <a:blip r:embed="rId21"/>
                    <a:stretch>
                      <a:fillRect/>
                    </a:stretch>
                  </pic:blipFill>
                  <pic:spPr>
                    <a:xfrm>
                      <a:off x="0" y="0"/>
                      <a:ext cx="5530850" cy="5721350"/>
                    </a:xfrm>
                    <a:prstGeom prst="rect">
                      <a:avLst/>
                    </a:prstGeom>
                    <a:noFill/>
                    <a:ln>
                      <a:noFill/>
                    </a:ln>
                  </pic:spPr>
                </pic:pic>
              </a:graphicData>
            </a:graphic>
          </wp:inline>
        </w:drawing>
      </w:r>
    </w:p>
    <w:p w14:paraId="3271D073">
      <w:pPr>
        <w:pStyle w:val="12"/>
        <w:jc w:val="center"/>
      </w:pPr>
      <w:r>
        <w:rPr>
          <w:rFonts w:hint="eastAsia" w:cs="宋体"/>
          <w:sz w:val="20"/>
          <w:szCs w:val="22"/>
          <w:lang w:bidi="ar"/>
        </w:rPr>
        <w:t>图</w:t>
      </w:r>
      <w:r>
        <w:rPr>
          <w:sz w:val="20"/>
          <w:szCs w:val="22"/>
          <w:lang w:bidi="ar"/>
        </w:rPr>
        <w:t xml:space="preserve"> </w:t>
      </w:r>
      <w:r>
        <w:rPr>
          <w:sz w:val="20"/>
          <w:szCs w:val="22"/>
          <w:lang w:bidi="ar"/>
        </w:rPr>
        <w:fldChar w:fldCharType="begin"/>
      </w:r>
      <w:r>
        <w:rPr>
          <w:sz w:val="20"/>
          <w:szCs w:val="22"/>
          <w:lang w:bidi="ar"/>
        </w:rPr>
        <w:instrText xml:space="preserve"> SEQ </w:instrText>
      </w:r>
      <w:r>
        <w:rPr>
          <w:rFonts w:hint="eastAsia" w:cs="宋体"/>
          <w:sz w:val="20"/>
          <w:szCs w:val="22"/>
          <w:lang w:bidi="ar"/>
        </w:rPr>
        <w:instrText xml:space="preserve">图</w:instrText>
      </w:r>
      <w:r>
        <w:rPr>
          <w:sz w:val="20"/>
          <w:szCs w:val="22"/>
          <w:lang w:bidi="ar"/>
        </w:rPr>
        <w:instrText xml:space="preserve"> \* ARABIC </w:instrText>
      </w:r>
      <w:r>
        <w:rPr>
          <w:sz w:val="20"/>
          <w:szCs w:val="22"/>
          <w:lang w:bidi="ar"/>
        </w:rPr>
        <w:fldChar w:fldCharType="separate"/>
      </w:r>
      <w:r>
        <w:rPr>
          <w:sz w:val="20"/>
          <w:szCs w:val="22"/>
          <w:lang w:bidi="ar"/>
        </w:rPr>
        <w:t>9</w:t>
      </w:r>
      <w:r>
        <w:rPr>
          <w:sz w:val="20"/>
          <w:szCs w:val="22"/>
          <w:lang w:bidi="ar"/>
        </w:rPr>
        <w:fldChar w:fldCharType="end"/>
      </w:r>
      <w:r>
        <w:rPr>
          <w:sz w:val="20"/>
          <w:szCs w:val="22"/>
          <w:lang w:bidi="ar"/>
        </w:rPr>
        <w:t xml:space="preserve"> </w:t>
      </w:r>
      <w:r>
        <w:rPr>
          <w:rFonts w:hint="eastAsia" w:cs="宋体"/>
          <w:sz w:val="15"/>
          <w:szCs w:val="15"/>
          <w:lang w:bidi="ar"/>
        </w:rPr>
        <w:t>靶点蛋白互作网络图</w:t>
      </w:r>
    </w:p>
    <w:p w14:paraId="27C7A44D">
      <w:pPr>
        <w:spacing w:line="360" w:lineRule="auto"/>
        <w:rPr>
          <w:sz w:val="24"/>
        </w:rPr>
      </w:pPr>
      <w:r>
        <w:rPr>
          <w:rFonts w:hint="eastAsia" w:cs="宋体"/>
          <w:sz w:val="24"/>
          <w:lang w:bidi="ar"/>
        </w:rPr>
        <w:t>（</w:t>
      </w:r>
      <w:r>
        <w:rPr>
          <w:sz w:val="24"/>
          <w:lang w:bidi="ar"/>
        </w:rPr>
        <w:t>7</w:t>
      </w:r>
      <w:r>
        <w:rPr>
          <w:rFonts w:hint="eastAsia" w:cs="宋体"/>
          <w:sz w:val="24"/>
          <w:lang w:bidi="ar"/>
        </w:rPr>
        <w:t>）代谢物</w:t>
      </w:r>
      <w:r>
        <w:rPr>
          <w:sz w:val="24"/>
          <w:lang w:bidi="ar"/>
        </w:rPr>
        <w:t>-</w:t>
      </w:r>
      <w:r>
        <w:rPr>
          <w:rFonts w:hint="eastAsia" w:cs="宋体"/>
          <w:sz w:val="24"/>
          <w:lang w:bidi="ar"/>
        </w:rPr>
        <w:t>靶点</w:t>
      </w:r>
      <w:r>
        <w:rPr>
          <w:sz w:val="24"/>
          <w:lang w:bidi="ar"/>
        </w:rPr>
        <w:t>-</w:t>
      </w:r>
      <w:r>
        <w:rPr>
          <w:rFonts w:hint="eastAsia" w:cs="宋体"/>
          <w:sz w:val="24"/>
          <w:lang w:bidi="ar"/>
        </w:rPr>
        <w:t>通路的网络构建分析</w:t>
      </w:r>
    </w:p>
    <w:p w14:paraId="317E885A">
      <w:pPr>
        <w:spacing w:line="360" w:lineRule="auto"/>
        <w:ind w:firstLine="480" w:firstLineChars="200"/>
        <w:rPr>
          <w:sz w:val="24"/>
        </w:rPr>
      </w:pPr>
      <w:r>
        <w:rPr>
          <w:rFonts w:hint="eastAsia" w:cs="宋体"/>
          <w:sz w:val="24"/>
          <w:lang w:bidi="ar"/>
        </w:rPr>
        <w:t>代谢物</w:t>
      </w:r>
      <w:r>
        <w:rPr>
          <w:sz w:val="24"/>
          <w:lang w:bidi="ar"/>
        </w:rPr>
        <w:t>-</w:t>
      </w:r>
      <w:r>
        <w:rPr>
          <w:rFonts w:hint="eastAsia" w:cs="宋体"/>
          <w:sz w:val="24"/>
          <w:lang w:bidi="ar"/>
        </w:rPr>
        <w:t>靶点</w:t>
      </w:r>
      <w:r>
        <w:rPr>
          <w:sz w:val="24"/>
          <w:lang w:bidi="ar"/>
        </w:rPr>
        <w:t>-</w:t>
      </w:r>
      <w:r>
        <w:rPr>
          <w:rFonts w:hint="eastAsia" w:cs="宋体"/>
          <w:sz w:val="24"/>
          <w:lang w:bidi="ar"/>
        </w:rPr>
        <w:t>通路的网络构建分析同靶点蛋白的网络构建分析，此项分析加入代谢物与靶点蛋白节点关系、靶点蛋白与通路节点关系。网</w:t>
      </w:r>
      <w:r>
        <w:rPr>
          <w:sz w:val="24"/>
          <w:lang w:bidi="ar"/>
        </w:rPr>
        <w:t xml:space="preserve"> </w:t>
      </w:r>
      <w:r>
        <w:rPr>
          <w:rFonts w:hint="eastAsia" w:cs="宋体"/>
          <w:sz w:val="24"/>
          <w:lang w:bidi="ar"/>
        </w:rPr>
        <w:t>络互作图如下图</w:t>
      </w:r>
      <w:r>
        <w:rPr>
          <w:sz w:val="24"/>
          <w:lang w:bidi="ar"/>
        </w:rPr>
        <w:t>1</w:t>
      </w:r>
      <w:r>
        <w:rPr>
          <w:rFonts w:hint="eastAsia"/>
          <w:sz w:val="24"/>
          <w:lang w:bidi="ar"/>
        </w:rPr>
        <w:t>0-11</w:t>
      </w:r>
      <w:r>
        <w:rPr>
          <w:rFonts w:hint="eastAsia" w:cs="宋体"/>
          <w:sz w:val="24"/>
          <w:lang w:bidi="ar"/>
        </w:rPr>
        <w:t>：</w:t>
      </w:r>
    </w:p>
    <w:p w14:paraId="2DDB8D15">
      <w:pPr>
        <w:jc w:val="center"/>
        <w:rPr>
          <w:szCs w:val="21"/>
        </w:rPr>
      </w:pPr>
      <w:r>
        <w:rPr>
          <w:szCs w:val="21"/>
        </w:rPr>
        <w:drawing>
          <wp:inline distT="0" distB="0" distL="114300" distR="114300">
            <wp:extent cx="3930650" cy="3689350"/>
            <wp:effectExtent l="0" t="0" r="6350" b="6350"/>
            <wp:docPr id="50" name="图片 319" descr="173475644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9" descr="1734756449400"/>
                    <pic:cNvPicPr>
                      <a:picLocks noChangeAspect="1"/>
                    </pic:cNvPicPr>
                  </pic:nvPicPr>
                  <pic:blipFill>
                    <a:blip r:embed="rId22"/>
                    <a:stretch>
                      <a:fillRect/>
                    </a:stretch>
                  </pic:blipFill>
                  <pic:spPr>
                    <a:xfrm>
                      <a:off x="0" y="0"/>
                      <a:ext cx="3930650" cy="3689350"/>
                    </a:xfrm>
                    <a:prstGeom prst="rect">
                      <a:avLst/>
                    </a:prstGeom>
                    <a:noFill/>
                    <a:ln>
                      <a:noFill/>
                    </a:ln>
                  </pic:spPr>
                </pic:pic>
              </a:graphicData>
            </a:graphic>
          </wp:inline>
        </w:drawing>
      </w:r>
    </w:p>
    <w:p w14:paraId="011CFCBB">
      <w:pPr>
        <w:pStyle w:val="12"/>
        <w:jc w:val="center"/>
        <w:rPr>
          <w:sz w:val="15"/>
          <w:szCs w:val="15"/>
        </w:rPr>
      </w:pPr>
      <w:r>
        <w:rPr>
          <w:rFonts w:hint="eastAsia" w:cs="宋体"/>
          <w:sz w:val="20"/>
          <w:szCs w:val="22"/>
          <w:lang w:bidi="ar"/>
        </w:rPr>
        <w:t>图</w:t>
      </w:r>
      <w:r>
        <w:rPr>
          <w:sz w:val="20"/>
          <w:szCs w:val="22"/>
          <w:lang w:bidi="ar"/>
        </w:rPr>
        <w:t xml:space="preserve"> </w:t>
      </w:r>
      <w:r>
        <w:rPr>
          <w:sz w:val="20"/>
          <w:szCs w:val="22"/>
          <w:lang w:bidi="ar"/>
        </w:rPr>
        <w:fldChar w:fldCharType="begin"/>
      </w:r>
      <w:r>
        <w:rPr>
          <w:sz w:val="20"/>
          <w:szCs w:val="22"/>
          <w:lang w:bidi="ar"/>
        </w:rPr>
        <w:instrText xml:space="preserve"> SEQ </w:instrText>
      </w:r>
      <w:r>
        <w:rPr>
          <w:rFonts w:hint="eastAsia" w:cs="宋体"/>
          <w:sz w:val="20"/>
          <w:szCs w:val="22"/>
          <w:lang w:bidi="ar"/>
        </w:rPr>
        <w:instrText xml:space="preserve">图</w:instrText>
      </w:r>
      <w:r>
        <w:rPr>
          <w:sz w:val="20"/>
          <w:szCs w:val="22"/>
          <w:lang w:bidi="ar"/>
        </w:rPr>
        <w:instrText xml:space="preserve"> \* ARABIC </w:instrText>
      </w:r>
      <w:r>
        <w:rPr>
          <w:sz w:val="20"/>
          <w:szCs w:val="22"/>
          <w:lang w:bidi="ar"/>
        </w:rPr>
        <w:fldChar w:fldCharType="separate"/>
      </w:r>
      <w:r>
        <w:rPr>
          <w:sz w:val="20"/>
          <w:szCs w:val="22"/>
          <w:lang w:bidi="ar"/>
        </w:rPr>
        <w:t>10</w:t>
      </w:r>
      <w:r>
        <w:rPr>
          <w:sz w:val="20"/>
          <w:szCs w:val="22"/>
          <w:lang w:bidi="ar"/>
        </w:rPr>
        <w:fldChar w:fldCharType="end"/>
      </w:r>
      <w:r>
        <w:rPr>
          <w:sz w:val="20"/>
          <w:szCs w:val="22"/>
          <w:lang w:bidi="ar"/>
        </w:rPr>
        <w:t xml:space="preserve"> </w:t>
      </w:r>
      <w:r>
        <w:rPr>
          <w:sz w:val="15"/>
          <w:szCs w:val="15"/>
          <w:lang w:bidi="ar"/>
        </w:rPr>
        <w:t xml:space="preserve"> </w:t>
      </w:r>
      <w:r>
        <w:rPr>
          <w:rFonts w:hint="eastAsia" w:cs="宋体"/>
          <w:sz w:val="15"/>
          <w:szCs w:val="15"/>
          <w:lang w:bidi="ar"/>
        </w:rPr>
        <w:t>代谢物</w:t>
      </w:r>
      <w:r>
        <w:rPr>
          <w:sz w:val="15"/>
          <w:szCs w:val="15"/>
          <w:lang w:bidi="ar"/>
        </w:rPr>
        <w:t>-</w:t>
      </w:r>
      <w:r>
        <w:rPr>
          <w:rFonts w:hint="eastAsia" w:cs="宋体"/>
          <w:sz w:val="15"/>
          <w:szCs w:val="15"/>
          <w:lang w:bidi="ar"/>
        </w:rPr>
        <w:t>靶点</w:t>
      </w:r>
      <w:r>
        <w:rPr>
          <w:sz w:val="15"/>
          <w:szCs w:val="15"/>
          <w:lang w:bidi="ar"/>
        </w:rPr>
        <w:t>-GO</w:t>
      </w:r>
      <w:r>
        <w:rPr>
          <w:rFonts w:hint="eastAsia" w:cs="宋体"/>
          <w:sz w:val="15"/>
          <w:szCs w:val="15"/>
          <w:lang w:bidi="ar"/>
        </w:rPr>
        <w:t>互作网络图</w:t>
      </w:r>
    </w:p>
    <w:p w14:paraId="094AD694">
      <w:pPr>
        <w:jc w:val="center"/>
        <w:rPr>
          <w:szCs w:val="21"/>
        </w:rPr>
      </w:pPr>
      <w:r>
        <w:rPr>
          <w:szCs w:val="21"/>
        </w:rPr>
        <w:drawing>
          <wp:inline distT="0" distB="0" distL="114300" distR="114300">
            <wp:extent cx="3943350" cy="3663950"/>
            <wp:effectExtent l="0" t="0" r="6350" b="6350"/>
            <wp:docPr id="51" name="图片 320" descr="173475647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0" descr="1734756470635"/>
                    <pic:cNvPicPr>
                      <a:picLocks noChangeAspect="1"/>
                    </pic:cNvPicPr>
                  </pic:nvPicPr>
                  <pic:blipFill>
                    <a:blip r:embed="rId23"/>
                    <a:stretch>
                      <a:fillRect/>
                    </a:stretch>
                  </pic:blipFill>
                  <pic:spPr>
                    <a:xfrm>
                      <a:off x="0" y="0"/>
                      <a:ext cx="3943350" cy="3663950"/>
                    </a:xfrm>
                    <a:prstGeom prst="rect">
                      <a:avLst/>
                    </a:prstGeom>
                    <a:noFill/>
                    <a:ln>
                      <a:noFill/>
                    </a:ln>
                  </pic:spPr>
                </pic:pic>
              </a:graphicData>
            </a:graphic>
          </wp:inline>
        </w:drawing>
      </w:r>
    </w:p>
    <w:p w14:paraId="3793030E">
      <w:pPr>
        <w:spacing w:line="360" w:lineRule="auto"/>
        <w:jc w:val="center"/>
        <w:rPr>
          <w:sz w:val="24"/>
        </w:rPr>
      </w:pPr>
      <w:r>
        <w:rPr>
          <w:rFonts w:hint="eastAsia" w:cs="宋体"/>
          <w:sz w:val="24"/>
          <w:lang w:bidi="ar"/>
        </w:rPr>
        <w:t>图</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图</w:instrText>
      </w:r>
      <w:r>
        <w:rPr>
          <w:sz w:val="24"/>
          <w:lang w:bidi="ar"/>
        </w:rPr>
        <w:instrText xml:space="preserve"> \* ARABIC </w:instrText>
      </w:r>
      <w:r>
        <w:rPr>
          <w:sz w:val="24"/>
          <w:lang w:bidi="ar"/>
        </w:rPr>
        <w:fldChar w:fldCharType="separate"/>
      </w:r>
      <w:r>
        <w:rPr>
          <w:sz w:val="24"/>
          <w:lang w:bidi="ar"/>
        </w:rPr>
        <w:t>11</w:t>
      </w:r>
      <w:r>
        <w:rPr>
          <w:sz w:val="24"/>
          <w:lang w:bidi="ar"/>
        </w:rPr>
        <w:fldChar w:fldCharType="end"/>
      </w:r>
      <w:r>
        <w:rPr>
          <w:sz w:val="24"/>
          <w:lang w:bidi="ar"/>
        </w:rPr>
        <w:t xml:space="preserve">  </w:t>
      </w:r>
      <w:r>
        <w:rPr>
          <w:rFonts w:hint="eastAsia" w:cs="宋体"/>
          <w:sz w:val="24"/>
          <w:lang w:bidi="ar"/>
        </w:rPr>
        <w:t>代谢物</w:t>
      </w:r>
      <w:r>
        <w:rPr>
          <w:sz w:val="24"/>
          <w:lang w:bidi="ar"/>
        </w:rPr>
        <w:t>-</w:t>
      </w:r>
      <w:r>
        <w:rPr>
          <w:rFonts w:hint="eastAsia" w:cs="宋体"/>
          <w:sz w:val="24"/>
          <w:lang w:bidi="ar"/>
        </w:rPr>
        <w:t>靶点</w:t>
      </w:r>
      <w:r>
        <w:rPr>
          <w:sz w:val="24"/>
          <w:lang w:bidi="ar"/>
        </w:rPr>
        <w:t>-KEGG</w:t>
      </w:r>
      <w:r>
        <w:rPr>
          <w:rFonts w:hint="eastAsia" w:cs="宋体"/>
          <w:sz w:val="24"/>
          <w:lang w:bidi="ar"/>
        </w:rPr>
        <w:t>通路互作网络图</w:t>
      </w:r>
    </w:p>
    <w:p w14:paraId="098BEFC1">
      <w:pPr>
        <w:spacing w:line="360" w:lineRule="auto"/>
        <w:jc w:val="center"/>
        <w:rPr>
          <w:sz w:val="24"/>
        </w:rPr>
      </w:pPr>
      <w:r>
        <w:rPr>
          <w:rFonts w:hint="eastAsia" w:cs="宋体"/>
          <w:sz w:val="24"/>
          <w:lang w:bidi="ar"/>
        </w:rPr>
        <w:t>注：图中颜色及形状代表不同节点类型：如代谢物、靶点蛋白、通路等。</w:t>
      </w:r>
    </w:p>
    <w:p w14:paraId="39F70ECE">
      <w:pPr>
        <w:jc w:val="center"/>
        <w:rPr>
          <w:sz w:val="15"/>
          <w:szCs w:val="15"/>
        </w:rPr>
      </w:pPr>
    </w:p>
    <w:p w14:paraId="4A286268">
      <w:pPr>
        <w:spacing w:line="360" w:lineRule="auto"/>
        <w:rPr>
          <w:sz w:val="24"/>
        </w:rPr>
      </w:pPr>
      <w:r>
        <w:rPr>
          <w:rFonts w:hint="eastAsia" w:cs="宋体"/>
          <w:sz w:val="24"/>
          <w:lang w:bidi="ar"/>
        </w:rPr>
        <w:t>（</w:t>
      </w:r>
      <w:r>
        <w:rPr>
          <w:sz w:val="24"/>
          <w:lang w:bidi="ar"/>
        </w:rPr>
        <w:t>8</w:t>
      </w:r>
      <w:r>
        <w:rPr>
          <w:rFonts w:hint="eastAsia" w:cs="宋体"/>
          <w:sz w:val="24"/>
          <w:lang w:bidi="ar"/>
        </w:rPr>
        <w:t>）复方</w:t>
      </w:r>
      <w:r>
        <w:rPr>
          <w:sz w:val="24"/>
          <w:lang w:bidi="ar"/>
        </w:rPr>
        <w:t>-</w:t>
      </w:r>
      <w:r>
        <w:rPr>
          <w:rFonts w:hint="eastAsia" w:cs="宋体"/>
          <w:sz w:val="24"/>
          <w:lang w:bidi="ar"/>
        </w:rPr>
        <w:t>入血成分</w:t>
      </w:r>
      <w:r>
        <w:rPr>
          <w:sz w:val="24"/>
          <w:lang w:bidi="ar"/>
        </w:rPr>
        <w:t>-</w:t>
      </w:r>
      <w:r>
        <w:rPr>
          <w:rFonts w:hint="eastAsia" w:cs="宋体"/>
          <w:sz w:val="24"/>
          <w:lang w:bidi="ar"/>
        </w:rPr>
        <w:t>靶点</w:t>
      </w:r>
      <w:r>
        <w:rPr>
          <w:sz w:val="24"/>
          <w:lang w:bidi="ar"/>
        </w:rPr>
        <w:t>-</w:t>
      </w:r>
      <w:r>
        <w:rPr>
          <w:rFonts w:hint="eastAsia" w:cs="宋体"/>
          <w:sz w:val="24"/>
          <w:lang w:bidi="ar"/>
        </w:rPr>
        <w:t>通路</w:t>
      </w:r>
      <w:r>
        <w:rPr>
          <w:sz w:val="24"/>
          <w:lang w:bidi="ar"/>
        </w:rPr>
        <w:t>-</w:t>
      </w:r>
      <w:r>
        <w:rPr>
          <w:rFonts w:hint="eastAsia" w:cs="宋体"/>
          <w:sz w:val="24"/>
          <w:lang w:bidi="ar"/>
        </w:rPr>
        <w:t>疾病网络构建</w:t>
      </w:r>
    </w:p>
    <w:p w14:paraId="1287C0DA">
      <w:pPr>
        <w:spacing w:line="360" w:lineRule="auto"/>
        <w:ind w:firstLine="480" w:firstLineChars="200"/>
        <w:rPr>
          <w:sz w:val="24"/>
        </w:rPr>
      </w:pPr>
      <w:r>
        <w:rPr>
          <w:rFonts w:hint="eastAsia" w:cs="宋体"/>
          <w:sz w:val="24"/>
          <w:lang w:bidi="ar"/>
        </w:rPr>
        <w:t>中医治疗疾病的特点是多成分、多靶点、多途径。针对检测入血成</w:t>
      </w:r>
      <w:r>
        <w:rPr>
          <w:sz w:val="24"/>
          <w:lang w:bidi="ar"/>
        </w:rPr>
        <w:t xml:space="preserve"> </w:t>
      </w:r>
      <w:r>
        <w:rPr>
          <w:rFonts w:hint="eastAsia" w:cs="宋体"/>
          <w:sz w:val="24"/>
          <w:lang w:bidi="ar"/>
        </w:rPr>
        <w:t>分匹配作用靶点前</w:t>
      </w:r>
      <w:r>
        <w:rPr>
          <w:sz w:val="24"/>
          <w:lang w:bidi="ar"/>
        </w:rPr>
        <w:t>50</w:t>
      </w:r>
      <w:r>
        <w:rPr>
          <w:rFonts w:hint="eastAsia" w:cs="宋体"/>
          <w:sz w:val="24"/>
          <w:lang w:bidi="ar"/>
        </w:rPr>
        <w:t>的入血成分与其作用靶点，构建复方药材</w:t>
      </w:r>
      <w:r>
        <w:rPr>
          <w:sz w:val="24"/>
          <w:lang w:bidi="ar"/>
        </w:rPr>
        <w:t>-</w:t>
      </w:r>
      <w:r>
        <w:rPr>
          <w:rFonts w:hint="eastAsia" w:cs="宋体"/>
          <w:sz w:val="24"/>
          <w:lang w:bidi="ar"/>
        </w:rPr>
        <w:t>入</w:t>
      </w:r>
      <w:r>
        <w:rPr>
          <w:sz w:val="24"/>
          <w:lang w:bidi="ar"/>
        </w:rPr>
        <w:t xml:space="preserve"> </w:t>
      </w:r>
      <w:r>
        <w:rPr>
          <w:rFonts w:hint="eastAsia" w:cs="宋体"/>
          <w:sz w:val="24"/>
          <w:lang w:bidi="ar"/>
        </w:rPr>
        <w:t>血成分</w:t>
      </w:r>
      <w:r>
        <w:rPr>
          <w:sz w:val="24"/>
          <w:lang w:bidi="ar"/>
        </w:rPr>
        <w:t>-</w:t>
      </w:r>
      <w:r>
        <w:rPr>
          <w:rFonts w:hint="eastAsia" w:cs="宋体"/>
          <w:sz w:val="24"/>
          <w:lang w:bidi="ar"/>
        </w:rPr>
        <w:t>作用靶点</w:t>
      </w:r>
      <w:r>
        <w:rPr>
          <w:sz w:val="24"/>
          <w:lang w:bidi="ar"/>
        </w:rPr>
        <w:t>-</w:t>
      </w:r>
      <w:r>
        <w:rPr>
          <w:rFonts w:hint="eastAsia" w:cs="宋体"/>
          <w:sz w:val="24"/>
          <w:lang w:bidi="ar"/>
        </w:rPr>
        <w:t>通路</w:t>
      </w:r>
      <w:r>
        <w:rPr>
          <w:sz w:val="24"/>
          <w:lang w:bidi="ar"/>
        </w:rPr>
        <w:t>-</w:t>
      </w:r>
      <w:r>
        <w:rPr>
          <w:rFonts w:hint="eastAsia" w:cs="宋体"/>
          <w:sz w:val="24"/>
          <w:lang w:bidi="ar"/>
        </w:rPr>
        <w:t>疾病网络图，便于直观发现潜在药用成分</w:t>
      </w:r>
      <w:r>
        <w:rPr>
          <w:sz w:val="24"/>
          <w:lang w:bidi="ar"/>
        </w:rPr>
        <w:t xml:space="preserve"> </w:t>
      </w:r>
      <w:r>
        <w:rPr>
          <w:rFonts w:hint="eastAsia" w:cs="宋体"/>
          <w:sz w:val="24"/>
          <w:lang w:bidi="ar"/>
        </w:rPr>
        <w:t>治疗疾病的调控机制。图</w:t>
      </w:r>
      <w:r>
        <w:rPr>
          <w:sz w:val="24"/>
          <w:lang w:bidi="ar"/>
        </w:rPr>
        <w:t>1</w:t>
      </w:r>
      <w:r>
        <w:rPr>
          <w:rFonts w:hint="eastAsia"/>
          <w:sz w:val="24"/>
          <w:lang w:bidi="ar"/>
        </w:rPr>
        <w:t>2</w:t>
      </w:r>
    </w:p>
    <w:p w14:paraId="38A5CE17">
      <w:pPr>
        <w:jc w:val="center"/>
        <w:rPr>
          <w:szCs w:val="21"/>
        </w:rPr>
      </w:pPr>
      <w:r>
        <w:rPr>
          <w:szCs w:val="21"/>
        </w:rPr>
        <w:drawing>
          <wp:inline distT="0" distB="0" distL="114300" distR="114300">
            <wp:extent cx="5924550" cy="5537200"/>
            <wp:effectExtent l="0" t="0" r="6350" b="0"/>
            <wp:docPr id="52" name="图片 321" descr="173475648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1" descr="1734756487003"/>
                    <pic:cNvPicPr>
                      <a:picLocks noChangeAspect="1"/>
                    </pic:cNvPicPr>
                  </pic:nvPicPr>
                  <pic:blipFill>
                    <a:blip r:embed="rId24"/>
                    <a:stretch>
                      <a:fillRect/>
                    </a:stretch>
                  </pic:blipFill>
                  <pic:spPr>
                    <a:xfrm>
                      <a:off x="0" y="0"/>
                      <a:ext cx="5924550" cy="5537200"/>
                    </a:xfrm>
                    <a:prstGeom prst="rect">
                      <a:avLst/>
                    </a:prstGeom>
                    <a:noFill/>
                    <a:ln>
                      <a:noFill/>
                    </a:ln>
                  </pic:spPr>
                </pic:pic>
              </a:graphicData>
            </a:graphic>
          </wp:inline>
        </w:drawing>
      </w:r>
    </w:p>
    <w:p w14:paraId="41E29B18">
      <w:pPr>
        <w:spacing w:line="500" w:lineRule="exact"/>
        <w:ind w:firstLine="480" w:firstLineChars="200"/>
        <w:jc w:val="center"/>
        <w:rPr>
          <w:sz w:val="24"/>
        </w:rPr>
      </w:pPr>
      <w:r>
        <w:rPr>
          <w:rFonts w:hint="eastAsia" w:cs="宋体"/>
          <w:sz w:val="24"/>
          <w:lang w:bidi="ar"/>
        </w:rPr>
        <w:t>图</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图</w:instrText>
      </w:r>
      <w:r>
        <w:rPr>
          <w:sz w:val="24"/>
          <w:lang w:bidi="ar"/>
        </w:rPr>
        <w:instrText xml:space="preserve"> \* ARABIC </w:instrText>
      </w:r>
      <w:r>
        <w:rPr>
          <w:sz w:val="24"/>
          <w:lang w:bidi="ar"/>
        </w:rPr>
        <w:fldChar w:fldCharType="separate"/>
      </w:r>
      <w:r>
        <w:rPr>
          <w:sz w:val="24"/>
          <w:lang w:bidi="ar"/>
        </w:rPr>
        <w:t>12</w:t>
      </w:r>
      <w:r>
        <w:rPr>
          <w:sz w:val="24"/>
          <w:lang w:bidi="ar"/>
        </w:rPr>
        <w:fldChar w:fldCharType="end"/>
      </w:r>
      <w:r>
        <w:rPr>
          <w:sz w:val="24"/>
          <w:lang w:bidi="ar"/>
        </w:rPr>
        <w:t xml:space="preserve"> </w:t>
      </w:r>
      <w:r>
        <w:rPr>
          <w:rFonts w:hint="eastAsia" w:cs="宋体"/>
          <w:sz w:val="24"/>
          <w:lang w:bidi="ar"/>
        </w:rPr>
        <w:t>复方</w:t>
      </w:r>
      <w:r>
        <w:rPr>
          <w:sz w:val="24"/>
          <w:lang w:bidi="ar"/>
        </w:rPr>
        <w:t>-</w:t>
      </w:r>
      <w:r>
        <w:rPr>
          <w:rFonts w:hint="eastAsia" w:cs="宋体"/>
          <w:sz w:val="24"/>
          <w:lang w:bidi="ar"/>
        </w:rPr>
        <w:t>入血成分</w:t>
      </w:r>
      <w:r>
        <w:rPr>
          <w:sz w:val="24"/>
          <w:lang w:bidi="ar"/>
        </w:rPr>
        <w:t>-</w:t>
      </w:r>
      <w:r>
        <w:rPr>
          <w:rFonts w:hint="eastAsia" w:cs="宋体"/>
          <w:sz w:val="24"/>
          <w:lang w:bidi="ar"/>
        </w:rPr>
        <w:t>作用靶点</w:t>
      </w:r>
      <w:r>
        <w:rPr>
          <w:sz w:val="24"/>
          <w:lang w:bidi="ar"/>
        </w:rPr>
        <w:t>-</w:t>
      </w:r>
      <w:r>
        <w:rPr>
          <w:rFonts w:hint="eastAsia" w:cs="宋体"/>
          <w:sz w:val="24"/>
          <w:lang w:bidi="ar"/>
        </w:rPr>
        <w:t>通路</w:t>
      </w:r>
      <w:r>
        <w:rPr>
          <w:sz w:val="24"/>
          <w:lang w:bidi="ar"/>
        </w:rPr>
        <w:t>-</w:t>
      </w:r>
      <w:r>
        <w:rPr>
          <w:rFonts w:hint="eastAsia" w:cs="宋体"/>
          <w:sz w:val="24"/>
          <w:lang w:bidi="ar"/>
        </w:rPr>
        <w:t>疾病网络图</w:t>
      </w:r>
    </w:p>
    <w:p w14:paraId="1A4B0A5C">
      <w:pPr>
        <w:spacing w:line="360" w:lineRule="auto"/>
        <w:rPr>
          <w:sz w:val="24"/>
          <w:highlight w:val="green"/>
        </w:rPr>
      </w:pPr>
    </w:p>
    <w:p w14:paraId="38E771D3">
      <w:pPr>
        <w:spacing w:line="360" w:lineRule="auto"/>
        <w:outlineLvl w:val="2"/>
        <w:rPr>
          <w:rFonts w:cs="宋体"/>
          <w:sz w:val="24"/>
          <w:lang w:bidi="ar"/>
        </w:rPr>
      </w:pPr>
      <w:bookmarkStart w:id="6" w:name="_Toc17242"/>
    </w:p>
    <w:p w14:paraId="28C4EE6E">
      <w:pPr>
        <w:spacing w:line="360" w:lineRule="auto"/>
        <w:outlineLvl w:val="2"/>
        <w:rPr>
          <w:rFonts w:cs="宋体"/>
          <w:sz w:val="24"/>
          <w:lang w:bidi="ar"/>
        </w:rPr>
      </w:pPr>
    </w:p>
    <w:p w14:paraId="42EB4E80">
      <w:pPr>
        <w:spacing w:line="360" w:lineRule="auto"/>
        <w:jc w:val="center"/>
        <w:outlineLvl w:val="2"/>
        <w:rPr>
          <w:sz w:val="24"/>
        </w:rPr>
      </w:pPr>
      <w:r>
        <w:rPr>
          <w:rFonts w:hint="eastAsia" w:cs="宋体"/>
          <w:sz w:val="24"/>
          <w:lang w:bidi="ar"/>
        </w:rPr>
        <w:t>脓毒性肝损伤中西医病机融通中药组方的动物实验验证疗效研究</w:t>
      </w:r>
      <w:bookmarkEnd w:id="6"/>
    </w:p>
    <w:p w14:paraId="7CCE8779">
      <w:pPr>
        <w:spacing w:line="500" w:lineRule="exact"/>
        <w:rPr>
          <w:sz w:val="24"/>
        </w:rPr>
      </w:pPr>
      <w:bookmarkStart w:id="7" w:name="_Toc30771"/>
      <w:r>
        <w:rPr>
          <w:rFonts w:hint="eastAsia"/>
          <w:sz w:val="24"/>
          <w:lang w:bidi="ar"/>
        </w:rPr>
        <w:t>一、</w:t>
      </w:r>
      <w:r>
        <w:rPr>
          <w:rFonts w:hint="eastAsia" w:cs="宋体"/>
          <w:sz w:val="24"/>
          <w:lang w:bidi="ar"/>
        </w:rPr>
        <w:t>实验材料</w:t>
      </w:r>
    </w:p>
    <w:p w14:paraId="5EEC6897">
      <w:pPr>
        <w:spacing w:line="500" w:lineRule="exact"/>
        <w:rPr>
          <w:sz w:val="24"/>
        </w:rPr>
      </w:pPr>
      <w:r>
        <w:rPr>
          <w:rFonts w:hint="eastAsia" w:cs="宋体"/>
          <w:sz w:val="24"/>
          <w:lang w:bidi="ar"/>
        </w:rPr>
        <w:t>（</w:t>
      </w:r>
      <w:r>
        <w:rPr>
          <w:sz w:val="24"/>
          <w:lang w:bidi="ar"/>
        </w:rPr>
        <w:t>1</w:t>
      </w:r>
      <w:r>
        <w:rPr>
          <w:rFonts w:hint="eastAsia" w:cs="宋体"/>
          <w:sz w:val="24"/>
          <w:lang w:bidi="ar"/>
        </w:rPr>
        <w:t>）实验动物</w:t>
      </w:r>
      <w:bookmarkEnd w:id="7"/>
    </w:p>
    <w:p w14:paraId="5DE7C8CF">
      <w:pPr>
        <w:spacing w:line="500" w:lineRule="exact"/>
        <w:ind w:firstLine="480" w:firstLineChars="200"/>
        <w:rPr>
          <w:bCs/>
          <w:sz w:val="28"/>
          <w:szCs w:val="28"/>
        </w:rPr>
      </w:pPr>
      <w:r>
        <w:rPr>
          <w:sz w:val="24"/>
          <w:lang w:bidi="ar"/>
        </w:rPr>
        <w:t>SPF</w:t>
      </w:r>
      <w:r>
        <w:rPr>
          <w:rFonts w:hint="eastAsia" w:cs="宋体"/>
          <w:sz w:val="24"/>
          <w:lang w:bidi="ar"/>
        </w:rPr>
        <w:t>级成年雄性</w:t>
      </w:r>
      <w:r>
        <w:rPr>
          <w:sz w:val="24"/>
          <w:lang w:bidi="ar"/>
        </w:rPr>
        <w:t>SD</w:t>
      </w:r>
      <w:r>
        <w:rPr>
          <w:rFonts w:hint="eastAsia" w:cs="宋体"/>
          <w:sz w:val="24"/>
          <w:lang w:bidi="ar"/>
        </w:rPr>
        <w:t>大鼠</w:t>
      </w:r>
      <w:r>
        <w:rPr>
          <w:sz w:val="24"/>
          <w:lang w:bidi="ar"/>
        </w:rPr>
        <w:t>60</w:t>
      </w:r>
      <w:r>
        <w:rPr>
          <w:rFonts w:hint="eastAsia" w:cs="宋体"/>
          <w:sz w:val="24"/>
          <w:lang w:bidi="ar"/>
        </w:rPr>
        <w:t>只，体重（</w:t>
      </w:r>
      <w:r>
        <w:rPr>
          <w:sz w:val="24"/>
          <w:lang w:bidi="ar"/>
        </w:rPr>
        <w:t>180±20</w:t>
      </w:r>
      <w:r>
        <w:rPr>
          <w:rFonts w:hint="eastAsia" w:cs="宋体"/>
          <w:sz w:val="24"/>
          <w:lang w:bidi="ar"/>
        </w:rPr>
        <w:t>）</w:t>
      </w:r>
      <w:r>
        <w:rPr>
          <w:sz w:val="24"/>
          <w:lang w:bidi="ar"/>
        </w:rPr>
        <w:t>g</w:t>
      </w:r>
      <w:r>
        <w:rPr>
          <w:rFonts w:hint="eastAsia" w:cs="宋体"/>
          <w:sz w:val="24"/>
          <w:lang w:bidi="ar"/>
        </w:rPr>
        <w:t>，购自湖南斯莱克景达实验动物有限公司，动物合格证号：</w:t>
      </w:r>
      <w:r>
        <w:rPr>
          <w:sz w:val="24"/>
          <w:lang w:bidi="ar"/>
        </w:rPr>
        <w:t>SCXK</w:t>
      </w:r>
      <w:r>
        <w:rPr>
          <w:rFonts w:hint="eastAsia" w:cs="宋体"/>
          <w:sz w:val="24"/>
          <w:lang w:bidi="ar"/>
        </w:rPr>
        <w:t>（湘）</w:t>
      </w:r>
      <w:r>
        <w:rPr>
          <w:sz w:val="24"/>
          <w:lang w:bidi="ar"/>
        </w:rPr>
        <w:t>2019-0004</w:t>
      </w:r>
      <w:r>
        <w:rPr>
          <w:rFonts w:hint="eastAsia" w:cs="宋体"/>
          <w:sz w:val="24"/>
          <w:lang w:bidi="ar"/>
        </w:rPr>
        <w:t>。所有大鼠饲养于广西中医药大学科学实验中心，满足无特定病原体（</w:t>
      </w:r>
      <w:r>
        <w:rPr>
          <w:sz w:val="24"/>
          <w:lang w:bidi="ar"/>
        </w:rPr>
        <w:t>Specificpathogen-free,SPF</w:t>
      </w:r>
      <w:r>
        <w:rPr>
          <w:rFonts w:hint="eastAsia" w:cs="宋体"/>
          <w:sz w:val="24"/>
          <w:lang w:bidi="ar"/>
        </w:rPr>
        <w:t>）级饲养条件，室温保持在在</w:t>
      </w:r>
      <w:r>
        <w:rPr>
          <w:sz w:val="24"/>
          <w:lang w:bidi="ar"/>
        </w:rPr>
        <w:t>22±2℃</w:t>
      </w:r>
      <w:r>
        <w:rPr>
          <w:rFonts w:hint="eastAsia" w:cs="宋体"/>
          <w:sz w:val="24"/>
          <w:lang w:bidi="ar"/>
        </w:rPr>
        <w:t>，相对湿度为</w:t>
      </w:r>
      <w:r>
        <w:rPr>
          <w:sz w:val="24"/>
          <w:lang w:bidi="ar"/>
        </w:rPr>
        <w:t>45-55%</w:t>
      </w:r>
      <w:r>
        <w:rPr>
          <w:rFonts w:hint="eastAsia" w:cs="宋体"/>
          <w:sz w:val="24"/>
          <w:lang w:bidi="ar"/>
        </w:rPr>
        <w:t>，昼夜</w:t>
      </w:r>
      <w:r>
        <w:rPr>
          <w:sz w:val="24"/>
          <w:lang w:bidi="ar"/>
        </w:rPr>
        <w:t>12h</w:t>
      </w:r>
      <w:r>
        <w:rPr>
          <w:rFonts w:hint="eastAsia" w:cs="宋体"/>
          <w:sz w:val="24"/>
          <w:lang w:bidi="ar"/>
        </w:rPr>
        <w:t>黑白交替。室内空气流通，给予大鼠纯净水及标准饲料喂养，自然时间作息。所有实验动物术前</w:t>
      </w:r>
      <w:r>
        <w:rPr>
          <w:sz w:val="24"/>
          <w:lang w:bidi="ar"/>
        </w:rPr>
        <w:t>12h</w:t>
      </w:r>
      <w:r>
        <w:rPr>
          <w:rFonts w:hint="eastAsia" w:cs="宋体"/>
          <w:sz w:val="24"/>
          <w:lang w:bidi="ar"/>
        </w:rPr>
        <w:t>禁食，术前</w:t>
      </w:r>
      <w:r>
        <w:rPr>
          <w:sz w:val="24"/>
          <w:lang w:bidi="ar"/>
        </w:rPr>
        <w:t>4h</w:t>
      </w:r>
      <w:r>
        <w:rPr>
          <w:rFonts w:hint="eastAsia" w:cs="宋体"/>
          <w:sz w:val="24"/>
          <w:lang w:bidi="ar"/>
        </w:rPr>
        <w:t>禁水。实验操作均严格按照实验动物管理条例进行。研究符合动物伦理学标准，并经广西中医药大学动物福利伦理委员会审批通过（批准编号：</w:t>
      </w:r>
      <w:r>
        <w:rPr>
          <w:sz w:val="24"/>
          <w:lang w:bidi="ar"/>
        </w:rPr>
        <w:t>NO.DW20230324-122</w:t>
      </w:r>
      <w:r>
        <w:rPr>
          <w:rFonts w:hint="eastAsia" w:cs="宋体"/>
          <w:sz w:val="24"/>
          <w:lang w:bidi="ar"/>
        </w:rPr>
        <w:t>）。</w:t>
      </w:r>
    </w:p>
    <w:p w14:paraId="369CF0F8">
      <w:pPr>
        <w:spacing w:line="500" w:lineRule="exact"/>
        <w:jc w:val="left"/>
        <w:rPr>
          <w:sz w:val="24"/>
        </w:rPr>
      </w:pPr>
      <w:bookmarkStart w:id="8" w:name="_Toc23946"/>
      <w:r>
        <w:rPr>
          <w:rFonts w:hint="eastAsia" w:cs="宋体"/>
          <w:sz w:val="24"/>
          <w:lang w:bidi="ar"/>
        </w:rPr>
        <w:t>（</w:t>
      </w:r>
      <w:r>
        <w:rPr>
          <w:sz w:val="24"/>
          <w:lang w:bidi="ar"/>
        </w:rPr>
        <w:t>2</w:t>
      </w:r>
      <w:r>
        <w:rPr>
          <w:rFonts w:hint="eastAsia" w:cs="宋体"/>
          <w:sz w:val="24"/>
          <w:lang w:bidi="ar"/>
        </w:rPr>
        <w:t>）实验药品</w:t>
      </w:r>
      <w:bookmarkEnd w:id="8"/>
    </w:p>
    <w:p w14:paraId="539D1246">
      <w:pPr>
        <w:spacing w:line="500" w:lineRule="exact"/>
        <w:ind w:firstLine="480" w:firstLineChars="200"/>
        <w:jc w:val="left"/>
        <w:rPr>
          <w:sz w:val="24"/>
        </w:rPr>
      </w:pPr>
      <w:bookmarkStart w:id="9" w:name="OLE_LINK91"/>
      <w:r>
        <w:rPr>
          <w:rFonts w:hint="eastAsia" w:cs="宋体"/>
          <w:sz w:val="24"/>
          <w:lang w:bidi="ar"/>
        </w:rPr>
        <w:t>宣痹清营汤</w:t>
      </w:r>
      <w:bookmarkEnd w:id="9"/>
      <w:r>
        <w:rPr>
          <w:rFonts w:hint="eastAsia" w:cs="宋体"/>
          <w:sz w:val="24"/>
          <w:lang w:bidi="ar"/>
        </w:rPr>
        <w:t>（组成：</w:t>
      </w:r>
      <w:bookmarkStart w:id="10" w:name="OLE_LINK90"/>
      <w:r>
        <w:rPr>
          <w:rFonts w:hint="eastAsia" w:cs="宋体"/>
          <w:sz w:val="24"/>
          <w:lang w:bidi="ar"/>
        </w:rPr>
        <w:t>旋覆花</w:t>
      </w:r>
      <w:r>
        <w:rPr>
          <w:sz w:val="24"/>
          <w:lang w:bidi="ar"/>
        </w:rPr>
        <w:t>15g</w:t>
      </w:r>
      <w:r>
        <w:rPr>
          <w:rFonts w:hint="eastAsia" w:cs="宋体"/>
          <w:sz w:val="24"/>
          <w:lang w:bidi="ar"/>
        </w:rPr>
        <w:t>、茜草</w:t>
      </w:r>
      <w:r>
        <w:rPr>
          <w:sz w:val="24"/>
          <w:lang w:bidi="ar"/>
        </w:rPr>
        <w:t>15g</w:t>
      </w:r>
      <w:r>
        <w:rPr>
          <w:rFonts w:hint="eastAsia" w:cs="宋体"/>
          <w:sz w:val="24"/>
          <w:lang w:bidi="ar"/>
        </w:rPr>
        <w:t>、醋郁金</w:t>
      </w:r>
      <w:r>
        <w:rPr>
          <w:sz w:val="24"/>
          <w:lang w:bidi="ar"/>
        </w:rPr>
        <w:t>15g</w:t>
      </w:r>
      <w:r>
        <w:rPr>
          <w:rFonts w:hint="eastAsia" w:cs="宋体"/>
          <w:sz w:val="24"/>
          <w:lang w:bidi="ar"/>
        </w:rPr>
        <w:t>、通草</w:t>
      </w:r>
      <w:r>
        <w:rPr>
          <w:sz w:val="24"/>
          <w:lang w:bidi="ar"/>
        </w:rPr>
        <w:t>6g</w:t>
      </w:r>
      <w:r>
        <w:rPr>
          <w:rFonts w:hint="eastAsia" w:cs="宋体"/>
          <w:sz w:val="24"/>
          <w:lang w:bidi="ar"/>
        </w:rPr>
        <w:t>、白芍</w:t>
      </w:r>
      <w:r>
        <w:rPr>
          <w:sz w:val="24"/>
          <w:lang w:bidi="ar"/>
        </w:rPr>
        <w:t>30g</w:t>
      </w:r>
      <w:r>
        <w:rPr>
          <w:rFonts w:hint="eastAsia" w:cs="宋体"/>
          <w:sz w:val="24"/>
          <w:lang w:bidi="ar"/>
        </w:rPr>
        <w:t>、赤芍</w:t>
      </w:r>
      <w:r>
        <w:rPr>
          <w:sz w:val="24"/>
          <w:lang w:bidi="ar"/>
        </w:rPr>
        <w:t>30g</w:t>
      </w:r>
      <w:r>
        <w:rPr>
          <w:rFonts w:hint="eastAsia" w:cs="宋体"/>
          <w:sz w:val="24"/>
          <w:lang w:bidi="ar"/>
        </w:rPr>
        <w:t>、丹皮</w:t>
      </w:r>
      <w:r>
        <w:rPr>
          <w:sz w:val="24"/>
          <w:lang w:bidi="ar"/>
        </w:rPr>
        <w:t>15g</w:t>
      </w:r>
      <w:r>
        <w:rPr>
          <w:rFonts w:hint="eastAsia" w:cs="宋体"/>
          <w:sz w:val="24"/>
          <w:lang w:bidi="ar"/>
        </w:rPr>
        <w:t>、丹参</w:t>
      </w:r>
      <w:r>
        <w:rPr>
          <w:sz w:val="24"/>
          <w:lang w:bidi="ar"/>
        </w:rPr>
        <w:t>20g</w:t>
      </w:r>
      <w:r>
        <w:rPr>
          <w:rFonts w:hint="eastAsia" w:cs="宋体"/>
          <w:sz w:val="24"/>
          <w:lang w:bidi="ar"/>
        </w:rPr>
        <w:t>、地骨皮</w:t>
      </w:r>
      <w:r>
        <w:rPr>
          <w:sz w:val="24"/>
          <w:lang w:bidi="ar"/>
        </w:rPr>
        <w:t>30g</w:t>
      </w:r>
      <w:r>
        <w:rPr>
          <w:rFonts w:hint="eastAsia" w:cs="宋体"/>
          <w:sz w:val="24"/>
          <w:lang w:bidi="ar"/>
        </w:rPr>
        <w:t>、连翘（连心用）</w:t>
      </w:r>
      <w:r>
        <w:rPr>
          <w:sz w:val="24"/>
          <w:lang w:bidi="ar"/>
        </w:rPr>
        <w:t>15g</w:t>
      </w:r>
      <w:r>
        <w:rPr>
          <w:rFonts w:hint="eastAsia" w:cs="宋体"/>
          <w:sz w:val="24"/>
          <w:lang w:bidi="ar"/>
        </w:rPr>
        <w:t>、川芎</w:t>
      </w:r>
      <w:r>
        <w:rPr>
          <w:sz w:val="24"/>
          <w:lang w:bidi="ar"/>
        </w:rPr>
        <w:t>10g</w:t>
      </w:r>
      <w:r>
        <w:rPr>
          <w:rFonts w:hint="eastAsia" w:cs="宋体"/>
          <w:sz w:val="24"/>
          <w:lang w:bidi="ar"/>
        </w:rPr>
        <w:t>、当归</w:t>
      </w:r>
      <w:r>
        <w:rPr>
          <w:sz w:val="24"/>
          <w:lang w:bidi="ar"/>
        </w:rPr>
        <w:t>6g</w:t>
      </w:r>
      <w:r>
        <w:rPr>
          <w:rFonts w:hint="eastAsia" w:cs="宋体"/>
          <w:sz w:val="24"/>
          <w:lang w:bidi="ar"/>
        </w:rPr>
        <w:t>、泽泻</w:t>
      </w:r>
      <w:r>
        <w:rPr>
          <w:sz w:val="24"/>
          <w:lang w:bidi="ar"/>
        </w:rPr>
        <w:t>30g</w:t>
      </w:r>
      <w:r>
        <w:rPr>
          <w:rFonts w:hint="eastAsia" w:cs="宋体"/>
          <w:sz w:val="24"/>
          <w:lang w:bidi="ar"/>
        </w:rPr>
        <w:t>、茵陈</w:t>
      </w:r>
      <w:r>
        <w:rPr>
          <w:sz w:val="24"/>
          <w:lang w:bidi="ar"/>
        </w:rPr>
        <w:t>30g</w:t>
      </w:r>
      <w:r>
        <w:rPr>
          <w:rFonts w:hint="eastAsia" w:cs="宋体"/>
          <w:sz w:val="24"/>
          <w:lang w:bidi="ar"/>
        </w:rPr>
        <w:t>、栀子</w:t>
      </w:r>
      <w:r>
        <w:rPr>
          <w:sz w:val="24"/>
          <w:lang w:bidi="ar"/>
        </w:rPr>
        <w:t>10g</w:t>
      </w:r>
      <w:r>
        <w:rPr>
          <w:rFonts w:hint="eastAsia" w:cs="宋体"/>
          <w:sz w:val="24"/>
          <w:lang w:bidi="ar"/>
        </w:rPr>
        <w:t>、大黄</w:t>
      </w:r>
      <w:r>
        <w:rPr>
          <w:sz w:val="24"/>
          <w:lang w:bidi="ar"/>
        </w:rPr>
        <w:t>10g</w:t>
      </w:r>
      <w:r>
        <w:rPr>
          <w:rFonts w:hint="eastAsia" w:cs="宋体"/>
          <w:sz w:val="24"/>
          <w:lang w:bidi="ar"/>
        </w:rPr>
        <w:t>、大豆黄卷</w:t>
      </w:r>
      <w:r>
        <w:rPr>
          <w:sz w:val="24"/>
          <w:lang w:bidi="ar"/>
        </w:rPr>
        <w:t>15g</w:t>
      </w:r>
      <w:r>
        <w:rPr>
          <w:rFonts w:hint="eastAsia" w:cs="宋体"/>
          <w:sz w:val="24"/>
          <w:lang w:bidi="ar"/>
        </w:rPr>
        <w:t>、生甘草</w:t>
      </w:r>
      <w:r>
        <w:rPr>
          <w:sz w:val="24"/>
          <w:lang w:bidi="ar"/>
        </w:rPr>
        <w:t>10g</w:t>
      </w:r>
      <w:r>
        <w:rPr>
          <w:rFonts w:hint="eastAsia" w:cs="宋体"/>
          <w:sz w:val="24"/>
          <w:lang w:bidi="ar"/>
        </w:rPr>
        <w:t>、黄芩</w:t>
      </w:r>
      <w:r>
        <w:rPr>
          <w:sz w:val="24"/>
          <w:lang w:bidi="ar"/>
        </w:rPr>
        <w:t>10g</w:t>
      </w:r>
      <w:r>
        <w:rPr>
          <w:rFonts w:hint="eastAsia" w:cs="宋体"/>
          <w:sz w:val="24"/>
          <w:lang w:bidi="ar"/>
        </w:rPr>
        <w:t>、竹茹</w:t>
      </w:r>
      <w:r>
        <w:rPr>
          <w:sz w:val="24"/>
          <w:lang w:bidi="ar"/>
        </w:rPr>
        <w:t>15g</w:t>
      </w:r>
      <w:r>
        <w:rPr>
          <w:rFonts w:hint="eastAsia" w:cs="宋体"/>
          <w:sz w:val="24"/>
          <w:lang w:bidi="ar"/>
        </w:rPr>
        <w:t>、枳实</w:t>
      </w:r>
      <w:r>
        <w:rPr>
          <w:sz w:val="24"/>
          <w:lang w:bidi="ar"/>
        </w:rPr>
        <w:t>15g</w:t>
      </w:r>
      <w:r>
        <w:rPr>
          <w:rFonts w:hint="eastAsia" w:cs="宋体"/>
          <w:sz w:val="24"/>
          <w:lang w:bidi="ar"/>
        </w:rPr>
        <w:t>、陈皮</w:t>
      </w:r>
      <w:r>
        <w:rPr>
          <w:sz w:val="24"/>
          <w:lang w:bidi="ar"/>
        </w:rPr>
        <w:t>10g</w:t>
      </w:r>
      <w:r>
        <w:rPr>
          <w:rFonts w:hint="eastAsia" w:cs="宋体"/>
          <w:sz w:val="24"/>
          <w:lang w:bidi="ar"/>
        </w:rPr>
        <w:t>、石菖蒲</w:t>
      </w:r>
      <w:r>
        <w:rPr>
          <w:sz w:val="24"/>
          <w:lang w:bidi="ar"/>
        </w:rPr>
        <w:t>15g</w:t>
      </w:r>
      <w:r>
        <w:rPr>
          <w:rFonts w:hint="eastAsia" w:cs="宋体"/>
          <w:sz w:val="24"/>
          <w:lang w:bidi="ar"/>
        </w:rPr>
        <w:t>、淡竹叶</w:t>
      </w:r>
      <w:r>
        <w:rPr>
          <w:sz w:val="24"/>
          <w:lang w:bidi="ar"/>
        </w:rPr>
        <w:t>10g</w:t>
      </w:r>
      <w:bookmarkEnd w:id="10"/>
      <w:r>
        <w:rPr>
          <w:rFonts w:hint="eastAsia" w:cs="宋体"/>
          <w:sz w:val="24"/>
          <w:lang w:bidi="ar"/>
        </w:rPr>
        <w:t>）购买于广西中医药大学第一附属医院中药房，每剂煮取</w:t>
      </w:r>
      <w:r>
        <w:rPr>
          <w:sz w:val="24"/>
          <w:lang w:bidi="ar"/>
        </w:rPr>
        <w:t>250ML</w:t>
      </w:r>
      <w:r>
        <w:rPr>
          <w:rFonts w:hint="eastAsia" w:cs="宋体"/>
          <w:sz w:val="24"/>
          <w:lang w:bidi="ar"/>
        </w:rPr>
        <w:t>药量，每毫升含生药约</w:t>
      </w:r>
      <w:r>
        <w:rPr>
          <w:sz w:val="24"/>
          <w:lang w:bidi="ar"/>
        </w:rPr>
        <w:t>1.228g</w:t>
      </w:r>
      <w:r>
        <w:rPr>
          <w:rFonts w:hint="eastAsia" w:cs="宋体"/>
          <w:sz w:val="24"/>
          <w:lang w:bidi="ar"/>
        </w:rPr>
        <w:t>。按照《动物与人体每公斤体重剂量折算系数表》计算宣痹清营汤的给药剂量：低剂量按临床等效剂量换算所得：大鼠剂量（</w:t>
      </w:r>
      <w:r>
        <w:rPr>
          <w:sz w:val="24"/>
          <w:lang w:bidi="ar"/>
        </w:rPr>
        <w:t>g/kg)=6.3×[</w:t>
      </w:r>
      <w:r>
        <w:rPr>
          <w:rFonts w:hint="eastAsia" w:cs="宋体"/>
          <w:sz w:val="24"/>
          <w:lang w:bidi="ar"/>
        </w:rPr>
        <w:t>成人剂量（</w:t>
      </w:r>
      <w:r>
        <w:rPr>
          <w:sz w:val="24"/>
          <w:lang w:bidi="ar"/>
        </w:rPr>
        <w:t>g</w:t>
      </w:r>
      <w:r>
        <w:rPr>
          <w:rFonts w:hint="eastAsia" w:cs="宋体"/>
          <w:sz w:val="24"/>
          <w:lang w:bidi="ar"/>
        </w:rPr>
        <w:t>）</w:t>
      </w:r>
      <w:r>
        <w:rPr>
          <w:sz w:val="24"/>
          <w:lang w:bidi="ar"/>
        </w:rPr>
        <w:t>/</w:t>
      </w:r>
      <w:r>
        <w:rPr>
          <w:rFonts w:hint="eastAsia" w:cs="宋体"/>
          <w:sz w:val="24"/>
          <w:lang w:bidi="ar"/>
        </w:rPr>
        <w:t>成人体质量（</w:t>
      </w:r>
      <w:r>
        <w:rPr>
          <w:sz w:val="24"/>
          <w:lang w:bidi="ar"/>
        </w:rPr>
        <w:t>70kg)]</w:t>
      </w:r>
      <w:r>
        <w:rPr>
          <w:rFonts w:hint="eastAsia" w:cs="宋体"/>
          <w:sz w:val="24"/>
          <w:lang w:bidi="ar"/>
        </w:rPr>
        <w:t>，中、高剂量分别为低剂量的</w:t>
      </w:r>
      <w:r>
        <w:rPr>
          <w:sz w:val="24"/>
          <w:lang w:bidi="ar"/>
        </w:rPr>
        <w:t>2</w:t>
      </w:r>
      <w:r>
        <w:rPr>
          <w:rFonts w:hint="eastAsia" w:cs="宋体"/>
          <w:sz w:val="24"/>
          <w:lang w:bidi="ar"/>
        </w:rPr>
        <w:t>倍、</w:t>
      </w:r>
      <w:r>
        <w:rPr>
          <w:sz w:val="24"/>
          <w:lang w:bidi="ar"/>
        </w:rPr>
        <w:t>4</w:t>
      </w:r>
      <w:r>
        <w:rPr>
          <w:rFonts w:hint="eastAsia" w:cs="宋体"/>
          <w:sz w:val="24"/>
          <w:lang w:bidi="ar"/>
        </w:rPr>
        <w:t>倍。最终得出宣痹清营汤低、中、高剂量分别为：</w:t>
      </w:r>
      <w:r>
        <w:rPr>
          <w:sz w:val="24"/>
          <w:lang w:bidi="ar"/>
        </w:rPr>
        <w:t>27.63g/kg/d</w:t>
      </w:r>
      <w:r>
        <w:rPr>
          <w:rFonts w:hint="eastAsia" w:cs="宋体"/>
          <w:sz w:val="24"/>
          <w:lang w:bidi="ar"/>
        </w:rPr>
        <w:t>、</w:t>
      </w:r>
      <w:r>
        <w:rPr>
          <w:sz w:val="24"/>
          <w:lang w:bidi="ar"/>
        </w:rPr>
        <w:t>55.26g/kg/d</w:t>
      </w:r>
      <w:r>
        <w:rPr>
          <w:rFonts w:hint="eastAsia" w:cs="宋体"/>
          <w:sz w:val="24"/>
          <w:lang w:bidi="ar"/>
        </w:rPr>
        <w:t>、</w:t>
      </w:r>
      <w:r>
        <w:rPr>
          <w:sz w:val="24"/>
          <w:lang w:bidi="ar"/>
        </w:rPr>
        <w:t>110.52g/kg/d</w:t>
      </w:r>
      <w:r>
        <w:rPr>
          <w:rFonts w:hint="eastAsia" w:cs="宋体"/>
          <w:sz w:val="24"/>
          <w:lang w:bidi="ar"/>
        </w:rPr>
        <w:t>。</w:t>
      </w:r>
    </w:p>
    <w:p w14:paraId="2DC06D67">
      <w:pPr>
        <w:spacing w:line="500" w:lineRule="exact"/>
        <w:ind w:firstLine="480" w:firstLineChars="200"/>
        <w:jc w:val="left"/>
        <w:rPr>
          <w:sz w:val="24"/>
        </w:rPr>
      </w:pPr>
      <w:r>
        <w:rPr>
          <w:rFonts w:hint="eastAsia" w:cs="宋体"/>
          <w:sz w:val="24"/>
          <w:lang w:bidi="ar"/>
        </w:rPr>
        <w:t>复方甘草酸苷片（生产企业：</w:t>
      </w:r>
      <w:r>
        <w:rPr>
          <w:sz w:val="24"/>
          <w:lang w:bidi="ar"/>
        </w:rPr>
        <w:t>AkiyamaJozaiCo.,Ltd.HesdFactory</w:t>
      </w:r>
      <w:r>
        <w:rPr>
          <w:rFonts w:hint="eastAsia" w:cs="宋体"/>
          <w:sz w:val="24"/>
          <w:lang w:bidi="ar"/>
        </w:rPr>
        <w:t>，分包装企业：卫材</w:t>
      </w:r>
      <w:r>
        <w:rPr>
          <w:sz w:val="24"/>
          <w:lang w:bidi="ar"/>
        </w:rPr>
        <w:t>(</w:t>
      </w:r>
      <w:r>
        <w:rPr>
          <w:rFonts w:hint="eastAsia" w:cs="宋体"/>
          <w:sz w:val="24"/>
          <w:lang w:bidi="ar"/>
        </w:rPr>
        <w:t>中国</w:t>
      </w:r>
      <w:r>
        <w:rPr>
          <w:sz w:val="24"/>
          <w:lang w:bidi="ar"/>
        </w:rPr>
        <w:t>)</w:t>
      </w:r>
      <w:r>
        <w:rPr>
          <w:rFonts w:hint="eastAsia" w:cs="宋体"/>
          <w:sz w:val="24"/>
          <w:lang w:bidi="ar"/>
        </w:rPr>
        <w:t>药业有限公司，批号：</w:t>
      </w:r>
      <w:r>
        <w:rPr>
          <w:sz w:val="24"/>
          <w:lang w:bidi="ar"/>
        </w:rPr>
        <w:t>22112</w:t>
      </w:r>
      <w:r>
        <w:rPr>
          <w:rFonts w:hint="eastAsia" w:cs="宋体"/>
          <w:sz w:val="24"/>
          <w:lang w:bidi="ar"/>
        </w:rPr>
        <w:t>，分装批号：</w:t>
      </w:r>
      <w:r>
        <w:rPr>
          <w:sz w:val="24"/>
          <w:lang w:bidi="ar"/>
        </w:rPr>
        <w:t>22112A</w:t>
      </w:r>
      <w:r>
        <w:rPr>
          <w:rFonts w:hint="eastAsia" w:cs="宋体"/>
          <w:sz w:val="24"/>
          <w:lang w:bidi="ar"/>
        </w:rPr>
        <w:t>）：</w:t>
      </w:r>
      <w:r>
        <w:rPr>
          <w:sz w:val="24"/>
          <w:lang w:bidi="ar"/>
        </w:rPr>
        <w:t>20.25mg/kg/d</w:t>
      </w:r>
      <w:r>
        <w:rPr>
          <w:rFonts w:hint="eastAsia" w:cs="宋体"/>
          <w:sz w:val="24"/>
          <w:lang w:bidi="ar"/>
        </w:rPr>
        <w:t>，药片碾粉后以生理盐水配制，药物浓度为</w:t>
      </w:r>
      <w:r>
        <w:rPr>
          <w:sz w:val="24"/>
          <w:lang w:bidi="ar"/>
        </w:rPr>
        <w:t>2.43mg/ml</w:t>
      </w:r>
      <w:r>
        <w:rPr>
          <w:rFonts w:hint="eastAsia" w:cs="宋体"/>
          <w:sz w:val="24"/>
          <w:lang w:bidi="ar"/>
        </w:rPr>
        <w:t>，每日灌胃</w:t>
      </w:r>
      <w:r>
        <w:rPr>
          <w:sz w:val="24"/>
          <w:lang w:bidi="ar"/>
        </w:rPr>
        <w:t>1</w:t>
      </w:r>
      <w:r>
        <w:rPr>
          <w:rFonts w:hint="eastAsia" w:cs="宋体"/>
          <w:sz w:val="24"/>
          <w:lang w:bidi="ar"/>
        </w:rPr>
        <w:t>次。</w:t>
      </w:r>
    </w:p>
    <w:p w14:paraId="204365D1">
      <w:pPr>
        <w:pStyle w:val="12"/>
        <w:spacing w:line="500" w:lineRule="exact"/>
        <w:jc w:val="left"/>
      </w:pPr>
      <w:bookmarkStart w:id="11" w:name="_Toc17295"/>
      <w:r>
        <w:rPr>
          <w:rFonts w:hint="eastAsia" w:cs="宋体"/>
          <w:lang w:bidi="ar"/>
        </w:rPr>
        <w:t>（</w:t>
      </w:r>
      <w:r>
        <w:rPr>
          <w:lang w:bidi="ar"/>
        </w:rPr>
        <w:t>3</w:t>
      </w:r>
      <w:r>
        <w:rPr>
          <w:rFonts w:hint="eastAsia" w:cs="宋体"/>
          <w:lang w:bidi="ar"/>
        </w:rPr>
        <w:t>）实验试剂与仪器</w:t>
      </w:r>
      <w:bookmarkEnd w:id="11"/>
      <w:r>
        <w:rPr>
          <w:rFonts w:hint="eastAsia" w:cs="宋体"/>
          <w:lang w:bidi="ar"/>
        </w:rPr>
        <w:t>（表</w:t>
      </w:r>
      <w:r>
        <w:rPr>
          <w:lang w:bidi="ar"/>
        </w:rPr>
        <w:t>9-1</w:t>
      </w:r>
      <w:r>
        <w:rPr>
          <w:rFonts w:hint="eastAsia"/>
          <w:lang w:bidi="ar"/>
        </w:rPr>
        <w:t>0</w:t>
      </w:r>
      <w:r>
        <w:rPr>
          <w:rFonts w:hint="eastAsia" w:cs="宋体"/>
          <w:lang w:bidi="ar"/>
        </w:rPr>
        <w:t>）</w:t>
      </w:r>
    </w:p>
    <w:p w14:paraId="1F7AA4EA">
      <w:pPr>
        <w:spacing w:line="500" w:lineRule="exact"/>
        <w:ind w:firstLine="480" w:firstLineChars="200"/>
        <w:jc w:val="center"/>
        <w:rPr>
          <w:sz w:val="24"/>
        </w:rPr>
      </w:pPr>
      <w:bookmarkStart w:id="12" w:name="OLE_LINK87"/>
      <w:r>
        <w:rPr>
          <w:rFonts w:hint="eastAsia" w:cs="宋体"/>
          <w:sz w:val="24"/>
          <w:lang w:bidi="ar"/>
        </w:rPr>
        <w:t>表</w:t>
      </w:r>
      <w:r>
        <w:rPr>
          <w:sz w:val="24"/>
          <w:lang w:bidi="ar"/>
        </w:rPr>
        <w:t xml:space="preserve"> </w:t>
      </w:r>
      <w:r>
        <w:rPr>
          <w:rFonts w:ascii="Calibri" w:hAnsi="Calibri"/>
          <w:szCs w:val="22"/>
          <w:lang w:bidi="ar"/>
        </w:rPr>
        <w:fldChar w:fldCharType="begin"/>
      </w:r>
      <w:r>
        <w:rPr>
          <w:sz w:val="24"/>
          <w:lang w:bidi="ar"/>
        </w:rPr>
        <w:instrText xml:space="preserve"> SEQ </w:instrText>
      </w:r>
      <w:r>
        <w:rPr>
          <w:rFonts w:hint="eastAsia" w:cs="宋体"/>
          <w:sz w:val="24"/>
          <w:lang w:bidi="ar"/>
        </w:rPr>
        <w:instrText xml:space="preserve">表</w:instrText>
      </w:r>
      <w:r>
        <w:rPr>
          <w:sz w:val="24"/>
          <w:lang w:bidi="ar"/>
        </w:rPr>
        <w:instrText xml:space="preserve"> \* ARABIC </w:instrText>
      </w:r>
      <w:r>
        <w:rPr>
          <w:sz w:val="24"/>
          <w:lang w:bidi="ar"/>
        </w:rPr>
        <w:fldChar w:fldCharType="separate"/>
      </w:r>
      <w:r>
        <w:rPr>
          <w:sz w:val="24"/>
          <w:lang w:bidi="ar"/>
        </w:rPr>
        <w:t>9</w:t>
      </w:r>
      <w:r>
        <w:rPr>
          <w:rFonts w:ascii="Calibri" w:hAnsi="Calibri"/>
          <w:szCs w:val="22"/>
          <w:lang w:bidi="ar"/>
        </w:rPr>
        <w:fldChar w:fldCharType="end"/>
      </w:r>
      <w:bookmarkEnd w:id="12"/>
      <w:r>
        <w:rPr>
          <w:rFonts w:hint="eastAsia" w:cs="宋体"/>
          <w:sz w:val="24"/>
          <w:lang w:bidi="ar"/>
        </w:rPr>
        <w:t>实验试剂</w:t>
      </w:r>
    </w:p>
    <w:tbl>
      <w:tblPr>
        <w:tblStyle w:val="16"/>
        <w:tblpPr w:leftFromText="180" w:rightFromText="180" w:vertAnchor="text" w:tblpX="1" w:tblpY="1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2"/>
        <w:gridCol w:w="1852"/>
        <w:gridCol w:w="2948"/>
      </w:tblGrid>
      <w:tr w14:paraId="5E9E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4027" w:type="dxa"/>
            <w:tcBorders>
              <w:top w:val="single" w:color="000000" w:sz="12" w:space="0"/>
              <w:left w:val="nil"/>
              <w:bottom w:val="single" w:color="000000" w:sz="6" w:space="0"/>
              <w:right w:val="nil"/>
            </w:tcBorders>
            <w:shd w:val="clear" w:color="auto" w:fill="auto"/>
          </w:tcPr>
          <w:p w14:paraId="68416C58">
            <w:pPr>
              <w:spacing w:line="500" w:lineRule="exact"/>
              <w:jc w:val="left"/>
              <w:rPr>
                <w:rFonts w:ascii="Calibri" w:hAnsi="Calibri"/>
                <w:sz w:val="24"/>
              </w:rPr>
            </w:pPr>
            <w:r>
              <w:rPr>
                <w:rFonts w:hint="eastAsia" w:ascii="Calibri" w:hAnsi="Calibri" w:cs="宋体"/>
                <w:sz w:val="24"/>
                <w:lang w:bidi="ar"/>
              </w:rPr>
              <w:t>试剂名称</w:t>
            </w:r>
          </w:p>
        </w:tc>
        <w:tc>
          <w:tcPr>
            <w:tcW w:w="1882" w:type="dxa"/>
            <w:tcBorders>
              <w:top w:val="single" w:color="000000" w:sz="12" w:space="0"/>
              <w:left w:val="nil"/>
              <w:bottom w:val="single" w:color="000000" w:sz="6" w:space="0"/>
              <w:right w:val="nil"/>
            </w:tcBorders>
            <w:shd w:val="clear" w:color="auto" w:fill="auto"/>
          </w:tcPr>
          <w:p w14:paraId="603B704B">
            <w:pPr>
              <w:spacing w:line="500" w:lineRule="exact"/>
              <w:jc w:val="left"/>
              <w:rPr>
                <w:rFonts w:ascii="Calibri" w:hAnsi="Calibri"/>
                <w:sz w:val="24"/>
              </w:rPr>
            </w:pPr>
            <w:r>
              <w:rPr>
                <w:rFonts w:hint="eastAsia" w:ascii="Calibri" w:hAnsi="Calibri" w:cs="宋体"/>
                <w:sz w:val="24"/>
                <w:lang w:bidi="ar"/>
              </w:rPr>
              <w:t>批号</w:t>
            </w:r>
          </w:p>
        </w:tc>
        <w:tc>
          <w:tcPr>
            <w:tcW w:w="3290" w:type="dxa"/>
            <w:tcBorders>
              <w:top w:val="single" w:color="000000" w:sz="12" w:space="0"/>
              <w:left w:val="nil"/>
              <w:bottom w:val="single" w:color="000000" w:sz="6" w:space="0"/>
              <w:right w:val="nil"/>
            </w:tcBorders>
            <w:shd w:val="clear" w:color="auto" w:fill="auto"/>
          </w:tcPr>
          <w:p w14:paraId="17AAA304">
            <w:pPr>
              <w:spacing w:line="500" w:lineRule="exact"/>
              <w:jc w:val="left"/>
              <w:rPr>
                <w:rFonts w:ascii="Calibri" w:hAnsi="Calibri"/>
                <w:sz w:val="24"/>
              </w:rPr>
            </w:pPr>
            <w:r>
              <w:rPr>
                <w:rFonts w:hint="eastAsia" w:ascii="Calibri" w:hAnsi="Calibri" w:cs="宋体"/>
                <w:sz w:val="24"/>
                <w:lang w:bidi="ar"/>
              </w:rPr>
              <w:t>来源</w:t>
            </w:r>
          </w:p>
        </w:tc>
      </w:tr>
      <w:tr w14:paraId="2B51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4027" w:type="dxa"/>
            <w:tcBorders>
              <w:top w:val="single" w:color="000000" w:sz="6" w:space="0"/>
              <w:left w:val="nil"/>
              <w:bottom w:val="nil"/>
              <w:right w:val="nil"/>
            </w:tcBorders>
            <w:shd w:val="clear" w:color="auto" w:fill="auto"/>
          </w:tcPr>
          <w:p w14:paraId="5BA8E94B">
            <w:pPr>
              <w:spacing w:line="500" w:lineRule="exact"/>
              <w:jc w:val="left"/>
              <w:rPr>
                <w:rFonts w:ascii="Calibri" w:hAnsi="Calibri"/>
                <w:sz w:val="24"/>
              </w:rPr>
            </w:pPr>
            <w:r>
              <w:rPr>
                <w:rFonts w:hint="eastAsia" w:ascii="Calibri" w:hAnsi="Calibri" w:cs="宋体"/>
                <w:sz w:val="24"/>
                <w:lang w:bidi="ar"/>
              </w:rPr>
              <w:t>谷丙转氨酶（</w:t>
            </w:r>
            <w:r>
              <w:rPr>
                <w:rFonts w:ascii="Calibri" w:hAnsi="Calibri"/>
                <w:sz w:val="24"/>
                <w:lang w:bidi="ar"/>
              </w:rPr>
              <w:t>GPT/ALT</w:t>
            </w:r>
            <w:r>
              <w:rPr>
                <w:rFonts w:hint="eastAsia" w:ascii="Calibri" w:hAnsi="Calibri" w:cs="宋体"/>
                <w:sz w:val="24"/>
                <w:lang w:bidi="ar"/>
              </w:rPr>
              <w:t>）活性检测试剂盒</w:t>
            </w:r>
          </w:p>
        </w:tc>
        <w:tc>
          <w:tcPr>
            <w:tcW w:w="1882" w:type="dxa"/>
            <w:tcBorders>
              <w:top w:val="single" w:color="000000" w:sz="6" w:space="0"/>
              <w:left w:val="nil"/>
              <w:bottom w:val="nil"/>
              <w:right w:val="nil"/>
            </w:tcBorders>
            <w:shd w:val="clear" w:color="auto" w:fill="auto"/>
          </w:tcPr>
          <w:p w14:paraId="177ABF90">
            <w:pPr>
              <w:spacing w:line="500" w:lineRule="exact"/>
              <w:jc w:val="left"/>
              <w:rPr>
                <w:rFonts w:ascii="Calibri" w:hAnsi="Calibri"/>
                <w:sz w:val="24"/>
              </w:rPr>
            </w:pPr>
            <w:r>
              <w:rPr>
                <w:rFonts w:ascii="Calibri" w:hAnsi="Calibri"/>
                <w:sz w:val="24"/>
                <w:lang w:bidi="ar"/>
              </w:rPr>
              <w:t>2304001</w:t>
            </w:r>
          </w:p>
        </w:tc>
        <w:tc>
          <w:tcPr>
            <w:tcW w:w="3290" w:type="dxa"/>
            <w:tcBorders>
              <w:top w:val="single" w:color="000000" w:sz="6" w:space="0"/>
              <w:left w:val="nil"/>
              <w:bottom w:val="nil"/>
              <w:right w:val="nil"/>
            </w:tcBorders>
            <w:shd w:val="clear" w:color="auto" w:fill="auto"/>
          </w:tcPr>
          <w:p w14:paraId="27DBB963">
            <w:pPr>
              <w:spacing w:line="500" w:lineRule="exact"/>
              <w:jc w:val="left"/>
              <w:rPr>
                <w:rFonts w:ascii="Calibri" w:hAnsi="Calibri"/>
                <w:sz w:val="24"/>
              </w:rPr>
            </w:pPr>
            <w:r>
              <w:rPr>
                <w:rFonts w:hint="eastAsia" w:ascii="Calibri" w:hAnsi="Calibri" w:cs="宋体"/>
                <w:sz w:val="24"/>
                <w:lang w:bidi="ar"/>
              </w:rPr>
              <w:t>索莱宝生物技术有限公司</w:t>
            </w:r>
          </w:p>
        </w:tc>
      </w:tr>
      <w:tr w14:paraId="6F22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27" w:type="dxa"/>
            <w:tcBorders>
              <w:top w:val="nil"/>
              <w:left w:val="nil"/>
              <w:bottom w:val="nil"/>
              <w:right w:val="nil"/>
            </w:tcBorders>
            <w:shd w:val="clear" w:color="auto" w:fill="auto"/>
          </w:tcPr>
          <w:p w14:paraId="785A72E9">
            <w:pPr>
              <w:spacing w:line="500" w:lineRule="exact"/>
              <w:jc w:val="left"/>
              <w:rPr>
                <w:rFonts w:ascii="Calibri" w:hAnsi="Calibri"/>
                <w:sz w:val="24"/>
              </w:rPr>
            </w:pPr>
            <w:r>
              <w:rPr>
                <w:rFonts w:hint="eastAsia" w:ascii="Calibri" w:hAnsi="Calibri" w:cs="宋体"/>
                <w:sz w:val="24"/>
                <w:lang w:bidi="ar"/>
              </w:rPr>
              <w:t>总胆红素（</w:t>
            </w:r>
            <w:r>
              <w:rPr>
                <w:rFonts w:ascii="Calibri" w:hAnsi="Calibri"/>
                <w:sz w:val="24"/>
                <w:lang w:bidi="ar"/>
              </w:rPr>
              <w:t>TBIL</w:t>
            </w:r>
            <w:r>
              <w:rPr>
                <w:rFonts w:hint="eastAsia" w:ascii="Calibri" w:hAnsi="Calibri" w:cs="宋体"/>
                <w:sz w:val="24"/>
                <w:lang w:bidi="ar"/>
              </w:rPr>
              <w:t>）含量检测试剂盒</w:t>
            </w:r>
          </w:p>
        </w:tc>
        <w:tc>
          <w:tcPr>
            <w:tcW w:w="1882" w:type="dxa"/>
            <w:tcBorders>
              <w:top w:val="nil"/>
              <w:left w:val="nil"/>
              <w:bottom w:val="nil"/>
              <w:right w:val="nil"/>
            </w:tcBorders>
            <w:shd w:val="clear" w:color="auto" w:fill="auto"/>
          </w:tcPr>
          <w:p w14:paraId="648B163F">
            <w:pPr>
              <w:spacing w:line="500" w:lineRule="exact"/>
              <w:jc w:val="left"/>
              <w:rPr>
                <w:rFonts w:ascii="Calibri" w:hAnsi="Calibri"/>
                <w:sz w:val="24"/>
              </w:rPr>
            </w:pPr>
            <w:r>
              <w:rPr>
                <w:rFonts w:ascii="Calibri" w:hAnsi="Calibri"/>
                <w:sz w:val="24"/>
                <w:lang w:bidi="ar"/>
              </w:rPr>
              <w:t>2307001</w:t>
            </w:r>
          </w:p>
        </w:tc>
        <w:tc>
          <w:tcPr>
            <w:tcW w:w="3290" w:type="dxa"/>
            <w:tcBorders>
              <w:top w:val="nil"/>
              <w:left w:val="nil"/>
              <w:bottom w:val="nil"/>
              <w:right w:val="nil"/>
            </w:tcBorders>
            <w:shd w:val="clear" w:color="auto" w:fill="auto"/>
          </w:tcPr>
          <w:p w14:paraId="51CB5466">
            <w:pPr>
              <w:spacing w:line="500" w:lineRule="exact"/>
              <w:jc w:val="left"/>
              <w:rPr>
                <w:rFonts w:ascii="Calibri" w:hAnsi="Calibri"/>
                <w:sz w:val="24"/>
              </w:rPr>
            </w:pPr>
            <w:r>
              <w:rPr>
                <w:rFonts w:hint="eastAsia" w:ascii="Calibri" w:hAnsi="Calibri" w:cs="宋体"/>
                <w:sz w:val="24"/>
                <w:lang w:bidi="ar"/>
              </w:rPr>
              <w:t>索莱宝生物技术有限公司</w:t>
            </w:r>
          </w:p>
        </w:tc>
      </w:tr>
      <w:tr w14:paraId="00EF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27" w:type="dxa"/>
            <w:tcBorders>
              <w:top w:val="nil"/>
              <w:left w:val="nil"/>
              <w:bottom w:val="nil"/>
              <w:right w:val="nil"/>
            </w:tcBorders>
            <w:shd w:val="clear" w:color="auto" w:fill="auto"/>
          </w:tcPr>
          <w:p w14:paraId="46B6C193">
            <w:pPr>
              <w:spacing w:line="500" w:lineRule="exact"/>
              <w:jc w:val="left"/>
              <w:rPr>
                <w:rFonts w:ascii="Calibri" w:hAnsi="Calibri"/>
                <w:sz w:val="24"/>
              </w:rPr>
            </w:pPr>
            <w:r>
              <w:rPr>
                <w:rFonts w:ascii="Calibri" w:hAnsi="Calibri"/>
                <w:sz w:val="24"/>
                <w:lang w:bidi="ar"/>
              </w:rPr>
              <w:t>GOT</w:t>
            </w:r>
            <w:r>
              <w:rPr>
                <w:rFonts w:hint="eastAsia" w:ascii="Calibri" w:hAnsi="Calibri" w:cs="宋体"/>
                <w:sz w:val="24"/>
                <w:lang w:bidi="ar"/>
              </w:rPr>
              <w:t>试剂盒（酶标仪法）</w:t>
            </w:r>
          </w:p>
        </w:tc>
        <w:tc>
          <w:tcPr>
            <w:tcW w:w="1882" w:type="dxa"/>
            <w:tcBorders>
              <w:top w:val="nil"/>
              <w:left w:val="nil"/>
              <w:bottom w:val="nil"/>
              <w:right w:val="nil"/>
            </w:tcBorders>
            <w:shd w:val="clear" w:color="auto" w:fill="auto"/>
          </w:tcPr>
          <w:p w14:paraId="2F4B2BAF">
            <w:pPr>
              <w:spacing w:line="500" w:lineRule="exact"/>
              <w:jc w:val="left"/>
              <w:rPr>
                <w:rFonts w:ascii="Calibri" w:hAnsi="Calibri"/>
                <w:sz w:val="24"/>
              </w:rPr>
            </w:pPr>
            <w:r>
              <w:rPr>
                <w:rFonts w:ascii="Calibri" w:hAnsi="Calibri"/>
                <w:sz w:val="24"/>
                <w:lang w:bidi="ar"/>
              </w:rPr>
              <w:t>20230708</w:t>
            </w:r>
          </w:p>
        </w:tc>
        <w:tc>
          <w:tcPr>
            <w:tcW w:w="3290" w:type="dxa"/>
            <w:tcBorders>
              <w:top w:val="nil"/>
              <w:left w:val="nil"/>
              <w:bottom w:val="nil"/>
              <w:right w:val="nil"/>
            </w:tcBorders>
            <w:shd w:val="clear" w:color="auto" w:fill="auto"/>
          </w:tcPr>
          <w:p w14:paraId="2E67DC31">
            <w:pPr>
              <w:spacing w:line="500" w:lineRule="exact"/>
              <w:jc w:val="left"/>
              <w:rPr>
                <w:rFonts w:ascii="Calibri" w:hAnsi="Calibri"/>
                <w:sz w:val="24"/>
              </w:rPr>
            </w:pPr>
            <w:r>
              <w:rPr>
                <w:rFonts w:hint="eastAsia" w:ascii="Calibri" w:hAnsi="Calibri" w:cs="宋体"/>
                <w:sz w:val="24"/>
                <w:lang w:bidi="ar"/>
              </w:rPr>
              <w:t>南京建成生物工程研究所</w:t>
            </w:r>
          </w:p>
        </w:tc>
      </w:tr>
      <w:tr w14:paraId="164B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27" w:type="dxa"/>
            <w:tcBorders>
              <w:top w:val="nil"/>
              <w:left w:val="nil"/>
              <w:bottom w:val="nil"/>
              <w:right w:val="nil"/>
            </w:tcBorders>
            <w:shd w:val="clear" w:color="auto" w:fill="auto"/>
          </w:tcPr>
          <w:p w14:paraId="67B55B32">
            <w:pPr>
              <w:spacing w:line="500" w:lineRule="exact"/>
              <w:jc w:val="left"/>
              <w:rPr>
                <w:rFonts w:ascii="Calibri" w:hAnsi="Calibri"/>
                <w:sz w:val="24"/>
              </w:rPr>
            </w:pPr>
            <w:r>
              <w:rPr>
                <w:rFonts w:hint="eastAsia" w:ascii="Calibri" w:hAnsi="Calibri" w:cs="宋体"/>
                <w:sz w:val="24"/>
                <w:lang w:bidi="ar"/>
              </w:rPr>
              <w:t>白蛋白测试盒</w:t>
            </w:r>
          </w:p>
        </w:tc>
        <w:tc>
          <w:tcPr>
            <w:tcW w:w="1882" w:type="dxa"/>
            <w:tcBorders>
              <w:top w:val="nil"/>
              <w:left w:val="nil"/>
              <w:bottom w:val="nil"/>
              <w:right w:val="nil"/>
            </w:tcBorders>
            <w:shd w:val="clear" w:color="auto" w:fill="auto"/>
          </w:tcPr>
          <w:p w14:paraId="416B7A07">
            <w:pPr>
              <w:spacing w:line="500" w:lineRule="exact"/>
              <w:jc w:val="left"/>
              <w:rPr>
                <w:rFonts w:ascii="Calibri" w:hAnsi="Calibri"/>
                <w:sz w:val="24"/>
              </w:rPr>
            </w:pPr>
            <w:r>
              <w:rPr>
                <w:rFonts w:ascii="Calibri" w:hAnsi="Calibri"/>
                <w:sz w:val="24"/>
                <w:lang w:bidi="ar"/>
              </w:rPr>
              <w:t>20230701</w:t>
            </w:r>
          </w:p>
        </w:tc>
        <w:tc>
          <w:tcPr>
            <w:tcW w:w="3290" w:type="dxa"/>
            <w:tcBorders>
              <w:top w:val="nil"/>
              <w:left w:val="nil"/>
              <w:bottom w:val="nil"/>
              <w:right w:val="nil"/>
            </w:tcBorders>
            <w:shd w:val="clear" w:color="auto" w:fill="auto"/>
          </w:tcPr>
          <w:p w14:paraId="38E6E899">
            <w:pPr>
              <w:spacing w:line="500" w:lineRule="exact"/>
              <w:jc w:val="left"/>
              <w:rPr>
                <w:rFonts w:ascii="Calibri" w:hAnsi="Calibri"/>
                <w:sz w:val="24"/>
              </w:rPr>
            </w:pPr>
            <w:r>
              <w:rPr>
                <w:rFonts w:hint="eastAsia" w:ascii="Calibri" w:hAnsi="Calibri" w:cs="宋体"/>
                <w:sz w:val="24"/>
                <w:lang w:bidi="ar"/>
              </w:rPr>
              <w:t>南京建成生物工程研究所</w:t>
            </w:r>
          </w:p>
        </w:tc>
      </w:tr>
      <w:tr w14:paraId="5F78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27" w:type="dxa"/>
            <w:tcBorders>
              <w:top w:val="nil"/>
              <w:left w:val="nil"/>
              <w:bottom w:val="nil"/>
              <w:right w:val="nil"/>
            </w:tcBorders>
            <w:shd w:val="clear" w:color="auto" w:fill="auto"/>
          </w:tcPr>
          <w:p w14:paraId="1E632DD9">
            <w:pPr>
              <w:spacing w:line="500" w:lineRule="exact"/>
              <w:jc w:val="left"/>
              <w:rPr>
                <w:rFonts w:ascii="Calibri" w:hAnsi="Calibri"/>
                <w:sz w:val="24"/>
              </w:rPr>
            </w:pPr>
            <w:r>
              <w:rPr>
                <w:rFonts w:hint="eastAsia" w:ascii="Calibri" w:hAnsi="Calibri" w:cs="宋体"/>
                <w:sz w:val="24"/>
                <w:lang w:bidi="ar"/>
              </w:rPr>
              <w:t>总胆汁酸测试盒</w:t>
            </w:r>
          </w:p>
        </w:tc>
        <w:tc>
          <w:tcPr>
            <w:tcW w:w="1882" w:type="dxa"/>
            <w:tcBorders>
              <w:top w:val="nil"/>
              <w:left w:val="nil"/>
              <w:bottom w:val="nil"/>
              <w:right w:val="nil"/>
            </w:tcBorders>
            <w:shd w:val="clear" w:color="auto" w:fill="auto"/>
          </w:tcPr>
          <w:p w14:paraId="3DB1427C">
            <w:pPr>
              <w:spacing w:line="500" w:lineRule="exact"/>
              <w:jc w:val="left"/>
              <w:rPr>
                <w:rFonts w:ascii="Calibri" w:hAnsi="Calibri"/>
                <w:sz w:val="24"/>
              </w:rPr>
            </w:pPr>
            <w:r>
              <w:rPr>
                <w:rFonts w:ascii="Calibri" w:hAnsi="Calibri"/>
                <w:sz w:val="24"/>
                <w:lang w:bidi="ar"/>
              </w:rPr>
              <w:t>20230717</w:t>
            </w:r>
          </w:p>
        </w:tc>
        <w:tc>
          <w:tcPr>
            <w:tcW w:w="3290" w:type="dxa"/>
            <w:tcBorders>
              <w:top w:val="nil"/>
              <w:left w:val="nil"/>
              <w:bottom w:val="nil"/>
              <w:right w:val="nil"/>
            </w:tcBorders>
            <w:shd w:val="clear" w:color="auto" w:fill="auto"/>
          </w:tcPr>
          <w:p w14:paraId="708146DA">
            <w:pPr>
              <w:spacing w:line="500" w:lineRule="exact"/>
              <w:jc w:val="left"/>
              <w:rPr>
                <w:rFonts w:ascii="Calibri" w:hAnsi="Calibri"/>
                <w:sz w:val="24"/>
              </w:rPr>
            </w:pPr>
            <w:r>
              <w:rPr>
                <w:rFonts w:hint="eastAsia" w:ascii="Calibri" w:hAnsi="Calibri" w:cs="宋体"/>
                <w:sz w:val="24"/>
                <w:lang w:bidi="ar"/>
              </w:rPr>
              <w:t>南京建成生物工程研究所</w:t>
            </w:r>
          </w:p>
        </w:tc>
      </w:tr>
      <w:tr w14:paraId="2C79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27" w:type="dxa"/>
            <w:tcBorders>
              <w:top w:val="nil"/>
              <w:left w:val="nil"/>
              <w:bottom w:val="nil"/>
              <w:right w:val="nil"/>
            </w:tcBorders>
            <w:shd w:val="clear" w:color="auto" w:fill="auto"/>
          </w:tcPr>
          <w:p w14:paraId="28FB6606">
            <w:pPr>
              <w:spacing w:line="500" w:lineRule="exact"/>
              <w:jc w:val="left"/>
              <w:rPr>
                <w:rFonts w:ascii="Calibri" w:hAnsi="Calibri"/>
                <w:sz w:val="24"/>
              </w:rPr>
            </w:pPr>
            <w:r>
              <w:rPr>
                <w:rFonts w:hint="eastAsia" w:ascii="Calibri" w:hAnsi="Calibri" w:cs="宋体"/>
                <w:sz w:val="24"/>
                <w:lang w:bidi="ar"/>
              </w:rPr>
              <w:t>大鼠</w:t>
            </w:r>
            <w:r>
              <w:rPr>
                <w:rFonts w:ascii="Calibri" w:hAnsi="Calibri"/>
                <w:sz w:val="24"/>
                <w:lang w:bidi="ar"/>
              </w:rPr>
              <w:t>IL—6ELISA</w:t>
            </w:r>
            <w:r>
              <w:rPr>
                <w:rFonts w:hint="eastAsia" w:ascii="Calibri" w:hAnsi="Calibri" w:cs="宋体"/>
                <w:sz w:val="24"/>
                <w:lang w:bidi="ar"/>
              </w:rPr>
              <w:t>试剂盒</w:t>
            </w:r>
          </w:p>
        </w:tc>
        <w:tc>
          <w:tcPr>
            <w:tcW w:w="1882" w:type="dxa"/>
            <w:tcBorders>
              <w:top w:val="nil"/>
              <w:left w:val="nil"/>
              <w:bottom w:val="nil"/>
              <w:right w:val="nil"/>
            </w:tcBorders>
            <w:shd w:val="clear" w:color="auto" w:fill="auto"/>
          </w:tcPr>
          <w:p w14:paraId="040FD1E1">
            <w:pPr>
              <w:spacing w:line="500" w:lineRule="exact"/>
              <w:jc w:val="left"/>
              <w:rPr>
                <w:rFonts w:ascii="Calibri" w:hAnsi="Calibri"/>
                <w:sz w:val="24"/>
              </w:rPr>
            </w:pPr>
            <w:r>
              <w:rPr>
                <w:rFonts w:ascii="Calibri" w:hAnsi="Calibri"/>
                <w:sz w:val="24"/>
                <w:lang w:bidi="ar"/>
              </w:rPr>
              <w:t>R230921-003a</w:t>
            </w:r>
          </w:p>
        </w:tc>
        <w:tc>
          <w:tcPr>
            <w:tcW w:w="3290" w:type="dxa"/>
            <w:tcBorders>
              <w:top w:val="nil"/>
              <w:left w:val="nil"/>
              <w:bottom w:val="nil"/>
              <w:right w:val="nil"/>
            </w:tcBorders>
            <w:shd w:val="clear" w:color="auto" w:fill="auto"/>
          </w:tcPr>
          <w:p w14:paraId="795D7BD4">
            <w:pPr>
              <w:spacing w:line="500" w:lineRule="exact"/>
              <w:jc w:val="left"/>
              <w:rPr>
                <w:rFonts w:ascii="Calibri" w:hAnsi="Calibri"/>
                <w:sz w:val="24"/>
              </w:rPr>
            </w:pPr>
            <w:r>
              <w:rPr>
                <w:rFonts w:hint="eastAsia" w:ascii="Calibri" w:hAnsi="Calibri" w:cs="宋体"/>
                <w:sz w:val="24"/>
                <w:lang w:bidi="ar"/>
              </w:rPr>
              <w:t>欣博盛生物</w:t>
            </w:r>
          </w:p>
        </w:tc>
      </w:tr>
      <w:tr w14:paraId="7FCE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4027" w:type="dxa"/>
            <w:tcBorders>
              <w:top w:val="nil"/>
              <w:left w:val="nil"/>
              <w:bottom w:val="nil"/>
              <w:right w:val="nil"/>
            </w:tcBorders>
            <w:shd w:val="clear" w:color="auto" w:fill="auto"/>
          </w:tcPr>
          <w:p w14:paraId="18FA59F6">
            <w:pPr>
              <w:spacing w:line="500" w:lineRule="exact"/>
              <w:jc w:val="left"/>
              <w:rPr>
                <w:rFonts w:ascii="Calibri" w:hAnsi="Calibri"/>
                <w:sz w:val="24"/>
              </w:rPr>
            </w:pPr>
            <w:r>
              <w:rPr>
                <w:rFonts w:hint="eastAsia" w:ascii="Calibri" w:hAnsi="Calibri" w:cs="宋体"/>
                <w:sz w:val="24"/>
                <w:lang w:bidi="ar"/>
              </w:rPr>
              <w:t>大鼠</w:t>
            </w:r>
            <w:r>
              <w:rPr>
                <w:rFonts w:ascii="Calibri" w:hAnsi="Calibri"/>
                <w:sz w:val="24"/>
                <w:lang w:bidi="ar"/>
              </w:rPr>
              <w:t>TNF-αELISA</w:t>
            </w:r>
            <w:r>
              <w:rPr>
                <w:rFonts w:hint="eastAsia" w:ascii="Calibri" w:hAnsi="Calibri" w:cs="宋体"/>
                <w:sz w:val="24"/>
                <w:lang w:bidi="ar"/>
              </w:rPr>
              <w:t>试剂盒</w:t>
            </w:r>
          </w:p>
        </w:tc>
        <w:tc>
          <w:tcPr>
            <w:tcW w:w="1882" w:type="dxa"/>
            <w:tcBorders>
              <w:top w:val="nil"/>
              <w:left w:val="nil"/>
              <w:bottom w:val="nil"/>
              <w:right w:val="nil"/>
            </w:tcBorders>
            <w:shd w:val="clear" w:color="auto" w:fill="auto"/>
          </w:tcPr>
          <w:p w14:paraId="4A4C228D">
            <w:pPr>
              <w:spacing w:line="500" w:lineRule="exact"/>
              <w:jc w:val="left"/>
              <w:rPr>
                <w:rFonts w:ascii="Calibri" w:hAnsi="Calibri"/>
                <w:sz w:val="24"/>
              </w:rPr>
            </w:pPr>
            <w:r>
              <w:rPr>
                <w:rFonts w:ascii="Calibri" w:hAnsi="Calibri"/>
                <w:sz w:val="24"/>
                <w:lang w:bidi="ar"/>
              </w:rPr>
              <w:t>R230921-102a</w:t>
            </w:r>
          </w:p>
        </w:tc>
        <w:tc>
          <w:tcPr>
            <w:tcW w:w="3290" w:type="dxa"/>
            <w:tcBorders>
              <w:top w:val="nil"/>
              <w:left w:val="nil"/>
              <w:bottom w:val="nil"/>
              <w:right w:val="nil"/>
            </w:tcBorders>
            <w:shd w:val="clear" w:color="auto" w:fill="auto"/>
          </w:tcPr>
          <w:p w14:paraId="1D841286">
            <w:pPr>
              <w:spacing w:line="500" w:lineRule="exact"/>
              <w:jc w:val="left"/>
              <w:rPr>
                <w:rFonts w:ascii="Calibri" w:hAnsi="Calibri"/>
                <w:sz w:val="24"/>
              </w:rPr>
            </w:pPr>
            <w:r>
              <w:rPr>
                <w:rFonts w:hint="eastAsia" w:ascii="Calibri" w:hAnsi="Calibri" w:cs="宋体"/>
                <w:sz w:val="24"/>
                <w:lang w:bidi="ar"/>
              </w:rPr>
              <w:t>欣博盛生物</w:t>
            </w:r>
          </w:p>
        </w:tc>
      </w:tr>
      <w:tr w14:paraId="3C20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027" w:type="dxa"/>
            <w:tcBorders>
              <w:top w:val="nil"/>
              <w:left w:val="nil"/>
              <w:bottom w:val="single" w:color="000000" w:sz="12" w:space="0"/>
              <w:right w:val="nil"/>
            </w:tcBorders>
            <w:shd w:val="clear" w:color="auto" w:fill="auto"/>
          </w:tcPr>
          <w:p w14:paraId="673695E4">
            <w:pPr>
              <w:spacing w:line="500" w:lineRule="exact"/>
              <w:jc w:val="left"/>
              <w:rPr>
                <w:rFonts w:ascii="Calibri" w:hAnsi="Calibri"/>
                <w:sz w:val="24"/>
              </w:rPr>
            </w:pPr>
            <w:r>
              <w:rPr>
                <w:rFonts w:hint="eastAsia" w:ascii="Calibri" w:hAnsi="Calibri" w:cs="宋体"/>
                <w:sz w:val="24"/>
                <w:lang w:bidi="ar"/>
              </w:rPr>
              <w:t>大鼠</w:t>
            </w:r>
            <w:r>
              <w:rPr>
                <w:rFonts w:ascii="Calibri" w:hAnsi="Calibri"/>
                <w:sz w:val="24"/>
                <w:lang w:bidi="ar"/>
              </w:rPr>
              <w:t>IL-βELISA</w:t>
            </w:r>
            <w:r>
              <w:rPr>
                <w:rFonts w:hint="eastAsia" w:ascii="Calibri" w:hAnsi="Calibri" w:cs="宋体"/>
                <w:sz w:val="24"/>
                <w:lang w:bidi="ar"/>
              </w:rPr>
              <w:t>试剂盒</w:t>
            </w:r>
          </w:p>
        </w:tc>
        <w:tc>
          <w:tcPr>
            <w:tcW w:w="1882" w:type="dxa"/>
            <w:tcBorders>
              <w:top w:val="nil"/>
              <w:left w:val="nil"/>
              <w:bottom w:val="single" w:color="000000" w:sz="12" w:space="0"/>
              <w:right w:val="nil"/>
            </w:tcBorders>
            <w:shd w:val="clear" w:color="auto" w:fill="auto"/>
          </w:tcPr>
          <w:p w14:paraId="62B0B3DE">
            <w:pPr>
              <w:spacing w:line="500" w:lineRule="exact"/>
              <w:jc w:val="left"/>
              <w:rPr>
                <w:rFonts w:ascii="Calibri" w:hAnsi="Calibri"/>
                <w:sz w:val="24"/>
              </w:rPr>
            </w:pPr>
            <w:r>
              <w:rPr>
                <w:rFonts w:ascii="Calibri" w:hAnsi="Calibri"/>
                <w:sz w:val="24"/>
                <w:lang w:bidi="ar"/>
              </w:rPr>
              <w:t>R230921-007a</w:t>
            </w:r>
          </w:p>
        </w:tc>
        <w:tc>
          <w:tcPr>
            <w:tcW w:w="3290" w:type="dxa"/>
            <w:tcBorders>
              <w:top w:val="nil"/>
              <w:left w:val="nil"/>
              <w:bottom w:val="single" w:color="000000" w:sz="12" w:space="0"/>
              <w:right w:val="nil"/>
            </w:tcBorders>
            <w:shd w:val="clear" w:color="auto" w:fill="auto"/>
          </w:tcPr>
          <w:p w14:paraId="2EE98970">
            <w:pPr>
              <w:spacing w:line="500" w:lineRule="exact"/>
              <w:jc w:val="left"/>
              <w:rPr>
                <w:rFonts w:ascii="Calibri" w:hAnsi="Calibri"/>
                <w:sz w:val="24"/>
              </w:rPr>
            </w:pPr>
            <w:r>
              <w:rPr>
                <w:rFonts w:hint="eastAsia" w:ascii="Calibri" w:hAnsi="Calibri" w:cs="宋体"/>
                <w:sz w:val="24"/>
                <w:lang w:bidi="ar"/>
              </w:rPr>
              <w:t>欣博盛生物</w:t>
            </w:r>
          </w:p>
        </w:tc>
      </w:tr>
    </w:tbl>
    <w:p w14:paraId="638E93C7">
      <w:pPr>
        <w:spacing w:line="500" w:lineRule="exact"/>
        <w:ind w:firstLine="480" w:firstLineChars="200"/>
        <w:jc w:val="left"/>
        <w:rPr>
          <w:sz w:val="24"/>
        </w:rPr>
      </w:pPr>
    </w:p>
    <w:p w14:paraId="48CFCA95">
      <w:pPr>
        <w:spacing w:line="500" w:lineRule="exact"/>
        <w:ind w:firstLine="480" w:firstLineChars="200"/>
        <w:jc w:val="center"/>
        <w:rPr>
          <w:sz w:val="24"/>
        </w:rPr>
      </w:pPr>
      <w:r>
        <w:rPr>
          <w:rFonts w:hint="eastAsia" w:cs="宋体"/>
          <w:sz w:val="24"/>
          <w:lang w:bidi="ar"/>
        </w:rPr>
        <w:t>表</w:t>
      </w:r>
      <w:r>
        <w:rPr>
          <w:sz w:val="24"/>
          <w:lang w:bidi="ar"/>
        </w:rPr>
        <w:t xml:space="preserve"> </w:t>
      </w:r>
      <w:r>
        <w:rPr>
          <w:sz w:val="24"/>
          <w:lang w:bidi="ar"/>
        </w:rPr>
        <w:fldChar w:fldCharType="begin"/>
      </w:r>
      <w:r>
        <w:rPr>
          <w:sz w:val="24"/>
          <w:lang w:bidi="ar"/>
        </w:rPr>
        <w:instrText xml:space="preserve"> SEQ </w:instrText>
      </w:r>
      <w:r>
        <w:rPr>
          <w:rFonts w:hint="eastAsia" w:cs="宋体"/>
          <w:sz w:val="24"/>
          <w:lang w:bidi="ar"/>
        </w:rPr>
        <w:instrText xml:space="preserve">表</w:instrText>
      </w:r>
      <w:r>
        <w:rPr>
          <w:sz w:val="24"/>
          <w:lang w:bidi="ar"/>
        </w:rPr>
        <w:instrText xml:space="preserve"> \* ARABIC </w:instrText>
      </w:r>
      <w:r>
        <w:rPr>
          <w:sz w:val="24"/>
          <w:lang w:bidi="ar"/>
        </w:rPr>
        <w:fldChar w:fldCharType="separate"/>
      </w:r>
      <w:r>
        <w:rPr>
          <w:sz w:val="24"/>
          <w:lang w:bidi="ar"/>
        </w:rPr>
        <w:t>10</w:t>
      </w:r>
      <w:r>
        <w:rPr>
          <w:sz w:val="24"/>
          <w:lang w:bidi="ar"/>
        </w:rPr>
        <w:fldChar w:fldCharType="end"/>
      </w:r>
      <w:r>
        <w:rPr>
          <w:rFonts w:hint="eastAsia" w:cs="宋体"/>
          <w:sz w:val="24"/>
          <w:lang w:bidi="ar"/>
        </w:rPr>
        <w:t>实验仪器</w:t>
      </w:r>
    </w:p>
    <w:tbl>
      <w:tblPr>
        <w:tblStyle w:val="16"/>
        <w:tblpPr w:leftFromText="180" w:rightFromText="180" w:vertAnchor="text" w:tblpX="1" w:tblpY="1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6"/>
        <w:gridCol w:w="2425"/>
        <w:gridCol w:w="3521"/>
      </w:tblGrid>
      <w:tr w14:paraId="58F5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single" w:color="000000" w:sz="12" w:space="0"/>
              <w:left w:val="nil"/>
              <w:bottom w:val="single" w:color="000000" w:sz="6" w:space="0"/>
              <w:right w:val="nil"/>
            </w:tcBorders>
            <w:shd w:val="clear" w:color="auto" w:fill="auto"/>
          </w:tcPr>
          <w:p w14:paraId="06C04E66">
            <w:pPr>
              <w:spacing w:line="500" w:lineRule="exact"/>
              <w:ind w:firstLine="480" w:firstLineChars="200"/>
              <w:jc w:val="left"/>
              <w:rPr>
                <w:rFonts w:ascii="Calibri" w:hAnsi="Calibri"/>
                <w:sz w:val="24"/>
              </w:rPr>
            </w:pPr>
            <w:r>
              <w:rPr>
                <w:rFonts w:hint="eastAsia" w:ascii="Calibri" w:hAnsi="Calibri" w:cs="宋体"/>
                <w:sz w:val="24"/>
                <w:lang w:bidi="ar"/>
              </w:rPr>
              <w:t>仪器名称</w:t>
            </w:r>
          </w:p>
        </w:tc>
        <w:tc>
          <w:tcPr>
            <w:tcW w:w="2493" w:type="dxa"/>
            <w:tcBorders>
              <w:top w:val="single" w:color="000000" w:sz="12" w:space="0"/>
              <w:left w:val="nil"/>
              <w:bottom w:val="single" w:color="000000" w:sz="6" w:space="0"/>
              <w:right w:val="nil"/>
            </w:tcBorders>
            <w:shd w:val="clear" w:color="auto" w:fill="auto"/>
          </w:tcPr>
          <w:p w14:paraId="24D8BA82">
            <w:pPr>
              <w:spacing w:line="500" w:lineRule="exact"/>
              <w:ind w:firstLine="480" w:firstLineChars="200"/>
              <w:jc w:val="left"/>
              <w:rPr>
                <w:rFonts w:ascii="Calibri" w:hAnsi="Calibri"/>
                <w:sz w:val="24"/>
              </w:rPr>
            </w:pPr>
            <w:r>
              <w:rPr>
                <w:rFonts w:hint="eastAsia" w:ascii="Calibri" w:hAnsi="Calibri" w:cs="宋体"/>
                <w:sz w:val="24"/>
                <w:lang w:bidi="ar"/>
              </w:rPr>
              <w:t>型号</w:t>
            </w:r>
          </w:p>
        </w:tc>
        <w:tc>
          <w:tcPr>
            <w:tcW w:w="3807" w:type="dxa"/>
            <w:tcBorders>
              <w:top w:val="single" w:color="000000" w:sz="12" w:space="0"/>
              <w:left w:val="nil"/>
              <w:bottom w:val="single" w:color="000000" w:sz="6" w:space="0"/>
              <w:right w:val="nil"/>
            </w:tcBorders>
            <w:shd w:val="clear" w:color="auto" w:fill="auto"/>
          </w:tcPr>
          <w:p w14:paraId="053F054D">
            <w:pPr>
              <w:spacing w:line="500" w:lineRule="exact"/>
              <w:ind w:firstLine="480" w:firstLineChars="200"/>
              <w:jc w:val="left"/>
              <w:rPr>
                <w:rFonts w:ascii="Calibri" w:hAnsi="Calibri"/>
                <w:sz w:val="24"/>
              </w:rPr>
            </w:pPr>
            <w:r>
              <w:rPr>
                <w:rFonts w:hint="eastAsia" w:ascii="Calibri" w:hAnsi="Calibri" w:cs="宋体"/>
                <w:sz w:val="24"/>
                <w:lang w:bidi="ar"/>
              </w:rPr>
              <w:t>来源</w:t>
            </w:r>
          </w:p>
        </w:tc>
      </w:tr>
      <w:tr w14:paraId="3844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single" w:color="000000" w:sz="6" w:space="0"/>
              <w:left w:val="nil"/>
              <w:bottom w:val="nil"/>
              <w:right w:val="nil"/>
            </w:tcBorders>
            <w:shd w:val="clear" w:color="auto" w:fill="auto"/>
          </w:tcPr>
          <w:p w14:paraId="6D482791">
            <w:pPr>
              <w:spacing w:line="500" w:lineRule="exact"/>
              <w:jc w:val="left"/>
              <w:rPr>
                <w:rFonts w:ascii="Calibri" w:hAnsi="Calibri"/>
                <w:sz w:val="24"/>
              </w:rPr>
            </w:pPr>
            <w:r>
              <w:rPr>
                <w:rFonts w:hint="eastAsia" w:ascii="Calibri" w:hAnsi="Calibri" w:cs="宋体"/>
                <w:sz w:val="24"/>
                <w:lang w:bidi="ar"/>
              </w:rPr>
              <w:t>超低温冰箱</w:t>
            </w:r>
          </w:p>
        </w:tc>
        <w:tc>
          <w:tcPr>
            <w:tcW w:w="2493" w:type="dxa"/>
            <w:tcBorders>
              <w:top w:val="single" w:color="000000" w:sz="6" w:space="0"/>
              <w:left w:val="nil"/>
              <w:bottom w:val="nil"/>
              <w:right w:val="nil"/>
            </w:tcBorders>
            <w:shd w:val="clear" w:color="auto" w:fill="auto"/>
          </w:tcPr>
          <w:p w14:paraId="5184D27A">
            <w:pPr>
              <w:spacing w:line="500" w:lineRule="exact"/>
              <w:jc w:val="left"/>
              <w:rPr>
                <w:rFonts w:ascii="Calibri" w:hAnsi="Calibri"/>
                <w:sz w:val="24"/>
              </w:rPr>
            </w:pPr>
            <w:r>
              <w:rPr>
                <w:rFonts w:ascii="Calibri" w:hAnsi="Calibri"/>
                <w:sz w:val="24"/>
                <w:lang w:bidi="ar"/>
              </w:rPr>
              <w:t>DW-86L626</w:t>
            </w:r>
          </w:p>
        </w:tc>
        <w:tc>
          <w:tcPr>
            <w:tcW w:w="3807" w:type="dxa"/>
            <w:tcBorders>
              <w:top w:val="single" w:color="000000" w:sz="6" w:space="0"/>
              <w:left w:val="nil"/>
              <w:bottom w:val="nil"/>
              <w:right w:val="nil"/>
            </w:tcBorders>
            <w:shd w:val="clear" w:color="auto" w:fill="auto"/>
          </w:tcPr>
          <w:p w14:paraId="7092157C">
            <w:pPr>
              <w:spacing w:line="500" w:lineRule="exact"/>
              <w:jc w:val="left"/>
              <w:rPr>
                <w:rFonts w:ascii="Calibri" w:hAnsi="Calibri"/>
                <w:sz w:val="24"/>
              </w:rPr>
            </w:pPr>
            <w:r>
              <w:rPr>
                <w:rFonts w:hint="eastAsia" w:ascii="Calibri" w:hAnsi="Calibri" w:cs="宋体"/>
                <w:sz w:val="24"/>
                <w:lang w:bidi="ar"/>
              </w:rPr>
              <w:t>青岛海尔生物医疗股份有限公司</w:t>
            </w:r>
          </w:p>
        </w:tc>
      </w:tr>
      <w:tr w14:paraId="0A7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nil"/>
              <w:right w:val="nil"/>
            </w:tcBorders>
            <w:shd w:val="clear" w:color="auto" w:fill="auto"/>
          </w:tcPr>
          <w:p w14:paraId="36771983">
            <w:pPr>
              <w:spacing w:line="500" w:lineRule="exact"/>
              <w:jc w:val="left"/>
              <w:rPr>
                <w:rFonts w:ascii="Calibri" w:hAnsi="Calibri"/>
                <w:sz w:val="24"/>
              </w:rPr>
            </w:pPr>
            <w:r>
              <w:rPr>
                <w:rFonts w:hint="eastAsia" w:ascii="Calibri" w:hAnsi="Calibri" w:cs="宋体"/>
                <w:sz w:val="24"/>
                <w:lang w:bidi="ar"/>
              </w:rPr>
              <w:t>全波长酶标仪</w:t>
            </w:r>
          </w:p>
        </w:tc>
        <w:tc>
          <w:tcPr>
            <w:tcW w:w="2493" w:type="dxa"/>
            <w:tcBorders>
              <w:top w:val="nil"/>
              <w:left w:val="nil"/>
              <w:bottom w:val="nil"/>
              <w:right w:val="nil"/>
            </w:tcBorders>
            <w:shd w:val="clear" w:color="auto" w:fill="auto"/>
          </w:tcPr>
          <w:p w14:paraId="49E65BCD">
            <w:pPr>
              <w:spacing w:line="500" w:lineRule="exact"/>
              <w:jc w:val="left"/>
              <w:rPr>
                <w:rFonts w:ascii="Calibri" w:hAnsi="Calibri"/>
                <w:sz w:val="24"/>
              </w:rPr>
            </w:pPr>
            <w:r>
              <w:rPr>
                <w:rFonts w:ascii="Calibri" w:hAnsi="Calibri"/>
                <w:sz w:val="24"/>
                <w:lang w:bidi="ar"/>
              </w:rPr>
              <w:t>BioTekEPOCH2</w:t>
            </w:r>
          </w:p>
        </w:tc>
        <w:tc>
          <w:tcPr>
            <w:tcW w:w="3807" w:type="dxa"/>
            <w:tcBorders>
              <w:top w:val="nil"/>
              <w:left w:val="nil"/>
              <w:bottom w:val="nil"/>
              <w:right w:val="nil"/>
            </w:tcBorders>
            <w:shd w:val="clear" w:color="auto" w:fill="auto"/>
          </w:tcPr>
          <w:p w14:paraId="61C12996">
            <w:pPr>
              <w:spacing w:line="500" w:lineRule="exact"/>
              <w:jc w:val="left"/>
              <w:rPr>
                <w:rFonts w:ascii="Calibri" w:hAnsi="Calibri"/>
                <w:sz w:val="24"/>
              </w:rPr>
            </w:pPr>
            <w:r>
              <w:rPr>
                <w:rFonts w:hint="eastAsia" w:ascii="Calibri" w:hAnsi="Calibri" w:cs="宋体"/>
                <w:sz w:val="24"/>
                <w:lang w:bidi="ar"/>
              </w:rPr>
              <w:t>美国伯腾仪器有限公司</w:t>
            </w:r>
          </w:p>
        </w:tc>
      </w:tr>
      <w:tr w14:paraId="6ABC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nil"/>
              <w:right w:val="nil"/>
            </w:tcBorders>
            <w:shd w:val="clear" w:color="auto" w:fill="auto"/>
          </w:tcPr>
          <w:p w14:paraId="2675C78D">
            <w:pPr>
              <w:spacing w:line="500" w:lineRule="exact"/>
              <w:jc w:val="left"/>
              <w:rPr>
                <w:rFonts w:ascii="Calibri" w:hAnsi="Calibri"/>
                <w:sz w:val="24"/>
              </w:rPr>
            </w:pPr>
            <w:r>
              <w:rPr>
                <w:rFonts w:hint="eastAsia" w:ascii="Calibri" w:hAnsi="Calibri" w:cs="宋体"/>
                <w:sz w:val="24"/>
                <w:lang w:bidi="ar"/>
              </w:rPr>
              <w:t>全自动立式高压灭菌锅</w:t>
            </w:r>
          </w:p>
        </w:tc>
        <w:tc>
          <w:tcPr>
            <w:tcW w:w="2493" w:type="dxa"/>
            <w:tcBorders>
              <w:top w:val="nil"/>
              <w:left w:val="nil"/>
              <w:bottom w:val="nil"/>
              <w:right w:val="nil"/>
            </w:tcBorders>
            <w:shd w:val="clear" w:color="auto" w:fill="auto"/>
          </w:tcPr>
          <w:p w14:paraId="45F0EC3F">
            <w:pPr>
              <w:spacing w:line="500" w:lineRule="exact"/>
              <w:jc w:val="left"/>
              <w:rPr>
                <w:rFonts w:ascii="Calibri" w:hAnsi="Calibri"/>
                <w:sz w:val="24"/>
              </w:rPr>
            </w:pPr>
            <w:r>
              <w:rPr>
                <w:rFonts w:ascii="Calibri" w:hAnsi="Calibri"/>
                <w:sz w:val="24"/>
                <w:lang w:bidi="ar"/>
              </w:rPr>
              <w:t>HICLAVEHV4-110</w:t>
            </w:r>
          </w:p>
        </w:tc>
        <w:tc>
          <w:tcPr>
            <w:tcW w:w="3807" w:type="dxa"/>
            <w:tcBorders>
              <w:top w:val="nil"/>
              <w:left w:val="nil"/>
              <w:bottom w:val="nil"/>
              <w:right w:val="nil"/>
            </w:tcBorders>
            <w:shd w:val="clear" w:color="auto" w:fill="auto"/>
          </w:tcPr>
          <w:p w14:paraId="5BC69EE8">
            <w:pPr>
              <w:spacing w:line="500" w:lineRule="exact"/>
              <w:jc w:val="left"/>
              <w:rPr>
                <w:rFonts w:ascii="Calibri" w:hAnsi="Calibri"/>
                <w:sz w:val="24"/>
              </w:rPr>
            </w:pPr>
            <w:r>
              <w:rPr>
                <w:rFonts w:hint="eastAsia" w:ascii="Calibri" w:hAnsi="Calibri" w:cs="宋体"/>
                <w:sz w:val="24"/>
                <w:lang w:bidi="ar"/>
              </w:rPr>
              <w:t>日本</w:t>
            </w:r>
            <w:r>
              <w:rPr>
                <w:rFonts w:ascii="Calibri" w:hAnsi="Calibri"/>
                <w:sz w:val="24"/>
                <w:lang w:bidi="ar"/>
              </w:rPr>
              <w:t>HIRAYAMA</w:t>
            </w:r>
            <w:r>
              <w:rPr>
                <w:rFonts w:hint="eastAsia" w:ascii="Calibri" w:hAnsi="Calibri" w:cs="宋体"/>
                <w:sz w:val="24"/>
                <w:lang w:bidi="ar"/>
              </w:rPr>
              <w:t>公司</w:t>
            </w:r>
          </w:p>
        </w:tc>
      </w:tr>
      <w:tr w14:paraId="4095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nil"/>
              <w:right w:val="nil"/>
            </w:tcBorders>
            <w:shd w:val="clear" w:color="auto" w:fill="auto"/>
          </w:tcPr>
          <w:p w14:paraId="03517C8C">
            <w:pPr>
              <w:spacing w:line="500" w:lineRule="exact"/>
              <w:jc w:val="left"/>
              <w:rPr>
                <w:rFonts w:ascii="Calibri" w:hAnsi="Calibri"/>
                <w:sz w:val="24"/>
              </w:rPr>
            </w:pPr>
            <w:r>
              <w:rPr>
                <w:rFonts w:hint="eastAsia" w:ascii="Calibri" w:hAnsi="Calibri" w:cs="宋体"/>
                <w:sz w:val="24"/>
                <w:lang w:bidi="ar"/>
              </w:rPr>
              <w:t>手动移液枪</w:t>
            </w:r>
            <w:r>
              <w:rPr>
                <w:rFonts w:ascii="Calibri" w:hAnsi="Calibri"/>
                <w:sz w:val="24"/>
                <w:lang w:bidi="ar"/>
              </w:rPr>
              <w:t>20μL,100μL</w:t>
            </w:r>
            <w:r>
              <w:rPr>
                <w:rFonts w:hint="eastAsia" w:ascii="Calibri" w:hAnsi="Calibri" w:cs="宋体"/>
                <w:sz w:val="24"/>
                <w:lang w:bidi="ar"/>
              </w:rPr>
              <w:t>，</w:t>
            </w:r>
            <w:r>
              <w:rPr>
                <w:rFonts w:ascii="Calibri" w:hAnsi="Calibri"/>
                <w:sz w:val="24"/>
                <w:lang w:bidi="ar"/>
              </w:rPr>
              <w:t>200μL</w:t>
            </w:r>
            <w:r>
              <w:rPr>
                <w:rFonts w:hint="eastAsia" w:ascii="Calibri" w:hAnsi="Calibri" w:cs="宋体"/>
                <w:sz w:val="24"/>
                <w:lang w:bidi="ar"/>
              </w:rPr>
              <w:t>，</w:t>
            </w:r>
            <w:r>
              <w:rPr>
                <w:rFonts w:ascii="Calibri" w:hAnsi="Calibri"/>
                <w:sz w:val="24"/>
                <w:lang w:bidi="ar"/>
              </w:rPr>
              <w:t>1000μL</w:t>
            </w:r>
            <w:r>
              <w:rPr>
                <w:rFonts w:hint="eastAsia" w:ascii="Calibri" w:hAnsi="Calibri" w:cs="宋体"/>
                <w:sz w:val="24"/>
                <w:lang w:bidi="ar"/>
              </w:rPr>
              <w:t>，</w:t>
            </w:r>
          </w:p>
        </w:tc>
        <w:tc>
          <w:tcPr>
            <w:tcW w:w="2493" w:type="dxa"/>
            <w:tcBorders>
              <w:top w:val="nil"/>
              <w:left w:val="nil"/>
              <w:bottom w:val="nil"/>
              <w:right w:val="nil"/>
            </w:tcBorders>
            <w:shd w:val="clear" w:color="auto" w:fill="auto"/>
          </w:tcPr>
          <w:p w14:paraId="4DF12BB4">
            <w:pPr>
              <w:spacing w:line="500" w:lineRule="exact"/>
              <w:jc w:val="left"/>
              <w:rPr>
                <w:rFonts w:ascii="Calibri" w:hAnsi="Calibri"/>
                <w:sz w:val="24"/>
              </w:rPr>
            </w:pPr>
            <w:r>
              <w:rPr>
                <w:rFonts w:ascii="Calibri" w:hAnsi="Calibri"/>
                <w:sz w:val="24"/>
                <w:lang w:bidi="ar"/>
              </w:rPr>
              <w:t>O64928L</w:t>
            </w:r>
            <w:r>
              <w:rPr>
                <w:rFonts w:hint="eastAsia" w:ascii="Calibri" w:hAnsi="Calibri" w:cs="宋体"/>
                <w:sz w:val="24"/>
                <w:lang w:bidi="ar"/>
              </w:rPr>
              <w:t>，</w:t>
            </w:r>
            <w:r>
              <w:rPr>
                <w:rFonts w:ascii="Calibri" w:hAnsi="Calibri"/>
                <w:sz w:val="24"/>
                <w:lang w:bidi="ar"/>
              </w:rPr>
              <w:t>K27917K</w:t>
            </w:r>
            <w:r>
              <w:rPr>
                <w:rFonts w:hint="eastAsia" w:ascii="Calibri" w:hAnsi="Calibri" w:cs="宋体"/>
                <w:sz w:val="24"/>
                <w:lang w:bidi="ar"/>
              </w:rPr>
              <w:t>，</w:t>
            </w:r>
            <w:r>
              <w:rPr>
                <w:rFonts w:ascii="Calibri" w:hAnsi="Calibri"/>
                <w:sz w:val="24"/>
                <w:lang w:bidi="ar"/>
              </w:rPr>
              <w:t>K11511K</w:t>
            </w:r>
            <w:r>
              <w:rPr>
                <w:rFonts w:hint="eastAsia" w:ascii="Calibri" w:hAnsi="Calibri" w:cs="宋体"/>
                <w:sz w:val="24"/>
                <w:lang w:bidi="ar"/>
              </w:rPr>
              <w:t>，</w:t>
            </w:r>
            <w:r>
              <w:rPr>
                <w:rFonts w:ascii="Calibri" w:hAnsi="Calibri"/>
                <w:sz w:val="24"/>
                <w:lang w:bidi="ar"/>
              </w:rPr>
              <w:t>O75510L</w:t>
            </w:r>
          </w:p>
        </w:tc>
        <w:tc>
          <w:tcPr>
            <w:tcW w:w="3807" w:type="dxa"/>
            <w:tcBorders>
              <w:top w:val="nil"/>
              <w:left w:val="nil"/>
              <w:bottom w:val="nil"/>
              <w:right w:val="nil"/>
            </w:tcBorders>
            <w:shd w:val="clear" w:color="auto" w:fill="auto"/>
          </w:tcPr>
          <w:p w14:paraId="10DF9090">
            <w:pPr>
              <w:spacing w:line="500" w:lineRule="exact"/>
              <w:jc w:val="left"/>
              <w:rPr>
                <w:rFonts w:ascii="Calibri" w:hAnsi="Calibri"/>
                <w:sz w:val="24"/>
              </w:rPr>
            </w:pPr>
            <w:r>
              <w:rPr>
                <w:rFonts w:hint="eastAsia" w:ascii="Calibri" w:hAnsi="Calibri" w:cs="宋体"/>
                <w:sz w:val="24"/>
                <w:lang w:bidi="ar"/>
              </w:rPr>
              <w:t>德国艾本德公司</w:t>
            </w:r>
          </w:p>
        </w:tc>
      </w:tr>
      <w:tr w14:paraId="5577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nil"/>
              <w:right w:val="nil"/>
            </w:tcBorders>
            <w:shd w:val="clear" w:color="auto" w:fill="auto"/>
          </w:tcPr>
          <w:p w14:paraId="3A5B82F1">
            <w:pPr>
              <w:spacing w:line="500" w:lineRule="exact"/>
              <w:jc w:val="left"/>
              <w:rPr>
                <w:rFonts w:ascii="Calibri" w:hAnsi="Calibri"/>
                <w:sz w:val="24"/>
              </w:rPr>
            </w:pPr>
            <w:r>
              <w:rPr>
                <w:rFonts w:hint="eastAsia" w:ascii="Calibri" w:hAnsi="Calibri" w:cs="宋体"/>
                <w:sz w:val="24"/>
                <w:lang w:bidi="ar"/>
              </w:rPr>
              <w:t>病理切片机</w:t>
            </w:r>
          </w:p>
        </w:tc>
        <w:tc>
          <w:tcPr>
            <w:tcW w:w="2493" w:type="dxa"/>
            <w:tcBorders>
              <w:top w:val="nil"/>
              <w:left w:val="nil"/>
              <w:bottom w:val="nil"/>
              <w:right w:val="nil"/>
            </w:tcBorders>
            <w:shd w:val="clear" w:color="auto" w:fill="auto"/>
          </w:tcPr>
          <w:p w14:paraId="70BEE398">
            <w:pPr>
              <w:spacing w:line="500" w:lineRule="exact"/>
              <w:jc w:val="left"/>
              <w:rPr>
                <w:rFonts w:ascii="Calibri" w:hAnsi="Calibri"/>
                <w:sz w:val="24"/>
              </w:rPr>
            </w:pPr>
            <w:r>
              <w:rPr>
                <w:rFonts w:ascii="Calibri" w:hAnsi="Calibri"/>
                <w:sz w:val="24"/>
                <w:lang w:bidi="ar"/>
              </w:rPr>
              <w:t>LEICA</w:t>
            </w:r>
            <w:r>
              <w:rPr>
                <w:rFonts w:hint="eastAsia" w:ascii="Calibri" w:hAnsi="Calibri" w:cs="宋体"/>
                <w:sz w:val="24"/>
                <w:lang w:bidi="ar"/>
              </w:rPr>
              <w:t>Ｒ</w:t>
            </w:r>
            <w:r>
              <w:rPr>
                <w:rFonts w:ascii="Calibri" w:hAnsi="Calibri"/>
                <w:sz w:val="24"/>
                <w:lang w:bidi="ar"/>
              </w:rPr>
              <w:t>M2135</w:t>
            </w:r>
          </w:p>
        </w:tc>
        <w:tc>
          <w:tcPr>
            <w:tcW w:w="3807" w:type="dxa"/>
            <w:tcBorders>
              <w:top w:val="nil"/>
              <w:left w:val="nil"/>
              <w:bottom w:val="nil"/>
              <w:right w:val="nil"/>
            </w:tcBorders>
            <w:shd w:val="clear" w:color="auto" w:fill="auto"/>
          </w:tcPr>
          <w:p w14:paraId="08FB4AB1">
            <w:pPr>
              <w:spacing w:line="500" w:lineRule="exact"/>
              <w:jc w:val="left"/>
              <w:rPr>
                <w:rFonts w:ascii="Calibri" w:hAnsi="Calibri"/>
                <w:sz w:val="24"/>
              </w:rPr>
            </w:pPr>
            <w:r>
              <w:rPr>
                <w:rFonts w:hint="eastAsia" w:ascii="Calibri" w:hAnsi="Calibri" w:cs="宋体"/>
                <w:sz w:val="24"/>
                <w:lang w:bidi="ar"/>
              </w:rPr>
              <w:t>德国Ｒ</w:t>
            </w:r>
            <w:r>
              <w:rPr>
                <w:rFonts w:ascii="Calibri" w:hAnsi="Calibri"/>
                <w:sz w:val="24"/>
                <w:lang w:bidi="ar"/>
              </w:rPr>
              <w:t>M</w:t>
            </w:r>
            <w:r>
              <w:rPr>
                <w:rFonts w:hint="eastAsia" w:ascii="Calibri" w:hAnsi="Calibri" w:cs="宋体"/>
                <w:sz w:val="24"/>
                <w:lang w:bidi="ar"/>
              </w:rPr>
              <w:t>公司</w:t>
            </w:r>
          </w:p>
        </w:tc>
      </w:tr>
      <w:tr w14:paraId="6154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nil"/>
              <w:right w:val="nil"/>
            </w:tcBorders>
            <w:shd w:val="clear" w:color="auto" w:fill="auto"/>
          </w:tcPr>
          <w:p w14:paraId="326F764E">
            <w:pPr>
              <w:spacing w:line="500" w:lineRule="exact"/>
              <w:jc w:val="left"/>
              <w:rPr>
                <w:rFonts w:ascii="Calibri" w:hAnsi="Calibri"/>
                <w:sz w:val="24"/>
              </w:rPr>
            </w:pPr>
            <w:r>
              <w:rPr>
                <w:rFonts w:hint="eastAsia" w:ascii="Calibri" w:hAnsi="Calibri" w:cs="宋体"/>
                <w:sz w:val="24"/>
                <w:lang w:bidi="ar"/>
              </w:rPr>
              <w:t>正置荧光显微镜</w:t>
            </w:r>
          </w:p>
        </w:tc>
        <w:tc>
          <w:tcPr>
            <w:tcW w:w="2493" w:type="dxa"/>
            <w:tcBorders>
              <w:top w:val="nil"/>
              <w:left w:val="nil"/>
              <w:bottom w:val="nil"/>
              <w:right w:val="nil"/>
            </w:tcBorders>
            <w:shd w:val="clear" w:color="auto" w:fill="auto"/>
          </w:tcPr>
          <w:p w14:paraId="44382F8C">
            <w:pPr>
              <w:spacing w:line="500" w:lineRule="exact"/>
              <w:jc w:val="left"/>
              <w:rPr>
                <w:rFonts w:ascii="Calibri" w:hAnsi="Calibri"/>
                <w:sz w:val="24"/>
              </w:rPr>
            </w:pPr>
            <w:r>
              <w:rPr>
                <w:rFonts w:ascii="Calibri" w:hAnsi="Calibri"/>
                <w:sz w:val="24"/>
                <w:lang w:bidi="ar"/>
              </w:rPr>
              <w:t>OLYMPUSBX43</w:t>
            </w:r>
          </w:p>
        </w:tc>
        <w:tc>
          <w:tcPr>
            <w:tcW w:w="3807" w:type="dxa"/>
            <w:tcBorders>
              <w:top w:val="nil"/>
              <w:left w:val="nil"/>
              <w:bottom w:val="nil"/>
              <w:right w:val="nil"/>
            </w:tcBorders>
            <w:shd w:val="clear" w:color="auto" w:fill="auto"/>
          </w:tcPr>
          <w:p w14:paraId="6C77084C">
            <w:pPr>
              <w:spacing w:line="500" w:lineRule="exact"/>
              <w:jc w:val="left"/>
              <w:rPr>
                <w:rFonts w:ascii="Calibri" w:hAnsi="Calibri"/>
                <w:sz w:val="24"/>
              </w:rPr>
            </w:pPr>
            <w:r>
              <w:rPr>
                <w:rFonts w:hint="eastAsia" w:ascii="Calibri" w:hAnsi="Calibri" w:cs="宋体"/>
                <w:sz w:val="24"/>
                <w:lang w:bidi="ar"/>
              </w:rPr>
              <w:t>日本</w:t>
            </w:r>
            <w:r>
              <w:rPr>
                <w:rFonts w:ascii="Calibri" w:hAnsi="Calibri"/>
                <w:sz w:val="24"/>
                <w:lang w:bidi="ar"/>
              </w:rPr>
              <w:t>Olympus</w:t>
            </w:r>
            <w:r>
              <w:rPr>
                <w:rFonts w:hint="eastAsia" w:ascii="Calibri" w:hAnsi="Calibri" w:cs="宋体"/>
                <w:sz w:val="24"/>
                <w:lang w:bidi="ar"/>
              </w:rPr>
              <w:t>公司</w:t>
            </w:r>
          </w:p>
        </w:tc>
      </w:tr>
      <w:tr w14:paraId="20AB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nil"/>
              <w:right w:val="nil"/>
            </w:tcBorders>
            <w:shd w:val="clear" w:color="auto" w:fill="auto"/>
          </w:tcPr>
          <w:p w14:paraId="74976618">
            <w:pPr>
              <w:spacing w:line="500" w:lineRule="exact"/>
              <w:jc w:val="left"/>
              <w:rPr>
                <w:rFonts w:ascii="Calibri" w:hAnsi="Calibri"/>
                <w:sz w:val="24"/>
              </w:rPr>
            </w:pPr>
            <w:r>
              <w:rPr>
                <w:rFonts w:hint="eastAsia" w:ascii="Calibri" w:hAnsi="Calibri" w:cs="宋体"/>
                <w:sz w:val="24"/>
                <w:lang w:bidi="ar"/>
              </w:rPr>
              <w:t>显微摄像仪</w:t>
            </w:r>
          </w:p>
        </w:tc>
        <w:tc>
          <w:tcPr>
            <w:tcW w:w="2493" w:type="dxa"/>
            <w:tcBorders>
              <w:top w:val="nil"/>
              <w:left w:val="nil"/>
              <w:bottom w:val="nil"/>
              <w:right w:val="nil"/>
            </w:tcBorders>
            <w:shd w:val="clear" w:color="auto" w:fill="auto"/>
          </w:tcPr>
          <w:p w14:paraId="691A10C5">
            <w:pPr>
              <w:spacing w:line="500" w:lineRule="exact"/>
              <w:jc w:val="left"/>
              <w:rPr>
                <w:rFonts w:ascii="Calibri" w:hAnsi="Calibri"/>
                <w:sz w:val="24"/>
              </w:rPr>
            </w:pPr>
            <w:r>
              <w:rPr>
                <w:rFonts w:ascii="Calibri" w:hAnsi="Calibri"/>
                <w:sz w:val="24"/>
                <w:lang w:bidi="ar"/>
              </w:rPr>
              <w:t>Olympus</w:t>
            </w:r>
            <w:r>
              <w:rPr>
                <w:rFonts w:hint="eastAsia" w:ascii="Calibri" w:hAnsi="Calibri" w:cs="宋体"/>
                <w:sz w:val="24"/>
                <w:lang w:bidi="ar"/>
              </w:rPr>
              <w:t>－</w:t>
            </w:r>
            <w:r>
              <w:rPr>
                <w:rFonts w:ascii="Calibri" w:hAnsi="Calibri"/>
                <w:sz w:val="24"/>
                <w:lang w:bidi="ar"/>
              </w:rPr>
              <w:t>C35AD</w:t>
            </w:r>
            <w:r>
              <w:rPr>
                <w:rFonts w:hint="eastAsia" w:ascii="Calibri" w:hAnsi="Calibri" w:cs="宋体"/>
                <w:sz w:val="24"/>
                <w:lang w:bidi="ar"/>
              </w:rPr>
              <w:t>－</w:t>
            </w:r>
            <w:r>
              <w:rPr>
                <w:rFonts w:ascii="Calibri" w:hAnsi="Calibri"/>
                <w:sz w:val="24"/>
                <w:lang w:bidi="ar"/>
              </w:rPr>
              <w:t>2</w:t>
            </w:r>
          </w:p>
        </w:tc>
        <w:tc>
          <w:tcPr>
            <w:tcW w:w="3807" w:type="dxa"/>
            <w:tcBorders>
              <w:top w:val="nil"/>
              <w:left w:val="nil"/>
              <w:bottom w:val="nil"/>
              <w:right w:val="nil"/>
            </w:tcBorders>
            <w:shd w:val="clear" w:color="auto" w:fill="auto"/>
          </w:tcPr>
          <w:p w14:paraId="5BF2B62A">
            <w:pPr>
              <w:spacing w:line="500" w:lineRule="exact"/>
              <w:jc w:val="left"/>
              <w:rPr>
                <w:rFonts w:ascii="Calibri" w:hAnsi="Calibri"/>
                <w:sz w:val="24"/>
              </w:rPr>
            </w:pPr>
            <w:r>
              <w:rPr>
                <w:rFonts w:hint="eastAsia" w:ascii="Calibri" w:hAnsi="Calibri" w:cs="宋体"/>
                <w:sz w:val="24"/>
                <w:lang w:bidi="ar"/>
              </w:rPr>
              <w:t>日本</w:t>
            </w:r>
            <w:r>
              <w:rPr>
                <w:rFonts w:ascii="Calibri" w:hAnsi="Calibri"/>
                <w:sz w:val="24"/>
                <w:lang w:bidi="ar"/>
              </w:rPr>
              <w:t>Olympus</w:t>
            </w:r>
            <w:r>
              <w:rPr>
                <w:rFonts w:hint="eastAsia" w:ascii="Calibri" w:hAnsi="Calibri" w:cs="宋体"/>
                <w:sz w:val="24"/>
                <w:lang w:bidi="ar"/>
              </w:rPr>
              <w:t>公司</w:t>
            </w:r>
          </w:p>
        </w:tc>
      </w:tr>
      <w:tr w14:paraId="0930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701" w:type="dxa"/>
            <w:tcBorders>
              <w:top w:val="nil"/>
              <w:left w:val="nil"/>
              <w:bottom w:val="single" w:color="000000" w:sz="12" w:space="0"/>
              <w:right w:val="nil"/>
            </w:tcBorders>
            <w:shd w:val="clear" w:color="auto" w:fill="auto"/>
          </w:tcPr>
          <w:p w14:paraId="38BC9FD8">
            <w:pPr>
              <w:spacing w:line="500" w:lineRule="exact"/>
              <w:jc w:val="left"/>
              <w:rPr>
                <w:rFonts w:ascii="Calibri" w:hAnsi="Calibri"/>
                <w:sz w:val="24"/>
              </w:rPr>
            </w:pPr>
            <w:r>
              <w:rPr>
                <w:rFonts w:hint="eastAsia" w:ascii="Calibri" w:hAnsi="Calibri" w:cs="宋体"/>
                <w:sz w:val="24"/>
                <w:lang w:bidi="ar"/>
              </w:rPr>
              <w:t>全自动凝血分析仪</w:t>
            </w:r>
          </w:p>
        </w:tc>
        <w:tc>
          <w:tcPr>
            <w:tcW w:w="2493" w:type="dxa"/>
            <w:tcBorders>
              <w:top w:val="nil"/>
              <w:left w:val="nil"/>
              <w:bottom w:val="single" w:color="000000" w:sz="12" w:space="0"/>
              <w:right w:val="nil"/>
            </w:tcBorders>
            <w:shd w:val="clear" w:color="auto" w:fill="auto"/>
          </w:tcPr>
          <w:p w14:paraId="55F6DEBE">
            <w:pPr>
              <w:spacing w:line="500" w:lineRule="exact"/>
              <w:jc w:val="left"/>
              <w:rPr>
                <w:rFonts w:ascii="Calibri" w:hAnsi="Calibri"/>
                <w:sz w:val="24"/>
              </w:rPr>
            </w:pPr>
            <w:r>
              <w:rPr>
                <w:rFonts w:ascii="Calibri" w:hAnsi="Calibri"/>
                <w:sz w:val="24"/>
                <w:lang w:bidi="ar"/>
              </w:rPr>
              <w:t>RAC-1830</w:t>
            </w:r>
          </w:p>
        </w:tc>
        <w:tc>
          <w:tcPr>
            <w:tcW w:w="3807" w:type="dxa"/>
            <w:tcBorders>
              <w:top w:val="nil"/>
              <w:left w:val="nil"/>
              <w:bottom w:val="single" w:color="000000" w:sz="12" w:space="0"/>
              <w:right w:val="nil"/>
            </w:tcBorders>
            <w:shd w:val="clear" w:color="auto" w:fill="auto"/>
          </w:tcPr>
          <w:p w14:paraId="764F92C4">
            <w:pPr>
              <w:spacing w:line="500" w:lineRule="exact"/>
              <w:jc w:val="left"/>
              <w:rPr>
                <w:rFonts w:ascii="Calibri" w:hAnsi="Calibri"/>
                <w:sz w:val="24"/>
              </w:rPr>
            </w:pPr>
            <w:r>
              <w:rPr>
                <w:rFonts w:hint="eastAsia" w:ascii="Calibri" w:hAnsi="Calibri" w:cs="宋体"/>
                <w:sz w:val="24"/>
                <w:lang w:bidi="ar"/>
              </w:rPr>
              <w:t>深圳雷杜生命科学股份有限公司</w:t>
            </w:r>
          </w:p>
        </w:tc>
      </w:tr>
    </w:tbl>
    <w:p w14:paraId="2AC01BAB">
      <w:pPr>
        <w:spacing w:line="500" w:lineRule="exact"/>
        <w:ind w:firstLine="480" w:firstLineChars="200"/>
        <w:jc w:val="left"/>
        <w:rPr>
          <w:sz w:val="24"/>
        </w:rPr>
      </w:pPr>
    </w:p>
    <w:p w14:paraId="7E3C3C9F">
      <w:pPr>
        <w:spacing w:line="500" w:lineRule="exact"/>
        <w:rPr>
          <w:sz w:val="24"/>
        </w:rPr>
      </w:pPr>
      <w:bookmarkStart w:id="13" w:name="_Toc15186"/>
      <w:r>
        <w:rPr>
          <w:rFonts w:hint="eastAsia"/>
          <w:sz w:val="24"/>
          <w:lang w:bidi="ar"/>
        </w:rPr>
        <w:t>二、</w:t>
      </w:r>
      <w:r>
        <w:rPr>
          <w:rFonts w:hint="eastAsia" w:cs="宋体"/>
          <w:sz w:val="24"/>
          <w:lang w:bidi="ar"/>
        </w:rPr>
        <w:t>实验方法</w:t>
      </w:r>
      <w:bookmarkEnd w:id="13"/>
      <w:bookmarkStart w:id="14" w:name="_Toc21189"/>
    </w:p>
    <w:p w14:paraId="178F9649">
      <w:pPr>
        <w:spacing w:line="500" w:lineRule="exact"/>
        <w:rPr>
          <w:sz w:val="24"/>
        </w:rPr>
      </w:pPr>
      <w:r>
        <w:rPr>
          <w:rFonts w:hint="eastAsia" w:cs="宋体"/>
          <w:sz w:val="24"/>
          <w:lang w:bidi="ar"/>
        </w:rPr>
        <w:t>（</w:t>
      </w:r>
      <w:r>
        <w:rPr>
          <w:sz w:val="24"/>
          <w:lang w:bidi="ar"/>
        </w:rPr>
        <w:t>1</w:t>
      </w:r>
      <w:r>
        <w:rPr>
          <w:rFonts w:hint="eastAsia" w:cs="宋体"/>
          <w:sz w:val="24"/>
          <w:lang w:bidi="ar"/>
        </w:rPr>
        <w:t>）动物分组与给药</w:t>
      </w:r>
      <w:bookmarkEnd w:id="14"/>
    </w:p>
    <w:p w14:paraId="03A5B65B">
      <w:pPr>
        <w:spacing w:line="500" w:lineRule="exact"/>
        <w:ind w:firstLine="480" w:firstLineChars="200"/>
        <w:jc w:val="left"/>
        <w:rPr>
          <w:sz w:val="24"/>
        </w:rPr>
      </w:pPr>
      <w:r>
        <w:rPr>
          <w:rFonts w:hint="eastAsia" w:cs="宋体"/>
          <w:sz w:val="24"/>
          <w:lang w:bidi="ar"/>
        </w:rPr>
        <w:t>将</w:t>
      </w:r>
      <w:r>
        <w:rPr>
          <w:sz w:val="24"/>
          <w:lang w:bidi="ar"/>
        </w:rPr>
        <w:t>60</w:t>
      </w:r>
      <w:r>
        <w:rPr>
          <w:rFonts w:hint="eastAsia" w:cs="宋体"/>
          <w:sz w:val="24"/>
          <w:lang w:bidi="ar"/>
        </w:rPr>
        <w:t>只成年雄性</w:t>
      </w:r>
      <w:r>
        <w:rPr>
          <w:sz w:val="24"/>
          <w:lang w:bidi="ar"/>
        </w:rPr>
        <w:t>SD</w:t>
      </w:r>
      <w:r>
        <w:rPr>
          <w:rFonts w:hint="eastAsia" w:cs="宋体"/>
          <w:sz w:val="24"/>
          <w:lang w:bidi="ar"/>
        </w:rPr>
        <w:t>大鼠，按随机数字表法分为</w:t>
      </w:r>
      <w:r>
        <w:rPr>
          <w:sz w:val="24"/>
          <w:lang w:bidi="ar"/>
        </w:rPr>
        <w:t>6</w:t>
      </w:r>
      <w:r>
        <w:rPr>
          <w:rFonts w:hint="eastAsia" w:cs="宋体"/>
          <w:sz w:val="24"/>
          <w:lang w:bidi="ar"/>
        </w:rPr>
        <w:t>组，每组</w:t>
      </w:r>
      <w:r>
        <w:rPr>
          <w:sz w:val="24"/>
          <w:lang w:bidi="ar"/>
        </w:rPr>
        <w:t>10</w:t>
      </w:r>
      <w:r>
        <w:rPr>
          <w:rFonts w:hint="eastAsia" w:cs="宋体"/>
          <w:sz w:val="24"/>
          <w:lang w:bidi="ar"/>
        </w:rPr>
        <w:t>只。分别为：假手术组、模型组、西药组、宣痹清营汤（低、中、高剂量）组。给药方法：</w:t>
      </w:r>
    </w:p>
    <w:p w14:paraId="4A10A70F">
      <w:pPr>
        <w:spacing w:line="500" w:lineRule="exact"/>
        <w:ind w:firstLine="480" w:firstLineChars="200"/>
        <w:jc w:val="left"/>
        <w:rPr>
          <w:sz w:val="24"/>
        </w:rPr>
      </w:pPr>
      <w:r>
        <w:rPr>
          <w:sz w:val="24"/>
          <w:lang w:bidi="ar"/>
        </w:rPr>
        <w:t>A.</w:t>
      </w:r>
      <w:r>
        <w:rPr>
          <w:rFonts w:hint="eastAsia" w:cs="宋体"/>
          <w:sz w:val="24"/>
          <w:lang w:bidi="ar"/>
        </w:rPr>
        <w:t>假手术组</w:t>
      </w:r>
      <w:r>
        <w:rPr>
          <w:sz w:val="24"/>
          <w:lang w:bidi="ar"/>
        </w:rPr>
        <w:t>10</w:t>
      </w:r>
      <w:r>
        <w:rPr>
          <w:rFonts w:hint="eastAsia" w:cs="宋体"/>
          <w:sz w:val="24"/>
          <w:lang w:bidi="ar"/>
        </w:rPr>
        <w:t>只：予以生理盐水</w:t>
      </w:r>
      <w:r>
        <w:rPr>
          <w:sz w:val="24"/>
          <w:lang w:bidi="ar"/>
        </w:rPr>
        <w:t>5mL/kg/d</w:t>
      </w:r>
      <w:r>
        <w:rPr>
          <w:rFonts w:hint="eastAsia" w:cs="宋体"/>
          <w:sz w:val="24"/>
          <w:lang w:bidi="ar"/>
        </w:rPr>
        <w:t>灌</w:t>
      </w:r>
      <w:bookmarkStart w:id="19" w:name="_GoBack"/>
      <w:r>
        <w:rPr>
          <w:rFonts w:hint="eastAsia" w:cs="宋体"/>
          <w:sz w:val="24"/>
          <w:lang w:bidi="ar"/>
        </w:rPr>
        <w:t>胃</w:t>
      </w:r>
      <w:bookmarkEnd w:id="19"/>
      <w:r>
        <w:rPr>
          <w:rFonts w:hint="eastAsia" w:cs="宋体"/>
          <w:sz w:val="24"/>
          <w:lang w:bidi="ar"/>
        </w:rPr>
        <w:t>，造模前连续</w:t>
      </w:r>
      <w:r>
        <w:rPr>
          <w:sz w:val="24"/>
          <w:lang w:bidi="ar"/>
        </w:rPr>
        <w:t>7</w:t>
      </w:r>
      <w:r>
        <w:rPr>
          <w:rFonts w:hint="eastAsia" w:cs="宋体"/>
          <w:sz w:val="24"/>
          <w:lang w:bidi="ar"/>
        </w:rPr>
        <w:t>天。</w:t>
      </w:r>
    </w:p>
    <w:p w14:paraId="2096BB61">
      <w:pPr>
        <w:spacing w:line="500" w:lineRule="exact"/>
        <w:ind w:firstLine="480" w:firstLineChars="200"/>
        <w:jc w:val="left"/>
        <w:rPr>
          <w:sz w:val="24"/>
        </w:rPr>
      </w:pPr>
      <w:r>
        <w:rPr>
          <w:sz w:val="24"/>
          <w:lang w:bidi="ar"/>
        </w:rPr>
        <w:t>B.</w:t>
      </w:r>
      <w:r>
        <w:rPr>
          <w:rFonts w:hint="eastAsia" w:cs="宋体"/>
          <w:sz w:val="24"/>
          <w:lang w:bidi="ar"/>
        </w:rPr>
        <w:t>模型组</w:t>
      </w:r>
      <w:r>
        <w:rPr>
          <w:sz w:val="24"/>
          <w:lang w:bidi="ar"/>
        </w:rPr>
        <w:t>10</w:t>
      </w:r>
      <w:r>
        <w:rPr>
          <w:rFonts w:hint="eastAsia" w:cs="宋体"/>
          <w:sz w:val="24"/>
          <w:lang w:bidi="ar"/>
        </w:rPr>
        <w:t>只：予以生理盐水</w:t>
      </w:r>
      <w:r>
        <w:rPr>
          <w:sz w:val="24"/>
          <w:lang w:bidi="ar"/>
        </w:rPr>
        <w:t>5mL/kg/d</w:t>
      </w:r>
      <w:r>
        <w:rPr>
          <w:rFonts w:hint="eastAsia" w:cs="宋体"/>
          <w:sz w:val="24"/>
          <w:lang w:bidi="ar"/>
        </w:rPr>
        <w:t>灌胃，造模前连续</w:t>
      </w:r>
      <w:r>
        <w:rPr>
          <w:sz w:val="24"/>
          <w:lang w:bidi="ar"/>
        </w:rPr>
        <w:t>7</w:t>
      </w:r>
      <w:r>
        <w:rPr>
          <w:rFonts w:hint="eastAsia" w:cs="宋体"/>
          <w:sz w:val="24"/>
          <w:lang w:bidi="ar"/>
        </w:rPr>
        <w:t>天。</w:t>
      </w:r>
    </w:p>
    <w:p w14:paraId="4A5D5785">
      <w:pPr>
        <w:spacing w:line="500" w:lineRule="exact"/>
        <w:ind w:firstLine="480" w:firstLineChars="200"/>
        <w:jc w:val="left"/>
        <w:rPr>
          <w:sz w:val="24"/>
        </w:rPr>
      </w:pPr>
      <w:r>
        <w:rPr>
          <w:sz w:val="24"/>
          <w:lang w:bidi="ar"/>
        </w:rPr>
        <w:t>C.</w:t>
      </w:r>
      <w:r>
        <w:rPr>
          <w:rFonts w:hint="eastAsia" w:cs="宋体"/>
          <w:sz w:val="24"/>
          <w:lang w:bidi="ar"/>
        </w:rPr>
        <w:t>西药对照组</w:t>
      </w:r>
      <w:r>
        <w:rPr>
          <w:sz w:val="24"/>
          <w:lang w:bidi="ar"/>
        </w:rPr>
        <w:t>10</w:t>
      </w:r>
      <w:r>
        <w:rPr>
          <w:rFonts w:hint="eastAsia" w:cs="宋体"/>
          <w:sz w:val="24"/>
          <w:lang w:bidi="ar"/>
        </w:rPr>
        <w:t>只：予以复方甘草酸苷溶液</w:t>
      </w:r>
      <w:r>
        <w:rPr>
          <w:sz w:val="24"/>
          <w:lang w:bidi="ar"/>
        </w:rPr>
        <w:t>5mL/kg/d</w:t>
      </w:r>
      <w:r>
        <w:rPr>
          <w:rFonts w:hint="eastAsia" w:cs="宋体"/>
          <w:sz w:val="24"/>
          <w:lang w:bidi="ar"/>
        </w:rPr>
        <w:t>灌胃，造模前连续</w:t>
      </w:r>
      <w:r>
        <w:rPr>
          <w:sz w:val="24"/>
          <w:lang w:bidi="ar"/>
        </w:rPr>
        <w:t>7</w:t>
      </w:r>
      <w:r>
        <w:rPr>
          <w:rFonts w:hint="eastAsia" w:cs="宋体"/>
          <w:sz w:val="24"/>
          <w:lang w:bidi="ar"/>
        </w:rPr>
        <w:t>天。</w:t>
      </w:r>
    </w:p>
    <w:p w14:paraId="1BE64CE8">
      <w:pPr>
        <w:spacing w:line="500" w:lineRule="exact"/>
        <w:ind w:firstLine="480" w:firstLineChars="200"/>
        <w:jc w:val="left"/>
        <w:rPr>
          <w:sz w:val="24"/>
        </w:rPr>
      </w:pPr>
      <w:r>
        <w:rPr>
          <w:sz w:val="24"/>
          <w:lang w:bidi="ar"/>
        </w:rPr>
        <w:t>D.</w:t>
      </w:r>
      <w:r>
        <w:rPr>
          <w:rFonts w:hint="eastAsia" w:cs="宋体"/>
          <w:sz w:val="24"/>
          <w:lang w:bidi="ar"/>
        </w:rPr>
        <w:t>宣痹清营汤低剂量组</w:t>
      </w:r>
      <w:r>
        <w:rPr>
          <w:sz w:val="24"/>
          <w:lang w:bidi="ar"/>
        </w:rPr>
        <w:t>10</w:t>
      </w:r>
      <w:r>
        <w:rPr>
          <w:rFonts w:hint="eastAsia" w:cs="宋体"/>
          <w:sz w:val="24"/>
          <w:lang w:bidi="ar"/>
        </w:rPr>
        <w:t>只：予以低剂量宣痹清营汤</w:t>
      </w:r>
      <w:r>
        <w:rPr>
          <w:sz w:val="24"/>
          <w:lang w:bidi="ar"/>
        </w:rPr>
        <w:t>4.5mL/kg/d</w:t>
      </w:r>
      <w:r>
        <w:rPr>
          <w:rFonts w:hint="eastAsia" w:cs="宋体"/>
          <w:sz w:val="24"/>
          <w:lang w:bidi="ar"/>
        </w:rPr>
        <w:t>灌胃，造模前连续</w:t>
      </w:r>
      <w:r>
        <w:rPr>
          <w:sz w:val="24"/>
          <w:lang w:bidi="ar"/>
        </w:rPr>
        <w:t>7</w:t>
      </w:r>
      <w:r>
        <w:rPr>
          <w:rFonts w:hint="eastAsia" w:cs="宋体"/>
          <w:sz w:val="24"/>
          <w:lang w:bidi="ar"/>
        </w:rPr>
        <w:t>天。</w:t>
      </w:r>
    </w:p>
    <w:p w14:paraId="29BAFE59">
      <w:pPr>
        <w:spacing w:line="500" w:lineRule="exact"/>
        <w:ind w:firstLine="480" w:firstLineChars="200"/>
        <w:jc w:val="left"/>
        <w:rPr>
          <w:sz w:val="24"/>
        </w:rPr>
      </w:pPr>
      <w:r>
        <w:rPr>
          <w:sz w:val="24"/>
          <w:lang w:bidi="ar"/>
        </w:rPr>
        <w:t>E.</w:t>
      </w:r>
      <w:r>
        <w:rPr>
          <w:rFonts w:hint="eastAsia" w:cs="宋体"/>
          <w:sz w:val="24"/>
          <w:lang w:bidi="ar"/>
        </w:rPr>
        <w:t>宣痹清营汤中剂量组</w:t>
      </w:r>
      <w:r>
        <w:rPr>
          <w:sz w:val="24"/>
          <w:lang w:bidi="ar"/>
        </w:rPr>
        <w:t>10</w:t>
      </w:r>
      <w:r>
        <w:rPr>
          <w:rFonts w:hint="eastAsia" w:cs="宋体"/>
          <w:sz w:val="24"/>
          <w:lang w:bidi="ar"/>
        </w:rPr>
        <w:t>只：予以中剂量宣痹清营汤</w:t>
      </w:r>
      <w:r>
        <w:rPr>
          <w:sz w:val="24"/>
          <w:lang w:bidi="ar"/>
        </w:rPr>
        <w:t>9.5mL/kg/d</w:t>
      </w:r>
      <w:r>
        <w:rPr>
          <w:rFonts w:hint="eastAsia" w:cs="宋体"/>
          <w:sz w:val="24"/>
          <w:lang w:bidi="ar"/>
        </w:rPr>
        <w:t>灌胃，造模前连续</w:t>
      </w:r>
      <w:r>
        <w:rPr>
          <w:sz w:val="24"/>
          <w:lang w:bidi="ar"/>
        </w:rPr>
        <w:t>7</w:t>
      </w:r>
      <w:r>
        <w:rPr>
          <w:rFonts w:hint="eastAsia" w:cs="宋体"/>
          <w:sz w:val="24"/>
          <w:lang w:bidi="ar"/>
        </w:rPr>
        <w:t>天。</w:t>
      </w:r>
    </w:p>
    <w:p w14:paraId="7CCE9FEA">
      <w:pPr>
        <w:spacing w:line="500" w:lineRule="exact"/>
        <w:ind w:firstLine="480" w:firstLineChars="200"/>
        <w:jc w:val="left"/>
        <w:rPr>
          <w:sz w:val="24"/>
        </w:rPr>
      </w:pPr>
      <w:r>
        <w:rPr>
          <w:sz w:val="24"/>
          <w:lang w:bidi="ar"/>
        </w:rPr>
        <w:t>F.</w:t>
      </w:r>
      <w:r>
        <w:rPr>
          <w:rFonts w:hint="eastAsia" w:cs="宋体"/>
          <w:sz w:val="24"/>
          <w:lang w:bidi="ar"/>
        </w:rPr>
        <w:t>宣痹清营汤高剂量组</w:t>
      </w:r>
      <w:r>
        <w:rPr>
          <w:sz w:val="24"/>
          <w:lang w:bidi="ar"/>
        </w:rPr>
        <w:t>10</w:t>
      </w:r>
      <w:r>
        <w:rPr>
          <w:rFonts w:hint="eastAsia" w:cs="宋体"/>
          <w:sz w:val="24"/>
          <w:lang w:bidi="ar"/>
        </w:rPr>
        <w:t>只：予以高剂量宣痹清营汤</w:t>
      </w:r>
      <w:r>
        <w:rPr>
          <w:sz w:val="24"/>
          <w:lang w:bidi="ar"/>
        </w:rPr>
        <w:t>19.5mL/kg/d</w:t>
      </w:r>
      <w:r>
        <w:rPr>
          <w:rFonts w:hint="eastAsia" w:cs="宋体"/>
          <w:sz w:val="24"/>
          <w:lang w:bidi="ar"/>
        </w:rPr>
        <w:t>灌胃，</w:t>
      </w:r>
      <w:r>
        <w:rPr>
          <w:sz w:val="24"/>
          <w:lang w:bidi="ar"/>
        </w:rPr>
        <w:t>2</w:t>
      </w:r>
      <w:r>
        <w:rPr>
          <w:rFonts w:hint="eastAsia" w:cs="宋体"/>
          <w:sz w:val="24"/>
          <w:lang w:bidi="ar"/>
        </w:rPr>
        <w:t>次</w:t>
      </w:r>
      <w:r>
        <w:rPr>
          <w:sz w:val="24"/>
          <w:lang w:bidi="ar"/>
        </w:rPr>
        <w:t>/</w:t>
      </w:r>
      <w:r>
        <w:rPr>
          <w:rFonts w:hint="eastAsia" w:cs="宋体"/>
          <w:sz w:val="24"/>
          <w:lang w:bidi="ar"/>
        </w:rPr>
        <w:t>天，造模前连续</w:t>
      </w:r>
      <w:r>
        <w:rPr>
          <w:sz w:val="24"/>
          <w:lang w:bidi="ar"/>
        </w:rPr>
        <w:t>7</w:t>
      </w:r>
      <w:r>
        <w:rPr>
          <w:rFonts w:hint="eastAsia" w:cs="宋体"/>
          <w:sz w:val="24"/>
          <w:lang w:bidi="ar"/>
        </w:rPr>
        <w:t>天。</w:t>
      </w:r>
    </w:p>
    <w:p w14:paraId="06D42E90">
      <w:pPr>
        <w:spacing w:line="500" w:lineRule="exact"/>
        <w:jc w:val="left"/>
        <w:rPr>
          <w:sz w:val="24"/>
        </w:rPr>
      </w:pPr>
      <w:bookmarkStart w:id="15" w:name="_Toc23463"/>
      <w:r>
        <w:rPr>
          <w:rFonts w:hint="eastAsia" w:cs="宋体"/>
          <w:sz w:val="24"/>
          <w:lang w:bidi="ar"/>
        </w:rPr>
        <w:t>（</w:t>
      </w:r>
      <w:r>
        <w:rPr>
          <w:sz w:val="24"/>
          <w:lang w:bidi="ar"/>
        </w:rPr>
        <w:t>2</w:t>
      </w:r>
      <w:r>
        <w:rPr>
          <w:rFonts w:hint="eastAsia" w:cs="宋体"/>
          <w:sz w:val="24"/>
          <w:lang w:bidi="ar"/>
        </w:rPr>
        <w:t>）造模方法</w:t>
      </w:r>
      <w:bookmarkEnd w:id="15"/>
    </w:p>
    <w:p w14:paraId="10C10A39">
      <w:pPr>
        <w:spacing w:line="500" w:lineRule="exact"/>
        <w:ind w:firstLine="480" w:firstLineChars="200"/>
        <w:jc w:val="left"/>
        <w:rPr>
          <w:sz w:val="24"/>
        </w:rPr>
      </w:pPr>
      <w:r>
        <w:rPr>
          <w:rFonts w:hint="eastAsia" w:cs="宋体"/>
          <w:sz w:val="24"/>
          <w:lang w:bidi="ar"/>
        </w:rPr>
        <w:t>在动物实验中心</w:t>
      </w:r>
      <w:r>
        <w:rPr>
          <w:sz w:val="24"/>
          <w:lang w:bidi="ar"/>
        </w:rPr>
        <w:t>SPF</w:t>
      </w:r>
      <w:r>
        <w:rPr>
          <w:rFonts w:hint="eastAsia" w:cs="宋体"/>
          <w:sz w:val="24"/>
          <w:lang w:bidi="ar"/>
        </w:rPr>
        <w:t>级环境中完成手术，采用盲肠结扎穿刺术（</w:t>
      </w:r>
      <w:r>
        <w:rPr>
          <w:sz w:val="24"/>
          <w:lang w:bidi="ar"/>
        </w:rPr>
        <w:t>CecalLigationandpuncture,CLP</w:t>
      </w:r>
      <w:r>
        <w:rPr>
          <w:rFonts w:hint="eastAsia" w:cs="宋体"/>
          <w:sz w:val="24"/>
          <w:lang w:bidi="ar"/>
        </w:rPr>
        <w:t>）造模，术前常规高温高压消毒手术器械，选用健康雄性</w:t>
      </w:r>
      <w:r>
        <w:rPr>
          <w:sz w:val="24"/>
          <w:lang w:bidi="ar"/>
        </w:rPr>
        <w:t>SD</w:t>
      </w:r>
      <w:r>
        <w:rPr>
          <w:rFonts w:hint="eastAsia" w:cs="宋体"/>
          <w:sz w:val="24"/>
          <w:lang w:bidi="ar"/>
        </w:rPr>
        <w:t>大鼠于术前</w:t>
      </w:r>
      <w:r>
        <w:rPr>
          <w:sz w:val="24"/>
          <w:lang w:bidi="ar"/>
        </w:rPr>
        <w:t>12h</w:t>
      </w:r>
      <w:r>
        <w:rPr>
          <w:rFonts w:hint="eastAsia" w:cs="宋体"/>
          <w:sz w:val="24"/>
          <w:lang w:bidi="ar"/>
        </w:rPr>
        <w:t>禁食，</w:t>
      </w:r>
      <w:r>
        <w:rPr>
          <w:sz w:val="24"/>
          <w:lang w:bidi="ar"/>
        </w:rPr>
        <w:t>6h</w:t>
      </w:r>
      <w:r>
        <w:rPr>
          <w:rFonts w:hint="eastAsia" w:cs="宋体"/>
          <w:sz w:val="24"/>
          <w:lang w:bidi="ar"/>
        </w:rPr>
        <w:t>禁水。手术过程以异氟烷持续吸入麻醉，大鼠在密闭透明塑料盒麻醉后，转移至包裹无菌手术巾的木板上，手术区域备皮、碘伏消毒，沿腹部正中线作</w:t>
      </w:r>
      <w:r>
        <w:rPr>
          <w:sz w:val="24"/>
          <w:lang w:bidi="ar"/>
        </w:rPr>
        <w:t>1</w:t>
      </w:r>
      <w:r>
        <w:rPr>
          <w:rFonts w:hint="eastAsia" w:cs="宋体"/>
          <w:sz w:val="24"/>
          <w:lang w:bidi="ar"/>
        </w:rPr>
        <w:t>～</w:t>
      </w:r>
      <w:r>
        <w:rPr>
          <w:sz w:val="24"/>
          <w:lang w:bidi="ar"/>
        </w:rPr>
        <w:t>2cm</w:t>
      </w:r>
      <w:r>
        <w:rPr>
          <w:rFonts w:hint="eastAsia" w:cs="宋体"/>
          <w:sz w:val="24"/>
          <w:lang w:bidi="ar"/>
        </w:rPr>
        <w:t>纵行切口，逐层切开腹膜，钝性解剖钳扩腔游离肠系膜和盲肠，将盲肠放置于消毒备皮上，使用</w:t>
      </w:r>
      <w:r>
        <w:rPr>
          <w:sz w:val="24"/>
          <w:lang w:bidi="ar"/>
        </w:rPr>
        <w:t>4-0</w:t>
      </w:r>
      <w:r>
        <w:rPr>
          <w:rFonts w:hint="eastAsia" w:cs="宋体"/>
          <w:sz w:val="24"/>
          <w:lang w:bidi="ar"/>
        </w:rPr>
        <w:t>号丝线在盲肠盲端</w:t>
      </w:r>
      <w:r>
        <w:rPr>
          <w:sz w:val="24"/>
          <w:lang w:bidi="ar"/>
        </w:rPr>
        <w:t>1cm</w:t>
      </w:r>
      <w:r>
        <w:rPr>
          <w:rFonts w:hint="eastAsia" w:cs="宋体"/>
          <w:sz w:val="24"/>
          <w:lang w:bidi="ar"/>
        </w:rPr>
        <w:t>处结扎，</w:t>
      </w:r>
      <w:r>
        <w:rPr>
          <w:sz w:val="24"/>
          <w:lang w:bidi="ar"/>
        </w:rPr>
        <w:t>21G</w:t>
      </w:r>
      <w:r>
        <w:rPr>
          <w:rFonts w:hint="eastAsia" w:cs="宋体"/>
          <w:sz w:val="24"/>
          <w:lang w:bidi="ar"/>
        </w:rPr>
        <w:t>针头于盲肠末端对合穿孔</w:t>
      </w:r>
      <w:r>
        <w:rPr>
          <w:sz w:val="24"/>
          <w:lang w:bidi="ar"/>
        </w:rPr>
        <w:t>3</w:t>
      </w:r>
      <w:r>
        <w:rPr>
          <w:rFonts w:hint="eastAsia" w:cs="宋体"/>
          <w:sz w:val="24"/>
          <w:lang w:bidi="ar"/>
        </w:rPr>
        <w:t>次（尽量避开血管），挤出少许肠内容物，将盲肠放回腹腔内，逐层无菌丝线缝合关腹。假手术组大鼠仅开腹游离盲肠末端，不做穿孔处理，其他操作相同。术后皮下注射</w:t>
      </w:r>
      <w:r>
        <w:rPr>
          <w:sz w:val="24"/>
          <w:lang w:bidi="ar"/>
        </w:rPr>
        <w:t>3mL</w:t>
      </w:r>
      <w:r>
        <w:rPr>
          <w:rFonts w:hint="eastAsia" w:cs="宋体"/>
          <w:sz w:val="24"/>
          <w:lang w:bidi="ar"/>
        </w:rPr>
        <w:t>生理盐水补充体液。</w:t>
      </w:r>
    </w:p>
    <w:p w14:paraId="150610BA">
      <w:pPr>
        <w:spacing w:line="500" w:lineRule="exact"/>
        <w:jc w:val="left"/>
        <w:rPr>
          <w:sz w:val="24"/>
        </w:rPr>
      </w:pPr>
      <w:bookmarkStart w:id="16" w:name="_Toc12543"/>
      <w:r>
        <w:rPr>
          <w:rFonts w:hint="eastAsia" w:cs="宋体"/>
          <w:sz w:val="24"/>
          <w:lang w:bidi="ar"/>
        </w:rPr>
        <w:t>（</w:t>
      </w:r>
      <w:r>
        <w:rPr>
          <w:sz w:val="24"/>
          <w:lang w:bidi="ar"/>
        </w:rPr>
        <w:t>3</w:t>
      </w:r>
      <w:r>
        <w:rPr>
          <w:rFonts w:hint="eastAsia" w:cs="宋体"/>
          <w:sz w:val="24"/>
          <w:lang w:bidi="ar"/>
        </w:rPr>
        <w:t>）标本采集</w:t>
      </w:r>
      <w:bookmarkEnd w:id="16"/>
    </w:p>
    <w:p w14:paraId="6D3FBA9E">
      <w:pPr>
        <w:spacing w:line="500" w:lineRule="exact"/>
        <w:ind w:firstLine="480" w:firstLineChars="200"/>
        <w:jc w:val="left"/>
        <w:rPr>
          <w:sz w:val="24"/>
        </w:rPr>
      </w:pPr>
      <w:r>
        <w:rPr>
          <w:rFonts w:hint="eastAsia" w:cs="宋体"/>
          <w:sz w:val="24"/>
          <w:lang w:bidi="ar"/>
        </w:rPr>
        <w:t>造模结束后</w:t>
      </w:r>
      <w:r>
        <w:rPr>
          <w:sz w:val="24"/>
          <w:lang w:bidi="ar"/>
        </w:rPr>
        <w:t>24h</w:t>
      </w:r>
      <w:r>
        <w:rPr>
          <w:rFonts w:hint="eastAsia" w:cs="宋体"/>
          <w:sz w:val="24"/>
          <w:lang w:bidi="ar"/>
        </w:rPr>
        <w:t>，禁食不禁水</w:t>
      </w:r>
      <w:r>
        <w:rPr>
          <w:sz w:val="24"/>
          <w:lang w:bidi="ar"/>
        </w:rPr>
        <w:t>6h</w:t>
      </w:r>
      <w:r>
        <w:rPr>
          <w:rFonts w:hint="eastAsia" w:cs="宋体"/>
          <w:sz w:val="24"/>
          <w:lang w:bidi="ar"/>
        </w:rPr>
        <w:t>后，腹腔注射</w:t>
      </w:r>
      <w:r>
        <w:rPr>
          <w:sz w:val="24"/>
          <w:lang w:bidi="ar"/>
        </w:rPr>
        <w:t>10%</w:t>
      </w:r>
      <w:r>
        <w:rPr>
          <w:rFonts w:hint="eastAsia" w:cs="宋体"/>
          <w:sz w:val="24"/>
          <w:lang w:bidi="ar"/>
        </w:rPr>
        <w:t>的水合氯醛</w:t>
      </w:r>
      <w:r>
        <w:rPr>
          <w:sz w:val="24"/>
          <w:lang w:bidi="ar"/>
        </w:rPr>
        <w:t>(0.3ml/100g</w:t>
      </w:r>
      <w:r>
        <w:rPr>
          <w:rFonts w:hint="eastAsia" w:cs="宋体"/>
          <w:sz w:val="24"/>
          <w:lang w:bidi="ar"/>
        </w:rPr>
        <w:t>体重</w:t>
      </w:r>
      <w:r>
        <w:rPr>
          <w:sz w:val="24"/>
          <w:lang w:bidi="ar"/>
        </w:rPr>
        <w:t>)</w:t>
      </w:r>
      <w:r>
        <w:rPr>
          <w:rFonts w:hint="eastAsia" w:cs="宋体"/>
          <w:sz w:val="24"/>
          <w:lang w:bidi="ar"/>
        </w:rPr>
        <w:t>将大鼠进行麻醉，采用放血法处死动物。取腹主动脉血约</w:t>
      </w:r>
      <w:r>
        <w:rPr>
          <w:sz w:val="24"/>
          <w:lang w:bidi="ar"/>
        </w:rPr>
        <w:t>2ml</w:t>
      </w:r>
      <w:r>
        <w:rPr>
          <w:rFonts w:hint="eastAsia" w:cs="宋体"/>
          <w:sz w:val="24"/>
          <w:lang w:bidi="ar"/>
        </w:rPr>
        <w:t>至</w:t>
      </w:r>
      <w:r>
        <w:rPr>
          <w:sz w:val="24"/>
          <w:lang w:bidi="ar"/>
        </w:rPr>
        <w:t>1</w:t>
      </w:r>
      <w:r>
        <w:rPr>
          <w:rFonts w:hint="eastAsia" w:cs="宋体"/>
          <w:sz w:val="24"/>
          <w:lang w:bidi="ar"/>
        </w:rPr>
        <w:t>：</w:t>
      </w:r>
      <w:r>
        <w:rPr>
          <w:sz w:val="24"/>
          <w:lang w:bidi="ar"/>
        </w:rPr>
        <w:t>9</w:t>
      </w:r>
      <w:r>
        <w:rPr>
          <w:rFonts w:hint="eastAsia" w:cs="宋体"/>
          <w:sz w:val="24"/>
          <w:lang w:bidi="ar"/>
        </w:rPr>
        <w:t>枸橼酸钠采血管中，经离心</w:t>
      </w:r>
      <w:r>
        <w:rPr>
          <w:sz w:val="24"/>
          <w:lang w:bidi="ar"/>
        </w:rPr>
        <w:t>(3000r/min,4℃,20min)</w:t>
      </w:r>
      <w:r>
        <w:rPr>
          <w:rFonts w:hint="eastAsia" w:cs="宋体"/>
          <w:sz w:val="24"/>
          <w:lang w:bidi="ar"/>
        </w:rPr>
        <w:t>后收集上层澄清血浆至</w:t>
      </w:r>
      <w:r>
        <w:rPr>
          <w:sz w:val="24"/>
          <w:lang w:bidi="ar"/>
        </w:rPr>
        <w:t>EP</w:t>
      </w:r>
      <w:r>
        <w:rPr>
          <w:rFonts w:hint="eastAsia" w:cs="宋体"/>
          <w:sz w:val="24"/>
          <w:lang w:bidi="ar"/>
        </w:rPr>
        <w:t>管中，放入</w:t>
      </w:r>
      <w:r>
        <w:rPr>
          <w:sz w:val="24"/>
          <w:lang w:bidi="ar"/>
        </w:rPr>
        <w:t>-80℃</w:t>
      </w:r>
      <w:r>
        <w:rPr>
          <w:rFonts w:hint="eastAsia" w:cs="宋体"/>
          <w:sz w:val="24"/>
          <w:lang w:bidi="ar"/>
        </w:rPr>
        <w:t>冰箱保存。采血至离心步骤在</w:t>
      </w:r>
      <w:r>
        <w:rPr>
          <w:sz w:val="24"/>
          <w:lang w:bidi="ar"/>
        </w:rPr>
        <w:t>1h</w:t>
      </w:r>
      <w:r>
        <w:rPr>
          <w:rFonts w:hint="eastAsia" w:cs="宋体"/>
          <w:sz w:val="24"/>
          <w:lang w:bidi="ar"/>
        </w:rPr>
        <w:t>内完成。取剩余全部腹主动脉血，静置室温</w:t>
      </w:r>
      <w:r>
        <w:rPr>
          <w:sz w:val="24"/>
          <w:lang w:bidi="ar"/>
        </w:rPr>
        <w:t>2</w:t>
      </w:r>
      <w:r>
        <w:rPr>
          <w:rFonts w:hint="eastAsia" w:cs="宋体"/>
          <w:sz w:val="24"/>
          <w:lang w:bidi="ar"/>
        </w:rPr>
        <w:t>小时后，全血经离心</w:t>
      </w:r>
      <w:r>
        <w:rPr>
          <w:sz w:val="24"/>
          <w:lang w:bidi="ar"/>
        </w:rPr>
        <w:t>(3000r/min,4℃,20min)</w:t>
      </w:r>
      <w:r>
        <w:rPr>
          <w:rFonts w:hint="eastAsia" w:cs="宋体"/>
          <w:sz w:val="24"/>
          <w:lang w:bidi="ar"/>
        </w:rPr>
        <w:t>后收集上层血清于</w:t>
      </w:r>
      <w:r>
        <w:rPr>
          <w:sz w:val="24"/>
          <w:lang w:bidi="ar"/>
        </w:rPr>
        <w:t>EP</w:t>
      </w:r>
      <w:r>
        <w:rPr>
          <w:rFonts w:hint="eastAsia" w:cs="宋体"/>
          <w:sz w:val="24"/>
          <w:lang w:bidi="ar"/>
        </w:rPr>
        <w:t>管中置于</w:t>
      </w:r>
      <w:r>
        <w:rPr>
          <w:sz w:val="24"/>
          <w:lang w:bidi="ar"/>
        </w:rPr>
        <w:t>-80℃</w:t>
      </w:r>
      <w:r>
        <w:rPr>
          <w:rFonts w:hint="eastAsia" w:cs="宋体"/>
          <w:sz w:val="24"/>
          <w:lang w:bidi="ar"/>
        </w:rPr>
        <w:t>冰箱冻存。将大鼠动脉血采集完成后，取出整个肝脏，用生理盐水洗净血水，用无尘纸吸附多余水分，取左侧肝组织及病损严重部分，置于</w:t>
      </w:r>
      <w:r>
        <w:rPr>
          <w:sz w:val="24"/>
          <w:lang w:bidi="ar"/>
        </w:rPr>
        <w:t>4%</w:t>
      </w:r>
      <w:r>
        <w:rPr>
          <w:rFonts w:hint="eastAsia" w:cs="宋体"/>
          <w:sz w:val="24"/>
          <w:lang w:bidi="ar"/>
        </w:rPr>
        <w:t>多聚甲醛中固定保存，用于</w:t>
      </w:r>
      <w:r>
        <w:rPr>
          <w:sz w:val="24"/>
          <w:lang w:bidi="ar"/>
        </w:rPr>
        <w:t>HE</w:t>
      </w:r>
      <w:r>
        <w:rPr>
          <w:rFonts w:hint="eastAsia" w:cs="宋体"/>
          <w:sz w:val="24"/>
          <w:lang w:bidi="ar"/>
        </w:rPr>
        <w:t>染色，其余部分用生理盐水洗净后分装于冻存管中统一置于液氮罐中，后续转移至</w:t>
      </w:r>
      <w:r>
        <w:rPr>
          <w:sz w:val="24"/>
          <w:lang w:bidi="ar"/>
        </w:rPr>
        <w:t>-80℃</w:t>
      </w:r>
      <w:r>
        <w:rPr>
          <w:rFonts w:hint="eastAsia" w:cs="宋体"/>
          <w:sz w:val="24"/>
          <w:lang w:bidi="ar"/>
        </w:rPr>
        <w:t>冰箱冻存，用于后续相关实验检测。</w:t>
      </w:r>
    </w:p>
    <w:p w14:paraId="1A424C18">
      <w:pPr>
        <w:spacing w:line="500" w:lineRule="exact"/>
        <w:ind w:left="78" w:leftChars="37"/>
        <w:jc w:val="left"/>
        <w:rPr>
          <w:sz w:val="24"/>
        </w:rPr>
      </w:pPr>
      <w:r>
        <w:rPr>
          <w:rFonts w:hint="eastAsia" w:cs="宋体"/>
          <w:sz w:val="24"/>
          <w:lang w:bidi="ar"/>
        </w:rPr>
        <w:t>（</w:t>
      </w:r>
      <w:r>
        <w:rPr>
          <w:sz w:val="24"/>
          <w:lang w:bidi="ar"/>
        </w:rPr>
        <w:t>4</w:t>
      </w:r>
      <w:r>
        <w:rPr>
          <w:rFonts w:hint="eastAsia" w:cs="宋体"/>
          <w:sz w:val="24"/>
          <w:lang w:bidi="ar"/>
        </w:rPr>
        <w:t>）观察指标</w:t>
      </w:r>
    </w:p>
    <w:p w14:paraId="656E7C34">
      <w:pPr>
        <w:spacing w:line="500" w:lineRule="exact"/>
        <w:ind w:left="78" w:leftChars="37"/>
        <w:jc w:val="left"/>
        <w:rPr>
          <w:sz w:val="24"/>
        </w:rPr>
      </w:pPr>
      <w:r>
        <w:rPr>
          <w:sz w:val="24"/>
          <w:lang w:bidi="ar"/>
        </w:rPr>
        <w:t>①</w:t>
      </w:r>
      <w:r>
        <w:rPr>
          <w:rFonts w:hint="eastAsia" w:cs="宋体"/>
          <w:sz w:val="24"/>
          <w:lang w:bidi="ar"/>
        </w:rPr>
        <w:t>一般情况记录</w:t>
      </w:r>
    </w:p>
    <w:p w14:paraId="19FEA1F9">
      <w:pPr>
        <w:spacing w:line="500" w:lineRule="exact"/>
        <w:ind w:firstLine="480" w:firstLineChars="200"/>
        <w:jc w:val="left"/>
        <w:rPr>
          <w:sz w:val="24"/>
        </w:rPr>
      </w:pPr>
      <w:r>
        <w:rPr>
          <w:rFonts w:hint="eastAsia" w:cs="宋体"/>
          <w:sz w:val="24"/>
          <w:lang w:bidi="ar"/>
        </w:rPr>
        <w:t>于造模结束后起，连续观察记录大鼠</w:t>
      </w:r>
      <w:r>
        <w:rPr>
          <w:sz w:val="24"/>
          <w:lang w:bidi="ar"/>
        </w:rPr>
        <w:t>24</w:t>
      </w:r>
      <w:r>
        <w:rPr>
          <w:rFonts w:hint="eastAsia" w:cs="宋体"/>
          <w:sz w:val="24"/>
          <w:lang w:bidi="ar"/>
        </w:rPr>
        <w:t>小时。观察记录内容包括：精神情况，进食情况，活动情况以及大小便情况等。</w:t>
      </w:r>
    </w:p>
    <w:p w14:paraId="48C1E68F">
      <w:pPr>
        <w:spacing w:line="500" w:lineRule="exact"/>
        <w:jc w:val="left"/>
        <w:rPr>
          <w:sz w:val="24"/>
        </w:rPr>
      </w:pPr>
      <w:r>
        <w:rPr>
          <w:sz w:val="24"/>
          <w:lang w:bidi="ar"/>
        </w:rPr>
        <w:t>②</w:t>
      </w:r>
      <w:r>
        <w:rPr>
          <w:rFonts w:hint="eastAsia" w:cs="宋体"/>
          <w:sz w:val="24"/>
          <w:lang w:bidi="ar"/>
        </w:rPr>
        <w:t>大鼠</w:t>
      </w:r>
      <w:r>
        <w:rPr>
          <w:sz w:val="24"/>
          <w:lang w:bidi="ar"/>
        </w:rPr>
        <w:t>24</w:t>
      </w:r>
      <w:r>
        <w:rPr>
          <w:rFonts w:hint="eastAsia" w:cs="宋体"/>
          <w:sz w:val="24"/>
          <w:lang w:bidi="ar"/>
        </w:rPr>
        <w:t>小时存活情况记录</w:t>
      </w:r>
    </w:p>
    <w:p w14:paraId="245ED769">
      <w:pPr>
        <w:spacing w:line="500" w:lineRule="exact"/>
        <w:ind w:firstLine="480" w:firstLineChars="200"/>
        <w:jc w:val="left"/>
        <w:rPr>
          <w:sz w:val="24"/>
        </w:rPr>
      </w:pPr>
      <w:r>
        <w:rPr>
          <w:rFonts w:hint="eastAsia" w:cs="宋体"/>
          <w:sz w:val="24"/>
          <w:lang w:bidi="ar"/>
        </w:rPr>
        <w:t>于造模结束后，观察记录大鼠术后</w:t>
      </w:r>
      <w:r>
        <w:rPr>
          <w:sz w:val="24"/>
          <w:lang w:bidi="ar"/>
        </w:rPr>
        <w:t>6h</w:t>
      </w:r>
      <w:r>
        <w:rPr>
          <w:rFonts w:hint="eastAsia" w:cs="宋体"/>
          <w:sz w:val="24"/>
          <w:lang w:bidi="ar"/>
        </w:rPr>
        <w:t>、</w:t>
      </w:r>
      <w:r>
        <w:rPr>
          <w:sz w:val="24"/>
          <w:lang w:bidi="ar"/>
        </w:rPr>
        <w:t>12h</w:t>
      </w:r>
      <w:r>
        <w:rPr>
          <w:rFonts w:hint="eastAsia" w:cs="宋体"/>
          <w:sz w:val="24"/>
          <w:lang w:bidi="ar"/>
        </w:rPr>
        <w:t>、</w:t>
      </w:r>
      <w:r>
        <w:rPr>
          <w:sz w:val="24"/>
          <w:lang w:bidi="ar"/>
        </w:rPr>
        <w:t>24h</w:t>
      </w:r>
      <w:r>
        <w:rPr>
          <w:rFonts w:hint="eastAsia" w:cs="宋体"/>
          <w:sz w:val="24"/>
          <w:lang w:bidi="ar"/>
        </w:rPr>
        <w:t>各组大鼠存活和死亡的数量。</w:t>
      </w:r>
    </w:p>
    <w:p w14:paraId="5662C83C">
      <w:pPr>
        <w:spacing w:line="500" w:lineRule="exact"/>
        <w:jc w:val="left"/>
        <w:rPr>
          <w:sz w:val="24"/>
        </w:rPr>
      </w:pPr>
      <w:r>
        <w:rPr>
          <w:sz w:val="24"/>
          <w:lang w:bidi="ar"/>
        </w:rPr>
        <w:t>③</w:t>
      </w:r>
      <w:r>
        <w:rPr>
          <w:rFonts w:hint="eastAsia" w:cs="宋体"/>
          <w:sz w:val="24"/>
          <w:lang w:bidi="ar"/>
        </w:rPr>
        <w:t>肝组织病理学观察</w:t>
      </w:r>
    </w:p>
    <w:p w14:paraId="49D8A561">
      <w:pPr>
        <w:spacing w:line="500" w:lineRule="exact"/>
        <w:ind w:firstLine="480" w:firstLineChars="200"/>
        <w:jc w:val="left"/>
        <w:rPr>
          <w:sz w:val="24"/>
        </w:rPr>
      </w:pPr>
      <w:r>
        <w:rPr>
          <w:rFonts w:hint="eastAsia" w:cs="宋体"/>
          <w:sz w:val="24"/>
          <w:lang w:bidi="ar"/>
        </w:rPr>
        <w:t>待肝脏组织固定至</w:t>
      </w:r>
      <w:r>
        <w:rPr>
          <w:sz w:val="24"/>
          <w:lang w:bidi="ar"/>
        </w:rPr>
        <w:t>24</w:t>
      </w:r>
      <w:r>
        <w:rPr>
          <w:rFonts w:hint="eastAsia" w:cs="宋体"/>
          <w:sz w:val="24"/>
          <w:lang w:bidi="ar"/>
        </w:rPr>
        <w:t>小时后，石蜡包埋，切片，脱蜡，染色</w:t>
      </w:r>
      <w:r>
        <w:rPr>
          <w:sz w:val="24"/>
          <w:lang w:bidi="ar"/>
        </w:rPr>
        <w:t>3</w:t>
      </w:r>
      <w:r>
        <w:rPr>
          <w:rFonts w:hint="eastAsia" w:cs="宋体"/>
          <w:sz w:val="24"/>
          <w:lang w:bidi="ar"/>
        </w:rPr>
        <w:t>分钟，复染染色，将清洗后的载玻片标本依次置入</w:t>
      </w:r>
      <w:r>
        <w:rPr>
          <w:sz w:val="24"/>
          <w:lang w:bidi="ar"/>
        </w:rPr>
        <w:t>80%</w:t>
      </w:r>
      <w:r>
        <w:rPr>
          <w:rFonts w:hint="eastAsia" w:cs="宋体"/>
          <w:sz w:val="24"/>
          <w:lang w:bidi="ar"/>
        </w:rPr>
        <w:t>乙醇中浸泡。将已脱水的载玻片取出，置于通风处稍晾干（不能完全晾干）。将制备完成的玻片置于光镜下观察肝组织及细胞学形态。结合肝脏</w:t>
      </w:r>
      <w:r>
        <w:rPr>
          <w:sz w:val="24"/>
          <w:lang w:bidi="ar"/>
        </w:rPr>
        <w:t>Knodell</w:t>
      </w:r>
      <w:r>
        <w:rPr>
          <w:rFonts w:hint="eastAsia" w:cs="宋体"/>
          <w:sz w:val="24"/>
          <w:lang w:bidi="ar"/>
        </w:rPr>
        <w:t>组织学活动指数（</w:t>
      </w:r>
      <w:r>
        <w:rPr>
          <w:sz w:val="24"/>
          <w:lang w:bidi="ar"/>
        </w:rPr>
        <w:t>HAI</w:t>
      </w:r>
      <w:r>
        <w:rPr>
          <w:rFonts w:hint="eastAsia" w:cs="宋体"/>
          <w:sz w:val="24"/>
          <w:lang w:bidi="ar"/>
        </w:rPr>
        <w:t>）评分，对肝脏组织病理水肿、炎症及出血等采取半定量分析法评分：没有损伤，记</w:t>
      </w:r>
      <w:r>
        <w:rPr>
          <w:sz w:val="24"/>
          <w:lang w:bidi="ar"/>
        </w:rPr>
        <w:t>0</w:t>
      </w:r>
      <w:r>
        <w:rPr>
          <w:rFonts w:hint="eastAsia" w:cs="宋体"/>
          <w:sz w:val="24"/>
          <w:lang w:bidi="ar"/>
        </w:rPr>
        <w:t>分；＜</w:t>
      </w:r>
      <w:r>
        <w:rPr>
          <w:sz w:val="24"/>
          <w:lang w:bidi="ar"/>
        </w:rPr>
        <w:t>25%</w:t>
      </w:r>
      <w:r>
        <w:rPr>
          <w:rFonts w:hint="eastAsia" w:cs="宋体"/>
          <w:sz w:val="24"/>
          <w:lang w:bidi="ar"/>
        </w:rPr>
        <w:t>的损伤面积，记</w:t>
      </w:r>
      <w:r>
        <w:rPr>
          <w:sz w:val="24"/>
          <w:lang w:bidi="ar"/>
        </w:rPr>
        <w:t>1</w:t>
      </w:r>
      <w:r>
        <w:rPr>
          <w:rFonts w:hint="eastAsia" w:cs="宋体"/>
          <w:sz w:val="24"/>
          <w:lang w:bidi="ar"/>
        </w:rPr>
        <w:t>分；</w:t>
      </w:r>
      <w:r>
        <w:rPr>
          <w:sz w:val="24"/>
          <w:lang w:bidi="ar"/>
        </w:rPr>
        <w:t>26%</w:t>
      </w:r>
      <w:r>
        <w:rPr>
          <w:rFonts w:hint="eastAsia" w:cs="宋体"/>
          <w:sz w:val="24"/>
          <w:lang w:bidi="ar"/>
        </w:rPr>
        <w:t>～</w:t>
      </w:r>
      <w:r>
        <w:rPr>
          <w:sz w:val="24"/>
          <w:lang w:bidi="ar"/>
        </w:rPr>
        <w:t>50%</w:t>
      </w:r>
      <w:r>
        <w:rPr>
          <w:rFonts w:hint="eastAsia" w:cs="宋体"/>
          <w:sz w:val="24"/>
          <w:lang w:bidi="ar"/>
        </w:rPr>
        <w:t>的损伤面积，记</w:t>
      </w:r>
      <w:r>
        <w:rPr>
          <w:sz w:val="24"/>
          <w:lang w:bidi="ar"/>
        </w:rPr>
        <w:t>2</w:t>
      </w:r>
      <w:r>
        <w:rPr>
          <w:rFonts w:hint="eastAsia" w:cs="宋体"/>
          <w:sz w:val="24"/>
          <w:lang w:bidi="ar"/>
        </w:rPr>
        <w:t>分；</w:t>
      </w:r>
      <w:r>
        <w:rPr>
          <w:sz w:val="24"/>
          <w:lang w:bidi="ar"/>
        </w:rPr>
        <w:t>51%</w:t>
      </w:r>
      <w:r>
        <w:rPr>
          <w:rFonts w:hint="eastAsia" w:cs="宋体"/>
          <w:sz w:val="24"/>
          <w:lang w:bidi="ar"/>
        </w:rPr>
        <w:t>～</w:t>
      </w:r>
      <w:r>
        <w:rPr>
          <w:sz w:val="24"/>
          <w:lang w:bidi="ar"/>
        </w:rPr>
        <w:t>75%</w:t>
      </w:r>
      <w:r>
        <w:rPr>
          <w:rFonts w:hint="eastAsia" w:cs="宋体"/>
          <w:sz w:val="24"/>
          <w:lang w:bidi="ar"/>
        </w:rPr>
        <w:t>的损伤面积，记</w:t>
      </w:r>
      <w:r>
        <w:rPr>
          <w:sz w:val="24"/>
          <w:lang w:bidi="ar"/>
        </w:rPr>
        <w:t>3</w:t>
      </w:r>
      <w:r>
        <w:rPr>
          <w:rFonts w:hint="eastAsia" w:cs="宋体"/>
          <w:sz w:val="24"/>
          <w:lang w:bidi="ar"/>
        </w:rPr>
        <w:t>分；＞</w:t>
      </w:r>
      <w:r>
        <w:rPr>
          <w:sz w:val="24"/>
          <w:lang w:bidi="ar"/>
        </w:rPr>
        <w:t>75%</w:t>
      </w:r>
      <w:r>
        <w:rPr>
          <w:rFonts w:hint="eastAsia" w:cs="宋体"/>
          <w:sz w:val="24"/>
          <w:lang w:bidi="ar"/>
        </w:rPr>
        <w:t>的损伤面积，记</w:t>
      </w:r>
      <w:r>
        <w:rPr>
          <w:sz w:val="24"/>
          <w:lang w:bidi="ar"/>
        </w:rPr>
        <w:t>4</w:t>
      </w:r>
      <w:r>
        <w:rPr>
          <w:rFonts w:hint="eastAsia" w:cs="宋体"/>
          <w:sz w:val="24"/>
          <w:lang w:bidi="ar"/>
        </w:rPr>
        <w:t>分。每只动物观察</w:t>
      </w:r>
      <w:r>
        <w:rPr>
          <w:sz w:val="24"/>
          <w:lang w:bidi="ar"/>
        </w:rPr>
        <w:t>10</w:t>
      </w:r>
      <w:r>
        <w:rPr>
          <w:rFonts w:hint="eastAsia" w:cs="宋体"/>
          <w:sz w:val="24"/>
          <w:lang w:bidi="ar"/>
        </w:rPr>
        <w:t>个高倍视野，取其平均值即为该组肝损伤评分。</w:t>
      </w:r>
    </w:p>
    <w:p w14:paraId="397687FA">
      <w:pPr>
        <w:spacing w:line="500" w:lineRule="exact"/>
        <w:jc w:val="left"/>
        <w:rPr>
          <w:sz w:val="24"/>
        </w:rPr>
      </w:pPr>
      <w:r>
        <w:rPr>
          <w:sz w:val="24"/>
          <w:lang w:bidi="ar"/>
        </w:rPr>
        <w:t>④ELISA</w:t>
      </w:r>
      <w:r>
        <w:rPr>
          <w:rFonts w:hint="eastAsia" w:cs="宋体"/>
          <w:sz w:val="24"/>
          <w:lang w:bidi="ar"/>
        </w:rPr>
        <w:t>检测各组大鼠血清中</w:t>
      </w:r>
      <w:r>
        <w:rPr>
          <w:sz w:val="24"/>
          <w:lang w:bidi="ar"/>
        </w:rPr>
        <w:t>TNF-α</w:t>
      </w:r>
      <w:r>
        <w:rPr>
          <w:rFonts w:hint="eastAsia" w:cs="宋体"/>
          <w:sz w:val="24"/>
          <w:lang w:bidi="ar"/>
        </w:rPr>
        <w:t>、</w:t>
      </w:r>
      <w:r>
        <w:rPr>
          <w:sz w:val="24"/>
          <w:lang w:bidi="ar"/>
        </w:rPr>
        <w:t>IL-1β</w:t>
      </w:r>
      <w:r>
        <w:rPr>
          <w:rFonts w:hint="eastAsia" w:cs="宋体"/>
          <w:sz w:val="24"/>
          <w:lang w:bidi="ar"/>
        </w:rPr>
        <w:t>、</w:t>
      </w:r>
      <w:r>
        <w:rPr>
          <w:sz w:val="24"/>
          <w:lang w:bidi="ar"/>
        </w:rPr>
        <w:t>IL-6</w:t>
      </w:r>
      <w:r>
        <w:rPr>
          <w:rFonts w:hint="eastAsia" w:cs="宋体"/>
          <w:sz w:val="24"/>
          <w:lang w:bidi="ar"/>
        </w:rPr>
        <w:t>水平含量</w:t>
      </w:r>
    </w:p>
    <w:p w14:paraId="6F683B7D">
      <w:pPr>
        <w:spacing w:line="500" w:lineRule="exact"/>
        <w:ind w:firstLine="480" w:firstLineChars="200"/>
        <w:jc w:val="left"/>
        <w:rPr>
          <w:sz w:val="24"/>
        </w:rPr>
      </w:pPr>
      <w:r>
        <w:rPr>
          <w:rFonts w:hint="eastAsia" w:cs="宋体"/>
          <w:sz w:val="24"/>
          <w:lang w:bidi="ar"/>
        </w:rPr>
        <w:t>取分装过的血清，用酶联免疫法（</w:t>
      </w:r>
      <w:r>
        <w:rPr>
          <w:sz w:val="24"/>
          <w:lang w:bidi="ar"/>
        </w:rPr>
        <w:t>ELISA</w:t>
      </w:r>
      <w:r>
        <w:rPr>
          <w:rFonts w:hint="eastAsia" w:cs="宋体"/>
          <w:sz w:val="24"/>
          <w:lang w:bidi="ar"/>
        </w:rPr>
        <w:t>）对分装的样本进行检测，分别测定各组大鼠血浆中</w:t>
      </w:r>
      <w:r>
        <w:rPr>
          <w:sz w:val="24"/>
          <w:lang w:bidi="ar"/>
        </w:rPr>
        <w:t>TNF-α</w:t>
      </w:r>
      <w:r>
        <w:rPr>
          <w:rFonts w:hint="eastAsia" w:cs="宋体"/>
          <w:sz w:val="24"/>
          <w:lang w:bidi="ar"/>
        </w:rPr>
        <w:t>、</w:t>
      </w:r>
      <w:r>
        <w:rPr>
          <w:sz w:val="24"/>
          <w:lang w:bidi="ar"/>
        </w:rPr>
        <w:t>IL-6</w:t>
      </w:r>
      <w:r>
        <w:rPr>
          <w:rFonts w:hint="eastAsia" w:cs="宋体"/>
          <w:sz w:val="24"/>
          <w:lang w:bidi="ar"/>
        </w:rPr>
        <w:t>、</w:t>
      </w:r>
      <w:r>
        <w:rPr>
          <w:sz w:val="24"/>
          <w:lang w:bidi="ar"/>
        </w:rPr>
        <w:t>IL-1β</w:t>
      </w:r>
      <w:r>
        <w:rPr>
          <w:rFonts w:hint="eastAsia" w:cs="宋体"/>
          <w:sz w:val="24"/>
          <w:lang w:bidi="ar"/>
        </w:rPr>
        <w:t>含量。</w:t>
      </w:r>
      <w:bookmarkStart w:id="17" w:name="OLE_LINK88"/>
      <w:r>
        <w:rPr>
          <w:rFonts w:hint="eastAsia" w:cs="宋体"/>
          <w:sz w:val="24"/>
          <w:lang w:bidi="ar"/>
        </w:rPr>
        <w:t>按试剂说明书上的实验步骤进行。</w:t>
      </w:r>
      <w:bookmarkEnd w:id="17"/>
    </w:p>
    <w:p w14:paraId="387ABC75">
      <w:pPr>
        <w:spacing w:line="500" w:lineRule="exact"/>
        <w:jc w:val="left"/>
        <w:rPr>
          <w:sz w:val="24"/>
        </w:rPr>
      </w:pPr>
      <w:r>
        <w:rPr>
          <w:sz w:val="24"/>
          <w:lang w:bidi="ar"/>
        </w:rPr>
        <w:t>⑤</w:t>
      </w:r>
      <w:r>
        <w:rPr>
          <w:rFonts w:hint="eastAsia" w:cs="宋体"/>
          <w:sz w:val="24"/>
          <w:lang w:bidi="ar"/>
        </w:rPr>
        <w:t>酶标板法测定血清中</w:t>
      </w:r>
      <w:r>
        <w:rPr>
          <w:sz w:val="24"/>
          <w:lang w:bidi="ar"/>
        </w:rPr>
        <w:t>AST</w:t>
      </w:r>
      <w:r>
        <w:rPr>
          <w:rFonts w:hint="eastAsia" w:cs="宋体"/>
          <w:sz w:val="24"/>
          <w:lang w:bidi="ar"/>
        </w:rPr>
        <w:t>、</w:t>
      </w:r>
      <w:r>
        <w:rPr>
          <w:sz w:val="24"/>
          <w:lang w:bidi="ar"/>
        </w:rPr>
        <w:t>ALT</w:t>
      </w:r>
      <w:r>
        <w:rPr>
          <w:rFonts w:hint="eastAsia" w:cs="宋体"/>
          <w:sz w:val="24"/>
          <w:lang w:bidi="ar"/>
        </w:rPr>
        <w:t>、</w:t>
      </w:r>
      <w:r>
        <w:rPr>
          <w:sz w:val="24"/>
          <w:lang w:bidi="ar"/>
        </w:rPr>
        <w:t>ALB</w:t>
      </w:r>
      <w:r>
        <w:rPr>
          <w:rFonts w:hint="eastAsia" w:cs="宋体"/>
          <w:sz w:val="24"/>
          <w:lang w:bidi="ar"/>
        </w:rPr>
        <w:t>、</w:t>
      </w:r>
      <w:r>
        <w:rPr>
          <w:sz w:val="24"/>
          <w:lang w:bidi="ar"/>
        </w:rPr>
        <w:t>TBA</w:t>
      </w:r>
      <w:r>
        <w:rPr>
          <w:rFonts w:hint="eastAsia" w:cs="宋体"/>
          <w:sz w:val="24"/>
          <w:lang w:bidi="ar"/>
        </w:rPr>
        <w:t>、</w:t>
      </w:r>
      <w:r>
        <w:rPr>
          <w:sz w:val="24"/>
          <w:lang w:bidi="ar"/>
        </w:rPr>
        <w:t>TBIL</w:t>
      </w:r>
    </w:p>
    <w:p w14:paraId="3465C5A3">
      <w:pPr>
        <w:spacing w:line="500" w:lineRule="exact"/>
        <w:ind w:firstLine="480" w:firstLineChars="200"/>
        <w:rPr>
          <w:sz w:val="24"/>
        </w:rPr>
      </w:pPr>
      <w:r>
        <w:rPr>
          <w:rFonts w:hint="eastAsia" w:cs="宋体"/>
          <w:sz w:val="24"/>
          <w:lang w:bidi="ar"/>
        </w:rPr>
        <w:t>按试剂说明书上的实验步骤进行。</w:t>
      </w:r>
    </w:p>
    <w:p w14:paraId="060F5CDB">
      <w:pPr>
        <w:spacing w:line="500" w:lineRule="exact"/>
        <w:jc w:val="left"/>
        <w:rPr>
          <w:sz w:val="24"/>
        </w:rPr>
      </w:pPr>
      <w:r>
        <w:rPr>
          <w:sz w:val="24"/>
          <w:lang w:bidi="ar"/>
        </w:rPr>
        <w:t>⑥</w:t>
      </w:r>
      <w:r>
        <w:rPr>
          <w:rFonts w:hint="eastAsia" w:cs="宋体"/>
          <w:sz w:val="24"/>
          <w:lang w:bidi="ar"/>
        </w:rPr>
        <w:t>全自动凝血分析仪检测大鼠血浆中</w:t>
      </w:r>
      <w:r>
        <w:rPr>
          <w:sz w:val="24"/>
          <w:lang w:bidi="ar"/>
        </w:rPr>
        <w:t>PT</w:t>
      </w:r>
      <w:r>
        <w:rPr>
          <w:rFonts w:hint="eastAsia" w:cs="宋体"/>
          <w:sz w:val="24"/>
          <w:lang w:bidi="ar"/>
        </w:rPr>
        <w:t>、</w:t>
      </w:r>
      <w:r>
        <w:rPr>
          <w:sz w:val="24"/>
          <w:lang w:bidi="ar"/>
        </w:rPr>
        <w:t>APTT</w:t>
      </w:r>
      <w:r>
        <w:rPr>
          <w:rFonts w:hint="eastAsia" w:cs="宋体"/>
          <w:sz w:val="24"/>
          <w:lang w:bidi="ar"/>
        </w:rPr>
        <w:t>、</w:t>
      </w:r>
      <w:r>
        <w:rPr>
          <w:sz w:val="24"/>
          <w:lang w:bidi="ar"/>
        </w:rPr>
        <w:t>TT</w:t>
      </w:r>
      <w:r>
        <w:rPr>
          <w:rFonts w:hint="eastAsia" w:cs="宋体"/>
          <w:sz w:val="24"/>
          <w:lang w:bidi="ar"/>
        </w:rPr>
        <w:t>及</w:t>
      </w:r>
      <w:r>
        <w:rPr>
          <w:sz w:val="24"/>
          <w:lang w:bidi="ar"/>
        </w:rPr>
        <w:t>FIB</w:t>
      </w:r>
    </w:p>
    <w:p w14:paraId="52A0695B">
      <w:pPr>
        <w:spacing w:line="500" w:lineRule="exact"/>
        <w:ind w:firstLine="480" w:firstLineChars="200"/>
        <w:jc w:val="left"/>
        <w:rPr>
          <w:sz w:val="24"/>
        </w:rPr>
      </w:pPr>
      <w:r>
        <w:rPr>
          <w:rFonts w:hint="eastAsia" w:cs="宋体"/>
          <w:sz w:val="24"/>
          <w:lang w:bidi="ar"/>
        </w:rPr>
        <w:t>凝血标本采集取腹主动脉血</w:t>
      </w:r>
      <w:r>
        <w:rPr>
          <w:sz w:val="24"/>
          <w:lang w:bidi="ar"/>
        </w:rPr>
        <w:t>1.8ml</w:t>
      </w:r>
      <w:r>
        <w:rPr>
          <w:rFonts w:hint="eastAsia" w:cs="宋体"/>
          <w:sz w:val="24"/>
          <w:lang w:bidi="ar"/>
        </w:rPr>
        <w:t>，加入装有</w:t>
      </w:r>
      <w:r>
        <w:rPr>
          <w:sz w:val="24"/>
          <w:lang w:bidi="ar"/>
        </w:rPr>
        <w:t>0.2ml</w:t>
      </w:r>
      <w:r>
        <w:rPr>
          <w:rFonts w:hint="eastAsia" w:cs="宋体"/>
          <w:sz w:val="24"/>
          <w:lang w:bidi="ar"/>
        </w:rPr>
        <w:t>含有</w:t>
      </w:r>
      <w:r>
        <w:rPr>
          <w:sz w:val="24"/>
          <w:lang w:bidi="ar"/>
        </w:rPr>
        <w:t>0.109/L</w:t>
      </w:r>
      <w:r>
        <w:rPr>
          <w:rFonts w:hint="eastAsia" w:cs="宋体"/>
          <w:sz w:val="24"/>
          <w:lang w:bidi="ar"/>
        </w:rPr>
        <w:t>枸橼酸钠抗凝试管中，于离心机中</w:t>
      </w:r>
      <w:r>
        <w:rPr>
          <w:sz w:val="24"/>
          <w:lang w:bidi="ar"/>
        </w:rPr>
        <w:t>3000r/min</w:t>
      </w:r>
      <w:r>
        <w:rPr>
          <w:rFonts w:hint="eastAsia" w:cs="宋体"/>
          <w:sz w:val="24"/>
          <w:lang w:bidi="ar"/>
        </w:rPr>
        <w:t>，</w:t>
      </w:r>
      <w:r>
        <w:rPr>
          <w:sz w:val="24"/>
          <w:lang w:bidi="ar"/>
        </w:rPr>
        <w:t>4℃</w:t>
      </w:r>
      <w:r>
        <w:rPr>
          <w:rFonts w:hint="eastAsia" w:cs="宋体"/>
          <w:sz w:val="24"/>
          <w:lang w:bidi="ar"/>
        </w:rPr>
        <w:t>，</w:t>
      </w:r>
      <w:r>
        <w:rPr>
          <w:sz w:val="24"/>
          <w:lang w:bidi="ar"/>
        </w:rPr>
        <w:t>10min</w:t>
      </w:r>
      <w:r>
        <w:rPr>
          <w:rFonts w:hint="eastAsia" w:cs="宋体"/>
          <w:sz w:val="24"/>
          <w:lang w:bidi="ar"/>
        </w:rPr>
        <w:t>收集血浆，随后采用</w:t>
      </w:r>
      <w:r>
        <w:rPr>
          <w:sz w:val="24"/>
          <w:lang w:bidi="ar"/>
        </w:rPr>
        <w:t>RAC-1830</w:t>
      </w:r>
      <w:r>
        <w:rPr>
          <w:rFonts w:hint="eastAsia" w:cs="宋体"/>
          <w:sz w:val="24"/>
          <w:lang w:bidi="ar"/>
        </w:rPr>
        <w:t>型全自动血凝分析仪对</w:t>
      </w:r>
      <w:r>
        <w:rPr>
          <w:sz w:val="24"/>
          <w:lang w:bidi="ar"/>
        </w:rPr>
        <w:t>PT</w:t>
      </w:r>
      <w:r>
        <w:rPr>
          <w:rFonts w:hint="eastAsia" w:cs="宋体"/>
          <w:sz w:val="24"/>
          <w:lang w:bidi="ar"/>
        </w:rPr>
        <w:t>、</w:t>
      </w:r>
      <w:r>
        <w:rPr>
          <w:sz w:val="24"/>
          <w:lang w:bidi="ar"/>
        </w:rPr>
        <w:t>APTT</w:t>
      </w:r>
      <w:r>
        <w:rPr>
          <w:rFonts w:hint="eastAsia" w:cs="宋体"/>
          <w:sz w:val="24"/>
          <w:lang w:bidi="ar"/>
        </w:rPr>
        <w:t>、</w:t>
      </w:r>
      <w:r>
        <w:rPr>
          <w:sz w:val="24"/>
          <w:lang w:bidi="ar"/>
        </w:rPr>
        <w:t>TT</w:t>
      </w:r>
      <w:r>
        <w:rPr>
          <w:rFonts w:hint="eastAsia" w:cs="宋体"/>
          <w:sz w:val="24"/>
          <w:lang w:bidi="ar"/>
        </w:rPr>
        <w:t>及</w:t>
      </w:r>
      <w:r>
        <w:rPr>
          <w:sz w:val="24"/>
          <w:lang w:bidi="ar"/>
        </w:rPr>
        <w:t>FIB</w:t>
      </w:r>
      <w:r>
        <w:rPr>
          <w:rFonts w:hint="eastAsia" w:cs="宋体"/>
          <w:sz w:val="24"/>
          <w:lang w:bidi="ar"/>
        </w:rPr>
        <w:t>进行检测。</w:t>
      </w:r>
    </w:p>
    <w:p w14:paraId="61285758">
      <w:pPr>
        <w:spacing w:line="500" w:lineRule="exact"/>
        <w:jc w:val="left"/>
        <w:rPr>
          <w:sz w:val="24"/>
        </w:rPr>
      </w:pPr>
      <w:r>
        <w:rPr>
          <w:sz w:val="24"/>
          <w:lang w:bidi="ar"/>
        </w:rPr>
        <w:t>⑦</w:t>
      </w:r>
      <w:r>
        <w:rPr>
          <w:rFonts w:hint="eastAsia" w:cs="宋体"/>
          <w:sz w:val="24"/>
          <w:lang w:bidi="ar"/>
        </w:rPr>
        <w:t>统计学分析</w:t>
      </w:r>
    </w:p>
    <w:p w14:paraId="73030267">
      <w:pPr>
        <w:spacing w:line="500" w:lineRule="exact"/>
        <w:ind w:firstLine="480" w:firstLineChars="200"/>
        <w:jc w:val="left"/>
        <w:rPr>
          <w:sz w:val="24"/>
        </w:rPr>
      </w:pPr>
      <w:r>
        <w:rPr>
          <w:rFonts w:hint="eastAsia" w:cs="宋体"/>
          <w:sz w:val="24"/>
          <w:lang w:bidi="ar"/>
        </w:rPr>
        <w:t>应用</w:t>
      </w:r>
      <w:r>
        <w:rPr>
          <w:sz w:val="24"/>
          <w:lang w:bidi="ar"/>
        </w:rPr>
        <w:t>spss26.0</w:t>
      </w:r>
      <w:r>
        <w:rPr>
          <w:rFonts w:hint="eastAsia" w:cs="宋体"/>
          <w:sz w:val="24"/>
          <w:lang w:bidi="ar"/>
        </w:rPr>
        <w:t>进行统计分析、</w:t>
      </w:r>
      <w:r>
        <w:rPr>
          <w:sz w:val="24"/>
          <w:lang w:bidi="ar"/>
        </w:rPr>
        <w:t>GraphPadPrism9.5.0</w:t>
      </w:r>
      <w:r>
        <w:rPr>
          <w:rFonts w:hint="eastAsia" w:cs="宋体"/>
          <w:sz w:val="24"/>
          <w:lang w:bidi="ar"/>
        </w:rPr>
        <w:t>软件进行绘图，计量资料用（均值</w:t>
      </w:r>
      <w:r>
        <w:rPr>
          <w:sz w:val="24"/>
          <w:lang w:bidi="ar"/>
        </w:rPr>
        <w:t>±</w:t>
      </w:r>
      <w:r>
        <w:rPr>
          <w:rFonts w:hint="eastAsia" w:cs="宋体"/>
          <w:sz w:val="24"/>
          <w:lang w:bidi="ar"/>
        </w:rPr>
        <w:t>标准差）表示，符合正态分布和方差齐性的计量资料采用单因素方差分析（</w:t>
      </w:r>
      <w:r>
        <w:rPr>
          <w:sz w:val="24"/>
          <w:lang w:bidi="ar"/>
        </w:rPr>
        <w:t>One-way ANOVA</w:t>
      </w:r>
      <w:r>
        <w:rPr>
          <w:rFonts w:hint="eastAsia" w:cs="宋体"/>
          <w:sz w:val="24"/>
          <w:lang w:bidi="ar"/>
        </w:rPr>
        <w:t>），组间比较按照图基法检验，不符合正态分布和方差齐性时采用非参数秩和检验。计数资料采用卡方检验。对大鼠生存情况使用</w:t>
      </w:r>
      <w:r>
        <w:rPr>
          <w:sz w:val="24"/>
          <w:lang w:bidi="ar"/>
        </w:rPr>
        <w:t>Kaplan-Meier</w:t>
      </w:r>
      <w:r>
        <w:rPr>
          <w:rFonts w:hint="eastAsia" w:cs="宋体"/>
          <w:sz w:val="24"/>
          <w:lang w:bidi="ar"/>
        </w:rPr>
        <w:t>方法进行生存分析。以</w:t>
      </w:r>
      <w:r>
        <w:rPr>
          <w:i/>
          <w:iCs/>
          <w:sz w:val="24"/>
          <w:lang w:bidi="ar"/>
        </w:rPr>
        <w:t>P</w:t>
      </w:r>
      <w:r>
        <w:rPr>
          <w:rFonts w:hint="eastAsia" w:cs="宋体"/>
          <w:sz w:val="24"/>
          <w:lang w:bidi="ar"/>
        </w:rPr>
        <w:t>＜</w:t>
      </w:r>
      <w:r>
        <w:rPr>
          <w:sz w:val="24"/>
          <w:lang w:bidi="ar"/>
        </w:rPr>
        <w:t>0.05</w:t>
      </w:r>
      <w:r>
        <w:rPr>
          <w:rFonts w:hint="eastAsia" w:cs="宋体"/>
          <w:sz w:val="24"/>
          <w:lang w:bidi="ar"/>
        </w:rPr>
        <w:t>认为有统计学意义。</w:t>
      </w:r>
    </w:p>
    <w:p w14:paraId="422F6309">
      <w:pPr>
        <w:spacing w:line="500" w:lineRule="exact"/>
        <w:jc w:val="left"/>
        <w:rPr>
          <w:sz w:val="24"/>
        </w:rPr>
      </w:pPr>
      <w:bookmarkStart w:id="18" w:name="_Toc18789"/>
      <w:r>
        <w:rPr>
          <w:rFonts w:hint="eastAsia"/>
          <w:sz w:val="24"/>
          <w:lang w:bidi="ar"/>
        </w:rPr>
        <w:t>三、</w:t>
      </w:r>
      <w:r>
        <w:rPr>
          <w:rFonts w:hint="eastAsia" w:cs="宋体"/>
          <w:sz w:val="24"/>
          <w:lang w:bidi="ar"/>
        </w:rPr>
        <w:t>实验结果与分析</w:t>
      </w:r>
      <w:bookmarkEnd w:id="18"/>
    </w:p>
    <w:p w14:paraId="569C56BF">
      <w:pPr>
        <w:spacing w:line="500" w:lineRule="exact"/>
        <w:jc w:val="left"/>
        <w:rPr>
          <w:sz w:val="24"/>
        </w:rPr>
      </w:pPr>
      <w:r>
        <w:rPr>
          <w:rFonts w:hint="eastAsia" w:cs="宋体"/>
          <w:sz w:val="24"/>
          <w:lang w:bidi="ar"/>
        </w:rPr>
        <w:t>（</w:t>
      </w:r>
      <w:r>
        <w:rPr>
          <w:sz w:val="24"/>
          <w:lang w:bidi="ar"/>
        </w:rPr>
        <w:t>1</w:t>
      </w:r>
      <w:r>
        <w:rPr>
          <w:rFonts w:hint="eastAsia" w:cs="宋体"/>
          <w:sz w:val="24"/>
          <w:lang w:bidi="ar"/>
        </w:rPr>
        <w:t>）一般情况</w:t>
      </w:r>
    </w:p>
    <w:p w14:paraId="3B8A16C0">
      <w:pPr>
        <w:spacing w:line="500" w:lineRule="exact"/>
        <w:ind w:firstLine="480" w:firstLineChars="200"/>
        <w:jc w:val="left"/>
        <w:rPr>
          <w:sz w:val="24"/>
        </w:rPr>
      </w:pPr>
      <w:r>
        <w:rPr>
          <w:sz w:val="24"/>
          <w:lang w:bidi="ar"/>
        </w:rPr>
        <w:t>CLP</w:t>
      </w:r>
      <w:r>
        <w:rPr>
          <w:rFonts w:hint="eastAsia" w:cs="宋体"/>
          <w:sz w:val="24"/>
          <w:lang w:bidi="ar"/>
        </w:rPr>
        <w:t>术后，假手术组大鼠麻醉清醒后活动基本如常，精神状态良好。模型组大鼠病态明显，表情痛苦，呼吸急促，进食进水减少，竖毛，蜷缩，活动减少，排便稀软等。腹部膨隆充气，剖腹时可闻及恶臭气味，可见浑浊脓血性渗液、肠管胀气充血，肠粘连，并可见散布于盲肠、大网膜、肠系膜等处出血、坏死灶和皂化斑；肝脏大小无明显改变，颜色呈暗红色，表面可见散在的点状瘀血等。西药组，中药低、中、高剂量组大鼠，大鼠上述病态表现较轻，进食进水正常，活动尚可，排便正常等，剖腹可见清亮渗液，肠管胀气，肝脏色泽稍暗，未见出血点。</w:t>
      </w:r>
    </w:p>
    <w:p w14:paraId="199320F3">
      <w:pPr>
        <w:spacing w:line="500" w:lineRule="exact"/>
        <w:jc w:val="left"/>
        <w:rPr>
          <w:sz w:val="24"/>
        </w:rPr>
      </w:pPr>
      <w:r>
        <w:rPr>
          <w:rFonts w:hint="eastAsia" w:cs="宋体"/>
          <w:sz w:val="24"/>
          <w:lang w:bidi="ar"/>
        </w:rPr>
        <w:t>（</w:t>
      </w:r>
      <w:r>
        <w:rPr>
          <w:sz w:val="24"/>
          <w:lang w:bidi="ar"/>
        </w:rPr>
        <w:t>2</w:t>
      </w:r>
      <w:r>
        <w:rPr>
          <w:rFonts w:hint="eastAsia" w:cs="宋体"/>
          <w:sz w:val="24"/>
          <w:lang w:bidi="ar"/>
        </w:rPr>
        <w:t>）大鼠存活率</w:t>
      </w:r>
    </w:p>
    <w:p w14:paraId="71D6711A">
      <w:pPr>
        <w:spacing w:line="500" w:lineRule="exact"/>
        <w:ind w:firstLine="480" w:firstLineChars="200"/>
        <w:jc w:val="left"/>
        <w:rPr>
          <w:sz w:val="24"/>
        </w:rPr>
      </w:pPr>
      <w:r>
        <w:rPr>
          <w:rFonts w:hint="eastAsia" w:cs="宋体"/>
          <w:sz w:val="24"/>
          <w:lang w:bidi="ar"/>
        </w:rPr>
        <w:t>假手术组、中药中剂量组、中药高剂量组</w:t>
      </w:r>
      <w:r>
        <w:rPr>
          <w:sz w:val="24"/>
          <w:lang w:bidi="ar"/>
        </w:rPr>
        <w:t>24h</w:t>
      </w:r>
      <w:r>
        <w:rPr>
          <w:rFonts w:hint="eastAsia" w:cs="宋体"/>
          <w:sz w:val="24"/>
          <w:lang w:bidi="ar"/>
        </w:rPr>
        <w:t>内无死亡事件发生。</w:t>
      </w:r>
      <w:r>
        <w:rPr>
          <w:sz w:val="24"/>
          <w:lang w:bidi="ar"/>
        </w:rPr>
        <w:t xml:space="preserve">Kaplan-Meier </w:t>
      </w:r>
      <w:r>
        <w:rPr>
          <w:rFonts w:hint="eastAsia" w:cs="宋体"/>
          <w:sz w:val="24"/>
          <w:lang w:bidi="ar"/>
        </w:rPr>
        <w:t>生存分析结果显示模型组</w:t>
      </w:r>
      <w:r>
        <w:rPr>
          <w:sz w:val="24"/>
          <w:lang w:bidi="ar"/>
        </w:rPr>
        <w:t>6h</w:t>
      </w:r>
      <w:r>
        <w:rPr>
          <w:rFonts w:hint="eastAsia" w:cs="宋体"/>
          <w:sz w:val="24"/>
          <w:lang w:bidi="ar"/>
        </w:rPr>
        <w:t>、</w:t>
      </w:r>
      <w:r>
        <w:rPr>
          <w:sz w:val="24"/>
          <w:lang w:bidi="ar"/>
        </w:rPr>
        <w:t>12h</w:t>
      </w:r>
      <w:r>
        <w:rPr>
          <w:rFonts w:hint="eastAsia" w:cs="宋体"/>
          <w:sz w:val="24"/>
          <w:lang w:bidi="ar"/>
        </w:rPr>
        <w:t>和</w:t>
      </w:r>
      <w:r>
        <w:rPr>
          <w:sz w:val="24"/>
          <w:lang w:bidi="ar"/>
        </w:rPr>
        <w:t>24h</w:t>
      </w:r>
      <w:r>
        <w:rPr>
          <w:rFonts w:hint="eastAsia" w:cs="宋体"/>
          <w:sz w:val="24"/>
          <w:lang w:bidi="ar"/>
        </w:rPr>
        <w:t>生存率明显低于各组，且与假手术组、中药中剂量组、中药高剂量组具有统计学差异（</w:t>
      </w:r>
      <w:r>
        <w:rPr>
          <w:i/>
          <w:iCs/>
          <w:sz w:val="24"/>
          <w:lang w:bidi="ar"/>
        </w:rPr>
        <w:t>P</w:t>
      </w:r>
      <w:r>
        <w:rPr>
          <w:rFonts w:hint="eastAsia" w:cs="宋体"/>
          <w:sz w:val="24"/>
          <w:lang w:bidi="ar"/>
        </w:rPr>
        <w:t>＜</w:t>
      </w:r>
      <w:r>
        <w:rPr>
          <w:sz w:val="24"/>
          <w:lang w:bidi="ar"/>
        </w:rPr>
        <w:t>0.05</w:t>
      </w:r>
      <w:r>
        <w:rPr>
          <w:rFonts w:hint="eastAsia" w:cs="宋体"/>
          <w:sz w:val="24"/>
          <w:lang w:bidi="ar"/>
        </w:rPr>
        <w:t>）。见图</w:t>
      </w:r>
      <w:r>
        <w:rPr>
          <w:sz w:val="24"/>
          <w:lang w:bidi="ar"/>
        </w:rPr>
        <w:t>1</w:t>
      </w:r>
      <w:r>
        <w:rPr>
          <w:rFonts w:hint="eastAsia"/>
          <w:sz w:val="24"/>
          <w:lang w:bidi="ar"/>
        </w:rPr>
        <w:t>3</w:t>
      </w:r>
      <w:r>
        <w:rPr>
          <w:rFonts w:hint="eastAsia" w:cs="宋体"/>
          <w:sz w:val="24"/>
          <w:lang w:bidi="ar"/>
        </w:rPr>
        <w:t>。</w:t>
      </w:r>
    </w:p>
    <w:p w14:paraId="470B4BCB">
      <w:pPr>
        <w:jc w:val="center"/>
        <w:rPr>
          <w:b/>
          <w:sz w:val="28"/>
          <w:szCs w:val="28"/>
        </w:rPr>
      </w:pPr>
      <w:r>
        <w:rPr>
          <w:b/>
          <w:sz w:val="28"/>
          <w:szCs w:val="28"/>
        </w:rPr>
        <w:drawing>
          <wp:inline distT="0" distB="0" distL="114300" distR="114300">
            <wp:extent cx="5067300" cy="2628900"/>
            <wp:effectExtent l="0" t="0" r="0" b="0"/>
            <wp:docPr id="53" name="图片 460" descr="生存比例_ 生存_数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0" descr="生存比例_ 生存_数据2"/>
                    <pic:cNvPicPr>
                      <a:picLocks noChangeAspect="1"/>
                    </pic:cNvPicPr>
                  </pic:nvPicPr>
                  <pic:blipFill>
                    <a:blip r:embed="rId25"/>
                    <a:stretch>
                      <a:fillRect/>
                    </a:stretch>
                  </pic:blipFill>
                  <pic:spPr>
                    <a:xfrm>
                      <a:off x="0" y="0"/>
                      <a:ext cx="5067300" cy="2628900"/>
                    </a:xfrm>
                    <a:prstGeom prst="rect">
                      <a:avLst/>
                    </a:prstGeom>
                    <a:noFill/>
                    <a:ln>
                      <a:noFill/>
                    </a:ln>
                  </pic:spPr>
                </pic:pic>
              </a:graphicData>
            </a:graphic>
          </wp:inline>
        </w:drawing>
      </w:r>
    </w:p>
    <w:p w14:paraId="058AE6ED">
      <w:pPr>
        <w:spacing w:line="500" w:lineRule="exact"/>
        <w:ind w:firstLine="562" w:firstLineChars="200"/>
        <w:jc w:val="left"/>
        <w:rPr>
          <w:sz w:val="24"/>
        </w:rPr>
      </w:pPr>
      <w:r>
        <w:rPr>
          <w:b/>
          <w:sz w:val="28"/>
          <w:szCs w:val="28"/>
          <w:lang w:bidi="ar"/>
        </w:rPr>
        <w:t xml:space="preserve">         </w:t>
      </w:r>
      <w:r>
        <w:rPr>
          <w:sz w:val="24"/>
          <w:lang w:bidi="ar"/>
        </w:rPr>
        <w:t xml:space="preserve"> </w:t>
      </w: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13</w:t>
      </w:r>
      <w:r>
        <w:rPr>
          <w:szCs w:val="22"/>
          <w:lang w:bidi="ar"/>
        </w:rPr>
        <w:fldChar w:fldCharType="end"/>
      </w:r>
      <w:r>
        <w:rPr>
          <w:sz w:val="24"/>
          <w:lang w:bidi="ar"/>
        </w:rPr>
        <w:t xml:space="preserve">  CLP</w:t>
      </w:r>
      <w:r>
        <w:rPr>
          <w:rFonts w:hint="eastAsia" w:cs="宋体"/>
          <w:sz w:val="24"/>
          <w:lang w:bidi="ar"/>
        </w:rPr>
        <w:t>术后</w:t>
      </w:r>
      <w:r>
        <w:rPr>
          <w:sz w:val="24"/>
          <w:lang w:bidi="ar"/>
        </w:rPr>
        <w:t>24h</w:t>
      </w:r>
      <w:r>
        <w:rPr>
          <w:rFonts w:hint="eastAsia" w:cs="宋体"/>
          <w:sz w:val="24"/>
          <w:lang w:bidi="ar"/>
        </w:rPr>
        <w:t>各组大鼠生存率情况</w:t>
      </w:r>
    </w:p>
    <w:p w14:paraId="3DD76C4D">
      <w:pPr>
        <w:spacing w:line="500" w:lineRule="exact"/>
        <w:jc w:val="left"/>
        <w:rPr>
          <w:sz w:val="24"/>
        </w:rPr>
      </w:pPr>
      <w:r>
        <w:rPr>
          <w:rFonts w:hint="eastAsia" w:cs="宋体"/>
          <w:sz w:val="24"/>
          <w:lang w:bidi="ar"/>
        </w:rPr>
        <w:t>（</w:t>
      </w:r>
      <w:r>
        <w:rPr>
          <w:sz w:val="24"/>
          <w:lang w:bidi="ar"/>
        </w:rPr>
        <w:t>3</w:t>
      </w:r>
      <w:r>
        <w:rPr>
          <w:rFonts w:hint="eastAsia" w:cs="宋体"/>
          <w:sz w:val="24"/>
          <w:lang w:bidi="ar"/>
        </w:rPr>
        <w:t>）各组大鼠肝组织病理</w:t>
      </w:r>
    </w:p>
    <w:p w14:paraId="0C86E0CD">
      <w:pPr>
        <w:spacing w:line="500" w:lineRule="exact"/>
        <w:ind w:firstLine="480" w:firstLineChars="200"/>
        <w:jc w:val="left"/>
        <w:rPr>
          <w:sz w:val="24"/>
        </w:rPr>
      </w:pPr>
      <w:r>
        <w:rPr>
          <w:rFonts w:hint="eastAsia" w:cs="宋体"/>
          <w:sz w:val="24"/>
          <w:lang w:bidi="ar"/>
        </w:rPr>
        <w:t>假手术组大鼠肝小叶、肝窦组织结构清晰，肝细胞形态未见明显异常；模型组正常肝小叶结构破坏，肝窦可见大量红细胞，肝细胞呈片状坏死，大量炎性细胞浸润。西药组与各剂量中药组肝细胞损伤程度较模型组明显减轻，西药组肝脏细胞片状坏死，肝小叶结构稍紊乱，各中药组肝细胞成点状坏死，肝小叶结构清晰，见图</w:t>
      </w:r>
      <w:r>
        <w:rPr>
          <w:sz w:val="24"/>
          <w:lang w:bidi="ar"/>
        </w:rPr>
        <w:t>2</w:t>
      </w:r>
      <w:r>
        <w:rPr>
          <w:rFonts w:hint="eastAsia" w:cs="宋体"/>
          <w:sz w:val="24"/>
          <w:lang w:bidi="ar"/>
        </w:rPr>
        <w:t>。与假手术相比，模型组、西药组病理评分升高，且具有统计学意义（</w:t>
      </w:r>
      <w:r>
        <w:rPr>
          <w:i/>
          <w:iCs/>
          <w:sz w:val="24"/>
          <w:lang w:bidi="ar"/>
        </w:rPr>
        <w:t>P</w:t>
      </w:r>
      <w:r>
        <w:rPr>
          <w:rFonts w:hint="eastAsia" w:cs="宋体"/>
          <w:sz w:val="24"/>
          <w:lang w:bidi="ar"/>
        </w:rPr>
        <w:t>＜</w:t>
      </w:r>
      <w:r>
        <w:rPr>
          <w:sz w:val="24"/>
          <w:lang w:bidi="ar"/>
        </w:rPr>
        <w:t>0.001</w:t>
      </w:r>
      <w:r>
        <w:rPr>
          <w:rFonts w:hint="eastAsia" w:cs="宋体"/>
          <w:sz w:val="24"/>
          <w:lang w:bidi="ar"/>
        </w:rPr>
        <w:t>），与模型组相比，中药低、中、高剂量组病理评分明显降低，具有统计学意义（</w:t>
      </w:r>
      <w:r>
        <w:rPr>
          <w:i/>
          <w:iCs/>
          <w:sz w:val="24"/>
          <w:lang w:bidi="ar"/>
        </w:rPr>
        <w:t>P</w:t>
      </w:r>
      <w:r>
        <w:rPr>
          <w:rFonts w:hint="eastAsia" w:cs="宋体"/>
          <w:sz w:val="24"/>
          <w:lang w:bidi="ar"/>
        </w:rPr>
        <w:t>＜</w:t>
      </w:r>
      <w:r>
        <w:rPr>
          <w:sz w:val="24"/>
          <w:lang w:bidi="ar"/>
        </w:rPr>
        <w:t>0.001</w:t>
      </w:r>
      <w:r>
        <w:rPr>
          <w:rFonts w:hint="eastAsia" w:cs="宋体"/>
          <w:sz w:val="24"/>
          <w:lang w:bidi="ar"/>
        </w:rPr>
        <w:t>），见图</w:t>
      </w:r>
      <w:r>
        <w:rPr>
          <w:sz w:val="24"/>
          <w:lang w:bidi="ar"/>
        </w:rPr>
        <w:t>1</w:t>
      </w:r>
      <w:r>
        <w:rPr>
          <w:rFonts w:hint="eastAsia"/>
          <w:sz w:val="24"/>
          <w:lang w:bidi="ar"/>
        </w:rPr>
        <w:t>4-15</w:t>
      </w:r>
      <w:r>
        <w:rPr>
          <w:rFonts w:hint="eastAsia" w:cs="宋体"/>
          <w:sz w:val="24"/>
          <w:lang w:bidi="ar"/>
        </w:rPr>
        <w:t>。</w:t>
      </w:r>
    </w:p>
    <w:p w14:paraId="0F9257C8">
      <w:pPr>
        <w:rPr>
          <w:color w:val="000000"/>
          <w:sz w:val="28"/>
          <w:szCs w:val="28"/>
        </w:rPr>
      </w:pPr>
      <w:r>
        <w:rPr>
          <w:color w:val="000000"/>
          <w:sz w:val="28"/>
          <w:szCs w:val="28"/>
        </w:rPr>
        <w:drawing>
          <wp:inline distT="0" distB="0" distL="114300" distR="114300">
            <wp:extent cx="5187950" cy="2933700"/>
            <wp:effectExtent l="0" t="0" r="6350" b="0"/>
            <wp:docPr id="54" name="图片 284"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4" descr="演示文稿1_01"/>
                    <pic:cNvPicPr>
                      <a:picLocks noChangeAspect="1"/>
                    </pic:cNvPicPr>
                  </pic:nvPicPr>
                  <pic:blipFill>
                    <a:blip r:embed="rId26"/>
                    <a:srcRect l="8632" t="11014" r="14452" b="11540"/>
                    <a:stretch>
                      <a:fillRect/>
                    </a:stretch>
                  </pic:blipFill>
                  <pic:spPr>
                    <a:xfrm>
                      <a:off x="0" y="0"/>
                      <a:ext cx="5187950" cy="2933700"/>
                    </a:xfrm>
                    <a:prstGeom prst="rect">
                      <a:avLst/>
                    </a:prstGeom>
                    <a:noFill/>
                    <a:ln>
                      <a:noFill/>
                    </a:ln>
                  </pic:spPr>
                </pic:pic>
              </a:graphicData>
            </a:graphic>
          </wp:inline>
        </w:drawing>
      </w:r>
    </w:p>
    <w:p w14:paraId="4BFF3ABD">
      <w:pPr>
        <w:spacing w:line="500" w:lineRule="exact"/>
        <w:ind w:firstLine="420" w:firstLineChars="200"/>
        <w:jc w:val="center"/>
        <w:rPr>
          <w:sz w:val="24"/>
        </w:rPr>
      </w:pP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14</w:t>
      </w:r>
      <w:r>
        <w:rPr>
          <w:szCs w:val="22"/>
          <w:lang w:bidi="ar"/>
        </w:rPr>
        <w:fldChar w:fldCharType="end"/>
      </w:r>
      <w:r>
        <w:rPr>
          <w:sz w:val="24"/>
          <w:lang w:bidi="ar"/>
        </w:rPr>
        <w:t xml:space="preserve"> </w:t>
      </w:r>
      <w:r>
        <w:rPr>
          <w:rFonts w:hint="eastAsia" w:cs="宋体"/>
          <w:sz w:val="24"/>
          <w:lang w:bidi="ar"/>
        </w:rPr>
        <w:t>各组大鼠肝脏组织</w:t>
      </w:r>
      <w:r>
        <w:rPr>
          <w:sz w:val="24"/>
          <w:lang w:bidi="ar"/>
        </w:rPr>
        <w:t>HE</w:t>
      </w:r>
      <w:r>
        <w:rPr>
          <w:rFonts w:hint="eastAsia" w:cs="宋体"/>
          <w:sz w:val="24"/>
          <w:lang w:bidi="ar"/>
        </w:rPr>
        <w:t>染色（</w:t>
      </w:r>
      <w:r>
        <w:rPr>
          <w:sz w:val="24"/>
          <w:lang w:bidi="ar"/>
        </w:rPr>
        <w:t>10✖10</w:t>
      </w:r>
      <w:r>
        <w:rPr>
          <w:rFonts w:hint="eastAsia" w:cs="宋体"/>
          <w:sz w:val="24"/>
          <w:lang w:bidi="ar"/>
        </w:rPr>
        <w:t>）</w:t>
      </w:r>
    </w:p>
    <w:p w14:paraId="13DF1988">
      <w:pPr>
        <w:ind w:firstLine="1120" w:firstLineChars="400"/>
        <w:jc w:val="center"/>
        <w:rPr>
          <w:color w:val="000000"/>
          <w:sz w:val="28"/>
          <w:szCs w:val="28"/>
        </w:rPr>
      </w:pPr>
      <w:r>
        <w:rPr>
          <w:color w:val="000000"/>
          <w:sz w:val="28"/>
          <w:szCs w:val="28"/>
        </w:rPr>
        <w:drawing>
          <wp:inline distT="0" distB="0" distL="114300" distR="114300">
            <wp:extent cx="2590800" cy="2463800"/>
            <wp:effectExtent l="0" t="0" r="0" b="0"/>
            <wp:docPr id="55" name="图片 282" descr="病理评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2" descr="病理评分"/>
                    <pic:cNvPicPr>
                      <a:picLocks noChangeAspect="1"/>
                    </pic:cNvPicPr>
                  </pic:nvPicPr>
                  <pic:blipFill>
                    <a:blip r:embed="rId27"/>
                    <a:stretch>
                      <a:fillRect/>
                    </a:stretch>
                  </pic:blipFill>
                  <pic:spPr>
                    <a:xfrm>
                      <a:off x="0" y="0"/>
                      <a:ext cx="2590800" cy="2463800"/>
                    </a:xfrm>
                    <a:prstGeom prst="rect">
                      <a:avLst/>
                    </a:prstGeom>
                    <a:noFill/>
                    <a:ln>
                      <a:noFill/>
                    </a:ln>
                  </pic:spPr>
                </pic:pic>
              </a:graphicData>
            </a:graphic>
          </wp:inline>
        </w:drawing>
      </w:r>
    </w:p>
    <w:p w14:paraId="69F53CFB">
      <w:pPr>
        <w:spacing w:line="500" w:lineRule="exact"/>
        <w:ind w:firstLine="420" w:firstLineChars="200"/>
        <w:jc w:val="center"/>
        <w:rPr>
          <w:sz w:val="24"/>
        </w:rPr>
      </w:pP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15</w:t>
      </w:r>
      <w:r>
        <w:rPr>
          <w:szCs w:val="22"/>
          <w:lang w:bidi="ar"/>
        </w:rPr>
        <w:fldChar w:fldCharType="end"/>
      </w:r>
      <w:r>
        <w:rPr>
          <w:sz w:val="24"/>
          <w:lang w:bidi="ar"/>
        </w:rPr>
        <w:t xml:space="preserve">  </w:t>
      </w:r>
      <w:r>
        <w:rPr>
          <w:rFonts w:hint="eastAsia" w:cs="宋体"/>
          <w:sz w:val="24"/>
          <w:lang w:bidi="ar"/>
        </w:rPr>
        <w:t>各组大鼠病理评分</w:t>
      </w:r>
    </w:p>
    <w:p w14:paraId="4433F27F">
      <w:pPr>
        <w:jc w:val="center"/>
        <w:rPr>
          <w:color w:val="000000"/>
          <w:kern w:val="0"/>
          <w:sz w:val="22"/>
          <w:szCs w:val="22"/>
          <w:lang w:bidi="ar"/>
        </w:rPr>
      </w:pPr>
      <w:r>
        <w:rPr>
          <w:rFonts w:hint="eastAsia" w:cs="宋体"/>
          <w:color w:val="000000"/>
          <w:kern w:val="0"/>
          <w:sz w:val="22"/>
          <w:szCs w:val="22"/>
          <w:lang w:bidi="ar"/>
        </w:rPr>
        <w:t>注：与假手术组相比，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0.0001</w:t>
      </w:r>
      <w:r>
        <w:rPr>
          <w:rFonts w:hint="eastAsia" w:cs="宋体"/>
          <w:color w:val="000000"/>
          <w:kern w:val="0"/>
          <w:sz w:val="22"/>
          <w:szCs w:val="22"/>
          <w:lang w:bidi="ar"/>
        </w:rPr>
        <w:t>；与模型组相比，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0.0001</w:t>
      </w:r>
      <w:r>
        <w:rPr>
          <w:rFonts w:hint="eastAsia" w:cs="宋体"/>
          <w:color w:val="000000"/>
          <w:kern w:val="0"/>
          <w:sz w:val="22"/>
          <w:szCs w:val="22"/>
          <w:lang w:bidi="ar"/>
        </w:rPr>
        <w:t>。</w:t>
      </w:r>
    </w:p>
    <w:p w14:paraId="5877736E">
      <w:pPr>
        <w:spacing w:line="500" w:lineRule="exact"/>
        <w:jc w:val="left"/>
        <w:rPr>
          <w:sz w:val="24"/>
        </w:rPr>
      </w:pPr>
      <w:r>
        <w:rPr>
          <w:rFonts w:hint="eastAsia" w:cs="宋体"/>
          <w:sz w:val="24"/>
          <w:lang w:bidi="ar"/>
        </w:rPr>
        <w:t>（</w:t>
      </w:r>
      <w:r>
        <w:rPr>
          <w:sz w:val="24"/>
          <w:lang w:bidi="ar"/>
        </w:rPr>
        <w:t>4</w:t>
      </w:r>
      <w:r>
        <w:rPr>
          <w:rFonts w:hint="eastAsia" w:cs="宋体"/>
          <w:sz w:val="24"/>
          <w:lang w:bidi="ar"/>
        </w:rPr>
        <w:t>）各组大鼠血清中</w:t>
      </w:r>
      <w:r>
        <w:rPr>
          <w:sz w:val="24"/>
          <w:lang w:bidi="ar"/>
        </w:rPr>
        <w:t>TNF-α</w:t>
      </w:r>
      <w:r>
        <w:rPr>
          <w:rFonts w:hint="eastAsia" w:cs="宋体"/>
          <w:sz w:val="24"/>
          <w:lang w:bidi="ar"/>
        </w:rPr>
        <w:t>、</w:t>
      </w:r>
      <w:r>
        <w:rPr>
          <w:sz w:val="24"/>
          <w:lang w:bidi="ar"/>
        </w:rPr>
        <w:t>IL-1β</w:t>
      </w:r>
      <w:r>
        <w:rPr>
          <w:rFonts w:hint="eastAsia" w:cs="宋体"/>
          <w:sz w:val="24"/>
          <w:lang w:bidi="ar"/>
        </w:rPr>
        <w:t>、</w:t>
      </w:r>
      <w:r>
        <w:rPr>
          <w:sz w:val="24"/>
          <w:lang w:bidi="ar"/>
        </w:rPr>
        <w:t>IL-6</w:t>
      </w:r>
      <w:r>
        <w:rPr>
          <w:rFonts w:hint="eastAsia" w:cs="宋体"/>
          <w:sz w:val="24"/>
          <w:lang w:bidi="ar"/>
        </w:rPr>
        <w:t>水平含量</w:t>
      </w:r>
    </w:p>
    <w:p w14:paraId="04CEF869">
      <w:pPr>
        <w:spacing w:line="500" w:lineRule="exact"/>
        <w:ind w:firstLine="480" w:firstLineChars="200"/>
        <w:jc w:val="left"/>
        <w:rPr>
          <w:sz w:val="24"/>
        </w:rPr>
      </w:pPr>
      <w:r>
        <w:rPr>
          <w:rFonts w:hint="eastAsia" w:cs="宋体"/>
          <w:sz w:val="24"/>
          <w:lang w:bidi="ar"/>
        </w:rPr>
        <w:t>与假手术组相比，模型组血清</w:t>
      </w:r>
      <w:r>
        <w:rPr>
          <w:sz w:val="24"/>
          <w:lang w:bidi="ar"/>
        </w:rPr>
        <w:t>TNF-α</w:t>
      </w:r>
      <w:r>
        <w:rPr>
          <w:rFonts w:hint="eastAsia" w:cs="宋体"/>
          <w:sz w:val="24"/>
          <w:lang w:bidi="ar"/>
        </w:rPr>
        <w:t>、</w:t>
      </w:r>
      <w:r>
        <w:rPr>
          <w:sz w:val="24"/>
          <w:lang w:bidi="ar"/>
        </w:rPr>
        <w:t>IL-1β</w:t>
      </w:r>
      <w:r>
        <w:rPr>
          <w:rFonts w:hint="eastAsia" w:cs="宋体"/>
          <w:sz w:val="24"/>
          <w:lang w:bidi="ar"/>
        </w:rPr>
        <w:t>、</w:t>
      </w:r>
      <w:r>
        <w:rPr>
          <w:sz w:val="24"/>
          <w:lang w:bidi="ar"/>
        </w:rPr>
        <w:t>IL-6</w:t>
      </w:r>
      <w:r>
        <w:rPr>
          <w:rFonts w:hint="eastAsia" w:cs="宋体"/>
          <w:sz w:val="24"/>
          <w:lang w:bidi="ar"/>
        </w:rPr>
        <w:t>均明显升高，且差异具有统计学意义（</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，）。与模型组相比，假手术组、西药组、中药低剂量组、中药高剂量组血清</w:t>
      </w:r>
      <w:r>
        <w:rPr>
          <w:sz w:val="24"/>
          <w:lang w:bidi="ar"/>
        </w:rPr>
        <w:t>TNF-α</w:t>
      </w:r>
      <w:r>
        <w:rPr>
          <w:rFonts w:hint="eastAsia" w:cs="宋体"/>
          <w:sz w:val="24"/>
          <w:lang w:bidi="ar"/>
        </w:rPr>
        <w:t>、</w:t>
      </w:r>
      <w:r>
        <w:rPr>
          <w:sz w:val="24"/>
          <w:lang w:bidi="ar"/>
        </w:rPr>
        <w:t>IL-1β</w:t>
      </w:r>
      <w:r>
        <w:rPr>
          <w:rFonts w:hint="eastAsia" w:cs="宋体"/>
          <w:sz w:val="24"/>
          <w:lang w:bidi="ar"/>
        </w:rPr>
        <w:t>、</w:t>
      </w:r>
      <w:r>
        <w:rPr>
          <w:sz w:val="24"/>
          <w:lang w:bidi="ar"/>
        </w:rPr>
        <w:t>IL-6</w:t>
      </w:r>
      <w:r>
        <w:rPr>
          <w:rFonts w:hint="eastAsia" w:cs="宋体"/>
          <w:sz w:val="24"/>
          <w:lang w:bidi="ar"/>
        </w:rPr>
        <w:t>均明显降低，各组</w:t>
      </w:r>
      <w:r>
        <w:rPr>
          <w:sz w:val="24"/>
          <w:lang w:bidi="ar"/>
        </w:rPr>
        <w:t>TNF-α</w:t>
      </w:r>
      <w:r>
        <w:rPr>
          <w:rFonts w:hint="eastAsia" w:cs="宋体"/>
          <w:sz w:val="24"/>
          <w:lang w:bidi="ar"/>
        </w:rPr>
        <w:t>差异具有统计学意义（</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）；各组</w:t>
      </w:r>
      <w:r>
        <w:rPr>
          <w:sz w:val="24"/>
          <w:lang w:bidi="ar"/>
        </w:rPr>
        <w:t>IL-1β</w:t>
      </w:r>
      <w:r>
        <w:rPr>
          <w:rFonts w:hint="eastAsia" w:cs="宋体"/>
          <w:sz w:val="24"/>
          <w:lang w:bidi="ar"/>
        </w:rPr>
        <w:t>差异具有统计学意义（</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）；各组</w:t>
      </w:r>
      <w:r>
        <w:rPr>
          <w:sz w:val="24"/>
          <w:lang w:bidi="ar"/>
        </w:rPr>
        <w:t>IL-6</w:t>
      </w:r>
      <w:r>
        <w:rPr>
          <w:rFonts w:hint="eastAsia" w:cs="宋体"/>
          <w:sz w:val="24"/>
          <w:lang w:bidi="ar"/>
        </w:rPr>
        <w:t>差异具有统计学意义（</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）。图</w:t>
      </w:r>
      <w:r>
        <w:rPr>
          <w:rFonts w:hint="eastAsia"/>
          <w:sz w:val="24"/>
          <w:lang w:bidi="ar"/>
        </w:rPr>
        <w:t>16</w:t>
      </w:r>
      <w:r>
        <w:rPr>
          <w:rFonts w:hint="eastAsia" w:cs="宋体"/>
          <w:sz w:val="24"/>
          <w:lang w:bidi="ar"/>
        </w:rPr>
        <w:t>。</w:t>
      </w:r>
    </w:p>
    <w:p w14:paraId="7779186B">
      <w:pPr>
        <w:jc w:val="center"/>
        <w:rPr>
          <w:b/>
          <w:sz w:val="28"/>
          <w:szCs w:val="28"/>
        </w:rPr>
      </w:pPr>
      <w:r>
        <w:rPr>
          <w:b/>
          <w:sz w:val="28"/>
          <w:szCs w:val="28"/>
        </w:rPr>
        <w:drawing>
          <wp:inline distT="0" distB="0" distL="114300" distR="114300">
            <wp:extent cx="1606550" cy="1695450"/>
            <wp:effectExtent l="0" t="0" r="6350" b="6350"/>
            <wp:docPr id="56" name="图片 266" descr="TNF_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6" descr="TNF_α"/>
                    <pic:cNvPicPr>
                      <a:picLocks noChangeAspect="1"/>
                    </pic:cNvPicPr>
                  </pic:nvPicPr>
                  <pic:blipFill>
                    <a:blip r:embed="rId28"/>
                    <a:stretch>
                      <a:fillRect/>
                    </a:stretch>
                  </pic:blipFill>
                  <pic:spPr>
                    <a:xfrm>
                      <a:off x="0" y="0"/>
                      <a:ext cx="1606550" cy="1695450"/>
                    </a:xfrm>
                    <a:prstGeom prst="rect">
                      <a:avLst/>
                    </a:prstGeom>
                    <a:noFill/>
                    <a:ln>
                      <a:noFill/>
                    </a:ln>
                  </pic:spPr>
                </pic:pic>
              </a:graphicData>
            </a:graphic>
          </wp:inline>
        </w:drawing>
      </w:r>
      <w:r>
        <w:rPr>
          <w:b/>
          <w:sz w:val="28"/>
          <w:szCs w:val="28"/>
        </w:rPr>
        <w:drawing>
          <wp:inline distT="0" distB="0" distL="114300" distR="114300">
            <wp:extent cx="1651000" cy="1701800"/>
            <wp:effectExtent l="0" t="0" r="0" b="0"/>
            <wp:docPr id="57" name="图片 281" descr="IL-1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81" descr="IL-1β"/>
                    <pic:cNvPicPr>
                      <a:picLocks noChangeAspect="1"/>
                    </pic:cNvPicPr>
                  </pic:nvPicPr>
                  <pic:blipFill>
                    <a:blip r:embed="rId29"/>
                    <a:stretch>
                      <a:fillRect/>
                    </a:stretch>
                  </pic:blipFill>
                  <pic:spPr>
                    <a:xfrm>
                      <a:off x="0" y="0"/>
                      <a:ext cx="1651000" cy="1701800"/>
                    </a:xfrm>
                    <a:prstGeom prst="rect">
                      <a:avLst/>
                    </a:prstGeom>
                    <a:noFill/>
                    <a:ln>
                      <a:noFill/>
                    </a:ln>
                  </pic:spPr>
                </pic:pic>
              </a:graphicData>
            </a:graphic>
          </wp:inline>
        </w:drawing>
      </w:r>
      <w:r>
        <w:rPr>
          <w:b/>
          <w:sz w:val="28"/>
          <w:szCs w:val="28"/>
        </w:rPr>
        <w:drawing>
          <wp:inline distT="0" distB="0" distL="114300" distR="114300">
            <wp:extent cx="1574800" cy="1708150"/>
            <wp:effectExtent l="0" t="0" r="0" b="6350"/>
            <wp:docPr id="58" name="图片 268" descr="I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8" descr="IL—6"/>
                    <pic:cNvPicPr>
                      <a:picLocks noChangeAspect="1"/>
                    </pic:cNvPicPr>
                  </pic:nvPicPr>
                  <pic:blipFill>
                    <a:blip r:embed="rId30"/>
                    <a:stretch>
                      <a:fillRect/>
                    </a:stretch>
                  </pic:blipFill>
                  <pic:spPr>
                    <a:xfrm>
                      <a:off x="0" y="0"/>
                      <a:ext cx="1574800" cy="1708150"/>
                    </a:xfrm>
                    <a:prstGeom prst="rect">
                      <a:avLst/>
                    </a:prstGeom>
                    <a:noFill/>
                    <a:ln>
                      <a:noFill/>
                    </a:ln>
                  </pic:spPr>
                </pic:pic>
              </a:graphicData>
            </a:graphic>
          </wp:inline>
        </w:drawing>
      </w:r>
    </w:p>
    <w:p w14:paraId="61671C0B">
      <w:pPr>
        <w:spacing w:line="500" w:lineRule="exact"/>
        <w:ind w:firstLine="420" w:firstLineChars="200"/>
        <w:jc w:val="center"/>
        <w:rPr>
          <w:sz w:val="24"/>
        </w:rPr>
      </w:pP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16</w:t>
      </w:r>
      <w:r>
        <w:rPr>
          <w:szCs w:val="22"/>
          <w:lang w:bidi="ar"/>
        </w:rPr>
        <w:fldChar w:fldCharType="end"/>
      </w:r>
      <w:r>
        <w:rPr>
          <w:sz w:val="24"/>
          <w:lang w:bidi="ar"/>
        </w:rPr>
        <w:t xml:space="preserve"> </w:t>
      </w:r>
      <w:r>
        <w:rPr>
          <w:rFonts w:hint="eastAsia" w:cs="宋体"/>
          <w:sz w:val="24"/>
          <w:lang w:bidi="ar"/>
        </w:rPr>
        <w:t>各组大鼠炎症因子</w:t>
      </w:r>
      <w:r>
        <w:rPr>
          <w:sz w:val="24"/>
          <w:lang w:bidi="ar"/>
        </w:rPr>
        <w:t>TNF-α</w:t>
      </w:r>
      <w:r>
        <w:rPr>
          <w:rFonts w:hint="eastAsia" w:cs="宋体"/>
          <w:sz w:val="24"/>
          <w:lang w:bidi="ar"/>
        </w:rPr>
        <w:t>、</w:t>
      </w:r>
      <w:r>
        <w:rPr>
          <w:sz w:val="24"/>
          <w:lang w:bidi="ar"/>
        </w:rPr>
        <w:t>IL-1β</w:t>
      </w:r>
      <w:r>
        <w:rPr>
          <w:rFonts w:hint="eastAsia" w:cs="宋体"/>
          <w:sz w:val="24"/>
          <w:lang w:bidi="ar"/>
        </w:rPr>
        <w:t>、</w:t>
      </w:r>
      <w:r>
        <w:rPr>
          <w:sz w:val="24"/>
          <w:lang w:bidi="ar"/>
        </w:rPr>
        <w:t>IL-6</w:t>
      </w:r>
      <w:r>
        <w:rPr>
          <w:rFonts w:hint="eastAsia" w:cs="宋体"/>
          <w:sz w:val="24"/>
          <w:lang w:bidi="ar"/>
        </w:rPr>
        <w:t>含量图</w:t>
      </w:r>
    </w:p>
    <w:p w14:paraId="7856C086">
      <w:pPr>
        <w:jc w:val="center"/>
        <w:rPr>
          <w:color w:val="000000"/>
          <w:kern w:val="0"/>
          <w:sz w:val="22"/>
          <w:szCs w:val="22"/>
          <w:lang w:bidi="ar"/>
        </w:rPr>
      </w:pPr>
      <w:r>
        <w:rPr>
          <w:rFonts w:hint="eastAsia" w:cs="宋体"/>
          <w:color w:val="000000"/>
          <w:kern w:val="0"/>
          <w:sz w:val="22"/>
          <w:szCs w:val="22"/>
          <w:lang w:bidi="ar"/>
        </w:rPr>
        <w:t>注：与假手术组相比，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0.0001</w:t>
      </w:r>
      <w:r>
        <w:rPr>
          <w:rFonts w:hint="eastAsia" w:cs="宋体"/>
          <w:color w:val="000000"/>
          <w:kern w:val="0"/>
          <w:sz w:val="22"/>
          <w:szCs w:val="22"/>
          <w:lang w:bidi="ar"/>
        </w:rPr>
        <w:t>；与模型组相比，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0.0001</w:t>
      </w:r>
      <w:r>
        <w:rPr>
          <w:rFonts w:hint="eastAsia" w:cs="宋体"/>
          <w:color w:val="000000"/>
          <w:kern w:val="0"/>
          <w:sz w:val="22"/>
          <w:szCs w:val="22"/>
          <w:lang w:bidi="ar"/>
        </w:rPr>
        <w:t>。</w:t>
      </w:r>
    </w:p>
    <w:p w14:paraId="7846FE91">
      <w:pPr>
        <w:spacing w:line="500" w:lineRule="exact"/>
        <w:jc w:val="left"/>
        <w:rPr>
          <w:sz w:val="24"/>
        </w:rPr>
      </w:pPr>
      <w:r>
        <w:rPr>
          <w:rFonts w:hint="eastAsia" w:cs="宋体"/>
          <w:sz w:val="24"/>
          <w:lang w:bidi="ar"/>
        </w:rPr>
        <w:t>（</w:t>
      </w:r>
      <w:r>
        <w:rPr>
          <w:sz w:val="24"/>
          <w:lang w:bidi="ar"/>
        </w:rPr>
        <w:t>5</w:t>
      </w:r>
      <w:r>
        <w:rPr>
          <w:rFonts w:hint="eastAsia" w:cs="宋体"/>
          <w:sz w:val="24"/>
          <w:lang w:bidi="ar"/>
        </w:rPr>
        <w:t>）各组大鼠血清肝功能指标检测结果</w:t>
      </w:r>
    </w:p>
    <w:p w14:paraId="41F126DB">
      <w:pPr>
        <w:spacing w:line="500" w:lineRule="exact"/>
        <w:ind w:firstLine="480" w:firstLineChars="200"/>
        <w:jc w:val="left"/>
        <w:rPr>
          <w:sz w:val="24"/>
        </w:rPr>
      </w:pPr>
      <w:r>
        <w:rPr>
          <w:rFonts w:hint="eastAsia" w:cs="宋体"/>
          <w:sz w:val="24"/>
          <w:lang w:bidi="ar"/>
        </w:rPr>
        <w:t>与假手术组相比，模型组血清</w:t>
      </w:r>
      <w:r>
        <w:rPr>
          <w:sz w:val="24"/>
          <w:lang w:bidi="ar"/>
        </w:rPr>
        <w:t>AST</w:t>
      </w:r>
      <w:r>
        <w:rPr>
          <w:rFonts w:hint="eastAsia" w:cs="宋体"/>
          <w:sz w:val="24"/>
          <w:lang w:bidi="ar"/>
        </w:rPr>
        <w:t>、</w:t>
      </w:r>
      <w:r>
        <w:rPr>
          <w:sz w:val="24"/>
          <w:lang w:bidi="ar"/>
        </w:rPr>
        <w:t>ALT</w:t>
      </w:r>
      <w:r>
        <w:rPr>
          <w:rFonts w:hint="eastAsia" w:cs="宋体"/>
          <w:sz w:val="24"/>
          <w:lang w:bidi="ar"/>
        </w:rPr>
        <w:t>、</w:t>
      </w:r>
      <w:r>
        <w:rPr>
          <w:sz w:val="24"/>
          <w:lang w:bidi="ar"/>
        </w:rPr>
        <w:t>TBIL</w:t>
      </w:r>
      <w:r>
        <w:rPr>
          <w:rFonts w:hint="eastAsia" w:cs="宋体"/>
          <w:sz w:val="24"/>
          <w:lang w:bidi="ar"/>
        </w:rPr>
        <w:t>含量显著升高，且差异具有统计学意义（</w:t>
      </w:r>
      <w:r>
        <w:rPr>
          <w:i/>
          <w:iCs/>
          <w:sz w:val="24"/>
          <w:lang w:bidi="ar"/>
        </w:rPr>
        <w:t>P</w:t>
      </w:r>
      <w:r>
        <w:rPr>
          <w:rFonts w:hint="eastAsia" w:cs="宋体"/>
          <w:sz w:val="24"/>
          <w:lang w:bidi="ar"/>
        </w:rPr>
        <w:t>＜</w:t>
      </w:r>
      <w:r>
        <w:rPr>
          <w:sz w:val="24"/>
          <w:lang w:bidi="ar"/>
        </w:rPr>
        <w:t>0.0001</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sz w:val="24"/>
          <w:lang w:bidi="ar"/>
        </w:rPr>
        <w:t>ALB</w:t>
      </w:r>
      <w:r>
        <w:rPr>
          <w:rFonts w:hint="eastAsia" w:cs="宋体"/>
          <w:sz w:val="24"/>
          <w:lang w:bidi="ar"/>
        </w:rPr>
        <w:t>、</w:t>
      </w:r>
      <w:r>
        <w:rPr>
          <w:sz w:val="24"/>
          <w:lang w:bidi="ar"/>
        </w:rPr>
        <w:t>TBA</w:t>
      </w:r>
      <w:r>
        <w:rPr>
          <w:rFonts w:hint="eastAsia" w:cs="宋体"/>
          <w:sz w:val="24"/>
          <w:lang w:bidi="ar"/>
        </w:rPr>
        <w:t>含量降低，且差异具有统计学意义（</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）。与模型组相比，中药低、中、高剂量组血清</w:t>
      </w:r>
      <w:r>
        <w:rPr>
          <w:sz w:val="24"/>
          <w:lang w:bidi="ar"/>
        </w:rPr>
        <w:t>AST</w:t>
      </w:r>
      <w:r>
        <w:rPr>
          <w:rFonts w:hint="eastAsia" w:cs="宋体"/>
          <w:sz w:val="24"/>
          <w:lang w:bidi="ar"/>
        </w:rPr>
        <w:t>、</w:t>
      </w:r>
      <w:r>
        <w:rPr>
          <w:sz w:val="24"/>
          <w:lang w:bidi="ar"/>
        </w:rPr>
        <w:t>ALT</w:t>
      </w:r>
      <w:r>
        <w:rPr>
          <w:rFonts w:hint="eastAsia" w:cs="宋体"/>
          <w:sz w:val="24"/>
          <w:lang w:bidi="ar"/>
        </w:rPr>
        <w:t>、</w:t>
      </w:r>
      <w:r>
        <w:rPr>
          <w:sz w:val="24"/>
          <w:lang w:bidi="ar"/>
        </w:rPr>
        <w:t>TBIL</w:t>
      </w:r>
      <w:r>
        <w:rPr>
          <w:rFonts w:hint="eastAsia" w:cs="宋体"/>
          <w:sz w:val="24"/>
          <w:lang w:bidi="ar"/>
        </w:rPr>
        <w:t>含量显著降低，且差异具有统计学意义（</w:t>
      </w:r>
      <w:r>
        <w:rPr>
          <w:sz w:val="24"/>
          <w:lang w:bidi="ar"/>
        </w:rPr>
        <w:t>AST</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sz w:val="24"/>
          <w:lang w:bidi="ar"/>
        </w:rPr>
        <w:t>ALT</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w:t>
      </w:r>
      <w:r>
        <w:rPr>
          <w:sz w:val="24"/>
          <w:lang w:bidi="ar"/>
        </w:rPr>
        <w:t>TBIL</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0.0001</w:t>
      </w:r>
      <w:r>
        <w:rPr>
          <w:rFonts w:hint="eastAsia" w:cs="宋体"/>
          <w:sz w:val="24"/>
          <w:lang w:bidi="ar"/>
        </w:rPr>
        <w:t>），中药中、高剂量组</w:t>
      </w:r>
      <w:r>
        <w:rPr>
          <w:sz w:val="24"/>
          <w:lang w:bidi="ar"/>
        </w:rPr>
        <w:t>ALB</w:t>
      </w:r>
      <w:r>
        <w:rPr>
          <w:rFonts w:hint="eastAsia" w:cs="宋体"/>
          <w:sz w:val="24"/>
          <w:lang w:bidi="ar"/>
        </w:rPr>
        <w:t>含量升高，且差异具有统计学意义（</w:t>
      </w:r>
      <w:r>
        <w:rPr>
          <w:i/>
          <w:iCs/>
          <w:sz w:val="24"/>
          <w:lang w:bidi="ar"/>
        </w:rPr>
        <w:t>P</w:t>
      </w:r>
      <w:r>
        <w:rPr>
          <w:rFonts w:hint="eastAsia" w:cs="宋体"/>
          <w:sz w:val="24"/>
          <w:lang w:bidi="ar"/>
        </w:rPr>
        <w:t>＜</w:t>
      </w:r>
      <w:r>
        <w:rPr>
          <w:sz w:val="24"/>
          <w:lang w:bidi="ar"/>
        </w:rPr>
        <w:t>0.001</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）。见图</w:t>
      </w:r>
      <w:r>
        <w:rPr>
          <w:sz w:val="24"/>
          <w:lang w:bidi="ar"/>
        </w:rPr>
        <w:t>1</w:t>
      </w:r>
      <w:r>
        <w:rPr>
          <w:rFonts w:hint="eastAsia"/>
          <w:sz w:val="24"/>
          <w:lang w:bidi="ar"/>
        </w:rPr>
        <w:t>7</w:t>
      </w:r>
      <w:r>
        <w:rPr>
          <w:rFonts w:hint="eastAsia" w:cs="宋体"/>
          <w:sz w:val="24"/>
          <w:lang w:bidi="ar"/>
        </w:rPr>
        <w:t>。</w:t>
      </w:r>
    </w:p>
    <w:p w14:paraId="23268811">
      <w:pPr>
        <w:jc w:val="center"/>
        <w:rPr>
          <w:color w:val="000000"/>
          <w:sz w:val="28"/>
          <w:szCs w:val="28"/>
        </w:rPr>
      </w:pPr>
      <w:r>
        <w:rPr>
          <w:color w:val="000000"/>
          <w:sz w:val="28"/>
          <w:szCs w:val="28"/>
        </w:rPr>
        <w:drawing>
          <wp:inline distT="0" distB="0" distL="114300" distR="114300">
            <wp:extent cx="3683000" cy="2616200"/>
            <wp:effectExtent l="0" t="0" r="0" b="0"/>
            <wp:docPr id="59" name="图片 280" descr="演示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0" descr="演示文稿1_01"/>
                    <pic:cNvPicPr>
                      <a:picLocks noChangeAspect="1"/>
                    </pic:cNvPicPr>
                  </pic:nvPicPr>
                  <pic:blipFill>
                    <a:blip r:embed="rId31"/>
                    <a:srcRect l="11821" r="19748" b="13586"/>
                    <a:stretch>
                      <a:fillRect/>
                    </a:stretch>
                  </pic:blipFill>
                  <pic:spPr>
                    <a:xfrm>
                      <a:off x="0" y="0"/>
                      <a:ext cx="3683000" cy="2616200"/>
                    </a:xfrm>
                    <a:prstGeom prst="rect">
                      <a:avLst/>
                    </a:prstGeom>
                    <a:noFill/>
                    <a:ln>
                      <a:noFill/>
                    </a:ln>
                  </pic:spPr>
                </pic:pic>
              </a:graphicData>
            </a:graphic>
          </wp:inline>
        </w:drawing>
      </w:r>
    </w:p>
    <w:p w14:paraId="1D01CB44">
      <w:pPr>
        <w:jc w:val="center"/>
        <w:rPr>
          <w:color w:val="000000"/>
          <w:kern w:val="0"/>
          <w:sz w:val="28"/>
          <w:szCs w:val="28"/>
          <w:lang w:bidi="ar"/>
        </w:rPr>
      </w:pP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17</w:t>
      </w:r>
      <w:r>
        <w:rPr>
          <w:szCs w:val="22"/>
          <w:lang w:bidi="ar"/>
        </w:rPr>
        <w:fldChar w:fldCharType="end"/>
      </w:r>
      <w:r>
        <w:rPr>
          <w:sz w:val="24"/>
          <w:lang w:bidi="ar"/>
        </w:rPr>
        <w:t xml:space="preserve"> </w:t>
      </w:r>
      <w:r>
        <w:rPr>
          <w:rFonts w:hint="eastAsia" w:cs="宋体"/>
          <w:color w:val="000000"/>
          <w:sz w:val="28"/>
          <w:szCs w:val="28"/>
          <w:lang w:bidi="ar"/>
        </w:rPr>
        <w:t>各组大鼠血清肝功能指标检测结果比较</w:t>
      </w:r>
    </w:p>
    <w:p w14:paraId="3FCD0189">
      <w:pPr>
        <w:jc w:val="center"/>
        <w:rPr>
          <w:color w:val="000000"/>
          <w:kern w:val="0"/>
          <w:sz w:val="22"/>
          <w:szCs w:val="22"/>
          <w:lang w:bidi="ar"/>
        </w:rPr>
      </w:pPr>
      <w:r>
        <w:rPr>
          <w:rFonts w:hint="eastAsia" w:cs="宋体"/>
          <w:color w:val="000000"/>
          <w:kern w:val="0"/>
          <w:sz w:val="22"/>
          <w:szCs w:val="22"/>
          <w:lang w:bidi="ar"/>
        </w:rPr>
        <w:t>注：与假手术组相比，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。与模型组相比，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0.001</w:t>
      </w:r>
      <w:r>
        <w:rPr>
          <w:rFonts w:hint="eastAsia" w:cs="宋体"/>
          <w:color w:val="000000"/>
          <w:kern w:val="0"/>
          <w:sz w:val="22"/>
          <w:szCs w:val="22"/>
          <w:lang w:bidi="ar"/>
        </w:rPr>
        <w:t>；</w:t>
      </w:r>
    </w:p>
    <w:p w14:paraId="19C9CA4E">
      <w:pPr>
        <w:spacing w:line="500" w:lineRule="exact"/>
        <w:jc w:val="left"/>
        <w:rPr>
          <w:sz w:val="24"/>
        </w:rPr>
      </w:pPr>
      <w:r>
        <w:rPr>
          <w:rFonts w:hint="eastAsia" w:cs="宋体"/>
          <w:sz w:val="24"/>
          <w:lang w:bidi="ar"/>
        </w:rPr>
        <w:t>（</w:t>
      </w:r>
      <w:r>
        <w:rPr>
          <w:sz w:val="24"/>
          <w:lang w:bidi="ar"/>
        </w:rPr>
        <w:t>6</w:t>
      </w:r>
      <w:r>
        <w:rPr>
          <w:rFonts w:hint="eastAsia" w:cs="宋体"/>
          <w:sz w:val="24"/>
          <w:lang w:bidi="ar"/>
        </w:rPr>
        <w:t>）大鼠血浆中</w:t>
      </w:r>
      <w:r>
        <w:rPr>
          <w:sz w:val="24"/>
          <w:lang w:bidi="ar"/>
        </w:rPr>
        <w:t>PT</w:t>
      </w:r>
      <w:r>
        <w:rPr>
          <w:rFonts w:hint="eastAsia" w:cs="宋体"/>
          <w:sz w:val="24"/>
          <w:lang w:bidi="ar"/>
        </w:rPr>
        <w:t>、</w:t>
      </w:r>
      <w:r>
        <w:rPr>
          <w:sz w:val="24"/>
          <w:lang w:bidi="ar"/>
        </w:rPr>
        <w:t>APTT</w:t>
      </w:r>
      <w:r>
        <w:rPr>
          <w:rFonts w:hint="eastAsia" w:cs="宋体"/>
          <w:sz w:val="24"/>
          <w:lang w:bidi="ar"/>
        </w:rPr>
        <w:t>、</w:t>
      </w:r>
      <w:r>
        <w:rPr>
          <w:sz w:val="24"/>
          <w:lang w:bidi="ar"/>
        </w:rPr>
        <w:t>TT</w:t>
      </w:r>
      <w:r>
        <w:rPr>
          <w:rFonts w:hint="eastAsia" w:cs="宋体"/>
          <w:sz w:val="24"/>
          <w:lang w:bidi="ar"/>
        </w:rPr>
        <w:t>及</w:t>
      </w:r>
      <w:r>
        <w:rPr>
          <w:sz w:val="24"/>
          <w:lang w:bidi="ar"/>
        </w:rPr>
        <w:t>FIB</w:t>
      </w:r>
    </w:p>
    <w:p w14:paraId="005A004E">
      <w:pPr>
        <w:spacing w:line="500" w:lineRule="exact"/>
        <w:ind w:firstLine="480" w:firstLineChars="200"/>
        <w:jc w:val="left"/>
        <w:rPr>
          <w:sz w:val="24"/>
        </w:rPr>
      </w:pPr>
      <w:r>
        <w:rPr>
          <w:rFonts w:hint="eastAsia" w:cs="宋体"/>
          <w:sz w:val="24"/>
          <w:lang w:bidi="ar"/>
        </w:rPr>
        <w:t>与假手术组相比，模型组</w:t>
      </w:r>
      <w:r>
        <w:rPr>
          <w:sz w:val="24"/>
          <w:lang w:bidi="ar"/>
        </w:rPr>
        <w:t>PT</w:t>
      </w:r>
      <w:r>
        <w:rPr>
          <w:rFonts w:hint="eastAsia" w:cs="宋体"/>
          <w:sz w:val="24"/>
          <w:lang w:bidi="ar"/>
        </w:rPr>
        <w:t>缩短，</w:t>
      </w:r>
      <w:r>
        <w:rPr>
          <w:sz w:val="24"/>
          <w:lang w:bidi="ar"/>
        </w:rPr>
        <w:t>FIB</w:t>
      </w:r>
      <w:r>
        <w:rPr>
          <w:rFonts w:hint="eastAsia" w:cs="宋体"/>
          <w:sz w:val="24"/>
          <w:lang w:bidi="ar"/>
        </w:rPr>
        <w:t>增多，且差异具有统计学意义（</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0.001</w:t>
      </w:r>
      <w:r>
        <w:rPr>
          <w:rFonts w:hint="eastAsia" w:cs="宋体"/>
          <w:sz w:val="24"/>
          <w:lang w:bidi="ar"/>
        </w:rPr>
        <w:t>）。与模型组相比，中药低剂量组</w:t>
      </w:r>
      <w:r>
        <w:rPr>
          <w:sz w:val="24"/>
          <w:lang w:bidi="ar"/>
        </w:rPr>
        <w:t>PT</w:t>
      </w:r>
      <w:r>
        <w:rPr>
          <w:rFonts w:hint="eastAsia" w:cs="宋体"/>
          <w:sz w:val="24"/>
          <w:lang w:bidi="ar"/>
        </w:rPr>
        <w:t>、</w:t>
      </w:r>
      <w:r>
        <w:rPr>
          <w:sz w:val="24"/>
          <w:lang w:bidi="ar"/>
        </w:rPr>
        <w:t>APTT</w:t>
      </w:r>
      <w:r>
        <w:rPr>
          <w:rFonts w:hint="eastAsia" w:cs="宋体"/>
          <w:sz w:val="24"/>
          <w:lang w:bidi="ar"/>
        </w:rPr>
        <w:t>、</w:t>
      </w:r>
      <w:r>
        <w:rPr>
          <w:sz w:val="24"/>
          <w:lang w:bidi="ar"/>
        </w:rPr>
        <w:t>TT</w:t>
      </w:r>
      <w:r>
        <w:rPr>
          <w:rFonts w:hint="eastAsia" w:cs="宋体"/>
          <w:sz w:val="24"/>
          <w:lang w:bidi="ar"/>
        </w:rPr>
        <w:t>延长，且差异具有统计学意义（</w:t>
      </w:r>
      <w:r>
        <w:rPr>
          <w:i/>
          <w:iCs/>
          <w:sz w:val="24"/>
          <w:lang w:bidi="ar"/>
        </w:rPr>
        <w:t>P</w:t>
      </w:r>
      <w:r>
        <w:rPr>
          <w:rFonts w:hint="eastAsia" w:cs="宋体"/>
          <w:sz w:val="24"/>
          <w:lang w:bidi="ar"/>
        </w:rPr>
        <w:t>＜</w:t>
      </w:r>
      <w:r>
        <w:rPr>
          <w:sz w:val="24"/>
          <w:lang w:bidi="ar"/>
        </w:rPr>
        <w:t>0.01</w:t>
      </w:r>
      <w:r>
        <w:rPr>
          <w:rFonts w:hint="eastAsia" w:cs="宋体"/>
          <w:sz w:val="24"/>
          <w:lang w:bidi="ar"/>
        </w:rPr>
        <w:t>，</w:t>
      </w:r>
      <w:r>
        <w:rPr>
          <w:i/>
          <w:iCs/>
          <w:sz w:val="24"/>
          <w:lang w:bidi="ar"/>
        </w:rPr>
        <w:t>P</w:t>
      </w:r>
      <w:r>
        <w:rPr>
          <w:rFonts w:hint="eastAsia" w:cs="宋体"/>
          <w:sz w:val="24"/>
          <w:lang w:bidi="ar"/>
        </w:rPr>
        <w:t>＜</w:t>
      </w:r>
      <w:r>
        <w:rPr>
          <w:sz w:val="24"/>
          <w:lang w:bidi="ar"/>
        </w:rPr>
        <w:t>0.001</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）；中药中剂量组</w:t>
      </w:r>
      <w:r>
        <w:rPr>
          <w:sz w:val="24"/>
          <w:lang w:bidi="ar"/>
        </w:rPr>
        <w:t>APTT</w:t>
      </w:r>
      <w:r>
        <w:rPr>
          <w:rFonts w:hint="eastAsia" w:cs="宋体"/>
          <w:sz w:val="24"/>
          <w:lang w:bidi="ar"/>
        </w:rPr>
        <w:t>、</w:t>
      </w:r>
      <w:r>
        <w:rPr>
          <w:sz w:val="24"/>
          <w:lang w:bidi="ar"/>
        </w:rPr>
        <w:t>TT</w:t>
      </w:r>
      <w:r>
        <w:rPr>
          <w:rFonts w:hint="eastAsia" w:cs="宋体"/>
          <w:sz w:val="24"/>
          <w:lang w:bidi="ar"/>
        </w:rPr>
        <w:t>延长，且差异具有统计学意义（</w:t>
      </w:r>
      <w:r>
        <w:rPr>
          <w:i/>
          <w:iCs/>
          <w:sz w:val="24"/>
          <w:lang w:bidi="ar"/>
        </w:rPr>
        <w:t>P</w:t>
      </w:r>
      <w:r>
        <w:rPr>
          <w:rFonts w:hint="eastAsia" w:cs="宋体"/>
          <w:sz w:val="24"/>
          <w:lang w:bidi="ar"/>
        </w:rPr>
        <w:t>＜</w:t>
      </w:r>
      <w:r>
        <w:rPr>
          <w:sz w:val="24"/>
          <w:lang w:bidi="ar"/>
        </w:rPr>
        <w:t>0.001</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）；中药高剂量组</w:t>
      </w:r>
      <w:r>
        <w:rPr>
          <w:sz w:val="24"/>
          <w:lang w:bidi="ar"/>
        </w:rPr>
        <w:t>PT</w:t>
      </w:r>
      <w:r>
        <w:rPr>
          <w:rFonts w:hint="eastAsia" w:cs="宋体"/>
          <w:sz w:val="24"/>
          <w:lang w:bidi="ar"/>
        </w:rPr>
        <w:t>、</w:t>
      </w:r>
      <w:r>
        <w:rPr>
          <w:sz w:val="24"/>
          <w:lang w:bidi="ar"/>
        </w:rPr>
        <w:t>APTT</w:t>
      </w:r>
      <w:r>
        <w:rPr>
          <w:rFonts w:hint="eastAsia" w:cs="宋体"/>
          <w:sz w:val="24"/>
          <w:lang w:bidi="ar"/>
        </w:rPr>
        <w:t>、</w:t>
      </w:r>
      <w:r>
        <w:rPr>
          <w:sz w:val="24"/>
          <w:lang w:bidi="ar"/>
        </w:rPr>
        <w:t>TT</w:t>
      </w:r>
      <w:r>
        <w:rPr>
          <w:rFonts w:hint="eastAsia" w:cs="宋体"/>
          <w:sz w:val="24"/>
          <w:lang w:bidi="ar"/>
        </w:rPr>
        <w:t>延长，</w:t>
      </w:r>
      <w:r>
        <w:rPr>
          <w:sz w:val="24"/>
          <w:lang w:bidi="ar"/>
        </w:rPr>
        <w:t>FIB</w:t>
      </w:r>
      <w:r>
        <w:rPr>
          <w:rFonts w:hint="eastAsia" w:cs="宋体"/>
          <w:sz w:val="24"/>
          <w:lang w:bidi="ar"/>
        </w:rPr>
        <w:t>减少，且差异具有统计学意义（</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0.05</w:t>
      </w:r>
      <w:r>
        <w:rPr>
          <w:rFonts w:hint="eastAsia" w:cs="宋体"/>
          <w:sz w:val="24"/>
          <w:lang w:bidi="ar"/>
        </w:rPr>
        <w:t>，</w:t>
      </w:r>
      <w:r>
        <w:rPr>
          <w:i/>
          <w:iCs/>
          <w:sz w:val="24"/>
          <w:lang w:bidi="ar"/>
        </w:rPr>
        <w:t>P</w:t>
      </w:r>
      <w:r>
        <w:rPr>
          <w:rFonts w:hint="eastAsia" w:cs="宋体"/>
          <w:sz w:val="24"/>
          <w:lang w:bidi="ar"/>
        </w:rPr>
        <w:t>＜</w:t>
      </w:r>
      <w:r>
        <w:rPr>
          <w:sz w:val="24"/>
          <w:lang w:bidi="ar"/>
        </w:rPr>
        <w:t>0.01</w:t>
      </w:r>
      <w:r>
        <w:rPr>
          <w:rFonts w:hint="eastAsia" w:cs="宋体"/>
          <w:sz w:val="24"/>
          <w:lang w:bidi="ar"/>
        </w:rPr>
        <w:t>）。见图</w:t>
      </w:r>
      <w:r>
        <w:rPr>
          <w:sz w:val="24"/>
          <w:lang w:bidi="ar"/>
        </w:rPr>
        <w:t>1</w:t>
      </w:r>
      <w:r>
        <w:rPr>
          <w:rFonts w:hint="eastAsia"/>
          <w:sz w:val="24"/>
          <w:lang w:bidi="ar"/>
        </w:rPr>
        <w:t>8</w:t>
      </w:r>
      <w:r>
        <w:rPr>
          <w:rFonts w:hint="eastAsia" w:cs="宋体"/>
          <w:sz w:val="24"/>
          <w:lang w:bidi="ar"/>
        </w:rPr>
        <w:t>。</w:t>
      </w:r>
    </w:p>
    <w:p w14:paraId="10F7F2F3">
      <w:pPr>
        <w:jc w:val="center"/>
        <w:rPr>
          <w:b/>
          <w:sz w:val="28"/>
          <w:szCs w:val="28"/>
        </w:rPr>
      </w:pPr>
      <w:r>
        <w:rPr>
          <w:b/>
          <w:sz w:val="28"/>
          <w:szCs w:val="28"/>
        </w:rPr>
        <w:drawing>
          <wp:inline distT="0" distB="0" distL="114300" distR="114300">
            <wp:extent cx="1422400" cy="1536700"/>
            <wp:effectExtent l="0" t="0" r="0" b="0"/>
            <wp:docPr id="60" name="图片 279"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9" descr="PT"/>
                    <pic:cNvPicPr>
                      <a:picLocks noChangeAspect="1"/>
                    </pic:cNvPicPr>
                  </pic:nvPicPr>
                  <pic:blipFill>
                    <a:blip r:embed="rId32"/>
                    <a:stretch>
                      <a:fillRect/>
                    </a:stretch>
                  </pic:blipFill>
                  <pic:spPr>
                    <a:xfrm>
                      <a:off x="0" y="0"/>
                      <a:ext cx="1422400" cy="1536700"/>
                    </a:xfrm>
                    <a:prstGeom prst="rect">
                      <a:avLst/>
                    </a:prstGeom>
                    <a:noFill/>
                    <a:ln>
                      <a:noFill/>
                    </a:ln>
                  </pic:spPr>
                </pic:pic>
              </a:graphicData>
            </a:graphic>
          </wp:inline>
        </w:drawing>
      </w:r>
      <w:r>
        <w:rPr>
          <w:b/>
          <w:sz w:val="28"/>
          <w:szCs w:val="28"/>
        </w:rPr>
        <w:drawing>
          <wp:inline distT="0" distB="0" distL="114300" distR="114300">
            <wp:extent cx="1403350" cy="1549400"/>
            <wp:effectExtent l="0" t="0" r="6350" b="0"/>
            <wp:docPr id="61" name="图片 276" descr="AP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6" descr="APTT"/>
                    <pic:cNvPicPr>
                      <a:picLocks noChangeAspect="1"/>
                    </pic:cNvPicPr>
                  </pic:nvPicPr>
                  <pic:blipFill>
                    <a:blip r:embed="rId33"/>
                    <a:stretch>
                      <a:fillRect/>
                    </a:stretch>
                  </pic:blipFill>
                  <pic:spPr>
                    <a:xfrm>
                      <a:off x="0" y="0"/>
                      <a:ext cx="1403350" cy="1549400"/>
                    </a:xfrm>
                    <a:prstGeom prst="rect">
                      <a:avLst/>
                    </a:prstGeom>
                    <a:noFill/>
                    <a:ln>
                      <a:noFill/>
                    </a:ln>
                  </pic:spPr>
                </pic:pic>
              </a:graphicData>
            </a:graphic>
          </wp:inline>
        </w:drawing>
      </w:r>
      <w:r>
        <w:rPr>
          <w:b/>
          <w:sz w:val="28"/>
          <w:szCs w:val="28"/>
        </w:rPr>
        <w:drawing>
          <wp:inline distT="0" distB="0" distL="114300" distR="114300">
            <wp:extent cx="1435100" cy="1555750"/>
            <wp:effectExtent l="0" t="0" r="0" b="6350"/>
            <wp:docPr id="70" name="图片 277"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7" descr="TT"/>
                    <pic:cNvPicPr>
                      <a:picLocks noChangeAspect="1"/>
                    </pic:cNvPicPr>
                  </pic:nvPicPr>
                  <pic:blipFill>
                    <a:blip r:embed="rId34"/>
                    <a:stretch>
                      <a:fillRect/>
                    </a:stretch>
                  </pic:blipFill>
                  <pic:spPr>
                    <a:xfrm>
                      <a:off x="0" y="0"/>
                      <a:ext cx="1435100" cy="1555750"/>
                    </a:xfrm>
                    <a:prstGeom prst="rect">
                      <a:avLst/>
                    </a:prstGeom>
                    <a:noFill/>
                    <a:ln>
                      <a:noFill/>
                    </a:ln>
                  </pic:spPr>
                </pic:pic>
              </a:graphicData>
            </a:graphic>
          </wp:inline>
        </w:drawing>
      </w:r>
      <w:r>
        <w:rPr>
          <w:b/>
          <w:sz w:val="28"/>
          <w:szCs w:val="28"/>
        </w:rPr>
        <w:drawing>
          <wp:inline distT="0" distB="0" distL="114300" distR="114300">
            <wp:extent cx="1384300" cy="1543050"/>
            <wp:effectExtent l="0" t="0" r="0" b="6350"/>
            <wp:docPr id="71" name="图片 278" descr="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78" descr="FIB"/>
                    <pic:cNvPicPr>
                      <a:picLocks noChangeAspect="1"/>
                    </pic:cNvPicPr>
                  </pic:nvPicPr>
                  <pic:blipFill>
                    <a:blip r:embed="rId35"/>
                    <a:stretch>
                      <a:fillRect/>
                    </a:stretch>
                  </pic:blipFill>
                  <pic:spPr>
                    <a:xfrm>
                      <a:off x="0" y="0"/>
                      <a:ext cx="1384300" cy="1543050"/>
                    </a:xfrm>
                    <a:prstGeom prst="rect">
                      <a:avLst/>
                    </a:prstGeom>
                    <a:noFill/>
                    <a:ln>
                      <a:noFill/>
                    </a:ln>
                  </pic:spPr>
                </pic:pic>
              </a:graphicData>
            </a:graphic>
          </wp:inline>
        </w:drawing>
      </w:r>
    </w:p>
    <w:p w14:paraId="4D7B3416">
      <w:pPr>
        <w:spacing w:line="500" w:lineRule="exact"/>
        <w:ind w:firstLine="420" w:firstLineChars="200"/>
        <w:jc w:val="center"/>
        <w:rPr>
          <w:sz w:val="24"/>
        </w:rPr>
      </w:pPr>
      <w:r>
        <w:rPr>
          <w:rFonts w:hint="eastAsia" w:cs="宋体"/>
          <w:szCs w:val="22"/>
          <w:lang w:bidi="ar"/>
        </w:rPr>
        <w:t>图</w:t>
      </w:r>
      <w:r>
        <w:rPr>
          <w:szCs w:val="22"/>
          <w:lang w:bidi="ar"/>
        </w:rPr>
        <w:t xml:space="preserve"> </w:t>
      </w:r>
      <w:r>
        <w:rPr>
          <w:szCs w:val="22"/>
          <w:lang w:bidi="ar"/>
        </w:rPr>
        <w:fldChar w:fldCharType="begin"/>
      </w:r>
      <w:r>
        <w:rPr>
          <w:szCs w:val="22"/>
          <w:lang w:bidi="ar"/>
        </w:rPr>
        <w:instrText xml:space="preserve"> SEQ </w:instrText>
      </w:r>
      <w:r>
        <w:rPr>
          <w:rFonts w:hint="eastAsia" w:cs="宋体"/>
          <w:szCs w:val="22"/>
          <w:lang w:bidi="ar"/>
        </w:rPr>
        <w:instrText xml:space="preserve">图</w:instrText>
      </w:r>
      <w:r>
        <w:rPr>
          <w:szCs w:val="22"/>
          <w:lang w:bidi="ar"/>
        </w:rPr>
        <w:instrText xml:space="preserve"> \* ARABIC </w:instrText>
      </w:r>
      <w:r>
        <w:rPr>
          <w:szCs w:val="22"/>
          <w:lang w:bidi="ar"/>
        </w:rPr>
        <w:fldChar w:fldCharType="separate"/>
      </w:r>
      <w:r>
        <w:rPr>
          <w:szCs w:val="22"/>
          <w:lang w:bidi="ar"/>
        </w:rPr>
        <w:t>18</w:t>
      </w:r>
      <w:r>
        <w:rPr>
          <w:szCs w:val="22"/>
          <w:lang w:bidi="ar"/>
        </w:rPr>
        <w:fldChar w:fldCharType="end"/>
      </w:r>
      <w:r>
        <w:rPr>
          <w:sz w:val="24"/>
          <w:lang w:bidi="ar"/>
        </w:rPr>
        <w:t xml:space="preserve">  </w:t>
      </w:r>
      <w:r>
        <w:rPr>
          <w:rFonts w:hint="eastAsia" w:cs="宋体"/>
          <w:sz w:val="24"/>
          <w:lang w:bidi="ar"/>
        </w:rPr>
        <w:t>各组大鼠凝血指标</w:t>
      </w:r>
    </w:p>
    <w:p w14:paraId="40E0C045">
      <w:pPr>
        <w:jc w:val="center"/>
        <w:rPr>
          <w:color w:val="000000"/>
          <w:kern w:val="0"/>
          <w:sz w:val="22"/>
          <w:szCs w:val="22"/>
          <w:lang w:bidi="ar"/>
        </w:rPr>
      </w:pPr>
      <w:r>
        <w:rPr>
          <w:rFonts w:hint="eastAsia" w:cs="宋体"/>
          <w:color w:val="000000"/>
          <w:kern w:val="0"/>
          <w:sz w:val="22"/>
          <w:szCs w:val="22"/>
          <w:lang w:bidi="ar"/>
        </w:rPr>
        <w:t>注：与假手术组相比，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。与模型组相比，</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0.05</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0.01</w:t>
      </w:r>
      <w:r>
        <w:rPr>
          <w:rFonts w:hint="eastAsia" w:cs="宋体"/>
          <w:color w:val="000000"/>
          <w:kern w:val="0"/>
          <w:sz w:val="22"/>
          <w:szCs w:val="22"/>
          <w:lang w:bidi="ar"/>
        </w:rPr>
        <w:t>，</w:t>
      </w:r>
      <w:r>
        <w:rPr>
          <w:color w:val="000000"/>
          <w:kern w:val="0"/>
          <w:sz w:val="22"/>
          <w:szCs w:val="22"/>
          <w:lang w:bidi="ar"/>
        </w:rPr>
        <w:t>***</w:t>
      </w:r>
      <w:r>
        <w:rPr>
          <w:i/>
          <w:iCs/>
          <w:sz w:val="24"/>
          <w:lang w:bidi="ar"/>
        </w:rPr>
        <w:t>P</w:t>
      </w:r>
      <w:r>
        <w:rPr>
          <w:rFonts w:hint="eastAsia" w:cs="宋体"/>
          <w:color w:val="000000"/>
          <w:kern w:val="0"/>
          <w:sz w:val="22"/>
          <w:szCs w:val="22"/>
          <w:lang w:bidi="ar"/>
        </w:rPr>
        <w:t>＜</w:t>
      </w:r>
      <w:r>
        <w:rPr>
          <w:color w:val="000000"/>
          <w:kern w:val="0"/>
          <w:sz w:val="22"/>
          <w:szCs w:val="22"/>
          <w:lang w:bidi="ar"/>
        </w:rPr>
        <w:t>0.001</w:t>
      </w:r>
      <w:r>
        <w:rPr>
          <w:rFonts w:hint="eastAsia" w:cs="宋体"/>
          <w:color w:val="000000"/>
          <w:kern w:val="0"/>
          <w:sz w:val="22"/>
          <w:szCs w:val="22"/>
          <w:lang w:bidi="ar"/>
        </w:rPr>
        <w:t>；</w:t>
      </w:r>
    </w:p>
    <w:p w14:paraId="37846C92">
      <w:pPr>
        <w:spacing w:line="560" w:lineRule="exact"/>
        <w:ind w:right="640"/>
        <w:rPr>
          <w:rFonts w:ascii="仿宋_GB2312" w:hAnsi="宋体" w:eastAsia="仿宋_GB2312"/>
          <w:sz w:val="32"/>
          <w:szCs w:val="32"/>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1666264"/>
    </w:sdtPr>
    <w:sdtContent>
      <w:p w14:paraId="53878BE5">
        <w:pPr>
          <w:pStyle w:val="10"/>
          <w:jc w:val="center"/>
        </w:pPr>
        <w:r>
          <w:fldChar w:fldCharType="begin"/>
        </w:r>
        <w:r>
          <w:instrText xml:space="preserve">PAGE   \* MERGEFORMAT</w:instrText>
        </w:r>
        <w:r>
          <w:fldChar w:fldCharType="separate"/>
        </w:r>
        <w:r>
          <w:rPr>
            <w:lang w:val="zh-CN"/>
          </w:rPr>
          <w:t>11</w:t>
        </w:r>
        <w:r>
          <w:fldChar w:fldCharType="end"/>
        </w:r>
      </w:p>
    </w:sdtContent>
  </w:sdt>
  <w:p w14:paraId="57C3D033">
    <w:pPr>
      <w:pStyle w:val="10"/>
      <w:tabs>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AB0A94"/>
    <w:multiLevelType w:val="singleLevel"/>
    <w:tmpl w:val="D2AB0A94"/>
    <w:lvl w:ilvl="0" w:tentative="0">
      <w:start w:val="4"/>
      <w:numFmt w:val="chineseCounting"/>
      <w:suff w:val="nothing"/>
      <w:lvlText w:val="（%1）"/>
      <w:lvlJc w:val="left"/>
      <w:rPr>
        <w:rFonts w:hint="eastAsia"/>
        <w:b/>
        <w:bCs/>
      </w:rPr>
    </w:lvl>
  </w:abstractNum>
  <w:abstractNum w:abstractNumId="1">
    <w:nsid w:val="F59C0A2E"/>
    <w:multiLevelType w:val="multilevel"/>
    <w:tmpl w:val="F59C0A2E"/>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142"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suff w:val="nothing"/>
      <w:lvlText w:val="%1%2.%3.%4　"/>
      <w:lvlJc w:val="left"/>
      <w:pPr>
        <w:ind w:left="284" w:firstLine="0"/>
      </w:pPr>
      <w:rPr>
        <w:rFonts w:hint="eastAsia" w:ascii="黑体" w:hAnsi="Times New Roman" w:eastAsia="黑体" w:cs="黑体"/>
        <w:b w:val="0"/>
        <w:i w:val="0"/>
        <w:sz w:val="21"/>
      </w:rPr>
    </w:lvl>
    <w:lvl w:ilvl="4" w:tentative="0">
      <w:start w:val="1"/>
      <w:numFmt w:val="decimal"/>
      <w:pStyle w:val="38"/>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2">
    <w:nsid w:val="06F50745"/>
    <w:multiLevelType w:val="multilevel"/>
    <w:tmpl w:val="06F50745"/>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21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6"/>
      <w:suff w:val="nothing"/>
      <w:lvlText w:val="%1.%2.%3　"/>
      <w:lvlJc w:val="left"/>
      <w:pPr>
        <w:ind w:left="567"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2DE76386"/>
    <w:multiLevelType w:val="singleLevel"/>
    <w:tmpl w:val="2DE76386"/>
    <w:lvl w:ilvl="0" w:tentative="0">
      <w:start w:val="2"/>
      <w:numFmt w:val="chineseCounting"/>
      <w:suff w:val="nothing"/>
      <w:lvlText w:val="（%1）"/>
      <w:lvlJc w:val="left"/>
      <w:rPr>
        <w:rFonts w:hint="eastAsia"/>
      </w:rPr>
    </w:lvl>
  </w:abstractNum>
  <w:abstractNum w:abstractNumId="5">
    <w:nsid w:val="30E81607"/>
    <w:multiLevelType w:val="multilevel"/>
    <w:tmpl w:val="30E81607"/>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142"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suff w:val="nothing"/>
      <w:lvlText w:val="%1%2.%3.%4　"/>
      <w:lvlJc w:val="left"/>
      <w:pPr>
        <w:ind w:left="284"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pStyle w:val="37"/>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6">
    <w:nsid w:val="32534DA6"/>
    <w:multiLevelType w:val="multilevel"/>
    <w:tmpl w:val="32534DA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57C2AF5"/>
    <w:multiLevelType w:val="multilevel"/>
    <w:tmpl w:val="557C2AF5"/>
    <w:lvl w:ilvl="0" w:tentative="0">
      <w:start w:val="1"/>
      <w:numFmt w:val="decimal"/>
      <w:pStyle w:val="4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8">
    <w:nsid w:val="6CEA2025"/>
    <w:multiLevelType w:val="multilevel"/>
    <w:tmpl w:val="6CEA2025"/>
    <w:lvl w:ilvl="0" w:tentative="0">
      <w:start w:val="1"/>
      <w:numFmt w:val="none"/>
      <w:pStyle w:val="36"/>
      <w:suff w:val="nothing"/>
      <w:lvlText w:val="%1"/>
      <w:lvlJc w:val="left"/>
      <w:pPr>
        <w:ind w:left="0" w:firstLine="0"/>
      </w:pPr>
      <w:rPr>
        <w:rFonts w:hint="eastAsia"/>
      </w:rPr>
    </w:lvl>
    <w:lvl w:ilvl="1" w:tentative="0">
      <w:start w:val="1"/>
      <w:numFmt w:val="decimal"/>
      <w:pStyle w:val="34"/>
      <w:suff w:val="nothing"/>
      <w:lvlText w:val="%1%2　"/>
      <w:lvlJc w:val="left"/>
      <w:pPr>
        <w:ind w:left="0" w:firstLine="0"/>
      </w:pPr>
      <w:rPr>
        <w:rFonts w:hint="eastAsia" w:ascii="黑体" w:eastAsia="黑体"/>
        <w:b w:val="0"/>
        <w:i w:val="0"/>
        <w:sz w:val="21"/>
      </w:rPr>
    </w:lvl>
    <w:lvl w:ilvl="2" w:tentative="0">
      <w:start w:val="1"/>
      <w:numFmt w:val="decimal"/>
      <w:pStyle w:val="3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30"/>
      <w:suff w:val="nothing"/>
      <w:lvlText w:val="%1%2.%3.%4　"/>
      <w:lvlJc w:val="left"/>
      <w:pPr>
        <w:ind w:left="142" w:firstLine="0"/>
      </w:pPr>
      <w:rPr>
        <w:rFonts w:hint="eastAsia" w:ascii="黑体" w:eastAsia="黑体"/>
        <w:b w:val="0"/>
        <w:i w:val="0"/>
        <w:sz w:val="21"/>
      </w:rPr>
    </w:lvl>
    <w:lvl w:ilvl="4" w:tentative="0">
      <w:start w:val="1"/>
      <w:numFmt w:val="decimal"/>
      <w:pStyle w:val="31"/>
      <w:suff w:val="nothing"/>
      <w:lvlText w:val="%1%2.%3.%4.%5　"/>
      <w:lvlJc w:val="left"/>
      <w:pPr>
        <w:ind w:left="0" w:firstLine="0"/>
      </w:pPr>
      <w:rPr>
        <w:rFonts w:hint="eastAsia" w:ascii="黑体" w:eastAsia="黑体"/>
        <w:b w:val="0"/>
        <w:i w:val="0"/>
        <w:sz w:val="21"/>
      </w:rPr>
    </w:lvl>
    <w:lvl w:ilvl="5" w:tentative="0">
      <w:start w:val="1"/>
      <w:numFmt w:val="decimal"/>
      <w:pStyle w:val="32"/>
      <w:suff w:val="nothing"/>
      <w:lvlText w:val="%1%2.%3.%4.%5.%6　"/>
      <w:lvlJc w:val="left"/>
      <w:pPr>
        <w:ind w:left="0" w:firstLine="0"/>
      </w:pPr>
      <w:rPr>
        <w:rFonts w:hint="eastAsia" w:ascii="黑体" w:eastAsia="黑体"/>
        <w:b w:val="0"/>
        <w:i w:val="0"/>
        <w:sz w:val="21"/>
      </w:rPr>
    </w:lvl>
    <w:lvl w:ilvl="6" w:tentative="0">
      <w:start w:val="1"/>
      <w:numFmt w:val="decimal"/>
      <w:pStyle w:val="3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8"/>
  </w:num>
  <w:num w:numId="3">
    <w:abstractNumId w:val="5"/>
  </w:num>
  <w:num w:numId="4">
    <w:abstractNumId w:val="1"/>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zYjllYmY2NzhhNWE3MDUzYmVjNDFiZDNlNjU1MTcifQ=="/>
  </w:docVars>
  <w:rsids>
    <w:rsidRoot w:val="0037490B"/>
    <w:rsid w:val="000005CA"/>
    <w:rsid w:val="00000707"/>
    <w:rsid w:val="00000AD9"/>
    <w:rsid w:val="00000E4A"/>
    <w:rsid w:val="00001814"/>
    <w:rsid w:val="00001CE0"/>
    <w:rsid w:val="00002424"/>
    <w:rsid w:val="00003DB3"/>
    <w:rsid w:val="0000435A"/>
    <w:rsid w:val="00012082"/>
    <w:rsid w:val="000126E8"/>
    <w:rsid w:val="0001766E"/>
    <w:rsid w:val="000216C2"/>
    <w:rsid w:val="00021804"/>
    <w:rsid w:val="00021AAC"/>
    <w:rsid w:val="000227C7"/>
    <w:rsid w:val="00022BF7"/>
    <w:rsid w:val="000255FF"/>
    <w:rsid w:val="000258DE"/>
    <w:rsid w:val="0002646B"/>
    <w:rsid w:val="000276DC"/>
    <w:rsid w:val="0002775D"/>
    <w:rsid w:val="00030BAD"/>
    <w:rsid w:val="00030EE3"/>
    <w:rsid w:val="00031086"/>
    <w:rsid w:val="00031246"/>
    <w:rsid w:val="00031483"/>
    <w:rsid w:val="00031C1A"/>
    <w:rsid w:val="00033355"/>
    <w:rsid w:val="000336F6"/>
    <w:rsid w:val="0003494D"/>
    <w:rsid w:val="00036510"/>
    <w:rsid w:val="000370FC"/>
    <w:rsid w:val="00043580"/>
    <w:rsid w:val="000438DF"/>
    <w:rsid w:val="00044D55"/>
    <w:rsid w:val="00046883"/>
    <w:rsid w:val="000472C5"/>
    <w:rsid w:val="000504E1"/>
    <w:rsid w:val="0005176B"/>
    <w:rsid w:val="00051846"/>
    <w:rsid w:val="00051CD3"/>
    <w:rsid w:val="00052633"/>
    <w:rsid w:val="00052F64"/>
    <w:rsid w:val="00053989"/>
    <w:rsid w:val="00055AC5"/>
    <w:rsid w:val="00057DAE"/>
    <w:rsid w:val="00060C62"/>
    <w:rsid w:val="00061689"/>
    <w:rsid w:val="00062A4F"/>
    <w:rsid w:val="00062D7F"/>
    <w:rsid w:val="00064EA0"/>
    <w:rsid w:val="00065DD5"/>
    <w:rsid w:val="0006607C"/>
    <w:rsid w:val="000661B2"/>
    <w:rsid w:val="00067952"/>
    <w:rsid w:val="000702AE"/>
    <w:rsid w:val="000702F1"/>
    <w:rsid w:val="0007171F"/>
    <w:rsid w:val="000718F2"/>
    <w:rsid w:val="00071923"/>
    <w:rsid w:val="0007388E"/>
    <w:rsid w:val="00074198"/>
    <w:rsid w:val="00074776"/>
    <w:rsid w:val="00074CA1"/>
    <w:rsid w:val="00076A07"/>
    <w:rsid w:val="00077D12"/>
    <w:rsid w:val="00080929"/>
    <w:rsid w:val="000821B5"/>
    <w:rsid w:val="00082CE2"/>
    <w:rsid w:val="00085453"/>
    <w:rsid w:val="00087B41"/>
    <w:rsid w:val="0009078F"/>
    <w:rsid w:val="000907FE"/>
    <w:rsid w:val="00093876"/>
    <w:rsid w:val="00094DC8"/>
    <w:rsid w:val="0009683D"/>
    <w:rsid w:val="00096EB4"/>
    <w:rsid w:val="00097B46"/>
    <w:rsid w:val="000A119D"/>
    <w:rsid w:val="000A27BF"/>
    <w:rsid w:val="000A2963"/>
    <w:rsid w:val="000A3426"/>
    <w:rsid w:val="000A671D"/>
    <w:rsid w:val="000A7270"/>
    <w:rsid w:val="000B354A"/>
    <w:rsid w:val="000B3F01"/>
    <w:rsid w:val="000B4B01"/>
    <w:rsid w:val="000B4D20"/>
    <w:rsid w:val="000B544F"/>
    <w:rsid w:val="000B6EA3"/>
    <w:rsid w:val="000B7B2A"/>
    <w:rsid w:val="000C1499"/>
    <w:rsid w:val="000C1656"/>
    <w:rsid w:val="000C23E0"/>
    <w:rsid w:val="000C5759"/>
    <w:rsid w:val="000D1CC7"/>
    <w:rsid w:val="000D28E9"/>
    <w:rsid w:val="000D3740"/>
    <w:rsid w:val="000D472A"/>
    <w:rsid w:val="000E0C1D"/>
    <w:rsid w:val="000E3BE1"/>
    <w:rsid w:val="000E4416"/>
    <w:rsid w:val="000E4E87"/>
    <w:rsid w:val="000E57B1"/>
    <w:rsid w:val="000F2752"/>
    <w:rsid w:val="000F3B3B"/>
    <w:rsid w:val="000F3F92"/>
    <w:rsid w:val="000F76C3"/>
    <w:rsid w:val="00100F24"/>
    <w:rsid w:val="00101862"/>
    <w:rsid w:val="001037D6"/>
    <w:rsid w:val="00103D28"/>
    <w:rsid w:val="0010718F"/>
    <w:rsid w:val="00112E2C"/>
    <w:rsid w:val="0011489D"/>
    <w:rsid w:val="00115C0F"/>
    <w:rsid w:val="00115C18"/>
    <w:rsid w:val="00120F4F"/>
    <w:rsid w:val="00120F6B"/>
    <w:rsid w:val="00121C31"/>
    <w:rsid w:val="001226E6"/>
    <w:rsid w:val="0012286E"/>
    <w:rsid w:val="00122F61"/>
    <w:rsid w:val="0012516A"/>
    <w:rsid w:val="001266A2"/>
    <w:rsid w:val="00126AE4"/>
    <w:rsid w:val="00126AFC"/>
    <w:rsid w:val="00126CE4"/>
    <w:rsid w:val="0012731A"/>
    <w:rsid w:val="00127F78"/>
    <w:rsid w:val="00131174"/>
    <w:rsid w:val="00132566"/>
    <w:rsid w:val="0013257F"/>
    <w:rsid w:val="001341F3"/>
    <w:rsid w:val="001344C5"/>
    <w:rsid w:val="00134634"/>
    <w:rsid w:val="0013499B"/>
    <w:rsid w:val="0013535E"/>
    <w:rsid w:val="00137E5E"/>
    <w:rsid w:val="0014119F"/>
    <w:rsid w:val="001420D9"/>
    <w:rsid w:val="00142A85"/>
    <w:rsid w:val="00143457"/>
    <w:rsid w:val="001443AC"/>
    <w:rsid w:val="001446D9"/>
    <w:rsid w:val="00145356"/>
    <w:rsid w:val="00147A26"/>
    <w:rsid w:val="00147A7A"/>
    <w:rsid w:val="001502FB"/>
    <w:rsid w:val="00153AB7"/>
    <w:rsid w:val="0015488D"/>
    <w:rsid w:val="00154E77"/>
    <w:rsid w:val="00160B78"/>
    <w:rsid w:val="00160FAE"/>
    <w:rsid w:val="00161DBA"/>
    <w:rsid w:val="00162358"/>
    <w:rsid w:val="001631D2"/>
    <w:rsid w:val="001657D7"/>
    <w:rsid w:val="00170088"/>
    <w:rsid w:val="0017019C"/>
    <w:rsid w:val="0017068B"/>
    <w:rsid w:val="00170F62"/>
    <w:rsid w:val="001719D7"/>
    <w:rsid w:val="001729C6"/>
    <w:rsid w:val="00174F8D"/>
    <w:rsid w:val="001761D2"/>
    <w:rsid w:val="00176412"/>
    <w:rsid w:val="00176892"/>
    <w:rsid w:val="00180583"/>
    <w:rsid w:val="00181D6C"/>
    <w:rsid w:val="00184502"/>
    <w:rsid w:val="00185CA3"/>
    <w:rsid w:val="00190900"/>
    <w:rsid w:val="00190B98"/>
    <w:rsid w:val="00191A83"/>
    <w:rsid w:val="001922F7"/>
    <w:rsid w:val="00192386"/>
    <w:rsid w:val="00192739"/>
    <w:rsid w:val="00192792"/>
    <w:rsid w:val="001939FA"/>
    <w:rsid w:val="0019480E"/>
    <w:rsid w:val="00194F7E"/>
    <w:rsid w:val="00195981"/>
    <w:rsid w:val="00197D0D"/>
    <w:rsid w:val="001A032E"/>
    <w:rsid w:val="001A03FA"/>
    <w:rsid w:val="001A1876"/>
    <w:rsid w:val="001A2348"/>
    <w:rsid w:val="001A4DC7"/>
    <w:rsid w:val="001A566B"/>
    <w:rsid w:val="001A585A"/>
    <w:rsid w:val="001A68FB"/>
    <w:rsid w:val="001A783E"/>
    <w:rsid w:val="001B05B6"/>
    <w:rsid w:val="001B1F8E"/>
    <w:rsid w:val="001B2C57"/>
    <w:rsid w:val="001B37F2"/>
    <w:rsid w:val="001B6DB3"/>
    <w:rsid w:val="001C0E52"/>
    <w:rsid w:val="001C2328"/>
    <w:rsid w:val="001C3FE3"/>
    <w:rsid w:val="001C6A32"/>
    <w:rsid w:val="001C6AE6"/>
    <w:rsid w:val="001C6E0D"/>
    <w:rsid w:val="001C712F"/>
    <w:rsid w:val="001C7669"/>
    <w:rsid w:val="001D0EEF"/>
    <w:rsid w:val="001D2157"/>
    <w:rsid w:val="001D694F"/>
    <w:rsid w:val="001D6954"/>
    <w:rsid w:val="001E1747"/>
    <w:rsid w:val="001E21D6"/>
    <w:rsid w:val="001E32EC"/>
    <w:rsid w:val="001E386B"/>
    <w:rsid w:val="001E4886"/>
    <w:rsid w:val="001E537B"/>
    <w:rsid w:val="001E6F36"/>
    <w:rsid w:val="001E7634"/>
    <w:rsid w:val="001E7EB0"/>
    <w:rsid w:val="001F03CB"/>
    <w:rsid w:val="001F19DD"/>
    <w:rsid w:val="001F1F80"/>
    <w:rsid w:val="001F319B"/>
    <w:rsid w:val="001F3453"/>
    <w:rsid w:val="001F357A"/>
    <w:rsid w:val="001F4A7D"/>
    <w:rsid w:val="001F5F4D"/>
    <w:rsid w:val="001F67DD"/>
    <w:rsid w:val="001F6FA5"/>
    <w:rsid w:val="001F7CCC"/>
    <w:rsid w:val="0020161B"/>
    <w:rsid w:val="002017AF"/>
    <w:rsid w:val="00203369"/>
    <w:rsid w:val="00203F22"/>
    <w:rsid w:val="00204DAA"/>
    <w:rsid w:val="00205F41"/>
    <w:rsid w:val="002064AD"/>
    <w:rsid w:val="002127FC"/>
    <w:rsid w:val="002148D2"/>
    <w:rsid w:val="00215122"/>
    <w:rsid w:val="002156A6"/>
    <w:rsid w:val="00216631"/>
    <w:rsid w:val="00217829"/>
    <w:rsid w:val="00220171"/>
    <w:rsid w:val="0022020B"/>
    <w:rsid w:val="00220B99"/>
    <w:rsid w:val="002219B5"/>
    <w:rsid w:val="0022384B"/>
    <w:rsid w:val="002239F3"/>
    <w:rsid w:val="00224982"/>
    <w:rsid w:val="00225AB5"/>
    <w:rsid w:val="00225C70"/>
    <w:rsid w:val="002306BF"/>
    <w:rsid w:val="00230FE3"/>
    <w:rsid w:val="00231E23"/>
    <w:rsid w:val="0023201C"/>
    <w:rsid w:val="002331BB"/>
    <w:rsid w:val="002338C3"/>
    <w:rsid w:val="00234398"/>
    <w:rsid w:val="0023444B"/>
    <w:rsid w:val="00234EC1"/>
    <w:rsid w:val="002354BE"/>
    <w:rsid w:val="002357C8"/>
    <w:rsid w:val="0023595B"/>
    <w:rsid w:val="002425E3"/>
    <w:rsid w:val="00245211"/>
    <w:rsid w:val="00246705"/>
    <w:rsid w:val="002519A5"/>
    <w:rsid w:val="0025225A"/>
    <w:rsid w:val="00252C67"/>
    <w:rsid w:val="002531B2"/>
    <w:rsid w:val="0025439B"/>
    <w:rsid w:val="00255076"/>
    <w:rsid w:val="00256BC8"/>
    <w:rsid w:val="00257962"/>
    <w:rsid w:val="002609DF"/>
    <w:rsid w:val="00262B50"/>
    <w:rsid w:val="0026386B"/>
    <w:rsid w:val="00266674"/>
    <w:rsid w:val="0027055E"/>
    <w:rsid w:val="00270F5A"/>
    <w:rsid w:val="00271153"/>
    <w:rsid w:val="002718CB"/>
    <w:rsid w:val="00272ECD"/>
    <w:rsid w:val="00273201"/>
    <w:rsid w:val="00275A63"/>
    <w:rsid w:val="00275AA3"/>
    <w:rsid w:val="00282082"/>
    <w:rsid w:val="00282225"/>
    <w:rsid w:val="0028355F"/>
    <w:rsid w:val="00284186"/>
    <w:rsid w:val="00284311"/>
    <w:rsid w:val="0028475F"/>
    <w:rsid w:val="00287D8F"/>
    <w:rsid w:val="002908DF"/>
    <w:rsid w:val="00290CF8"/>
    <w:rsid w:val="00292CEA"/>
    <w:rsid w:val="00292DE5"/>
    <w:rsid w:val="00292F83"/>
    <w:rsid w:val="00293DF7"/>
    <w:rsid w:val="002946D7"/>
    <w:rsid w:val="00296164"/>
    <w:rsid w:val="002A1DE2"/>
    <w:rsid w:val="002A2D83"/>
    <w:rsid w:val="002A34D4"/>
    <w:rsid w:val="002A607A"/>
    <w:rsid w:val="002A6206"/>
    <w:rsid w:val="002A65F2"/>
    <w:rsid w:val="002B100F"/>
    <w:rsid w:val="002B176E"/>
    <w:rsid w:val="002B3286"/>
    <w:rsid w:val="002B40F0"/>
    <w:rsid w:val="002B59C9"/>
    <w:rsid w:val="002B6683"/>
    <w:rsid w:val="002B6E5E"/>
    <w:rsid w:val="002C01F9"/>
    <w:rsid w:val="002C03C4"/>
    <w:rsid w:val="002C19B5"/>
    <w:rsid w:val="002C211E"/>
    <w:rsid w:val="002C23C5"/>
    <w:rsid w:val="002C29BB"/>
    <w:rsid w:val="002C3262"/>
    <w:rsid w:val="002C3400"/>
    <w:rsid w:val="002C36FA"/>
    <w:rsid w:val="002C3D9D"/>
    <w:rsid w:val="002C4ADF"/>
    <w:rsid w:val="002C5695"/>
    <w:rsid w:val="002C765C"/>
    <w:rsid w:val="002D0EC0"/>
    <w:rsid w:val="002D0F44"/>
    <w:rsid w:val="002D0FDE"/>
    <w:rsid w:val="002D4929"/>
    <w:rsid w:val="002D4FC0"/>
    <w:rsid w:val="002D6215"/>
    <w:rsid w:val="002D6356"/>
    <w:rsid w:val="002E1137"/>
    <w:rsid w:val="002E1BFD"/>
    <w:rsid w:val="002E33C3"/>
    <w:rsid w:val="002E4BF9"/>
    <w:rsid w:val="002F1BB3"/>
    <w:rsid w:val="002F25D8"/>
    <w:rsid w:val="002F28C2"/>
    <w:rsid w:val="002F57B7"/>
    <w:rsid w:val="002F639C"/>
    <w:rsid w:val="002F6494"/>
    <w:rsid w:val="002F683C"/>
    <w:rsid w:val="002F7551"/>
    <w:rsid w:val="002F7C10"/>
    <w:rsid w:val="00300A5E"/>
    <w:rsid w:val="00306E58"/>
    <w:rsid w:val="0030718D"/>
    <w:rsid w:val="00307D97"/>
    <w:rsid w:val="00307DD9"/>
    <w:rsid w:val="00311598"/>
    <w:rsid w:val="00311ABF"/>
    <w:rsid w:val="0031537E"/>
    <w:rsid w:val="00316932"/>
    <w:rsid w:val="00316CF4"/>
    <w:rsid w:val="003176CC"/>
    <w:rsid w:val="00320788"/>
    <w:rsid w:val="00324901"/>
    <w:rsid w:val="00330D99"/>
    <w:rsid w:val="003322F5"/>
    <w:rsid w:val="00332F81"/>
    <w:rsid w:val="003355C8"/>
    <w:rsid w:val="00335B12"/>
    <w:rsid w:val="0033691C"/>
    <w:rsid w:val="00336BDE"/>
    <w:rsid w:val="00336DA4"/>
    <w:rsid w:val="00342DC7"/>
    <w:rsid w:val="00342F19"/>
    <w:rsid w:val="00343F16"/>
    <w:rsid w:val="00345537"/>
    <w:rsid w:val="00345A67"/>
    <w:rsid w:val="00346D55"/>
    <w:rsid w:val="0034784B"/>
    <w:rsid w:val="00350CD9"/>
    <w:rsid w:val="00351282"/>
    <w:rsid w:val="003518F5"/>
    <w:rsid w:val="003538EC"/>
    <w:rsid w:val="00354B2E"/>
    <w:rsid w:val="00355DDC"/>
    <w:rsid w:val="003579E3"/>
    <w:rsid w:val="00357B40"/>
    <w:rsid w:val="00360157"/>
    <w:rsid w:val="003617F8"/>
    <w:rsid w:val="0036366F"/>
    <w:rsid w:val="00364C43"/>
    <w:rsid w:val="00366F06"/>
    <w:rsid w:val="00367455"/>
    <w:rsid w:val="00367CD0"/>
    <w:rsid w:val="00367DDC"/>
    <w:rsid w:val="00370F39"/>
    <w:rsid w:val="00371857"/>
    <w:rsid w:val="0037336B"/>
    <w:rsid w:val="00373CC6"/>
    <w:rsid w:val="00374750"/>
    <w:rsid w:val="0037490B"/>
    <w:rsid w:val="00374BC5"/>
    <w:rsid w:val="00375600"/>
    <w:rsid w:val="00376BA3"/>
    <w:rsid w:val="00384F17"/>
    <w:rsid w:val="00384F27"/>
    <w:rsid w:val="003860CF"/>
    <w:rsid w:val="00387FD0"/>
    <w:rsid w:val="00390362"/>
    <w:rsid w:val="003905EF"/>
    <w:rsid w:val="00390758"/>
    <w:rsid w:val="00391BF2"/>
    <w:rsid w:val="003928AE"/>
    <w:rsid w:val="00392C6C"/>
    <w:rsid w:val="00393139"/>
    <w:rsid w:val="00394ABF"/>
    <w:rsid w:val="003950FD"/>
    <w:rsid w:val="00395AAD"/>
    <w:rsid w:val="003A049C"/>
    <w:rsid w:val="003A0BEB"/>
    <w:rsid w:val="003A3C7C"/>
    <w:rsid w:val="003A3E22"/>
    <w:rsid w:val="003A3E99"/>
    <w:rsid w:val="003A5B7E"/>
    <w:rsid w:val="003B1803"/>
    <w:rsid w:val="003B1E11"/>
    <w:rsid w:val="003B2C5B"/>
    <w:rsid w:val="003B5280"/>
    <w:rsid w:val="003B5F4C"/>
    <w:rsid w:val="003B6B12"/>
    <w:rsid w:val="003B7268"/>
    <w:rsid w:val="003B76B6"/>
    <w:rsid w:val="003C0AB3"/>
    <w:rsid w:val="003C1122"/>
    <w:rsid w:val="003C1230"/>
    <w:rsid w:val="003C2101"/>
    <w:rsid w:val="003C489B"/>
    <w:rsid w:val="003C5994"/>
    <w:rsid w:val="003C7FFD"/>
    <w:rsid w:val="003D226C"/>
    <w:rsid w:val="003D43E5"/>
    <w:rsid w:val="003D4B79"/>
    <w:rsid w:val="003D7D4F"/>
    <w:rsid w:val="003E0E39"/>
    <w:rsid w:val="003E11BD"/>
    <w:rsid w:val="003E17D3"/>
    <w:rsid w:val="003E30BD"/>
    <w:rsid w:val="003E40BC"/>
    <w:rsid w:val="003E5596"/>
    <w:rsid w:val="003E641C"/>
    <w:rsid w:val="003E7060"/>
    <w:rsid w:val="003F0862"/>
    <w:rsid w:val="003F131C"/>
    <w:rsid w:val="003F1FC0"/>
    <w:rsid w:val="003F222F"/>
    <w:rsid w:val="003F3337"/>
    <w:rsid w:val="003F4547"/>
    <w:rsid w:val="003F4F2B"/>
    <w:rsid w:val="003F54C9"/>
    <w:rsid w:val="003F6173"/>
    <w:rsid w:val="003F654A"/>
    <w:rsid w:val="003F6AED"/>
    <w:rsid w:val="003F7403"/>
    <w:rsid w:val="00401CDE"/>
    <w:rsid w:val="00402E14"/>
    <w:rsid w:val="00402FC9"/>
    <w:rsid w:val="004035E3"/>
    <w:rsid w:val="00404DFA"/>
    <w:rsid w:val="00410474"/>
    <w:rsid w:val="004106D2"/>
    <w:rsid w:val="00411321"/>
    <w:rsid w:val="00412910"/>
    <w:rsid w:val="004129E9"/>
    <w:rsid w:val="00413A94"/>
    <w:rsid w:val="00415EA5"/>
    <w:rsid w:val="00417E13"/>
    <w:rsid w:val="00420DEE"/>
    <w:rsid w:val="004211A8"/>
    <w:rsid w:val="00421747"/>
    <w:rsid w:val="00421BEA"/>
    <w:rsid w:val="0042562D"/>
    <w:rsid w:val="0043013B"/>
    <w:rsid w:val="0043169F"/>
    <w:rsid w:val="00435C24"/>
    <w:rsid w:val="00443B36"/>
    <w:rsid w:val="004442E1"/>
    <w:rsid w:val="00445B75"/>
    <w:rsid w:val="0044688A"/>
    <w:rsid w:val="00450356"/>
    <w:rsid w:val="00450C89"/>
    <w:rsid w:val="00450E92"/>
    <w:rsid w:val="00451664"/>
    <w:rsid w:val="00452143"/>
    <w:rsid w:val="0045218D"/>
    <w:rsid w:val="00452AB3"/>
    <w:rsid w:val="004530D3"/>
    <w:rsid w:val="00454515"/>
    <w:rsid w:val="004552D8"/>
    <w:rsid w:val="00456F07"/>
    <w:rsid w:val="00461779"/>
    <w:rsid w:val="004661AA"/>
    <w:rsid w:val="00466F35"/>
    <w:rsid w:val="004671EF"/>
    <w:rsid w:val="00467906"/>
    <w:rsid w:val="00467E08"/>
    <w:rsid w:val="004703C2"/>
    <w:rsid w:val="00471279"/>
    <w:rsid w:val="00471DC2"/>
    <w:rsid w:val="00472170"/>
    <w:rsid w:val="004725E4"/>
    <w:rsid w:val="004749A8"/>
    <w:rsid w:val="00475485"/>
    <w:rsid w:val="00475657"/>
    <w:rsid w:val="004779CA"/>
    <w:rsid w:val="00482858"/>
    <w:rsid w:val="004831E3"/>
    <w:rsid w:val="004846D3"/>
    <w:rsid w:val="004859DB"/>
    <w:rsid w:val="004861A8"/>
    <w:rsid w:val="00487025"/>
    <w:rsid w:val="00491688"/>
    <w:rsid w:val="004916D5"/>
    <w:rsid w:val="00492256"/>
    <w:rsid w:val="00493251"/>
    <w:rsid w:val="00493F63"/>
    <w:rsid w:val="004944B1"/>
    <w:rsid w:val="0049496B"/>
    <w:rsid w:val="0049586B"/>
    <w:rsid w:val="004A0AC6"/>
    <w:rsid w:val="004A1FBA"/>
    <w:rsid w:val="004A273E"/>
    <w:rsid w:val="004A2CDA"/>
    <w:rsid w:val="004A2FD2"/>
    <w:rsid w:val="004B0B55"/>
    <w:rsid w:val="004B0BD5"/>
    <w:rsid w:val="004B0E0F"/>
    <w:rsid w:val="004B2556"/>
    <w:rsid w:val="004B2C31"/>
    <w:rsid w:val="004B40E7"/>
    <w:rsid w:val="004B469C"/>
    <w:rsid w:val="004B4A2A"/>
    <w:rsid w:val="004B5848"/>
    <w:rsid w:val="004C41E7"/>
    <w:rsid w:val="004C5F8A"/>
    <w:rsid w:val="004C6C6A"/>
    <w:rsid w:val="004C73A0"/>
    <w:rsid w:val="004D217A"/>
    <w:rsid w:val="004D23BA"/>
    <w:rsid w:val="004D55DD"/>
    <w:rsid w:val="004D6690"/>
    <w:rsid w:val="004D768D"/>
    <w:rsid w:val="004E0D15"/>
    <w:rsid w:val="004E2471"/>
    <w:rsid w:val="004E3527"/>
    <w:rsid w:val="004E3F4F"/>
    <w:rsid w:val="004E702B"/>
    <w:rsid w:val="004F01FA"/>
    <w:rsid w:val="004F0893"/>
    <w:rsid w:val="004F1610"/>
    <w:rsid w:val="004F2448"/>
    <w:rsid w:val="004F28DF"/>
    <w:rsid w:val="004F4BDF"/>
    <w:rsid w:val="004F6D58"/>
    <w:rsid w:val="00500A17"/>
    <w:rsid w:val="00500D6B"/>
    <w:rsid w:val="0050150E"/>
    <w:rsid w:val="00504915"/>
    <w:rsid w:val="00504E2E"/>
    <w:rsid w:val="0051044C"/>
    <w:rsid w:val="005107DD"/>
    <w:rsid w:val="00510CD5"/>
    <w:rsid w:val="0051330A"/>
    <w:rsid w:val="005142E2"/>
    <w:rsid w:val="0051458C"/>
    <w:rsid w:val="00514EAE"/>
    <w:rsid w:val="005168D0"/>
    <w:rsid w:val="00517B5F"/>
    <w:rsid w:val="00521AF8"/>
    <w:rsid w:val="00524B13"/>
    <w:rsid w:val="00525206"/>
    <w:rsid w:val="00526408"/>
    <w:rsid w:val="00527045"/>
    <w:rsid w:val="005276F2"/>
    <w:rsid w:val="00527A05"/>
    <w:rsid w:val="00527D6B"/>
    <w:rsid w:val="0053065D"/>
    <w:rsid w:val="00530FD2"/>
    <w:rsid w:val="00531150"/>
    <w:rsid w:val="00531D25"/>
    <w:rsid w:val="00531FB1"/>
    <w:rsid w:val="0053200A"/>
    <w:rsid w:val="005333E8"/>
    <w:rsid w:val="005334D7"/>
    <w:rsid w:val="00535238"/>
    <w:rsid w:val="00536BC8"/>
    <w:rsid w:val="00537AAE"/>
    <w:rsid w:val="00540A5D"/>
    <w:rsid w:val="005415F3"/>
    <w:rsid w:val="00541753"/>
    <w:rsid w:val="00541882"/>
    <w:rsid w:val="005447AD"/>
    <w:rsid w:val="00544BDE"/>
    <w:rsid w:val="00551089"/>
    <w:rsid w:val="00551316"/>
    <w:rsid w:val="00551C6C"/>
    <w:rsid w:val="0055209C"/>
    <w:rsid w:val="0055220C"/>
    <w:rsid w:val="0055328C"/>
    <w:rsid w:val="005533A8"/>
    <w:rsid w:val="005548A7"/>
    <w:rsid w:val="00554B38"/>
    <w:rsid w:val="00555B22"/>
    <w:rsid w:val="00555E8C"/>
    <w:rsid w:val="0056065D"/>
    <w:rsid w:val="00560DF1"/>
    <w:rsid w:val="00562AEB"/>
    <w:rsid w:val="00562C90"/>
    <w:rsid w:val="00563B38"/>
    <w:rsid w:val="00567988"/>
    <w:rsid w:val="00571254"/>
    <w:rsid w:val="005712CA"/>
    <w:rsid w:val="0057177A"/>
    <w:rsid w:val="005727AE"/>
    <w:rsid w:val="005730A0"/>
    <w:rsid w:val="0057334E"/>
    <w:rsid w:val="005734FF"/>
    <w:rsid w:val="005745DF"/>
    <w:rsid w:val="005761A6"/>
    <w:rsid w:val="0057651A"/>
    <w:rsid w:val="00576BEB"/>
    <w:rsid w:val="0057713C"/>
    <w:rsid w:val="005778C3"/>
    <w:rsid w:val="00581081"/>
    <w:rsid w:val="0058257B"/>
    <w:rsid w:val="0058354D"/>
    <w:rsid w:val="005847B2"/>
    <w:rsid w:val="0058636A"/>
    <w:rsid w:val="005868CD"/>
    <w:rsid w:val="005878E9"/>
    <w:rsid w:val="0059192F"/>
    <w:rsid w:val="00591FD9"/>
    <w:rsid w:val="005921E9"/>
    <w:rsid w:val="00592BD2"/>
    <w:rsid w:val="005933A4"/>
    <w:rsid w:val="00593DBE"/>
    <w:rsid w:val="00594BAA"/>
    <w:rsid w:val="00595A3B"/>
    <w:rsid w:val="00597046"/>
    <w:rsid w:val="005970B9"/>
    <w:rsid w:val="005A1254"/>
    <w:rsid w:val="005A12B4"/>
    <w:rsid w:val="005A1593"/>
    <w:rsid w:val="005A1EE8"/>
    <w:rsid w:val="005A2675"/>
    <w:rsid w:val="005A3679"/>
    <w:rsid w:val="005A3C5E"/>
    <w:rsid w:val="005A4739"/>
    <w:rsid w:val="005B0CE5"/>
    <w:rsid w:val="005B0DA2"/>
    <w:rsid w:val="005B214F"/>
    <w:rsid w:val="005B27AC"/>
    <w:rsid w:val="005B2FBF"/>
    <w:rsid w:val="005B3727"/>
    <w:rsid w:val="005B3858"/>
    <w:rsid w:val="005B63E1"/>
    <w:rsid w:val="005C054A"/>
    <w:rsid w:val="005C0BDE"/>
    <w:rsid w:val="005C1586"/>
    <w:rsid w:val="005C17B1"/>
    <w:rsid w:val="005C3575"/>
    <w:rsid w:val="005C42DA"/>
    <w:rsid w:val="005C527C"/>
    <w:rsid w:val="005C532A"/>
    <w:rsid w:val="005C676E"/>
    <w:rsid w:val="005C760D"/>
    <w:rsid w:val="005D0BB6"/>
    <w:rsid w:val="005D2D1B"/>
    <w:rsid w:val="005D4CCF"/>
    <w:rsid w:val="005D564B"/>
    <w:rsid w:val="005D603D"/>
    <w:rsid w:val="005D61C6"/>
    <w:rsid w:val="005D6E78"/>
    <w:rsid w:val="005D7DA9"/>
    <w:rsid w:val="005E02C6"/>
    <w:rsid w:val="005E12A4"/>
    <w:rsid w:val="005E1E2D"/>
    <w:rsid w:val="005E27FC"/>
    <w:rsid w:val="005E2964"/>
    <w:rsid w:val="005E31F1"/>
    <w:rsid w:val="005E3295"/>
    <w:rsid w:val="005E42E8"/>
    <w:rsid w:val="005E4EC0"/>
    <w:rsid w:val="005E6568"/>
    <w:rsid w:val="005F1195"/>
    <w:rsid w:val="005F220F"/>
    <w:rsid w:val="005F358A"/>
    <w:rsid w:val="005F43EF"/>
    <w:rsid w:val="005F48D3"/>
    <w:rsid w:val="005F7D38"/>
    <w:rsid w:val="00601734"/>
    <w:rsid w:val="00601BC4"/>
    <w:rsid w:val="0060304F"/>
    <w:rsid w:val="00607703"/>
    <w:rsid w:val="00607B51"/>
    <w:rsid w:val="0061180E"/>
    <w:rsid w:val="00615634"/>
    <w:rsid w:val="00615F98"/>
    <w:rsid w:val="00617E8B"/>
    <w:rsid w:val="00621EF5"/>
    <w:rsid w:val="00623EE1"/>
    <w:rsid w:val="006241E5"/>
    <w:rsid w:val="006248EC"/>
    <w:rsid w:val="0062533E"/>
    <w:rsid w:val="006273C5"/>
    <w:rsid w:val="0063038C"/>
    <w:rsid w:val="0063044D"/>
    <w:rsid w:val="00630A5B"/>
    <w:rsid w:val="006314F4"/>
    <w:rsid w:val="00631B7C"/>
    <w:rsid w:val="006321B2"/>
    <w:rsid w:val="00632234"/>
    <w:rsid w:val="006330CE"/>
    <w:rsid w:val="00635F68"/>
    <w:rsid w:val="006364FC"/>
    <w:rsid w:val="006424F5"/>
    <w:rsid w:val="0064289F"/>
    <w:rsid w:val="00643B0D"/>
    <w:rsid w:val="00643C44"/>
    <w:rsid w:val="00644A19"/>
    <w:rsid w:val="0064622E"/>
    <w:rsid w:val="00647E24"/>
    <w:rsid w:val="0065067A"/>
    <w:rsid w:val="006512FA"/>
    <w:rsid w:val="006535F0"/>
    <w:rsid w:val="006546E6"/>
    <w:rsid w:val="0065692D"/>
    <w:rsid w:val="00657F61"/>
    <w:rsid w:val="00661ACD"/>
    <w:rsid w:val="0066228E"/>
    <w:rsid w:val="00665F2C"/>
    <w:rsid w:val="00666870"/>
    <w:rsid w:val="00666B4C"/>
    <w:rsid w:val="00667F91"/>
    <w:rsid w:val="006700B4"/>
    <w:rsid w:val="006733C1"/>
    <w:rsid w:val="006743E7"/>
    <w:rsid w:val="00674449"/>
    <w:rsid w:val="006747D2"/>
    <w:rsid w:val="006800B4"/>
    <w:rsid w:val="00681DB0"/>
    <w:rsid w:val="006834DF"/>
    <w:rsid w:val="00683CD7"/>
    <w:rsid w:val="00685C5E"/>
    <w:rsid w:val="00690488"/>
    <w:rsid w:val="00690773"/>
    <w:rsid w:val="00691471"/>
    <w:rsid w:val="00691A89"/>
    <w:rsid w:val="00692728"/>
    <w:rsid w:val="00692A7C"/>
    <w:rsid w:val="00692C1F"/>
    <w:rsid w:val="00692D38"/>
    <w:rsid w:val="00693406"/>
    <w:rsid w:val="00693EF9"/>
    <w:rsid w:val="0069670E"/>
    <w:rsid w:val="00696C86"/>
    <w:rsid w:val="006A412A"/>
    <w:rsid w:val="006A49FC"/>
    <w:rsid w:val="006A59C1"/>
    <w:rsid w:val="006A5B93"/>
    <w:rsid w:val="006A6825"/>
    <w:rsid w:val="006B24DB"/>
    <w:rsid w:val="006B394D"/>
    <w:rsid w:val="006B3F4F"/>
    <w:rsid w:val="006B5E2D"/>
    <w:rsid w:val="006B5ED6"/>
    <w:rsid w:val="006B6C36"/>
    <w:rsid w:val="006C08D5"/>
    <w:rsid w:val="006C1CFA"/>
    <w:rsid w:val="006C316B"/>
    <w:rsid w:val="006C4586"/>
    <w:rsid w:val="006C6500"/>
    <w:rsid w:val="006C7CB3"/>
    <w:rsid w:val="006D02A5"/>
    <w:rsid w:val="006D23B4"/>
    <w:rsid w:val="006D2415"/>
    <w:rsid w:val="006D2CE8"/>
    <w:rsid w:val="006D2D30"/>
    <w:rsid w:val="006D3275"/>
    <w:rsid w:val="006D3E5E"/>
    <w:rsid w:val="006D57C2"/>
    <w:rsid w:val="006D5BF6"/>
    <w:rsid w:val="006E4B45"/>
    <w:rsid w:val="006E566F"/>
    <w:rsid w:val="006E5E60"/>
    <w:rsid w:val="006F0798"/>
    <w:rsid w:val="006F375B"/>
    <w:rsid w:val="006F3DDA"/>
    <w:rsid w:val="006F5B43"/>
    <w:rsid w:val="006F61D8"/>
    <w:rsid w:val="006F653B"/>
    <w:rsid w:val="006F7C11"/>
    <w:rsid w:val="00700614"/>
    <w:rsid w:val="00700892"/>
    <w:rsid w:val="007017BF"/>
    <w:rsid w:val="0070278C"/>
    <w:rsid w:val="00703D01"/>
    <w:rsid w:val="00703F7C"/>
    <w:rsid w:val="0071226C"/>
    <w:rsid w:val="00712270"/>
    <w:rsid w:val="00713F1C"/>
    <w:rsid w:val="00714621"/>
    <w:rsid w:val="00714AE8"/>
    <w:rsid w:val="00714E85"/>
    <w:rsid w:val="00716543"/>
    <w:rsid w:val="007166ED"/>
    <w:rsid w:val="0071696C"/>
    <w:rsid w:val="00720EB6"/>
    <w:rsid w:val="00722609"/>
    <w:rsid w:val="00724545"/>
    <w:rsid w:val="007250B5"/>
    <w:rsid w:val="00725EED"/>
    <w:rsid w:val="00726B17"/>
    <w:rsid w:val="00727648"/>
    <w:rsid w:val="007305A1"/>
    <w:rsid w:val="00730961"/>
    <w:rsid w:val="00735168"/>
    <w:rsid w:val="00736F85"/>
    <w:rsid w:val="00741392"/>
    <w:rsid w:val="00744676"/>
    <w:rsid w:val="00746280"/>
    <w:rsid w:val="00752646"/>
    <w:rsid w:val="00752E35"/>
    <w:rsid w:val="00753C32"/>
    <w:rsid w:val="00753F3B"/>
    <w:rsid w:val="007553F2"/>
    <w:rsid w:val="0075554D"/>
    <w:rsid w:val="00755DE2"/>
    <w:rsid w:val="00756DC8"/>
    <w:rsid w:val="00760140"/>
    <w:rsid w:val="00763552"/>
    <w:rsid w:val="007643B9"/>
    <w:rsid w:val="007643DE"/>
    <w:rsid w:val="007663CB"/>
    <w:rsid w:val="00766A4F"/>
    <w:rsid w:val="00770465"/>
    <w:rsid w:val="007708E8"/>
    <w:rsid w:val="0077246D"/>
    <w:rsid w:val="007743DC"/>
    <w:rsid w:val="00775793"/>
    <w:rsid w:val="00777DD8"/>
    <w:rsid w:val="007804CC"/>
    <w:rsid w:val="007813EE"/>
    <w:rsid w:val="00783197"/>
    <w:rsid w:val="0078489C"/>
    <w:rsid w:val="007848C2"/>
    <w:rsid w:val="00791D40"/>
    <w:rsid w:val="0079263F"/>
    <w:rsid w:val="00793FB2"/>
    <w:rsid w:val="00794143"/>
    <w:rsid w:val="00795047"/>
    <w:rsid w:val="0079601F"/>
    <w:rsid w:val="007961F4"/>
    <w:rsid w:val="007A0100"/>
    <w:rsid w:val="007A0202"/>
    <w:rsid w:val="007A2FBC"/>
    <w:rsid w:val="007A3953"/>
    <w:rsid w:val="007B0360"/>
    <w:rsid w:val="007B0A02"/>
    <w:rsid w:val="007B0DCD"/>
    <w:rsid w:val="007B1C52"/>
    <w:rsid w:val="007B2E04"/>
    <w:rsid w:val="007B3FA6"/>
    <w:rsid w:val="007B4E3F"/>
    <w:rsid w:val="007B6E45"/>
    <w:rsid w:val="007C19E8"/>
    <w:rsid w:val="007C54A8"/>
    <w:rsid w:val="007D0ADA"/>
    <w:rsid w:val="007D1364"/>
    <w:rsid w:val="007D1B47"/>
    <w:rsid w:val="007D1BAD"/>
    <w:rsid w:val="007D2CB6"/>
    <w:rsid w:val="007D2ECF"/>
    <w:rsid w:val="007D3B5F"/>
    <w:rsid w:val="007D45C0"/>
    <w:rsid w:val="007D6092"/>
    <w:rsid w:val="007D6AA5"/>
    <w:rsid w:val="007E0CA5"/>
    <w:rsid w:val="007E11D4"/>
    <w:rsid w:val="007E1FC3"/>
    <w:rsid w:val="007E36BC"/>
    <w:rsid w:val="007E3BD3"/>
    <w:rsid w:val="007E403A"/>
    <w:rsid w:val="007E4502"/>
    <w:rsid w:val="007E4C32"/>
    <w:rsid w:val="007E6510"/>
    <w:rsid w:val="007E7A36"/>
    <w:rsid w:val="007F0B80"/>
    <w:rsid w:val="007F24E0"/>
    <w:rsid w:val="007F5D50"/>
    <w:rsid w:val="007F7E92"/>
    <w:rsid w:val="008003A1"/>
    <w:rsid w:val="00800D4A"/>
    <w:rsid w:val="0080672F"/>
    <w:rsid w:val="008070F5"/>
    <w:rsid w:val="00810FB0"/>
    <w:rsid w:val="00811738"/>
    <w:rsid w:val="008117B3"/>
    <w:rsid w:val="00812AB4"/>
    <w:rsid w:val="0081376E"/>
    <w:rsid w:val="008142D6"/>
    <w:rsid w:val="008168A7"/>
    <w:rsid w:val="00817353"/>
    <w:rsid w:val="00820A0E"/>
    <w:rsid w:val="0082113C"/>
    <w:rsid w:val="00821180"/>
    <w:rsid w:val="008222C6"/>
    <w:rsid w:val="00823365"/>
    <w:rsid w:val="008237FB"/>
    <w:rsid w:val="008243FA"/>
    <w:rsid w:val="008251EB"/>
    <w:rsid w:val="00826D12"/>
    <w:rsid w:val="0082749B"/>
    <w:rsid w:val="00830DAA"/>
    <w:rsid w:val="0083341F"/>
    <w:rsid w:val="00835439"/>
    <w:rsid w:val="008355CE"/>
    <w:rsid w:val="00836127"/>
    <w:rsid w:val="0083640A"/>
    <w:rsid w:val="008366C9"/>
    <w:rsid w:val="008366FC"/>
    <w:rsid w:val="008378A9"/>
    <w:rsid w:val="00837CE2"/>
    <w:rsid w:val="00837F7F"/>
    <w:rsid w:val="008411FD"/>
    <w:rsid w:val="00841D0D"/>
    <w:rsid w:val="00845F7F"/>
    <w:rsid w:val="0084649C"/>
    <w:rsid w:val="008470E9"/>
    <w:rsid w:val="008471DF"/>
    <w:rsid w:val="00850E3D"/>
    <w:rsid w:val="008545EB"/>
    <w:rsid w:val="00855291"/>
    <w:rsid w:val="008558E6"/>
    <w:rsid w:val="00855939"/>
    <w:rsid w:val="00856809"/>
    <w:rsid w:val="008601E8"/>
    <w:rsid w:val="008702D3"/>
    <w:rsid w:val="008702F8"/>
    <w:rsid w:val="00870F5A"/>
    <w:rsid w:val="00871EA3"/>
    <w:rsid w:val="008723EC"/>
    <w:rsid w:val="008726EC"/>
    <w:rsid w:val="0087271A"/>
    <w:rsid w:val="00872B61"/>
    <w:rsid w:val="0087397F"/>
    <w:rsid w:val="00873BBB"/>
    <w:rsid w:val="008743BE"/>
    <w:rsid w:val="00875020"/>
    <w:rsid w:val="00875187"/>
    <w:rsid w:val="0087663F"/>
    <w:rsid w:val="008771BB"/>
    <w:rsid w:val="00882892"/>
    <w:rsid w:val="00884BB2"/>
    <w:rsid w:val="00885125"/>
    <w:rsid w:val="0088623D"/>
    <w:rsid w:val="00886314"/>
    <w:rsid w:val="00887CFC"/>
    <w:rsid w:val="00890EEC"/>
    <w:rsid w:val="00891410"/>
    <w:rsid w:val="00891B0F"/>
    <w:rsid w:val="00893D52"/>
    <w:rsid w:val="0089482D"/>
    <w:rsid w:val="008950C7"/>
    <w:rsid w:val="008953E8"/>
    <w:rsid w:val="00895D07"/>
    <w:rsid w:val="008966FB"/>
    <w:rsid w:val="008A02CD"/>
    <w:rsid w:val="008A0C99"/>
    <w:rsid w:val="008A0E43"/>
    <w:rsid w:val="008A1992"/>
    <w:rsid w:val="008A3633"/>
    <w:rsid w:val="008A3D84"/>
    <w:rsid w:val="008A408C"/>
    <w:rsid w:val="008A4D8D"/>
    <w:rsid w:val="008A70F4"/>
    <w:rsid w:val="008B1BAF"/>
    <w:rsid w:val="008B2864"/>
    <w:rsid w:val="008B383E"/>
    <w:rsid w:val="008B52B5"/>
    <w:rsid w:val="008C2238"/>
    <w:rsid w:val="008C2BFA"/>
    <w:rsid w:val="008C591F"/>
    <w:rsid w:val="008C7069"/>
    <w:rsid w:val="008D007A"/>
    <w:rsid w:val="008D0205"/>
    <w:rsid w:val="008D0750"/>
    <w:rsid w:val="008D17BC"/>
    <w:rsid w:val="008D4CD0"/>
    <w:rsid w:val="008D5231"/>
    <w:rsid w:val="008E0059"/>
    <w:rsid w:val="008E0665"/>
    <w:rsid w:val="008E1A8E"/>
    <w:rsid w:val="008E281C"/>
    <w:rsid w:val="008E61D6"/>
    <w:rsid w:val="008E6A17"/>
    <w:rsid w:val="008E6CA6"/>
    <w:rsid w:val="008E7761"/>
    <w:rsid w:val="008F03D4"/>
    <w:rsid w:val="008F1A36"/>
    <w:rsid w:val="008F26F8"/>
    <w:rsid w:val="008F3AA0"/>
    <w:rsid w:val="008F3AAE"/>
    <w:rsid w:val="008F406F"/>
    <w:rsid w:val="008F4429"/>
    <w:rsid w:val="008F67B4"/>
    <w:rsid w:val="008F7646"/>
    <w:rsid w:val="00900BA7"/>
    <w:rsid w:val="00900FFB"/>
    <w:rsid w:val="0090182F"/>
    <w:rsid w:val="009060E8"/>
    <w:rsid w:val="00907253"/>
    <w:rsid w:val="00910FED"/>
    <w:rsid w:val="009111E3"/>
    <w:rsid w:val="00911E45"/>
    <w:rsid w:val="009150B1"/>
    <w:rsid w:val="0091618E"/>
    <w:rsid w:val="0091640D"/>
    <w:rsid w:val="0091702A"/>
    <w:rsid w:val="009175A8"/>
    <w:rsid w:val="00923828"/>
    <w:rsid w:val="009304AE"/>
    <w:rsid w:val="00932C51"/>
    <w:rsid w:val="009348A2"/>
    <w:rsid w:val="009358BF"/>
    <w:rsid w:val="00935937"/>
    <w:rsid w:val="00936BDC"/>
    <w:rsid w:val="00940365"/>
    <w:rsid w:val="00941B9F"/>
    <w:rsid w:val="00942680"/>
    <w:rsid w:val="00942A04"/>
    <w:rsid w:val="009442F5"/>
    <w:rsid w:val="00944F52"/>
    <w:rsid w:val="00956D3B"/>
    <w:rsid w:val="00957691"/>
    <w:rsid w:val="00961140"/>
    <w:rsid w:val="00961B89"/>
    <w:rsid w:val="00962D90"/>
    <w:rsid w:val="00964155"/>
    <w:rsid w:val="00966360"/>
    <w:rsid w:val="00966787"/>
    <w:rsid w:val="00966855"/>
    <w:rsid w:val="00967A50"/>
    <w:rsid w:val="009700B7"/>
    <w:rsid w:val="00970225"/>
    <w:rsid w:val="00970246"/>
    <w:rsid w:val="00970482"/>
    <w:rsid w:val="009711E6"/>
    <w:rsid w:val="0097184F"/>
    <w:rsid w:val="009719BB"/>
    <w:rsid w:val="0097534D"/>
    <w:rsid w:val="00980DF4"/>
    <w:rsid w:val="009817B0"/>
    <w:rsid w:val="009824FB"/>
    <w:rsid w:val="00982D1D"/>
    <w:rsid w:val="00984CC6"/>
    <w:rsid w:val="00984D81"/>
    <w:rsid w:val="0098719A"/>
    <w:rsid w:val="0099110E"/>
    <w:rsid w:val="00992414"/>
    <w:rsid w:val="0099288E"/>
    <w:rsid w:val="0099326E"/>
    <w:rsid w:val="00994D0C"/>
    <w:rsid w:val="00995626"/>
    <w:rsid w:val="009A10F4"/>
    <w:rsid w:val="009A1999"/>
    <w:rsid w:val="009A27DB"/>
    <w:rsid w:val="009A38DD"/>
    <w:rsid w:val="009A607E"/>
    <w:rsid w:val="009A63A7"/>
    <w:rsid w:val="009A6727"/>
    <w:rsid w:val="009A6CCC"/>
    <w:rsid w:val="009B2FAD"/>
    <w:rsid w:val="009B39A8"/>
    <w:rsid w:val="009B3AE7"/>
    <w:rsid w:val="009B45C4"/>
    <w:rsid w:val="009B481D"/>
    <w:rsid w:val="009B4C75"/>
    <w:rsid w:val="009B587F"/>
    <w:rsid w:val="009B7F25"/>
    <w:rsid w:val="009C2653"/>
    <w:rsid w:val="009C36BA"/>
    <w:rsid w:val="009C37BA"/>
    <w:rsid w:val="009C38E2"/>
    <w:rsid w:val="009C5D70"/>
    <w:rsid w:val="009D0222"/>
    <w:rsid w:val="009D1257"/>
    <w:rsid w:val="009D12AE"/>
    <w:rsid w:val="009D1DE1"/>
    <w:rsid w:val="009D294C"/>
    <w:rsid w:val="009D3643"/>
    <w:rsid w:val="009D584A"/>
    <w:rsid w:val="009D6718"/>
    <w:rsid w:val="009E057B"/>
    <w:rsid w:val="009E09EA"/>
    <w:rsid w:val="009E41C3"/>
    <w:rsid w:val="009E462D"/>
    <w:rsid w:val="009E4976"/>
    <w:rsid w:val="009E60C4"/>
    <w:rsid w:val="009F1313"/>
    <w:rsid w:val="009F1F14"/>
    <w:rsid w:val="009F2621"/>
    <w:rsid w:val="009F2C66"/>
    <w:rsid w:val="009F318F"/>
    <w:rsid w:val="009F4065"/>
    <w:rsid w:val="009F45B4"/>
    <w:rsid w:val="009F56D1"/>
    <w:rsid w:val="009F7F56"/>
    <w:rsid w:val="00A00F78"/>
    <w:rsid w:val="00A01560"/>
    <w:rsid w:val="00A01F5C"/>
    <w:rsid w:val="00A03ACE"/>
    <w:rsid w:val="00A04906"/>
    <w:rsid w:val="00A04A9C"/>
    <w:rsid w:val="00A076BD"/>
    <w:rsid w:val="00A101F9"/>
    <w:rsid w:val="00A11132"/>
    <w:rsid w:val="00A11CA8"/>
    <w:rsid w:val="00A12A1B"/>
    <w:rsid w:val="00A13D36"/>
    <w:rsid w:val="00A168DB"/>
    <w:rsid w:val="00A17E24"/>
    <w:rsid w:val="00A22078"/>
    <w:rsid w:val="00A22080"/>
    <w:rsid w:val="00A22096"/>
    <w:rsid w:val="00A22129"/>
    <w:rsid w:val="00A2304D"/>
    <w:rsid w:val="00A27211"/>
    <w:rsid w:val="00A31CA7"/>
    <w:rsid w:val="00A325E8"/>
    <w:rsid w:val="00A33141"/>
    <w:rsid w:val="00A335AE"/>
    <w:rsid w:val="00A35CE4"/>
    <w:rsid w:val="00A36077"/>
    <w:rsid w:val="00A37331"/>
    <w:rsid w:val="00A40B3C"/>
    <w:rsid w:val="00A40BB0"/>
    <w:rsid w:val="00A40D3A"/>
    <w:rsid w:val="00A424D4"/>
    <w:rsid w:val="00A43CBD"/>
    <w:rsid w:val="00A43E33"/>
    <w:rsid w:val="00A4427D"/>
    <w:rsid w:val="00A51B5A"/>
    <w:rsid w:val="00A51E25"/>
    <w:rsid w:val="00A52D34"/>
    <w:rsid w:val="00A52F62"/>
    <w:rsid w:val="00A533D6"/>
    <w:rsid w:val="00A53C2B"/>
    <w:rsid w:val="00A55285"/>
    <w:rsid w:val="00A5531C"/>
    <w:rsid w:val="00A55982"/>
    <w:rsid w:val="00A56948"/>
    <w:rsid w:val="00A578B0"/>
    <w:rsid w:val="00A57BB6"/>
    <w:rsid w:val="00A62B6B"/>
    <w:rsid w:val="00A62EA4"/>
    <w:rsid w:val="00A62F68"/>
    <w:rsid w:val="00A642F4"/>
    <w:rsid w:val="00A666DE"/>
    <w:rsid w:val="00A66715"/>
    <w:rsid w:val="00A67C12"/>
    <w:rsid w:val="00A709DA"/>
    <w:rsid w:val="00A72719"/>
    <w:rsid w:val="00A731D8"/>
    <w:rsid w:val="00A73D1D"/>
    <w:rsid w:val="00A74CFD"/>
    <w:rsid w:val="00A75F6C"/>
    <w:rsid w:val="00A76E7A"/>
    <w:rsid w:val="00A81A71"/>
    <w:rsid w:val="00A82556"/>
    <w:rsid w:val="00A83087"/>
    <w:rsid w:val="00A8329F"/>
    <w:rsid w:val="00A8384F"/>
    <w:rsid w:val="00A8389B"/>
    <w:rsid w:val="00A8433A"/>
    <w:rsid w:val="00A84FBA"/>
    <w:rsid w:val="00A85AC5"/>
    <w:rsid w:val="00A860B5"/>
    <w:rsid w:val="00A865AB"/>
    <w:rsid w:val="00A9010D"/>
    <w:rsid w:val="00A9072B"/>
    <w:rsid w:val="00A91045"/>
    <w:rsid w:val="00A9696F"/>
    <w:rsid w:val="00A96A82"/>
    <w:rsid w:val="00AA034D"/>
    <w:rsid w:val="00AA1F4C"/>
    <w:rsid w:val="00AA275F"/>
    <w:rsid w:val="00AA35BD"/>
    <w:rsid w:val="00AA4028"/>
    <w:rsid w:val="00AA46B0"/>
    <w:rsid w:val="00AA4A9C"/>
    <w:rsid w:val="00AA6108"/>
    <w:rsid w:val="00AA65CB"/>
    <w:rsid w:val="00AA6978"/>
    <w:rsid w:val="00AA7544"/>
    <w:rsid w:val="00AB1C38"/>
    <w:rsid w:val="00AB1E15"/>
    <w:rsid w:val="00AB2E07"/>
    <w:rsid w:val="00AB33AE"/>
    <w:rsid w:val="00AB47E7"/>
    <w:rsid w:val="00AB5195"/>
    <w:rsid w:val="00AB6779"/>
    <w:rsid w:val="00AB78CE"/>
    <w:rsid w:val="00AC36C1"/>
    <w:rsid w:val="00AC4380"/>
    <w:rsid w:val="00AC4B56"/>
    <w:rsid w:val="00AC4F50"/>
    <w:rsid w:val="00AC5111"/>
    <w:rsid w:val="00AC5843"/>
    <w:rsid w:val="00AC72A6"/>
    <w:rsid w:val="00AD001B"/>
    <w:rsid w:val="00AD0FC1"/>
    <w:rsid w:val="00AD1569"/>
    <w:rsid w:val="00AD1F08"/>
    <w:rsid w:val="00AD30BC"/>
    <w:rsid w:val="00AD41C5"/>
    <w:rsid w:val="00AD4D2F"/>
    <w:rsid w:val="00AD7858"/>
    <w:rsid w:val="00AE1363"/>
    <w:rsid w:val="00AE18AC"/>
    <w:rsid w:val="00AE27E5"/>
    <w:rsid w:val="00AE3C24"/>
    <w:rsid w:val="00AE52E4"/>
    <w:rsid w:val="00AE5A98"/>
    <w:rsid w:val="00AE793B"/>
    <w:rsid w:val="00AF074E"/>
    <w:rsid w:val="00AF159D"/>
    <w:rsid w:val="00AF2B38"/>
    <w:rsid w:val="00AF3099"/>
    <w:rsid w:val="00AF4F8C"/>
    <w:rsid w:val="00AF6187"/>
    <w:rsid w:val="00AF729A"/>
    <w:rsid w:val="00AF7FF6"/>
    <w:rsid w:val="00B008EC"/>
    <w:rsid w:val="00B02513"/>
    <w:rsid w:val="00B02B41"/>
    <w:rsid w:val="00B02DB7"/>
    <w:rsid w:val="00B02E50"/>
    <w:rsid w:val="00B031EA"/>
    <w:rsid w:val="00B05CEE"/>
    <w:rsid w:val="00B06150"/>
    <w:rsid w:val="00B06285"/>
    <w:rsid w:val="00B17002"/>
    <w:rsid w:val="00B2092A"/>
    <w:rsid w:val="00B20ED6"/>
    <w:rsid w:val="00B220CD"/>
    <w:rsid w:val="00B22DD0"/>
    <w:rsid w:val="00B268BD"/>
    <w:rsid w:val="00B26AF5"/>
    <w:rsid w:val="00B26BC0"/>
    <w:rsid w:val="00B322F1"/>
    <w:rsid w:val="00B33075"/>
    <w:rsid w:val="00B33842"/>
    <w:rsid w:val="00B357BB"/>
    <w:rsid w:val="00B364AC"/>
    <w:rsid w:val="00B36F4A"/>
    <w:rsid w:val="00B37538"/>
    <w:rsid w:val="00B37863"/>
    <w:rsid w:val="00B41B19"/>
    <w:rsid w:val="00B421F8"/>
    <w:rsid w:val="00B4227A"/>
    <w:rsid w:val="00B425E0"/>
    <w:rsid w:val="00B4300D"/>
    <w:rsid w:val="00B4496C"/>
    <w:rsid w:val="00B45252"/>
    <w:rsid w:val="00B456B8"/>
    <w:rsid w:val="00B46600"/>
    <w:rsid w:val="00B519BA"/>
    <w:rsid w:val="00B523DB"/>
    <w:rsid w:val="00B52990"/>
    <w:rsid w:val="00B53422"/>
    <w:rsid w:val="00B5342D"/>
    <w:rsid w:val="00B5655E"/>
    <w:rsid w:val="00B57211"/>
    <w:rsid w:val="00B57359"/>
    <w:rsid w:val="00B57867"/>
    <w:rsid w:val="00B63108"/>
    <w:rsid w:val="00B647D0"/>
    <w:rsid w:val="00B64EEC"/>
    <w:rsid w:val="00B67E1A"/>
    <w:rsid w:val="00B702EE"/>
    <w:rsid w:val="00B70BFA"/>
    <w:rsid w:val="00B72598"/>
    <w:rsid w:val="00B73F48"/>
    <w:rsid w:val="00B74D85"/>
    <w:rsid w:val="00B76D50"/>
    <w:rsid w:val="00B81783"/>
    <w:rsid w:val="00B82082"/>
    <w:rsid w:val="00B82D55"/>
    <w:rsid w:val="00B83EBB"/>
    <w:rsid w:val="00B86EFD"/>
    <w:rsid w:val="00B86FAF"/>
    <w:rsid w:val="00B878A8"/>
    <w:rsid w:val="00B90E1D"/>
    <w:rsid w:val="00B919C9"/>
    <w:rsid w:val="00B91A28"/>
    <w:rsid w:val="00B92057"/>
    <w:rsid w:val="00B9246E"/>
    <w:rsid w:val="00B929B3"/>
    <w:rsid w:val="00B92ADC"/>
    <w:rsid w:val="00B9332E"/>
    <w:rsid w:val="00B93E41"/>
    <w:rsid w:val="00B942D9"/>
    <w:rsid w:val="00B94FB6"/>
    <w:rsid w:val="00B95792"/>
    <w:rsid w:val="00B97258"/>
    <w:rsid w:val="00B9762F"/>
    <w:rsid w:val="00B97CFA"/>
    <w:rsid w:val="00B97EC1"/>
    <w:rsid w:val="00BA361F"/>
    <w:rsid w:val="00BA37AA"/>
    <w:rsid w:val="00BA476E"/>
    <w:rsid w:val="00BB09A0"/>
    <w:rsid w:val="00BB2B12"/>
    <w:rsid w:val="00BB2B81"/>
    <w:rsid w:val="00BB557D"/>
    <w:rsid w:val="00BB5D4D"/>
    <w:rsid w:val="00BB73F5"/>
    <w:rsid w:val="00BC07AC"/>
    <w:rsid w:val="00BC13E1"/>
    <w:rsid w:val="00BC15D7"/>
    <w:rsid w:val="00BC1733"/>
    <w:rsid w:val="00BC1CD3"/>
    <w:rsid w:val="00BC3BE2"/>
    <w:rsid w:val="00BC4743"/>
    <w:rsid w:val="00BC55C6"/>
    <w:rsid w:val="00BC5902"/>
    <w:rsid w:val="00BC67F6"/>
    <w:rsid w:val="00BC6FB4"/>
    <w:rsid w:val="00BD166C"/>
    <w:rsid w:val="00BD5364"/>
    <w:rsid w:val="00BD6127"/>
    <w:rsid w:val="00BD73AE"/>
    <w:rsid w:val="00BE0A61"/>
    <w:rsid w:val="00BE0E67"/>
    <w:rsid w:val="00BE2C06"/>
    <w:rsid w:val="00BE3E86"/>
    <w:rsid w:val="00BE693C"/>
    <w:rsid w:val="00BE6E94"/>
    <w:rsid w:val="00BE7E6D"/>
    <w:rsid w:val="00BF0CCA"/>
    <w:rsid w:val="00BF1578"/>
    <w:rsid w:val="00BF2C63"/>
    <w:rsid w:val="00BF406B"/>
    <w:rsid w:val="00BF475B"/>
    <w:rsid w:val="00BF5208"/>
    <w:rsid w:val="00BF59C0"/>
    <w:rsid w:val="00BF6515"/>
    <w:rsid w:val="00BF7AFD"/>
    <w:rsid w:val="00C00151"/>
    <w:rsid w:val="00C06FBF"/>
    <w:rsid w:val="00C07176"/>
    <w:rsid w:val="00C07C20"/>
    <w:rsid w:val="00C07D3E"/>
    <w:rsid w:val="00C07E9D"/>
    <w:rsid w:val="00C109F6"/>
    <w:rsid w:val="00C10FA7"/>
    <w:rsid w:val="00C11697"/>
    <w:rsid w:val="00C14BEA"/>
    <w:rsid w:val="00C151A2"/>
    <w:rsid w:val="00C16AA4"/>
    <w:rsid w:val="00C17BA5"/>
    <w:rsid w:val="00C218BD"/>
    <w:rsid w:val="00C22400"/>
    <w:rsid w:val="00C2442E"/>
    <w:rsid w:val="00C25194"/>
    <w:rsid w:val="00C27273"/>
    <w:rsid w:val="00C31691"/>
    <w:rsid w:val="00C32B6A"/>
    <w:rsid w:val="00C34141"/>
    <w:rsid w:val="00C34B53"/>
    <w:rsid w:val="00C37192"/>
    <w:rsid w:val="00C377CA"/>
    <w:rsid w:val="00C37BB2"/>
    <w:rsid w:val="00C404E5"/>
    <w:rsid w:val="00C40C57"/>
    <w:rsid w:val="00C41EE9"/>
    <w:rsid w:val="00C42B78"/>
    <w:rsid w:val="00C431C4"/>
    <w:rsid w:val="00C43888"/>
    <w:rsid w:val="00C441FE"/>
    <w:rsid w:val="00C45763"/>
    <w:rsid w:val="00C46800"/>
    <w:rsid w:val="00C47018"/>
    <w:rsid w:val="00C47059"/>
    <w:rsid w:val="00C47DDD"/>
    <w:rsid w:val="00C51B2C"/>
    <w:rsid w:val="00C5219E"/>
    <w:rsid w:val="00C52809"/>
    <w:rsid w:val="00C52E1E"/>
    <w:rsid w:val="00C53121"/>
    <w:rsid w:val="00C53354"/>
    <w:rsid w:val="00C533C3"/>
    <w:rsid w:val="00C542FA"/>
    <w:rsid w:val="00C57985"/>
    <w:rsid w:val="00C61B65"/>
    <w:rsid w:val="00C625CB"/>
    <w:rsid w:val="00C62766"/>
    <w:rsid w:val="00C63989"/>
    <w:rsid w:val="00C63A0A"/>
    <w:rsid w:val="00C64680"/>
    <w:rsid w:val="00C65F6D"/>
    <w:rsid w:val="00C6783E"/>
    <w:rsid w:val="00C708F0"/>
    <w:rsid w:val="00C716A7"/>
    <w:rsid w:val="00C727F9"/>
    <w:rsid w:val="00C73DC7"/>
    <w:rsid w:val="00C73E1E"/>
    <w:rsid w:val="00C74CC3"/>
    <w:rsid w:val="00C765A1"/>
    <w:rsid w:val="00C76804"/>
    <w:rsid w:val="00C83B0E"/>
    <w:rsid w:val="00C85075"/>
    <w:rsid w:val="00C850B4"/>
    <w:rsid w:val="00C86507"/>
    <w:rsid w:val="00C871F8"/>
    <w:rsid w:val="00C87C61"/>
    <w:rsid w:val="00C87EB0"/>
    <w:rsid w:val="00CA0091"/>
    <w:rsid w:val="00CA0C88"/>
    <w:rsid w:val="00CA0CAF"/>
    <w:rsid w:val="00CA2886"/>
    <w:rsid w:val="00CB015F"/>
    <w:rsid w:val="00CB0DE0"/>
    <w:rsid w:val="00CB358A"/>
    <w:rsid w:val="00CB56C3"/>
    <w:rsid w:val="00CB597D"/>
    <w:rsid w:val="00CC0B64"/>
    <w:rsid w:val="00CC2144"/>
    <w:rsid w:val="00CC2D9C"/>
    <w:rsid w:val="00CC371C"/>
    <w:rsid w:val="00CC382E"/>
    <w:rsid w:val="00CC5CD0"/>
    <w:rsid w:val="00CC5F72"/>
    <w:rsid w:val="00CC7C54"/>
    <w:rsid w:val="00CD2C53"/>
    <w:rsid w:val="00CD5574"/>
    <w:rsid w:val="00CD55BF"/>
    <w:rsid w:val="00CD602D"/>
    <w:rsid w:val="00CD683B"/>
    <w:rsid w:val="00CD6B20"/>
    <w:rsid w:val="00CD6D37"/>
    <w:rsid w:val="00CD77AA"/>
    <w:rsid w:val="00CE1044"/>
    <w:rsid w:val="00CE28AD"/>
    <w:rsid w:val="00CE599F"/>
    <w:rsid w:val="00CE68BA"/>
    <w:rsid w:val="00CF00C7"/>
    <w:rsid w:val="00CF04F7"/>
    <w:rsid w:val="00CF0B4B"/>
    <w:rsid w:val="00CF1614"/>
    <w:rsid w:val="00CF16AE"/>
    <w:rsid w:val="00CF2E3A"/>
    <w:rsid w:val="00CF3AC9"/>
    <w:rsid w:val="00D031EC"/>
    <w:rsid w:val="00D06DD9"/>
    <w:rsid w:val="00D0708F"/>
    <w:rsid w:val="00D07556"/>
    <w:rsid w:val="00D1062C"/>
    <w:rsid w:val="00D11208"/>
    <w:rsid w:val="00D11292"/>
    <w:rsid w:val="00D114BB"/>
    <w:rsid w:val="00D12130"/>
    <w:rsid w:val="00D1310F"/>
    <w:rsid w:val="00D13797"/>
    <w:rsid w:val="00D15437"/>
    <w:rsid w:val="00D15601"/>
    <w:rsid w:val="00D15A89"/>
    <w:rsid w:val="00D17E02"/>
    <w:rsid w:val="00D20D9A"/>
    <w:rsid w:val="00D22403"/>
    <w:rsid w:val="00D24263"/>
    <w:rsid w:val="00D2508F"/>
    <w:rsid w:val="00D25835"/>
    <w:rsid w:val="00D2583B"/>
    <w:rsid w:val="00D26375"/>
    <w:rsid w:val="00D318CF"/>
    <w:rsid w:val="00D328AD"/>
    <w:rsid w:val="00D34175"/>
    <w:rsid w:val="00D347A6"/>
    <w:rsid w:val="00D36D5E"/>
    <w:rsid w:val="00D3741A"/>
    <w:rsid w:val="00D4017A"/>
    <w:rsid w:val="00D40310"/>
    <w:rsid w:val="00D408A1"/>
    <w:rsid w:val="00D40DEF"/>
    <w:rsid w:val="00D4352B"/>
    <w:rsid w:val="00D441D1"/>
    <w:rsid w:val="00D449ED"/>
    <w:rsid w:val="00D4581F"/>
    <w:rsid w:val="00D45956"/>
    <w:rsid w:val="00D46384"/>
    <w:rsid w:val="00D469CC"/>
    <w:rsid w:val="00D46F8C"/>
    <w:rsid w:val="00D52672"/>
    <w:rsid w:val="00D528C1"/>
    <w:rsid w:val="00D53D0E"/>
    <w:rsid w:val="00D5628E"/>
    <w:rsid w:val="00D60843"/>
    <w:rsid w:val="00D60DD4"/>
    <w:rsid w:val="00D61FA1"/>
    <w:rsid w:val="00D62ABA"/>
    <w:rsid w:val="00D645EF"/>
    <w:rsid w:val="00D66818"/>
    <w:rsid w:val="00D675CF"/>
    <w:rsid w:val="00D675D1"/>
    <w:rsid w:val="00D67F84"/>
    <w:rsid w:val="00D70800"/>
    <w:rsid w:val="00D74FC3"/>
    <w:rsid w:val="00D754E1"/>
    <w:rsid w:val="00D75C57"/>
    <w:rsid w:val="00D8072E"/>
    <w:rsid w:val="00D8194D"/>
    <w:rsid w:val="00D85CFA"/>
    <w:rsid w:val="00D85E2A"/>
    <w:rsid w:val="00D869A8"/>
    <w:rsid w:val="00D87ED0"/>
    <w:rsid w:val="00D90F77"/>
    <w:rsid w:val="00D91C1A"/>
    <w:rsid w:val="00D91F2F"/>
    <w:rsid w:val="00D93038"/>
    <w:rsid w:val="00D933B2"/>
    <w:rsid w:val="00D93DF7"/>
    <w:rsid w:val="00D946AE"/>
    <w:rsid w:val="00D962C9"/>
    <w:rsid w:val="00D968DE"/>
    <w:rsid w:val="00D97B2F"/>
    <w:rsid w:val="00DA1B76"/>
    <w:rsid w:val="00DA1D47"/>
    <w:rsid w:val="00DA274B"/>
    <w:rsid w:val="00DA474B"/>
    <w:rsid w:val="00DA642C"/>
    <w:rsid w:val="00DA7041"/>
    <w:rsid w:val="00DA774D"/>
    <w:rsid w:val="00DB07E1"/>
    <w:rsid w:val="00DB1372"/>
    <w:rsid w:val="00DB23B4"/>
    <w:rsid w:val="00DB274C"/>
    <w:rsid w:val="00DB2FDD"/>
    <w:rsid w:val="00DB4346"/>
    <w:rsid w:val="00DB5819"/>
    <w:rsid w:val="00DB7142"/>
    <w:rsid w:val="00DB75ED"/>
    <w:rsid w:val="00DC12E2"/>
    <w:rsid w:val="00DC25F7"/>
    <w:rsid w:val="00DC3611"/>
    <w:rsid w:val="00DC4FC7"/>
    <w:rsid w:val="00DC5AAE"/>
    <w:rsid w:val="00DC6AAF"/>
    <w:rsid w:val="00DD028F"/>
    <w:rsid w:val="00DD14B1"/>
    <w:rsid w:val="00DD1BA6"/>
    <w:rsid w:val="00DD6F7B"/>
    <w:rsid w:val="00DE2BBD"/>
    <w:rsid w:val="00DE5FE4"/>
    <w:rsid w:val="00DE6CCD"/>
    <w:rsid w:val="00DF23C5"/>
    <w:rsid w:val="00DF2E48"/>
    <w:rsid w:val="00DF3D6A"/>
    <w:rsid w:val="00DF5548"/>
    <w:rsid w:val="00DF5A44"/>
    <w:rsid w:val="00DF68BF"/>
    <w:rsid w:val="00DF6C6E"/>
    <w:rsid w:val="00DF6F56"/>
    <w:rsid w:val="00DF6FBE"/>
    <w:rsid w:val="00DF7DDA"/>
    <w:rsid w:val="00E010F8"/>
    <w:rsid w:val="00E02AE7"/>
    <w:rsid w:val="00E031F2"/>
    <w:rsid w:val="00E0484A"/>
    <w:rsid w:val="00E10F86"/>
    <w:rsid w:val="00E14671"/>
    <w:rsid w:val="00E14D18"/>
    <w:rsid w:val="00E14DDF"/>
    <w:rsid w:val="00E165DD"/>
    <w:rsid w:val="00E1768A"/>
    <w:rsid w:val="00E222B6"/>
    <w:rsid w:val="00E22415"/>
    <w:rsid w:val="00E25B5F"/>
    <w:rsid w:val="00E2620D"/>
    <w:rsid w:val="00E30715"/>
    <w:rsid w:val="00E309D2"/>
    <w:rsid w:val="00E31C36"/>
    <w:rsid w:val="00E32149"/>
    <w:rsid w:val="00E32685"/>
    <w:rsid w:val="00E330B4"/>
    <w:rsid w:val="00E330E1"/>
    <w:rsid w:val="00E33107"/>
    <w:rsid w:val="00E3313D"/>
    <w:rsid w:val="00E331FC"/>
    <w:rsid w:val="00E3322F"/>
    <w:rsid w:val="00E33E13"/>
    <w:rsid w:val="00E3543E"/>
    <w:rsid w:val="00E35555"/>
    <w:rsid w:val="00E362F0"/>
    <w:rsid w:val="00E36A4D"/>
    <w:rsid w:val="00E36B5E"/>
    <w:rsid w:val="00E36C4F"/>
    <w:rsid w:val="00E36F7F"/>
    <w:rsid w:val="00E40275"/>
    <w:rsid w:val="00E40396"/>
    <w:rsid w:val="00E409D2"/>
    <w:rsid w:val="00E411C0"/>
    <w:rsid w:val="00E41C0B"/>
    <w:rsid w:val="00E440E8"/>
    <w:rsid w:val="00E45A33"/>
    <w:rsid w:val="00E464DA"/>
    <w:rsid w:val="00E46520"/>
    <w:rsid w:val="00E46986"/>
    <w:rsid w:val="00E47CC3"/>
    <w:rsid w:val="00E50279"/>
    <w:rsid w:val="00E50FC5"/>
    <w:rsid w:val="00E51CEB"/>
    <w:rsid w:val="00E52CEF"/>
    <w:rsid w:val="00E53B5B"/>
    <w:rsid w:val="00E53F4A"/>
    <w:rsid w:val="00E61368"/>
    <w:rsid w:val="00E61E1E"/>
    <w:rsid w:val="00E63216"/>
    <w:rsid w:val="00E66B5E"/>
    <w:rsid w:val="00E710A0"/>
    <w:rsid w:val="00E7231F"/>
    <w:rsid w:val="00E739DB"/>
    <w:rsid w:val="00E73DFB"/>
    <w:rsid w:val="00E755EC"/>
    <w:rsid w:val="00E756CB"/>
    <w:rsid w:val="00E774C0"/>
    <w:rsid w:val="00E8149E"/>
    <w:rsid w:val="00E824A5"/>
    <w:rsid w:val="00E8311F"/>
    <w:rsid w:val="00E8396E"/>
    <w:rsid w:val="00E84F3A"/>
    <w:rsid w:val="00E85550"/>
    <w:rsid w:val="00E91514"/>
    <w:rsid w:val="00E91789"/>
    <w:rsid w:val="00E925CE"/>
    <w:rsid w:val="00E932CD"/>
    <w:rsid w:val="00E948F1"/>
    <w:rsid w:val="00E94C16"/>
    <w:rsid w:val="00E94CBF"/>
    <w:rsid w:val="00E95306"/>
    <w:rsid w:val="00E96B4C"/>
    <w:rsid w:val="00E9723F"/>
    <w:rsid w:val="00EA10B0"/>
    <w:rsid w:val="00EA19B5"/>
    <w:rsid w:val="00EA381E"/>
    <w:rsid w:val="00EA3D94"/>
    <w:rsid w:val="00EA51FB"/>
    <w:rsid w:val="00EA5AA0"/>
    <w:rsid w:val="00EB0606"/>
    <w:rsid w:val="00EB156A"/>
    <w:rsid w:val="00EB3985"/>
    <w:rsid w:val="00EB4D6E"/>
    <w:rsid w:val="00EB5264"/>
    <w:rsid w:val="00EB56E1"/>
    <w:rsid w:val="00EB76C8"/>
    <w:rsid w:val="00EB7F64"/>
    <w:rsid w:val="00EC03FD"/>
    <w:rsid w:val="00EC221D"/>
    <w:rsid w:val="00EC2928"/>
    <w:rsid w:val="00EC3BDB"/>
    <w:rsid w:val="00EC6708"/>
    <w:rsid w:val="00ED6308"/>
    <w:rsid w:val="00ED67C7"/>
    <w:rsid w:val="00ED7D0F"/>
    <w:rsid w:val="00ED7D4A"/>
    <w:rsid w:val="00EE16A2"/>
    <w:rsid w:val="00EE2ACE"/>
    <w:rsid w:val="00EE336C"/>
    <w:rsid w:val="00EE4143"/>
    <w:rsid w:val="00EE6AD6"/>
    <w:rsid w:val="00EE729C"/>
    <w:rsid w:val="00EE768A"/>
    <w:rsid w:val="00EE76E5"/>
    <w:rsid w:val="00EF0762"/>
    <w:rsid w:val="00EF11BE"/>
    <w:rsid w:val="00EF1F86"/>
    <w:rsid w:val="00EF2F76"/>
    <w:rsid w:val="00EF39BD"/>
    <w:rsid w:val="00EF4727"/>
    <w:rsid w:val="00EF4D4D"/>
    <w:rsid w:val="00EF72F7"/>
    <w:rsid w:val="00F010A6"/>
    <w:rsid w:val="00F017E9"/>
    <w:rsid w:val="00F04397"/>
    <w:rsid w:val="00F04AFE"/>
    <w:rsid w:val="00F07274"/>
    <w:rsid w:val="00F07A06"/>
    <w:rsid w:val="00F07A84"/>
    <w:rsid w:val="00F10358"/>
    <w:rsid w:val="00F107E3"/>
    <w:rsid w:val="00F120C8"/>
    <w:rsid w:val="00F1264C"/>
    <w:rsid w:val="00F12CCB"/>
    <w:rsid w:val="00F135FB"/>
    <w:rsid w:val="00F15A6D"/>
    <w:rsid w:val="00F2008F"/>
    <w:rsid w:val="00F20D2B"/>
    <w:rsid w:val="00F2201A"/>
    <w:rsid w:val="00F2219C"/>
    <w:rsid w:val="00F2281C"/>
    <w:rsid w:val="00F22BF0"/>
    <w:rsid w:val="00F24205"/>
    <w:rsid w:val="00F25BC2"/>
    <w:rsid w:val="00F25F94"/>
    <w:rsid w:val="00F26754"/>
    <w:rsid w:val="00F3010D"/>
    <w:rsid w:val="00F318B3"/>
    <w:rsid w:val="00F34559"/>
    <w:rsid w:val="00F358A9"/>
    <w:rsid w:val="00F35A42"/>
    <w:rsid w:val="00F37C5F"/>
    <w:rsid w:val="00F40332"/>
    <w:rsid w:val="00F40B37"/>
    <w:rsid w:val="00F41E6A"/>
    <w:rsid w:val="00F434A5"/>
    <w:rsid w:val="00F44B19"/>
    <w:rsid w:val="00F47F79"/>
    <w:rsid w:val="00F51ED4"/>
    <w:rsid w:val="00F529B0"/>
    <w:rsid w:val="00F529D2"/>
    <w:rsid w:val="00F53FA7"/>
    <w:rsid w:val="00F57579"/>
    <w:rsid w:val="00F61599"/>
    <w:rsid w:val="00F622CB"/>
    <w:rsid w:val="00F62744"/>
    <w:rsid w:val="00F62C92"/>
    <w:rsid w:val="00F646CE"/>
    <w:rsid w:val="00F64A0B"/>
    <w:rsid w:val="00F65B2A"/>
    <w:rsid w:val="00F673E8"/>
    <w:rsid w:val="00F67AA4"/>
    <w:rsid w:val="00F72A3D"/>
    <w:rsid w:val="00F73F20"/>
    <w:rsid w:val="00F770CC"/>
    <w:rsid w:val="00F775F1"/>
    <w:rsid w:val="00F809C7"/>
    <w:rsid w:val="00F80F35"/>
    <w:rsid w:val="00F8197E"/>
    <w:rsid w:val="00F849B6"/>
    <w:rsid w:val="00F8519F"/>
    <w:rsid w:val="00F85607"/>
    <w:rsid w:val="00F912C7"/>
    <w:rsid w:val="00F91AC8"/>
    <w:rsid w:val="00F91B54"/>
    <w:rsid w:val="00F91B75"/>
    <w:rsid w:val="00F934D9"/>
    <w:rsid w:val="00F94194"/>
    <w:rsid w:val="00F95B2F"/>
    <w:rsid w:val="00F95B5A"/>
    <w:rsid w:val="00FA5AE3"/>
    <w:rsid w:val="00FA79ED"/>
    <w:rsid w:val="00FA7D03"/>
    <w:rsid w:val="00FB3C75"/>
    <w:rsid w:val="00FB56F5"/>
    <w:rsid w:val="00FB7431"/>
    <w:rsid w:val="00FC526D"/>
    <w:rsid w:val="00FC545F"/>
    <w:rsid w:val="00FC5614"/>
    <w:rsid w:val="00FC5622"/>
    <w:rsid w:val="00FD20BF"/>
    <w:rsid w:val="00FD253C"/>
    <w:rsid w:val="00FD2C70"/>
    <w:rsid w:val="00FD427B"/>
    <w:rsid w:val="00FD4ACE"/>
    <w:rsid w:val="00FD6B0E"/>
    <w:rsid w:val="00FD6B99"/>
    <w:rsid w:val="00FE1CDE"/>
    <w:rsid w:val="00FE2832"/>
    <w:rsid w:val="00FE2B1D"/>
    <w:rsid w:val="00FE3CFD"/>
    <w:rsid w:val="00FE47F7"/>
    <w:rsid w:val="00FE48A2"/>
    <w:rsid w:val="00FF248D"/>
    <w:rsid w:val="00FF63E2"/>
    <w:rsid w:val="00FF7CD7"/>
    <w:rsid w:val="03C26BD1"/>
    <w:rsid w:val="05017C52"/>
    <w:rsid w:val="07124399"/>
    <w:rsid w:val="07DF2906"/>
    <w:rsid w:val="09EA05ED"/>
    <w:rsid w:val="0A8F6E15"/>
    <w:rsid w:val="0EBA50FE"/>
    <w:rsid w:val="112C3C37"/>
    <w:rsid w:val="12E52961"/>
    <w:rsid w:val="15375E62"/>
    <w:rsid w:val="156903A2"/>
    <w:rsid w:val="16D42CDF"/>
    <w:rsid w:val="17B648CC"/>
    <w:rsid w:val="17D95673"/>
    <w:rsid w:val="187327BD"/>
    <w:rsid w:val="19AF639F"/>
    <w:rsid w:val="1B331D07"/>
    <w:rsid w:val="1BDB2B53"/>
    <w:rsid w:val="1F7F227B"/>
    <w:rsid w:val="20FF14F2"/>
    <w:rsid w:val="21550065"/>
    <w:rsid w:val="245B38D1"/>
    <w:rsid w:val="251E1D03"/>
    <w:rsid w:val="29732512"/>
    <w:rsid w:val="29DF5830"/>
    <w:rsid w:val="2B1C386E"/>
    <w:rsid w:val="2B1E480B"/>
    <w:rsid w:val="2B700882"/>
    <w:rsid w:val="2CC118F2"/>
    <w:rsid w:val="2D26080E"/>
    <w:rsid w:val="2E2D7C9E"/>
    <w:rsid w:val="2E520501"/>
    <w:rsid w:val="2E66470A"/>
    <w:rsid w:val="34483C32"/>
    <w:rsid w:val="351C5F25"/>
    <w:rsid w:val="37B91C4D"/>
    <w:rsid w:val="3A6A32CA"/>
    <w:rsid w:val="3BCD6E7C"/>
    <w:rsid w:val="3C0D06AF"/>
    <w:rsid w:val="3C6A0C14"/>
    <w:rsid w:val="3CFB8F91"/>
    <w:rsid w:val="3EEE3541"/>
    <w:rsid w:val="3FBC05FB"/>
    <w:rsid w:val="3FFE7740"/>
    <w:rsid w:val="41214B28"/>
    <w:rsid w:val="415B4ED8"/>
    <w:rsid w:val="41C773E2"/>
    <w:rsid w:val="47884B7D"/>
    <w:rsid w:val="47DDCB6C"/>
    <w:rsid w:val="4B9A1834"/>
    <w:rsid w:val="4D4C3002"/>
    <w:rsid w:val="4FEF0763"/>
    <w:rsid w:val="55A14C92"/>
    <w:rsid w:val="55DD7BEB"/>
    <w:rsid w:val="575C3274"/>
    <w:rsid w:val="57CF6213"/>
    <w:rsid w:val="588418A2"/>
    <w:rsid w:val="5AD87635"/>
    <w:rsid w:val="5F9B7AE0"/>
    <w:rsid w:val="5FBEA25E"/>
    <w:rsid w:val="5FF4247C"/>
    <w:rsid w:val="618D6C67"/>
    <w:rsid w:val="639C7CF6"/>
    <w:rsid w:val="64095E7F"/>
    <w:rsid w:val="64414325"/>
    <w:rsid w:val="658C7FE7"/>
    <w:rsid w:val="66411775"/>
    <w:rsid w:val="68B57855"/>
    <w:rsid w:val="6A053438"/>
    <w:rsid w:val="6B0008F1"/>
    <w:rsid w:val="6B9F2C64"/>
    <w:rsid w:val="6BC308DC"/>
    <w:rsid w:val="6BC960D2"/>
    <w:rsid w:val="6BD46E9D"/>
    <w:rsid w:val="6DEE7A91"/>
    <w:rsid w:val="6E6931FA"/>
    <w:rsid w:val="6FFDF0C0"/>
    <w:rsid w:val="7851049C"/>
    <w:rsid w:val="791D122B"/>
    <w:rsid w:val="7AE96FDE"/>
    <w:rsid w:val="7AFAB015"/>
    <w:rsid w:val="7BFF8693"/>
    <w:rsid w:val="7CD7E6EB"/>
    <w:rsid w:val="7D996D0B"/>
    <w:rsid w:val="7E103785"/>
    <w:rsid w:val="7E4F77AA"/>
    <w:rsid w:val="7EFF8F28"/>
    <w:rsid w:val="7EFFF9E3"/>
    <w:rsid w:val="7F7F5824"/>
    <w:rsid w:val="7FBF3D65"/>
    <w:rsid w:val="7FC5B5BB"/>
    <w:rsid w:val="7FDFD368"/>
    <w:rsid w:val="89EC8D50"/>
    <w:rsid w:val="94FF16E9"/>
    <w:rsid w:val="AEF3D813"/>
    <w:rsid w:val="BE722060"/>
    <w:rsid w:val="BFBF1029"/>
    <w:rsid w:val="CA57F4A4"/>
    <w:rsid w:val="DFBDA631"/>
    <w:rsid w:val="DFF70C8A"/>
    <w:rsid w:val="E07E2E31"/>
    <w:rsid w:val="E7EF1789"/>
    <w:rsid w:val="EB958B8D"/>
    <w:rsid w:val="F3EF800F"/>
    <w:rsid w:val="F5FD69B6"/>
    <w:rsid w:val="FCA3DA1D"/>
    <w:rsid w:val="FDEC2256"/>
    <w:rsid w:val="FEEBE21B"/>
    <w:rsid w:val="FF931F48"/>
    <w:rsid w:val="FFFF891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qFormat="1" w:uiPriority="39" w:semiHidden="0"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27"/>
    <w:qFormat/>
    <w:uiPriority w:val="0"/>
    <w:pPr>
      <w:keepNext/>
      <w:keepLines/>
      <w:spacing w:before="240" w:after="64" w:line="320" w:lineRule="auto"/>
      <w:outlineLvl w:val="5"/>
    </w:pPr>
    <w:rPr>
      <w:rFonts w:ascii="Arial" w:hAnsi="Arial" w:eastAsia="黑体"/>
      <w:b/>
      <w:bCs/>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unhideWhenUsed/>
    <w:qFormat/>
    <w:uiPriority w:val="39"/>
    <w:pPr>
      <w:tabs>
        <w:tab w:val="right" w:leader="dot" w:pos="9344"/>
      </w:tabs>
      <w:adjustRightInd w:val="0"/>
      <w:spacing w:line="300" w:lineRule="exact"/>
      <w:ind w:left="1259"/>
    </w:pPr>
    <w:rPr>
      <w:rFonts w:ascii="宋体" w:hAnsi="Calibri"/>
      <w:szCs w:val="21"/>
    </w:rPr>
  </w:style>
  <w:style w:type="paragraph" w:styleId="4">
    <w:name w:val="Normal Indent"/>
    <w:basedOn w:val="1"/>
    <w:qFormat/>
    <w:uiPriority w:val="0"/>
    <w:pPr>
      <w:ind w:firstLine="420" w:firstLineChars="200"/>
    </w:pPr>
    <w:rPr>
      <w:rFonts w:ascii="Calibri" w:hAnsi="Calibri"/>
    </w:rPr>
  </w:style>
  <w:style w:type="paragraph" w:styleId="5">
    <w:name w:val="caption"/>
    <w:basedOn w:val="1"/>
    <w:next w:val="1"/>
    <w:qFormat/>
    <w:uiPriority w:val="0"/>
    <w:rPr>
      <w:rFonts w:ascii="Arial" w:hAnsi="Arial" w:eastAsia="黑体"/>
      <w:sz w:val="20"/>
      <w:szCs w:val="22"/>
    </w:rPr>
  </w:style>
  <w:style w:type="paragraph" w:styleId="6">
    <w:name w:val="annotation text"/>
    <w:basedOn w:val="1"/>
    <w:link w:val="40"/>
    <w:semiHidden/>
    <w:unhideWhenUsed/>
    <w:qFormat/>
    <w:uiPriority w:val="99"/>
    <w:pPr>
      <w:jc w:val="left"/>
    </w:pPr>
  </w:style>
  <w:style w:type="paragraph" w:styleId="7">
    <w:name w:val="Body Text"/>
    <w:basedOn w:val="1"/>
    <w:link w:val="46"/>
    <w:semiHidden/>
    <w:qFormat/>
    <w:uiPriority w:val="0"/>
    <w:rPr>
      <w:rFonts w:ascii="Arial" w:hAnsi="Arial" w:eastAsia="Arial" w:cs="Arial"/>
      <w:szCs w:val="21"/>
      <w:lang w:eastAsia="en-US"/>
    </w:rPr>
  </w:style>
  <w:style w:type="paragraph" w:styleId="8">
    <w:name w:val="Date"/>
    <w:basedOn w:val="1"/>
    <w:next w:val="1"/>
    <w:link w:val="45"/>
    <w:semiHidden/>
    <w:unhideWhenUsed/>
    <w:qFormat/>
    <w:uiPriority w:val="99"/>
    <w:pPr>
      <w:ind w:left="100" w:leftChars="2500"/>
    </w:pPr>
  </w:style>
  <w:style w:type="paragraph" w:styleId="9">
    <w:name w:val="Balloon Text"/>
    <w:basedOn w:val="1"/>
    <w:link w:val="39"/>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0"/>
    <w:rPr>
      <w:sz w:val="24"/>
    </w:rPr>
  </w:style>
  <w:style w:type="paragraph" w:styleId="13">
    <w:name w:val="Title"/>
    <w:basedOn w:val="1"/>
    <w:next w:val="1"/>
    <w:link w:val="47"/>
    <w:qFormat/>
    <w:uiPriority w:val="0"/>
    <w:pPr>
      <w:widowControl/>
      <w:jc w:val="center"/>
    </w:pPr>
    <w:rPr>
      <w:b/>
      <w:bCs/>
      <w:kern w:val="0"/>
      <w:sz w:val="24"/>
      <w:lang w:eastAsia="en-US"/>
    </w:rPr>
  </w:style>
  <w:style w:type="paragraph" w:styleId="14">
    <w:name w:val="annotation subject"/>
    <w:basedOn w:val="6"/>
    <w:next w:val="6"/>
    <w:link w:val="41"/>
    <w:semiHidden/>
    <w:unhideWhenUsed/>
    <w:qFormat/>
    <w:uiPriority w:val="99"/>
    <w:rPr>
      <w:b/>
      <w:bCs/>
    </w:rPr>
  </w:style>
  <w:style w:type="table" w:styleId="16">
    <w:name w:val="Table Grid"/>
    <w:basedOn w:val="1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2440B3"/>
      <w:u w:val="single"/>
    </w:rPr>
  </w:style>
  <w:style w:type="character" w:styleId="19">
    <w:name w:val="annotation reference"/>
    <w:basedOn w:val="17"/>
    <w:semiHidden/>
    <w:unhideWhenUsed/>
    <w:qFormat/>
    <w:uiPriority w:val="99"/>
    <w:rPr>
      <w:sz w:val="21"/>
      <w:szCs w:val="21"/>
    </w:rPr>
  </w:style>
  <w:style w:type="paragraph" w:customStyle="1" w:styleId="20">
    <w:name w:val="BodyText2"/>
    <w:qFormat/>
    <w:uiPriority w:val="0"/>
    <w:pPr>
      <w:widowControl w:val="0"/>
      <w:spacing w:after="120" w:line="480" w:lineRule="auto"/>
      <w:jc w:val="both"/>
      <w:textAlignment w:val="baseline"/>
    </w:pPr>
    <w:rPr>
      <w:rFonts w:ascii="Calibri" w:hAnsi="Calibri" w:eastAsia="宋体" w:cs="Times New Roman"/>
      <w:kern w:val="2"/>
      <w:sz w:val="32"/>
      <w:szCs w:val="32"/>
      <w:lang w:val="en-US" w:eastAsia="zh-CN" w:bidi="ar-SA"/>
    </w:rPr>
  </w:style>
  <w:style w:type="character" w:customStyle="1" w:styleId="21">
    <w:name w:val="页眉 字符"/>
    <w:basedOn w:val="17"/>
    <w:link w:val="11"/>
    <w:qFormat/>
    <w:uiPriority w:val="0"/>
    <w:rPr>
      <w:sz w:val="18"/>
      <w:szCs w:val="18"/>
    </w:rPr>
  </w:style>
  <w:style w:type="character" w:customStyle="1" w:styleId="22">
    <w:name w:val="页脚 字符"/>
    <w:basedOn w:val="17"/>
    <w:link w:val="10"/>
    <w:qFormat/>
    <w:uiPriority w:val="0"/>
    <w:rPr>
      <w:sz w:val="18"/>
      <w:szCs w:val="18"/>
    </w:rPr>
  </w:style>
  <w:style w:type="character" w:customStyle="1" w:styleId="23">
    <w:name w:val="段 Char"/>
    <w:link w:val="24"/>
    <w:qFormat/>
    <w:uiPriority w:val="0"/>
    <w:rPr>
      <w:rFonts w:ascii="宋体"/>
    </w:rPr>
  </w:style>
  <w:style w:type="paragraph" w:customStyle="1" w:styleId="24">
    <w:name w:val="段"/>
    <w:link w:val="23"/>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25">
    <w:name w:val="章标题"/>
    <w:next w:val="24"/>
    <w:qFormat/>
    <w:uiPriority w:val="0"/>
    <w:pPr>
      <w:tabs>
        <w:tab w:val="left" w:pos="360"/>
      </w:tabs>
      <w:spacing w:beforeLines="100" w:afterLines="100"/>
      <w:jc w:val="both"/>
      <w:outlineLvl w:val="1"/>
    </w:pPr>
    <w:rPr>
      <w:rFonts w:ascii="黑体" w:hAnsi="Times New Roman" w:eastAsia="黑体" w:cs="Times New Roman"/>
      <w:sz w:val="21"/>
      <w:lang w:val="en-US" w:eastAsia="zh-CN" w:bidi="ar-SA"/>
    </w:rPr>
  </w:style>
  <w:style w:type="paragraph" w:customStyle="1" w:styleId="26">
    <w:name w:val="二级无"/>
    <w:basedOn w:val="1"/>
    <w:qFormat/>
    <w:uiPriority w:val="0"/>
    <w:pPr>
      <w:widowControl/>
      <w:numPr>
        <w:ilvl w:val="2"/>
        <w:numId w:val="1"/>
      </w:numPr>
      <w:jc w:val="left"/>
      <w:outlineLvl w:val="3"/>
    </w:pPr>
    <w:rPr>
      <w:rFonts w:ascii="宋体"/>
      <w:kern w:val="0"/>
      <w:szCs w:val="21"/>
    </w:rPr>
  </w:style>
  <w:style w:type="character" w:customStyle="1" w:styleId="27">
    <w:name w:val="标题 6 字符"/>
    <w:basedOn w:val="17"/>
    <w:link w:val="2"/>
    <w:qFormat/>
    <w:uiPriority w:val="0"/>
    <w:rPr>
      <w:rFonts w:ascii="Arial" w:hAnsi="Arial" w:eastAsia="黑体" w:cs="Times New Roman"/>
      <w:b/>
      <w:bCs/>
      <w:sz w:val="24"/>
      <w:szCs w:val="24"/>
    </w:rPr>
  </w:style>
  <w:style w:type="paragraph" w:customStyle="1" w:styleId="28">
    <w:name w:val="标准文件_段"/>
    <w:link w:val="2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9">
    <w:name w:val="标准文件_段 Char"/>
    <w:link w:val="28"/>
    <w:qFormat/>
    <w:uiPriority w:val="0"/>
    <w:rPr>
      <w:rFonts w:ascii="宋体" w:hAnsi="Times New Roman" w:eastAsia="宋体" w:cs="Times New Roman"/>
      <w:kern w:val="0"/>
      <w:szCs w:val="20"/>
    </w:rPr>
  </w:style>
  <w:style w:type="paragraph" w:customStyle="1" w:styleId="30">
    <w:name w:val="标准文件_二级条标题"/>
    <w:next w:val="28"/>
    <w:qFormat/>
    <w:uiPriority w:val="0"/>
    <w:pPr>
      <w:widowControl w:val="0"/>
      <w:numPr>
        <w:ilvl w:val="3"/>
        <w:numId w:val="2"/>
      </w:numPr>
      <w:spacing w:beforeLines="50" w:afterLines="50"/>
      <w:ind w:left="0"/>
      <w:jc w:val="both"/>
      <w:outlineLvl w:val="2"/>
    </w:pPr>
    <w:rPr>
      <w:rFonts w:ascii="黑体" w:hAnsi="Times New Roman" w:eastAsia="黑体" w:cs="Times New Roman"/>
      <w:sz w:val="21"/>
      <w:lang w:val="en-US" w:eastAsia="zh-CN" w:bidi="ar-SA"/>
    </w:rPr>
  </w:style>
  <w:style w:type="paragraph" w:customStyle="1" w:styleId="31">
    <w:name w:val="标准文件_三级条标题"/>
    <w:basedOn w:val="30"/>
    <w:next w:val="28"/>
    <w:qFormat/>
    <w:uiPriority w:val="0"/>
    <w:pPr>
      <w:widowControl/>
      <w:numPr>
        <w:ilvl w:val="4"/>
      </w:numPr>
      <w:outlineLvl w:val="3"/>
    </w:pPr>
  </w:style>
  <w:style w:type="paragraph" w:customStyle="1" w:styleId="32">
    <w:name w:val="标准文件_四级条标题"/>
    <w:next w:val="28"/>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paragraph" w:customStyle="1" w:styleId="33">
    <w:name w:val="标准文件_五级条标题"/>
    <w:next w:val="28"/>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34">
    <w:name w:val="标准文件_章标题"/>
    <w:next w:val="28"/>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35">
    <w:name w:val="标准文件_一级条标题"/>
    <w:basedOn w:val="34"/>
    <w:next w:val="28"/>
    <w:qFormat/>
    <w:uiPriority w:val="0"/>
    <w:pPr>
      <w:numPr>
        <w:ilvl w:val="2"/>
      </w:numPr>
      <w:spacing w:beforeLines="50" w:afterLines="50"/>
      <w:outlineLvl w:val="1"/>
    </w:pPr>
  </w:style>
  <w:style w:type="paragraph" w:customStyle="1" w:styleId="3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37">
    <w:name w:val="标准文件_四级无标题"/>
    <w:basedOn w:val="32"/>
    <w:qFormat/>
    <w:uiPriority w:val="0"/>
    <w:pPr>
      <w:numPr>
        <w:numId w:val="3"/>
      </w:numPr>
      <w:spacing w:beforeLines="0"/>
      <w:outlineLvl w:val="9"/>
    </w:pPr>
    <w:rPr>
      <w:rFonts w:hint="eastAsia" w:ascii="宋体" w:hAnsi="宋体" w:eastAsia="宋体"/>
      <w:szCs w:val="52"/>
    </w:rPr>
  </w:style>
  <w:style w:type="paragraph" w:customStyle="1" w:styleId="38">
    <w:name w:val="标准文件_三级无标题"/>
    <w:qFormat/>
    <w:uiPriority w:val="0"/>
    <w:pPr>
      <w:numPr>
        <w:ilvl w:val="4"/>
        <w:numId w:val="4"/>
      </w:numPr>
      <w:jc w:val="both"/>
    </w:pPr>
    <w:rPr>
      <w:rFonts w:hint="eastAsia" w:ascii="宋体" w:hAnsi="Times New Roman" w:eastAsia="宋体" w:cs="Times New Roman"/>
      <w:sz w:val="21"/>
      <w:lang w:val="en-US" w:eastAsia="zh-CN" w:bidi="ar-SA"/>
    </w:rPr>
  </w:style>
  <w:style w:type="character" w:customStyle="1" w:styleId="39">
    <w:name w:val="批注框文本 字符"/>
    <w:basedOn w:val="17"/>
    <w:link w:val="9"/>
    <w:semiHidden/>
    <w:qFormat/>
    <w:uiPriority w:val="99"/>
    <w:rPr>
      <w:kern w:val="2"/>
      <w:sz w:val="18"/>
      <w:szCs w:val="18"/>
    </w:rPr>
  </w:style>
  <w:style w:type="character" w:customStyle="1" w:styleId="40">
    <w:name w:val="批注文字 字符"/>
    <w:basedOn w:val="17"/>
    <w:link w:val="6"/>
    <w:semiHidden/>
    <w:qFormat/>
    <w:uiPriority w:val="99"/>
    <w:rPr>
      <w:kern w:val="2"/>
      <w:sz w:val="21"/>
      <w:szCs w:val="24"/>
    </w:rPr>
  </w:style>
  <w:style w:type="character" w:customStyle="1" w:styleId="41">
    <w:name w:val="批注主题 字符"/>
    <w:basedOn w:val="40"/>
    <w:link w:val="14"/>
    <w:semiHidden/>
    <w:qFormat/>
    <w:uiPriority w:val="99"/>
    <w:rPr>
      <w:b/>
      <w:bCs/>
      <w:kern w:val="2"/>
      <w:sz w:val="21"/>
      <w:szCs w:val="24"/>
    </w:rPr>
  </w:style>
  <w:style w:type="character" w:customStyle="1" w:styleId="42">
    <w:name w:val="Unresolved Mention"/>
    <w:basedOn w:val="17"/>
    <w:semiHidden/>
    <w:unhideWhenUsed/>
    <w:qFormat/>
    <w:uiPriority w:val="99"/>
    <w:rPr>
      <w:color w:val="605E5C"/>
      <w:shd w:val="clear" w:color="auto" w:fill="E1DFDD"/>
    </w:rPr>
  </w:style>
  <w:style w:type="paragraph" w:styleId="43">
    <w:name w:val="List Paragraph"/>
    <w:basedOn w:val="1"/>
    <w:qFormat/>
    <w:uiPriority w:val="34"/>
    <w:pPr>
      <w:ind w:firstLine="420" w:firstLineChars="200"/>
    </w:pPr>
  </w:style>
  <w:style w:type="paragraph" w:customStyle="1" w:styleId="44">
    <w:name w:val="标准文件_正文图标题"/>
    <w:next w:val="28"/>
    <w:qFormat/>
    <w:uiPriority w:val="0"/>
    <w:pPr>
      <w:numPr>
        <w:ilvl w:val="0"/>
        <w:numId w:val="5"/>
      </w:numPr>
      <w:spacing w:before="120" w:beforeLines="50" w:after="120" w:afterLines="50"/>
      <w:jc w:val="center"/>
    </w:pPr>
    <w:rPr>
      <w:rFonts w:ascii="黑体" w:hAnsi="Times New Roman" w:eastAsia="黑体" w:cs="Times New Roman"/>
      <w:color w:val="000000" w:themeColor="text1"/>
      <w:sz w:val="21"/>
      <w:lang w:val="en-US" w:eastAsia="zh-CN" w:bidi="ar-SA"/>
      <w14:textFill>
        <w14:solidFill>
          <w14:schemeClr w14:val="tx1"/>
        </w14:solidFill>
      </w14:textFill>
    </w:rPr>
  </w:style>
  <w:style w:type="character" w:customStyle="1" w:styleId="45">
    <w:name w:val="日期 字符"/>
    <w:basedOn w:val="17"/>
    <w:link w:val="8"/>
    <w:semiHidden/>
    <w:qFormat/>
    <w:uiPriority w:val="99"/>
    <w:rPr>
      <w:kern w:val="2"/>
      <w:sz w:val="21"/>
      <w:szCs w:val="24"/>
    </w:rPr>
  </w:style>
  <w:style w:type="character" w:customStyle="1" w:styleId="46">
    <w:name w:val="正文文本 字符"/>
    <w:basedOn w:val="17"/>
    <w:link w:val="7"/>
    <w:semiHidden/>
    <w:qFormat/>
    <w:uiPriority w:val="0"/>
    <w:rPr>
      <w:rFonts w:ascii="Arial" w:hAnsi="Arial" w:eastAsia="Arial" w:cs="Arial"/>
      <w:kern w:val="2"/>
      <w:sz w:val="21"/>
      <w:szCs w:val="21"/>
      <w:lang w:eastAsia="en-US"/>
    </w:rPr>
  </w:style>
  <w:style w:type="character" w:customStyle="1" w:styleId="47">
    <w:name w:val="标题 字符"/>
    <w:basedOn w:val="17"/>
    <w:link w:val="13"/>
    <w:qFormat/>
    <w:uiPriority w:val="0"/>
    <w:rPr>
      <w:b/>
      <w:bCs/>
      <w:sz w:val="24"/>
      <w:szCs w:val="24"/>
      <w:lang w:eastAsia="en-US"/>
    </w:rPr>
  </w:style>
  <w:style w:type="paragraph" w:customStyle="1" w:styleId="48">
    <w:name w:val="Table Text"/>
    <w:basedOn w:val="1"/>
    <w:semiHidden/>
    <w:qFormat/>
    <w:uiPriority w:val="0"/>
    <w:rPr>
      <w:rFonts w:ascii="宋体" w:hAnsi="宋体" w:cs="宋体"/>
      <w:sz w:val="14"/>
      <w:szCs w:val="14"/>
      <w:lang w:eastAsia="en-US"/>
    </w:rPr>
  </w:style>
  <w:style w:type="table" w:customStyle="1" w:styleId="49">
    <w:name w:val="Table Normal"/>
    <w:basedOn w:val="15"/>
    <w:unhideWhenUsed/>
    <w:qFormat/>
    <w:uiPriority w:val="0"/>
    <w:rPr>
      <w:rFonts w:ascii="Calibri" w:hAnsi="Calibri"/>
    </w:rPr>
    <w:tblPr>
      <w:tblCellMar>
        <w:left w:w="0" w:type="dxa"/>
        <w:right w:w="0" w:type="dxa"/>
      </w:tblCellMar>
    </w:tblPr>
  </w:style>
  <w:style w:type="paragraph" w:customStyle="1" w:styleId="50">
    <w:name w:val="_Style 1"/>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45</Pages>
  <Words>8385</Words>
  <Characters>9348</Characters>
  <Lines>177</Lines>
  <Paragraphs>50</Paragraphs>
  <TotalTime>18</TotalTime>
  <ScaleCrop>false</ScaleCrop>
  <LinksUpToDate>false</LinksUpToDate>
  <CharactersWithSpaces>9460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2023-04-17T03:33:00Z</dcterms:created>
  <dc:creator>xiaojie man</dc:creator>
  <cp:lastModifiedBy>，</cp:lastModifiedBy>
  <cp:lastPrinted>2024-11-02T06:50:00Z</cp:lastPrinted>
  <dcterms:modified xsi:type="dcterms:W3CDTF">2025-05-19T07:01:21Z</dcterms:modified>
  <cp:revision>382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A4746F5BD7124AF9A5D54362B78634A3_13</vt:lpwstr>
  </property>
  <property fmtid="{D5CDD505-2E9C-101B-9397-08002B2CF9AE}" pid="4" name="KSOTemplateDocerSaveRecord">
    <vt:lpwstr>eyJoZGlkIjoiZDU4MDczMzcyYmJkMTU0Yzk3Y2Q1OWEyNGVlYzBmODAiLCJ1c2VySWQiOiI2NTgwMDU1NDYifQ==</vt:lpwstr>
  </property>
</Properties>
</file>