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128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B4E4823">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5322E58">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35.240.99</w:t>
            </w:r>
            <w:r>
              <w:rPr>
                <w:rFonts w:ascii="黑体" w:hAnsi="黑体" w:eastAsia="黑体"/>
                <w:sz w:val="21"/>
                <w:szCs w:val="21"/>
              </w:rPr>
              <w:fldChar w:fldCharType="end"/>
            </w:r>
            <w:bookmarkEnd w:id="0"/>
          </w:p>
        </w:tc>
      </w:tr>
      <w:tr w14:paraId="55E3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70D8F0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2AE1FD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E342CF9">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CASMES</w:t>
                  </w:r>
                  <w:r>
                    <w:rPr>
                      <w:rFonts w:ascii="Times New Roman" w:hAnsi="Times New Roman" w:eastAsia="宋体" w:cs="Times New Roman"/>
                      <w:b/>
                      <w:w w:val="130"/>
                      <w:sz w:val="96"/>
                      <w:lang w:val="en-US" w:eastAsia="zh-CN" w:bidi="ar-SA"/>
                    </w:rPr>
                    <w:fldChar w:fldCharType="end"/>
                  </w:r>
                  <w:bookmarkEnd w:id="1"/>
                </w:p>
              </w:tc>
            </w:tr>
          </w:tbl>
          <w:p w14:paraId="7D08CE6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L 70</w:t>
            </w:r>
            <w:r>
              <w:rPr>
                <w:rFonts w:ascii="黑体" w:hAnsi="黑体" w:eastAsia="黑体"/>
                <w:sz w:val="21"/>
                <w:szCs w:val="21"/>
              </w:rPr>
              <w:fldChar w:fldCharType="end"/>
            </w:r>
            <w:bookmarkEnd w:id="2"/>
          </w:p>
        </w:tc>
      </w:tr>
    </w:tbl>
    <w:p w14:paraId="068069BA">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0764ACE3">
      <w:pPr>
        <w:pStyle w:val="195"/>
        <w:framePr/>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CASMES</w:t>
      </w:r>
      <w:r>
        <w:rPr>
          <w:rFonts w:ascii="黑体" w:hAnsi="Times New Roman" w:eastAsia="黑体" w:cs="Times New Roman"/>
          <w:bCs/>
          <w:sz w:val="28"/>
          <w:szCs w:val="28"/>
          <w:lang w:val="en-US" w:eastAsia="zh-CN" w:bidi="ar-SA"/>
        </w:rP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3C49294D">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DC24896">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16785A0">
      <w:pPr>
        <w:pStyle w:val="50"/>
        <w:framePr w:w="9639" w:h="6976" w:hRule="exact" w:hSpace="0" w:vSpace="0" w:wrap="around" w:hAnchor="page" w:y="6408"/>
        <w:jc w:val="center"/>
        <w:rPr>
          <w:rFonts w:hint="eastAsia" w:ascii="黑体" w:hAnsi="黑体" w:eastAsia="黑体"/>
          <w:b w:val="0"/>
          <w:bCs w:val="0"/>
          <w:w w:val="100"/>
        </w:rPr>
      </w:pPr>
    </w:p>
    <w:p w14:paraId="7B7E0A83">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建筑工程施工项目信息化管理技术规范</w:t>
      </w:r>
      <w:r>
        <w:fldChar w:fldCharType="end"/>
      </w:r>
      <w:bookmarkEnd w:id="9"/>
    </w:p>
    <w:p w14:paraId="2D66370F">
      <w:pPr>
        <w:framePr w:w="9639" w:h="6974" w:hRule="exact" w:wrap="around" w:vAnchor="page" w:hAnchor="page" w:x="1419" w:y="6408" w:anchorLock="1"/>
        <w:ind w:left="-1418"/>
      </w:pPr>
    </w:p>
    <w:p w14:paraId="455AF604">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specifications for information management of construction projects in building engineering</w:t>
      </w:r>
      <w:r>
        <w:rPr>
          <w:rFonts w:eastAsia="黑体"/>
          <w:szCs w:val="28"/>
        </w:rPr>
        <w:fldChar w:fldCharType="end"/>
      </w:r>
      <w:bookmarkEnd w:id="10"/>
    </w:p>
    <w:p w14:paraId="4D9CE0CD">
      <w:pPr>
        <w:framePr w:w="9639" w:h="6974" w:hRule="exact" w:wrap="around" w:vAnchor="page" w:hAnchor="page" w:x="1419" w:y="6408" w:anchorLock="1"/>
        <w:spacing w:line="760" w:lineRule="exact"/>
        <w:ind w:left="-1418"/>
      </w:pPr>
    </w:p>
    <w:p w14:paraId="16690126">
      <w:pPr>
        <w:pStyle w:val="125"/>
        <w:framePr w:w="9639" w:h="6974" w:hRule="exact" w:wrap="around" w:vAnchor="page" w:hAnchor="page" w:x="1419" w:y="6408" w:anchorLock="1"/>
        <w:textAlignment w:val="bottom"/>
        <w:rPr>
          <w:rFonts w:eastAsia="黑体"/>
          <w:szCs w:val="28"/>
        </w:rPr>
      </w:pPr>
    </w:p>
    <w:p w14:paraId="555DDF20">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D45C40B">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87E7F4F">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37E6E513">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FEEC88B">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69050A3">
      <w:pPr>
        <w:pStyle w:val="151"/>
        <w:framePr w:h="584" w:hRule="exact" w:hSpace="181" w:vSpace="181" w:wrap="around" w:y="14800"/>
        <w:rPr>
          <w:rFonts w:hint="eastAsia" w:hAnsi="黑体"/>
        </w:rPr>
      </w:pPr>
      <w:bookmarkStart w:id="20" w:name="fm"/>
      <w:r>
        <w:rPr>
          <w:rFonts w:ascii="黑体" w:hAnsi="黑体" w:eastAsia="黑体" w:cs="Times New Roman"/>
          <w:b w:val="0"/>
          <w:w w:val="100"/>
          <w:sz w:val="28"/>
          <w:lang w:val="en-US" w:eastAsia="zh-CN" w:bidi="ar-SA"/>
        </w:rPr>
        <w:fldChar w:fldCharType="begin">
          <w:ffData>
            <w:name w:val="fm"/>
            <w:enabled/>
            <w:calcOnExit w:val="0"/>
            <w:textInput>
              <w:default w:val="中国中小企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中国中小企业协会</w:t>
      </w:r>
      <w:r>
        <w:rPr>
          <w:rFonts w:ascii="黑体" w:hAnsi="黑体" w:eastAsia="黑体" w:cs="Times New Roman"/>
          <w:b w:val="0"/>
          <w:w w:val="100"/>
          <w:sz w:val="28"/>
          <w:lang w:val="en-US" w:eastAsia="zh-CN" w:bidi="ar-SA"/>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9727CBF">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8BCCA35">
      <w:pPr>
        <w:pStyle w:val="91"/>
        <w:spacing w:after="360"/>
      </w:pPr>
      <w:bookmarkStart w:id="21" w:name="BookMark1"/>
      <w:r>
        <w:rPr>
          <w:rFonts w:hint="eastAsia"/>
          <w:spacing w:val="320"/>
        </w:rPr>
        <w:t>目</w:t>
      </w:r>
      <w:r>
        <w:rPr>
          <w:rFonts w:hint="eastAsia"/>
        </w:rPr>
        <w:t>次</w:t>
      </w:r>
    </w:p>
    <w:p w14:paraId="54A6134C">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"_Toc198124488"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_Toc198124488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023F249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"_Toc198124489"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_Toc198124489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B6BE131">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"_Toc198124490"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_Toc198124490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4AAE5F4">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"_Toc198124491"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_Toc198124491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B44814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"_Toc198124492" </w:instrText>
      </w:r>
      <w:r>
        <w:fldChar w:fldCharType="separate"/>
      </w:r>
      <w:r>
        <w:rPr>
          <w:rStyle w:val="32"/>
          <w:rFonts w:ascii="Times New Roman"/>
        </w:rPr>
        <w:t>4  基本要求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_Toc198124492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E1F7C9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"_Toc198124493" </w:instrText>
      </w:r>
      <w:r>
        <w:fldChar w:fldCharType="separate"/>
      </w:r>
      <w:r>
        <w:rPr>
          <w:rStyle w:val="32"/>
          <w:rFonts w:ascii="Times New Roman"/>
        </w:rPr>
        <w:t>5  信息化管理系统功能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_Toc198124493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18FCA9B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"_Toc198124494" </w:instrText>
      </w:r>
      <w:r>
        <w:fldChar w:fldCharType="separate"/>
      </w:r>
      <w:r>
        <w:rPr>
          <w:rStyle w:val="32"/>
          <w:rFonts w:ascii="Times New Roman"/>
        </w:rPr>
        <w:t>6  技术应用要求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_Toc198124494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3007B61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"_Toc198124495" </w:instrText>
      </w:r>
      <w:r>
        <w:fldChar w:fldCharType="separate"/>
      </w:r>
      <w:r>
        <w:rPr>
          <w:rStyle w:val="32"/>
          <w:rFonts w:ascii="Times New Roman"/>
        </w:rPr>
        <w:t>7  数据与信息安全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_Toc198124495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2E227D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"_Toc198124496" </w:instrText>
      </w:r>
      <w:r>
        <w:fldChar w:fldCharType="separate"/>
      </w:r>
      <w:r>
        <w:rPr>
          <w:rStyle w:val="32"/>
          <w:rFonts w:ascii="Times New Roman"/>
        </w:rPr>
        <w:t>8  系统实施与验收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_Toc198124496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259446E4">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370F3B0A">
      <w:pPr>
        <w:pStyle w:val="89"/>
        <w:spacing w:before="900" w:after="360"/>
        <w:rPr>
          <w:rFonts w:ascii="Times New Roman"/>
        </w:rPr>
      </w:pPr>
      <w:bookmarkStart w:id="22" w:name="_Toc198124488"/>
      <w:bookmarkStart w:id="23" w:name="BookMark2"/>
      <w:r>
        <w:rPr>
          <w:rFonts w:ascii="Times New Roman"/>
          <w:spacing w:val="320"/>
        </w:rPr>
        <w:t>前</w:t>
      </w:r>
      <w:r>
        <w:rPr>
          <w:rFonts w:ascii="Times New Roman"/>
        </w:rPr>
        <w:t>言</w:t>
      </w:r>
      <w:bookmarkEnd w:id="22"/>
    </w:p>
    <w:p w14:paraId="4DB81553">
      <w:pPr>
        <w:pStyle w:val="56"/>
        <w:ind w:firstLine="420"/>
        <w:rPr>
          <w:rFonts w:ascii="Times New Roman"/>
        </w:rPr>
      </w:pPr>
      <w:r>
        <w:rPr>
          <w:rFonts w:ascii="Times New Roman"/>
        </w:rPr>
        <w:t>本文件按照GB/T 1.1—2020《标准化工作导则  第1部分：标准化文件的结构和起草规则》的规定起草。</w:t>
      </w:r>
    </w:p>
    <w:p w14:paraId="4B1CB123">
      <w:pPr>
        <w:pStyle w:val="56"/>
        <w:ind w:firstLine="420"/>
        <w:rPr>
          <w:rFonts w:ascii="Times New Roman"/>
        </w:rPr>
      </w:pPr>
      <w:r>
        <w:rPr>
          <w:rFonts w:ascii="Times New Roman"/>
        </w:rPr>
        <w:t>请注意本文件的某些内容可能涉及专利。本文件的发布机构不承担识别专利的责任。</w:t>
      </w:r>
    </w:p>
    <w:p w14:paraId="2516F016">
      <w:pPr>
        <w:pStyle w:val="56"/>
        <w:ind w:firstLine="420"/>
        <w:rPr>
          <w:rFonts w:ascii="Times New Roman"/>
        </w:rPr>
      </w:pPr>
      <w:r>
        <w:rPr>
          <w:rFonts w:ascii="Times New Roman"/>
        </w:rPr>
        <w:t>本文件由</w:t>
      </w:r>
      <w:r>
        <w:rPr>
          <w:rFonts w:hint="eastAsia" w:ascii="Times New Roman"/>
        </w:rPr>
        <w:t>浙江中岩工程技术研究有限公司</w:t>
      </w:r>
      <w:r>
        <w:rPr>
          <w:rFonts w:ascii="Times New Roman"/>
        </w:rPr>
        <w:t>提出。</w:t>
      </w:r>
    </w:p>
    <w:p w14:paraId="72AC6A34">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71DFDDC6">
      <w:pPr>
        <w:pStyle w:val="56"/>
        <w:ind w:firstLine="420"/>
        <w:rPr>
          <w:rFonts w:hint="eastAsia" w:ascii="Times New Roman" w:eastAsia="宋体"/>
          <w:lang w:eastAsia="zh-CN"/>
        </w:rPr>
      </w:pPr>
      <w:r>
        <w:rPr>
          <w:rFonts w:ascii="Times New Roman"/>
        </w:rPr>
        <w:t>本文件起草单位：</w:t>
      </w:r>
      <w:r>
        <w:rPr>
          <w:rFonts w:hint="eastAsia" w:ascii="Times New Roman"/>
        </w:rPr>
        <w:t>浙江中岩工程技术研究有限公司</w:t>
      </w:r>
      <w:r>
        <w:rPr>
          <w:rFonts w:hint="eastAsia" w:ascii="Times New Roman"/>
          <w:lang w:eastAsia="zh-CN"/>
        </w:rPr>
        <w:t>。</w:t>
      </w:r>
    </w:p>
    <w:p w14:paraId="7BC6326E">
      <w:pPr>
        <w:pStyle w:val="56"/>
        <w:ind w:firstLine="420"/>
        <w:rPr>
          <w:rFonts w:ascii="Times New Roman"/>
        </w:rPr>
      </w:pPr>
      <w:r>
        <w:rPr>
          <w:rFonts w:ascii="Times New Roman"/>
        </w:rPr>
        <w:t>本文件主要起草人：</w:t>
      </w:r>
    </w:p>
    <w:p w14:paraId="607803D9">
      <w:pPr>
        <w:pStyle w:val="56"/>
        <w:ind w:firstLine="420"/>
        <w:rPr>
          <w:rFonts w:ascii="Times New Roman"/>
        </w:rPr>
      </w:pPr>
    </w:p>
    <w:p w14:paraId="474D5B04">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bookmarkStart w:id="57" w:name="_GoBack"/>
      <w:bookmarkEnd w:id="57"/>
    </w:p>
    <w:bookmarkEnd w:id="23"/>
    <w:p w14:paraId="582864DB">
      <w:pPr>
        <w:spacing w:line="20" w:lineRule="exact"/>
        <w:jc w:val="center"/>
        <w:rPr>
          <w:rFonts w:ascii="Times New Roman" w:hAnsi="Times New Roman" w:eastAsia="黑体"/>
          <w:sz w:val="32"/>
          <w:szCs w:val="32"/>
        </w:rPr>
      </w:pPr>
      <w:bookmarkStart w:id="24" w:name="BookMark4"/>
    </w:p>
    <w:p w14:paraId="20B20B9D">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CE20F165124D43BB8CCDFC272A7FDB5D"/>
        </w:placeholder>
      </w:sdtPr>
      <w:sdtEndPr>
        <w:rPr>
          <w:rFonts w:ascii="Times New Roman" w:hAnsi="Times New Roman"/>
        </w:rPr>
      </w:sdtEndPr>
      <w:sdtContent>
        <w:p w14:paraId="697448A5">
          <w:pPr>
            <w:pStyle w:val="177"/>
            <w:spacing w:before="2" w:beforeLines="1" w:after="528" w:afterLines="220"/>
            <w:rPr>
              <w:rFonts w:ascii="Times New Roman" w:hAnsi="Times New Roman"/>
            </w:rPr>
          </w:pPr>
          <w:bookmarkStart w:id="25" w:name="_Hlk198124587"/>
          <w:bookmarkStart w:id="26" w:name="NEW_STAND_NAME"/>
          <w:r>
            <w:rPr>
              <w:rFonts w:ascii="Times New Roman" w:hAnsi="Times New Roman"/>
            </w:rPr>
            <w:t>建筑工程施工项目信息化管理技术规范</w:t>
          </w:r>
        </w:p>
      </w:sdtContent>
    </w:sdt>
    <w:bookmarkEnd w:id="25"/>
    <w:bookmarkEnd w:id="26"/>
    <w:p w14:paraId="2D13CE24">
      <w:pPr>
        <w:pStyle w:val="104"/>
        <w:spacing w:before="240" w:after="240"/>
        <w:rPr>
          <w:rFonts w:ascii="Times New Roman"/>
        </w:rPr>
      </w:pPr>
      <w:bookmarkStart w:id="27" w:name="_Toc24884218"/>
      <w:bookmarkStart w:id="28" w:name="_Toc24884211"/>
      <w:bookmarkStart w:id="29" w:name="_Toc26986771"/>
      <w:bookmarkStart w:id="30" w:name="_Toc97192964"/>
      <w:bookmarkStart w:id="31" w:name="_Toc26718930"/>
      <w:bookmarkStart w:id="32" w:name="_Toc198124489"/>
      <w:bookmarkStart w:id="33" w:name="_Toc26648465"/>
      <w:bookmarkStart w:id="34" w:name="_Toc17233325"/>
      <w:bookmarkStart w:id="35" w:name="_Toc26986530"/>
      <w:bookmarkStart w:id="36" w:name="_Toc17233333"/>
      <w:bookmarkStart w:id="37" w:name="_Hlk198125071"/>
      <w:r>
        <w:rPr>
          <w:rFonts w:ascii="Times New Roman"/>
        </w:rPr>
        <w:t>范围</w:t>
      </w:r>
      <w:bookmarkEnd w:id="27"/>
      <w:bookmarkEnd w:id="28"/>
      <w:bookmarkEnd w:id="29"/>
      <w:bookmarkEnd w:id="30"/>
      <w:bookmarkEnd w:id="31"/>
      <w:bookmarkEnd w:id="32"/>
      <w:bookmarkEnd w:id="33"/>
      <w:bookmarkEnd w:id="34"/>
      <w:bookmarkEnd w:id="35"/>
      <w:bookmarkEnd w:id="36"/>
    </w:p>
    <w:p w14:paraId="1D74D19D">
      <w:pPr>
        <w:pStyle w:val="56"/>
        <w:ind w:firstLine="420"/>
        <w:rPr>
          <w:rFonts w:ascii="Times New Roman"/>
        </w:rPr>
      </w:pPr>
      <w:bookmarkStart w:id="38" w:name="_Toc17233334"/>
      <w:bookmarkStart w:id="39" w:name="_Toc24884212"/>
      <w:bookmarkStart w:id="40" w:name="_Toc17233326"/>
      <w:bookmarkStart w:id="41" w:name="_Toc24884219"/>
      <w:bookmarkStart w:id="42" w:name="_Toc26648466"/>
      <w:r>
        <w:rPr>
          <w:rFonts w:ascii="Times New Roman"/>
        </w:rPr>
        <w:t>本文件规定了建筑工程施工项目信息化管理的术语和定义、基本要求、信息化管理系统功能、技术应用要求、数据与信息安全、系统实施与验收。</w:t>
      </w:r>
    </w:p>
    <w:p w14:paraId="6BD7F9A4">
      <w:pPr>
        <w:pStyle w:val="56"/>
        <w:ind w:firstLine="420"/>
        <w:rPr>
          <w:rFonts w:ascii="Times New Roman"/>
        </w:rPr>
      </w:pPr>
      <w:r>
        <w:rPr>
          <w:rFonts w:ascii="Times New Roman"/>
        </w:rPr>
        <w:t>本文件适用于建筑工程施工项目信息化管理。</w:t>
      </w:r>
    </w:p>
    <w:p w14:paraId="5790FC1E">
      <w:pPr>
        <w:pStyle w:val="104"/>
        <w:spacing w:before="240" w:after="240"/>
        <w:rPr>
          <w:rFonts w:ascii="Times New Roman"/>
        </w:rPr>
      </w:pPr>
      <w:bookmarkStart w:id="43" w:name="_Toc198124490"/>
      <w:bookmarkStart w:id="44" w:name="_Toc26986531"/>
      <w:bookmarkStart w:id="45" w:name="_Toc26718931"/>
      <w:bookmarkStart w:id="46" w:name="_Toc97192965"/>
      <w:bookmarkStart w:id="47" w:name="_Toc26986772"/>
      <w:r>
        <w:rPr>
          <w:rFonts w:ascii="Times New Roman"/>
        </w:rPr>
        <w:t>规范性引用文件</w:t>
      </w:r>
      <w:bookmarkEnd w:id="38"/>
      <w:bookmarkEnd w:id="39"/>
      <w:bookmarkEnd w:id="40"/>
      <w:bookmarkEnd w:id="41"/>
      <w:bookmarkEnd w:id="42"/>
      <w:bookmarkEnd w:id="43"/>
      <w:bookmarkEnd w:id="44"/>
      <w:bookmarkEnd w:id="45"/>
      <w:bookmarkEnd w:id="46"/>
      <w:bookmarkEnd w:id="47"/>
    </w:p>
    <w:sdt>
      <w:sdtPr>
        <w:rPr>
          <w:rFonts w:ascii="Times New Roman"/>
        </w:rPr>
        <w:id w:val="715848253"/>
        <w:placeholder>
          <w:docPart w:val="5D3C5E67884046FAB56DFF4BA126218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7024E855">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B711B5B">
      <w:pPr>
        <w:pStyle w:val="56"/>
        <w:ind w:firstLine="420"/>
        <w:rPr>
          <w:rFonts w:ascii="Times New Roman"/>
        </w:rPr>
      </w:pPr>
      <w:r>
        <w:rPr>
          <w:rFonts w:ascii="Times New Roman"/>
        </w:rPr>
        <w:t>GB/T 25070 信息安全技术 网络安全等级保护安全设计技术要求</w:t>
      </w:r>
    </w:p>
    <w:p w14:paraId="52F1F220">
      <w:pPr>
        <w:pStyle w:val="56"/>
        <w:ind w:firstLine="420"/>
        <w:rPr>
          <w:rFonts w:ascii="Times New Roman"/>
        </w:rPr>
      </w:pPr>
      <w:r>
        <w:rPr>
          <w:rFonts w:ascii="Times New Roman"/>
        </w:rPr>
        <w:t>GB/T 35273 信息安全技术 个人信息安全规范</w:t>
      </w:r>
    </w:p>
    <w:p w14:paraId="26E2892C">
      <w:pPr>
        <w:pStyle w:val="104"/>
        <w:spacing w:before="240" w:after="240"/>
        <w:rPr>
          <w:rFonts w:ascii="Times New Roman"/>
        </w:rPr>
      </w:pPr>
      <w:bookmarkStart w:id="48" w:name="_Toc97192966"/>
      <w:bookmarkStart w:id="49" w:name="_Toc198124491"/>
      <w:r>
        <w:rPr>
          <w:rFonts w:ascii="Times New Roman"/>
          <w:szCs w:val="21"/>
        </w:rPr>
        <w:t>术语和定义</w:t>
      </w:r>
      <w:bookmarkEnd w:id="48"/>
      <w:bookmarkEnd w:id="49"/>
    </w:p>
    <w:sdt>
      <w:sdtPr>
        <w:rPr>
          <w:rFonts w:ascii="Times New Roman"/>
        </w:rPr>
        <w:id w:val="-1909835108"/>
        <w:placeholder>
          <w:docPart w:val="DAC3D6E2C4824D4893C03121A1725FB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5BB524C4">
          <w:pPr>
            <w:pStyle w:val="56"/>
            <w:ind w:firstLine="420"/>
            <w:rPr>
              <w:rFonts w:ascii="Times New Roman"/>
            </w:rPr>
          </w:pPr>
          <w:bookmarkStart w:id="50" w:name="_Toc26986532"/>
          <w:bookmarkEnd w:id="50"/>
          <w:r>
            <w:rPr>
              <w:rFonts w:ascii="Times New Roman"/>
            </w:rPr>
            <w:t>下列术语和定义适用于本文件。</w:t>
          </w:r>
        </w:p>
      </w:sdtContent>
    </w:sdt>
    <w:p w14:paraId="15FD8E2C">
      <w:pPr>
        <w:pStyle w:val="223"/>
        <w:ind w:left="420" w:hanging="420" w:hangingChars="200"/>
        <w:rPr>
          <w:rFonts w:ascii="Times New Roman" w:eastAsia="黑体"/>
        </w:rPr>
      </w:pPr>
      <w:r>
        <w:rPr>
          <w:rFonts w:ascii="Times New Roman" w:eastAsia="黑体"/>
        </w:rPr>
        <w:br w:type="textWrapping"/>
      </w:r>
      <w:r>
        <w:rPr>
          <w:rFonts w:ascii="Times New Roman" w:eastAsia="黑体"/>
        </w:rPr>
        <w:t>信息化管理 information-based management</w:t>
      </w:r>
    </w:p>
    <w:p w14:paraId="4F504D7E">
      <w:pPr>
        <w:pStyle w:val="56"/>
        <w:ind w:firstLine="420"/>
        <w:rPr>
          <w:rFonts w:ascii="Times New Roman"/>
        </w:rPr>
      </w:pPr>
      <w:r>
        <w:rPr>
          <w:rFonts w:ascii="Times New Roman"/>
        </w:rPr>
        <w:t>建筑工程施工项目信息化管理是指利用信息技术手段，对施工活动中的进度、质量、安全、成本等要素进行系统性采集、处理、分析与协同，以提高项目管理效率和决策科学性的全过程管理方法。</w:t>
      </w:r>
    </w:p>
    <w:p w14:paraId="21CC7121">
      <w:pPr>
        <w:pStyle w:val="223"/>
        <w:ind w:left="420" w:hanging="420" w:hangingChars="200"/>
        <w:rPr>
          <w:rFonts w:ascii="Times New Roman" w:eastAsia="黑体"/>
        </w:rPr>
      </w:pPr>
      <w:r>
        <w:rPr>
          <w:rFonts w:ascii="Times New Roman" w:eastAsia="黑体"/>
        </w:rPr>
        <w:br w:type="textWrapping"/>
      </w:r>
      <w:r>
        <w:rPr>
          <w:rFonts w:ascii="Times New Roman" w:eastAsia="黑体"/>
        </w:rPr>
        <w:t>物联网 internet of things</w:t>
      </w:r>
    </w:p>
    <w:p w14:paraId="56B9AFE4">
      <w:pPr>
        <w:pStyle w:val="56"/>
        <w:ind w:firstLine="420"/>
        <w:rPr>
          <w:rFonts w:ascii="Times New Roman"/>
        </w:rPr>
      </w:pPr>
      <w:r>
        <w:rPr>
          <w:rFonts w:ascii="Times New Roman"/>
        </w:rPr>
        <w:t>通过感知设备、网络通信与数据处理技术，实现施工现场人、机、料、法、环等要素的实时状态监测、数据传输与智能控制的互联系统。</w:t>
      </w:r>
    </w:p>
    <w:p w14:paraId="4A7ED59C">
      <w:pPr>
        <w:pStyle w:val="104"/>
        <w:spacing w:before="240" w:after="240"/>
        <w:rPr>
          <w:rFonts w:ascii="Times New Roman"/>
        </w:rPr>
      </w:pPr>
      <w:bookmarkStart w:id="51" w:name="_Toc198124492"/>
      <w:r>
        <w:rPr>
          <w:rFonts w:ascii="Times New Roman"/>
        </w:rPr>
        <w:t>基本要求</w:t>
      </w:r>
      <w:bookmarkEnd w:id="51"/>
    </w:p>
    <w:p w14:paraId="7ED5A147">
      <w:pPr>
        <w:pStyle w:val="105"/>
        <w:spacing w:before="120" w:after="120"/>
        <w:rPr>
          <w:rFonts w:ascii="Times New Roman"/>
        </w:rPr>
      </w:pPr>
      <w:r>
        <w:rPr>
          <w:rFonts w:ascii="Times New Roman"/>
        </w:rPr>
        <w:t>总体架构</w:t>
      </w:r>
    </w:p>
    <w:p w14:paraId="2DE8B2F0">
      <w:pPr>
        <w:pStyle w:val="165"/>
        <w:rPr>
          <w:rFonts w:ascii="Times New Roman"/>
        </w:rPr>
      </w:pPr>
      <w:r>
        <w:rPr>
          <w:rFonts w:ascii="Times New Roman"/>
        </w:rPr>
        <w:t>建筑工程施工项目信息化管理系统应基于统一的技术架构设计，涵盖平台层、应用层及数据层，各层级之间应实现数据互通与功能协同。</w:t>
      </w:r>
    </w:p>
    <w:p w14:paraId="64992F4E">
      <w:pPr>
        <w:pStyle w:val="165"/>
        <w:rPr>
          <w:rFonts w:ascii="Times New Roman"/>
        </w:rPr>
      </w:pPr>
      <w:r>
        <w:rPr>
          <w:rFonts w:ascii="Times New Roman"/>
        </w:rPr>
        <w:t>平台层宜采用模块化设计，支持功能扩展与定制化开发；应用层应覆盖施工全过程的业务管理模块；数据层应建立标准化的数据库，实现多源数据的集中存储与共享。</w:t>
      </w:r>
    </w:p>
    <w:p w14:paraId="63B8AFC1">
      <w:pPr>
        <w:pStyle w:val="165"/>
        <w:rPr>
          <w:rFonts w:ascii="Times New Roman"/>
        </w:rPr>
      </w:pPr>
      <w:r>
        <w:rPr>
          <w:rFonts w:ascii="Times New Roman"/>
        </w:rPr>
        <w:t>系统架构应支持多参与方协同作业，明确各方的数据输入、输出权限及交互流程，包括建设单位、设计单位、施工单位、监理单位等。系统宜采用分级管理模式，根据项目规模及复杂程度划分管理层级。</w:t>
      </w:r>
    </w:p>
    <w:p w14:paraId="3F3B78F2">
      <w:pPr>
        <w:pStyle w:val="165"/>
        <w:rPr>
          <w:rFonts w:ascii="Times New Roman"/>
        </w:rPr>
      </w:pPr>
      <w:r>
        <w:rPr>
          <w:rFonts w:ascii="Times New Roman"/>
        </w:rPr>
        <w:t>系统应具备开放性，可对接外部技术工具，并预留标准化数据接口。</w:t>
      </w:r>
    </w:p>
    <w:p w14:paraId="5D9827C3">
      <w:pPr>
        <w:pStyle w:val="105"/>
        <w:spacing w:before="120" w:after="120"/>
        <w:rPr>
          <w:rFonts w:ascii="Times New Roman"/>
        </w:rPr>
      </w:pPr>
      <w:r>
        <w:rPr>
          <w:rFonts w:ascii="Times New Roman"/>
        </w:rPr>
        <w:t>技术要求</w:t>
      </w:r>
    </w:p>
    <w:p w14:paraId="22B1BEFD">
      <w:pPr>
        <w:pStyle w:val="165"/>
        <w:rPr>
          <w:rFonts w:ascii="Times New Roman"/>
        </w:rPr>
      </w:pPr>
      <w:r>
        <w:rPr>
          <w:rFonts w:ascii="Times New Roman"/>
        </w:rPr>
        <w:t>信息化管理系统的基础设施应满足施工项目的数据处理与传输需求。</w:t>
      </w:r>
    </w:p>
    <w:p w14:paraId="7F08D8A7">
      <w:pPr>
        <w:pStyle w:val="165"/>
        <w:rPr>
          <w:rFonts w:ascii="Times New Roman"/>
        </w:rPr>
      </w:pPr>
      <w:r>
        <w:rPr>
          <w:rFonts w:ascii="Times New Roman"/>
        </w:rPr>
        <w:t>硬件设备宜配置高性能服务器、网络通信设备及终端采集设备，且应具备冗余备份能力。</w:t>
      </w:r>
    </w:p>
    <w:p w14:paraId="313A5EF3">
      <w:pPr>
        <w:pStyle w:val="165"/>
        <w:rPr>
          <w:rFonts w:ascii="Times New Roman"/>
        </w:rPr>
      </w:pPr>
      <w:r>
        <w:rPr>
          <w:rFonts w:ascii="Times New Roman"/>
        </w:rPr>
        <w:t>软件系统应支持跨平台运行，兼容主流操作系统及移动终端。</w:t>
      </w:r>
    </w:p>
    <w:p w14:paraId="171F4196">
      <w:pPr>
        <w:pStyle w:val="165"/>
        <w:rPr>
          <w:rFonts w:ascii="Times New Roman"/>
        </w:rPr>
      </w:pPr>
      <w:r>
        <w:rPr>
          <w:rFonts w:ascii="Times New Roman"/>
        </w:rPr>
        <w:t>系统网络架构应保证数据传输的实时性、稳定性与安全性。</w:t>
      </w:r>
    </w:p>
    <w:p w14:paraId="27595477">
      <w:pPr>
        <w:pStyle w:val="165"/>
        <w:rPr>
          <w:rFonts w:ascii="Times New Roman"/>
        </w:rPr>
      </w:pPr>
      <w:r>
        <w:rPr>
          <w:rFonts w:ascii="Times New Roman"/>
        </w:rPr>
        <w:t>企业内部网络宜采用防火墙、入侵检测等技术保障网络安全，远程通信可依托虚拟专用网络或加密传输协议。</w:t>
      </w:r>
    </w:p>
    <w:p w14:paraId="290A17F2">
      <w:pPr>
        <w:pStyle w:val="165"/>
        <w:rPr>
          <w:rFonts w:ascii="Times New Roman"/>
        </w:rPr>
      </w:pPr>
      <w:r>
        <w:rPr>
          <w:rFonts w:ascii="Times New Roman"/>
        </w:rPr>
        <w:t>信息化管理系统功能模块应符合国家现行建筑工程管理标准，核心功能应包含进度管理、质量管理、成本控制、安全管理等。功能设计宜采用图形化界面，降低用户操作复杂度。</w:t>
      </w:r>
    </w:p>
    <w:p w14:paraId="1B673397">
      <w:pPr>
        <w:pStyle w:val="105"/>
        <w:spacing w:before="120" w:after="120"/>
        <w:rPr>
          <w:rFonts w:ascii="Times New Roman"/>
        </w:rPr>
      </w:pPr>
      <w:r>
        <w:rPr>
          <w:rFonts w:ascii="Times New Roman"/>
        </w:rPr>
        <w:t>人员要求</w:t>
      </w:r>
    </w:p>
    <w:p w14:paraId="395D53A6">
      <w:pPr>
        <w:pStyle w:val="165"/>
        <w:rPr>
          <w:rFonts w:ascii="Times New Roman"/>
        </w:rPr>
      </w:pPr>
      <w:r>
        <w:rPr>
          <w:rFonts w:ascii="Times New Roman"/>
        </w:rPr>
        <w:t>施工企业应组建专业的信息化管理团队，团队人员应具备建筑工程管理与信息技术复合能力。</w:t>
      </w:r>
    </w:p>
    <w:p w14:paraId="6132E18D">
      <w:pPr>
        <w:pStyle w:val="165"/>
        <w:rPr>
          <w:rFonts w:ascii="Times New Roman"/>
        </w:rPr>
      </w:pPr>
      <w:r>
        <w:rPr>
          <w:rFonts w:ascii="Times New Roman"/>
        </w:rPr>
        <w:t>项目负责人应接受信息化管理专项培训，并具备协调技术资源与业务需求的能力。</w:t>
      </w:r>
    </w:p>
    <w:p w14:paraId="7803C9D1">
      <w:pPr>
        <w:pStyle w:val="165"/>
        <w:rPr>
          <w:rFonts w:ascii="Times New Roman"/>
        </w:rPr>
      </w:pPr>
      <w:r>
        <w:rPr>
          <w:rFonts w:ascii="Times New Roman"/>
        </w:rPr>
        <w:t>各参与方操作人员应通过系统操作考核，掌握数据录入、查询、分析等基础技能。关键岗位人员宜持有相关技术认证资质。</w:t>
      </w:r>
    </w:p>
    <w:p w14:paraId="446250D6">
      <w:pPr>
        <w:pStyle w:val="165"/>
        <w:rPr>
          <w:rFonts w:ascii="Times New Roman"/>
        </w:rPr>
      </w:pPr>
      <w:r>
        <w:rPr>
          <w:rFonts w:ascii="Times New Roman"/>
        </w:rPr>
        <w:t>施工企业应定期组织信息化管理培训，内容涵盖系统更新功能、数据安全规范及应急处理流程。培训记录应存档备查，培训效果宜通过考核评估。</w:t>
      </w:r>
    </w:p>
    <w:p w14:paraId="18E573D7">
      <w:pPr>
        <w:pStyle w:val="105"/>
        <w:spacing w:before="120" w:after="120"/>
        <w:rPr>
          <w:rFonts w:ascii="Times New Roman"/>
        </w:rPr>
      </w:pPr>
      <w:r>
        <w:rPr>
          <w:rFonts w:ascii="Times New Roman"/>
        </w:rPr>
        <w:t>数据要求</w:t>
      </w:r>
    </w:p>
    <w:p w14:paraId="3599D01B">
      <w:pPr>
        <w:pStyle w:val="165"/>
        <w:rPr>
          <w:rFonts w:ascii="Times New Roman"/>
        </w:rPr>
      </w:pPr>
      <w:r>
        <w:rPr>
          <w:rFonts w:ascii="Times New Roman"/>
        </w:rPr>
        <w:t>信息化管理系统中的数据分类与编码应遵循国家或行业统一标准。工程主体数据应采用唯一标识符，并与WBS分解结构关联。</w:t>
      </w:r>
    </w:p>
    <w:p w14:paraId="5B358143">
      <w:pPr>
        <w:pStyle w:val="165"/>
        <w:rPr>
          <w:rFonts w:ascii="Times New Roman"/>
        </w:rPr>
      </w:pPr>
      <w:r>
        <w:rPr>
          <w:rFonts w:ascii="Times New Roman"/>
        </w:rPr>
        <w:t>数据采集应覆盖施工全过程，包括进度计划、质量验收记录、安全巡检日志等。</w:t>
      </w:r>
    </w:p>
    <w:p w14:paraId="68D15CD8">
      <w:pPr>
        <w:pStyle w:val="165"/>
        <w:rPr>
          <w:rFonts w:ascii="Times New Roman"/>
        </w:rPr>
      </w:pPr>
      <w:r>
        <w:rPr>
          <w:rFonts w:ascii="Times New Roman"/>
        </w:rPr>
        <w:t>实时数据宜通过物联网设备自动采集，非结构化数据可人工上传并补充元数据描述。</w:t>
      </w:r>
    </w:p>
    <w:p w14:paraId="42E3BDC9">
      <w:pPr>
        <w:pStyle w:val="165"/>
        <w:rPr>
          <w:rFonts w:ascii="Times New Roman"/>
        </w:rPr>
      </w:pPr>
      <w:r>
        <w:rPr>
          <w:rFonts w:ascii="Times New Roman"/>
        </w:rPr>
        <w:t>数据存储应采用分级管理策略，核心业务数据应实现双机热备或多节点分布式存储，历史数据可定期归档至离线介质。数据保存期限应符合工程档案管理要求。</w:t>
      </w:r>
    </w:p>
    <w:p w14:paraId="35F49067">
      <w:pPr>
        <w:pStyle w:val="165"/>
        <w:rPr>
          <w:rFonts w:ascii="Times New Roman"/>
        </w:rPr>
      </w:pPr>
      <w:r>
        <w:rPr>
          <w:rFonts w:ascii="Times New Roman"/>
        </w:rPr>
        <w:t>数据交换接口应支持主流格式，接口协议宜定义数据字段、传输频率及校验规则。跨系统数据共享时应确保权限控制与数据一致性。</w:t>
      </w:r>
    </w:p>
    <w:p w14:paraId="7F74AE15">
      <w:pPr>
        <w:pStyle w:val="105"/>
        <w:spacing w:before="120" w:after="120"/>
        <w:rPr>
          <w:rFonts w:ascii="Times New Roman"/>
        </w:rPr>
      </w:pPr>
      <w:r>
        <w:rPr>
          <w:rFonts w:ascii="Times New Roman"/>
        </w:rPr>
        <w:t>实施与运维</w:t>
      </w:r>
    </w:p>
    <w:p w14:paraId="3A4745A8">
      <w:pPr>
        <w:pStyle w:val="165"/>
        <w:rPr>
          <w:rFonts w:ascii="Times New Roman"/>
        </w:rPr>
      </w:pPr>
      <w:r>
        <w:rPr>
          <w:rFonts w:ascii="Times New Roman"/>
        </w:rPr>
        <w:t>信息化管理系统的实施应遵循分阶段推进原则，初期宜选择典型工程试点，验证系统功能后再全面推广。实施计划应明确资源配置、进度节点及风险预案。</w:t>
      </w:r>
    </w:p>
    <w:p w14:paraId="44ABA2B4">
      <w:pPr>
        <w:pStyle w:val="165"/>
        <w:rPr>
          <w:rFonts w:ascii="Times New Roman"/>
        </w:rPr>
      </w:pPr>
      <w:r>
        <w:rPr>
          <w:rFonts w:ascii="Times New Roman"/>
        </w:rPr>
        <w:t>系统运维应建立日常巡检制度，定期检查硬件状态、软件版本及数据完整性。</w:t>
      </w:r>
    </w:p>
    <w:p w14:paraId="5B480955">
      <w:pPr>
        <w:pStyle w:val="165"/>
        <w:rPr>
          <w:rFonts w:ascii="Times New Roman"/>
        </w:rPr>
      </w:pPr>
      <w:r>
        <w:rPr>
          <w:rFonts w:ascii="Times New Roman"/>
        </w:rPr>
        <w:t>故障响应时间应满足施工连续性要求，重大故障修复时间不宜超过24 h。</w:t>
      </w:r>
    </w:p>
    <w:p w14:paraId="759AF0C5">
      <w:pPr>
        <w:pStyle w:val="165"/>
        <w:rPr>
          <w:rFonts w:ascii="Times New Roman"/>
        </w:rPr>
      </w:pPr>
      <w:r>
        <w:rPr>
          <w:rFonts w:ascii="Times New Roman"/>
        </w:rPr>
        <w:t>系统宜建立持续改进机制，通过用户反馈与数据分析优化功能模块。版本更新前应进行兼容性测试，并保留历史版本回退能力。</w:t>
      </w:r>
    </w:p>
    <w:p w14:paraId="123423B2">
      <w:pPr>
        <w:pStyle w:val="105"/>
        <w:spacing w:before="120" w:after="120"/>
        <w:rPr>
          <w:rFonts w:ascii="Times New Roman"/>
        </w:rPr>
      </w:pPr>
      <w:r>
        <w:rPr>
          <w:rFonts w:ascii="Times New Roman"/>
        </w:rPr>
        <w:t>合规性与兼容性</w:t>
      </w:r>
    </w:p>
    <w:p w14:paraId="754A2F0A">
      <w:pPr>
        <w:pStyle w:val="165"/>
        <w:rPr>
          <w:rFonts w:ascii="Times New Roman"/>
        </w:rPr>
      </w:pPr>
      <w:r>
        <w:rPr>
          <w:rFonts w:ascii="Times New Roman"/>
        </w:rPr>
        <w:t>信息化管理系统应符合国家信息安全法律法规，涉及个人隐私或商业秘密的数据应加密存储与传输。系统日志应记录用户操作行为，并至少保存6个月。</w:t>
      </w:r>
    </w:p>
    <w:p w14:paraId="2C9DA4DB">
      <w:pPr>
        <w:pStyle w:val="165"/>
        <w:rPr>
          <w:rFonts w:ascii="Times New Roman"/>
        </w:rPr>
      </w:pPr>
      <w:r>
        <w:rPr>
          <w:rFonts w:ascii="Times New Roman"/>
        </w:rPr>
        <w:t>系统功能宜与现有管理体系兼容，避免重复建设。若采用第三方技术工具，应确保其接口协议、数据格式与主系统一致。</w:t>
      </w:r>
    </w:p>
    <w:p w14:paraId="2EC0469F">
      <w:pPr>
        <w:pStyle w:val="104"/>
        <w:spacing w:before="240" w:after="240"/>
        <w:rPr>
          <w:rFonts w:ascii="Times New Roman"/>
        </w:rPr>
      </w:pPr>
      <w:bookmarkStart w:id="52" w:name="_Toc198124493"/>
      <w:r>
        <w:rPr>
          <w:rFonts w:ascii="Times New Roman"/>
        </w:rPr>
        <w:t>信息化管理系统功能</w:t>
      </w:r>
      <w:bookmarkEnd w:id="52"/>
    </w:p>
    <w:p w14:paraId="21621981">
      <w:pPr>
        <w:pStyle w:val="105"/>
        <w:spacing w:before="120" w:after="120"/>
        <w:rPr>
          <w:rFonts w:ascii="Times New Roman"/>
        </w:rPr>
      </w:pPr>
      <w:r>
        <w:rPr>
          <w:rFonts w:ascii="Times New Roman"/>
        </w:rPr>
        <w:t>施工进度管理</w:t>
      </w:r>
    </w:p>
    <w:p w14:paraId="4B79383D">
      <w:pPr>
        <w:pStyle w:val="165"/>
        <w:rPr>
          <w:rFonts w:ascii="Times New Roman"/>
        </w:rPr>
      </w:pPr>
      <w:r>
        <w:rPr>
          <w:rFonts w:ascii="Times New Roman"/>
        </w:rPr>
        <w:t>系统应支持施工进度计划的编制、审批与动态调整，进度计划宜采用网络图或甘特图形式展示，关键节点应关联工程量清单与资源分配数据。</w:t>
      </w:r>
    </w:p>
    <w:p w14:paraId="046F55DA">
      <w:pPr>
        <w:pStyle w:val="165"/>
        <w:rPr>
          <w:rFonts w:ascii="Times New Roman"/>
        </w:rPr>
      </w:pPr>
      <w:r>
        <w:rPr>
          <w:rFonts w:ascii="Times New Roman"/>
        </w:rPr>
        <w:t>实际进度与计划进度偏差超过阈值时，系统应自动触发预警并生成偏差分析报告，报告内容宜包括延误原因、责任方及纠偏建议。</w:t>
      </w:r>
    </w:p>
    <w:p w14:paraId="3E3D4FEE">
      <w:pPr>
        <w:pStyle w:val="165"/>
        <w:rPr>
          <w:rFonts w:ascii="Times New Roman"/>
        </w:rPr>
      </w:pPr>
      <w:r>
        <w:rPr>
          <w:rFonts w:ascii="Times New Roman"/>
        </w:rPr>
        <w:t>进度管理模块宜集成BIM技术，可基于三维模型模拟施工流程，直观反映工序搭接与场地冲突问题。</w:t>
      </w:r>
    </w:p>
    <w:p w14:paraId="42F14932">
      <w:pPr>
        <w:pStyle w:val="105"/>
        <w:spacing w:before="120" w:after="120"/>
        <w:rPr>
          <w:rFonts w:ascii="Times New Roman"/>
        </w:rPr>
      </w:pPr>
      <w:r>
        <w:rPr>
          <w:rFonts w:ascii="Times New Roman"/>
        </w:rPr>
        <w:t>质量管理</w:t>
      </w:r>
    </w:p>
    <w:p w14:paraId="3D91D5F6">
      <w:pPr>
        <w:pStyle w:val="165"/>
        <w:rPr>
          <w:rFonts w:ascii="Times New Roman"/>
        </w:rPr>
      </w:pPr>
      <w:r>
        <w:rPr>
          <w:rFonts w:ascii="Times New Roman"/>
        </w:rPr>
        <w:t>系统应建立质量验收标准库，支持分部分项工程的质量检查项在线填报与自动判定，检查结果宜关联设计图纸与规范条文。</w:t>
      </w:r>
    </w:p>
    <w:p w14:paraId="1ECA0D32">
      <w:pPr>
        <w:pStyle w:val="165"/>
        <w:rPr>
          <w:rFonts w:ascii="Times New Roman"/>
        </w:rPr>
      </w:pPr>
      <w:r>
        <w:rPr>
          <w:rFonts w:ascii="Times New Roman"/>
        </w:rPr>
        <w:t>质量隐患发现后，系统应生成整改通知单并跟踪闭环处理流程，整改记录可上传影像资料作为佐证。</w:t>
      </w:r>
    </w:p>
    <w:p w14:paraId="4868EDF0">
      <w:pPr>
        <w:pStyle w:val="165"/>
        <w:rPr>
          <w:rFonts w:ascii="Times New Roman"/>
        </w:rPr>
      </w:pPr>
      <w:r>
        <w:rPr>
          <w:rFonts w:ascii="Times New Roman"/>
        </w:rPr>
        <w:t>关键工序或隐蔽工程宜采用物联网设备自动采集质量数据，异常数据应实时推送至相关责任人。</w:t>
      </w:r>
    </w:p>
    <w:p w14:paraId="5DE60ED4">
      <w:pPr>
        <w:pStyle w:val="105"/>
        <w:spacing w:before="120" w:after="120"/>
        <w:rPr>
          <w:rFonts w:ascii="Times New Roman"/>
        </w:rPr>
      </w:pPr>
      <w:r>
        <w:rPr>
          <w:rFonts w:ascii="Times New Roman"/>
        </w:rPr>
        <w:t>安全管理</w:t>
      </w:r>
    </w:p>
    <w:p w14:paraId="5DD3B9CC">
      <w:pPr>
        <w:pStyle w:val="165"/>
        <w:rPr>
          <w:rFonts w:ascii="Times New Roman"/>
        </w:rPr>
      </w:pPr>
      <w:r>
        <w:rPr>
          <w:rFonts w:ascii="Times New Roman"/>
        </w:rPr>
        <w:t>系统应集成安全风险库，支持危险源识别、评估与分级管控，风险处置措施应关联应急预案库。</w:t>
      </w:r>
    </w:p>
    <w:p w14:paraId="1E8BBEB3">
      <w:pPr>
        <w:pStyle w:val="165"/>
        <w:rPr>
          <w:rFonts w:ascii="Times New Roman"/>
        </w:rPr>
      </w:pPr>
      <w:r>
        <w:rPr>
          <w:rFonts w:ascii="Times New Roman"/>
        </w:rPr>
        <w:t>现场安全巡检宜采用移动终端实时记录，发现隐患后系统应自动定位并通知责任人，整改结果应经监理单位在线确认。</w:t>
      </w:r>
    </w:p>
    <w:p w14:paraId="721F889B">
      <w:pPr>
        <w:pStyle w:val="165"/>
        <w:rPr>
          <w:rFonts w:ascii="Times New Roman"/>
        </w:rPr>
      </w:pPr>
      <w:r>
        <w:rPr>
          <w:rFonts w:ascii="Times New Roman"/>
        </w:rPr>
        <w:t>高风险作业区域应部署AI视频监控设备，可自动识别人员未佩戴安全装备、违章操作等行为并触发告警。</w:t>
      </w:r>
    </w:p>
    <w:p w14:paraId="2E4698FF">
      <w:pPr>
        <w:pStyle w:val="105"/>
        <w:spacing w:before="120" w:after="120"/>
        <w:rPr>
          <w:rFonts w:ascii="Times New Roman"/>
        </w:rPr>
      </w:pPr>
      <w:r>
        <w:rPr>
          <w:rFonts w:ascii="Times New Roman"/>
        </w:rPr>
        <w:t>成本管理</w:t>
      </w:r>
    </w:p>
    <w:p w14:paraId="65683751">
      <w:pPr>
        <w:pStyle w:val="165"/>
        <w:rPr>
          <w:rFonts w:ascii="Times New Roman"/>
        </w:rPr>
      </w:pPr>
      <w:r>
        <w:rPr>
          <w:rFonts w:ascii="Times New Roman"/>
        </w:rPr>
        <w:t>系统应实现工程量清单与合同价款的自动匹配，实际成本数据宜通过物料出入库、劳务考勤等模块自动归集。</w:t>
      </w:r>
    </w:p>
    <w:p w14:paraId="6A1EFF9B">
      <w:pPr>
        <w:pStyle w:val="165"/>
        <w:rPr>
          <w:rFonts w:ascii="Times New Roman"/>
        </w:rPr>
      </w:pPr>
      <w:r>
        <w:rPr>
          <w:rFonts w:ascii="Times New Roman"/>
        </w:rPr>
        <w:t>成本动态分析功能应支持对比目标成本、实际成本与预测成本，偏差超过5%时系统应推送预警并提示调整建议。</w:t>
      </w:r>
    </w:p>
    <w:p w14:paraId="4240CDB4">
      <w:pPr>
        <w:pStyle w:val="165"/>
        <w:rPr>
          <w:rFonts w:ascii="Times New Roman"/>
        </w:rPr>
      </w:pPr>
      <w:r>
        <w:rPr>
          <w:rFonts w:ascii="Times New Roman"/>
        </w:rPr>
        <w:t>变更签证管理流程应在线化，变更申请需关联原始合同条款、设计文件及工程量清单，审批流程宜支持电子签名。</w:t>
      </w:r>
    </w:p>
    <w:p w14:paraId="2DFFE8CD">
      <w:pPr>
        <w:pStyle w:val="105"/>
        <w:spacing w:before="120" w:after="120"/>
        <w:rPr>
          <w:rFonts w:ascii="Times New Roman"/>
        </w:rPr>
      </w:pPr>
      <w:r>
        <w:rPr>
          <w:rFonts w:ascii="Times New Roman"/>
        </w:rPr>
        <w:t>物料管理</w:t>
      </w:r>
    </w:p>
    <w:p w14:paraId="4D92CC60">
      <w:pPr>
        <w:pStyle w:val="165"/>
        <w:rPr>
          <w:rFonts w:ascii="Times New Roman"/>
        </w:rPr>
      </w:pPr>
      <w:r>
        <w:rPr>
          <w:rFonts w:ascii="Times New Roman"/>
        </w:rPr>
        <w:t>系统应建立物料编码库，覆盖钢材、混凝土、装饰材料等主要品类，编码规则宜与行业标准保持一致。</w:t>
      </w:r>
    </w:p>
    <w:p w14:paraId="13B758CB">
      <w:pPr>
        <w:pStyle w:val="165"/>
        <w:rPr>
          <w:rFonts w:ascii="Times New Roman"/>
        </w:rPr>
      </w:pPr>
      <w:r>
        <w:rPr>
          <w:rFonts w:ascii="Times New Roman"/>
        </w:rPr>
        <w:t>物料采购计划应关联进度需求与库存数据，到货验收宜采用二维码或RFID技术实现批次追溯，验收结果可同步更新库存台账。</w:t>
      </w:r>
    </w:p>
    <w:p w14:paraId="7BD61605">
      <w:pPr>
        <w:pStyle w:val="165"/>
        <w:rPr>
          <w:rFonts w:ascii="Times New Roman"/>
        </w:rPr>
      </w:pPr>
      <w:r>
        <w:rPr>
          <w:rFonts w:ascii="Times New Roman"/>
        </w:rPr>
        <w:t>物料领用与退库流程应在线记录，剩余物料宜通过系统发起调拨申请，避免积压浪费。</w:t>
      </w:r>
    </w:p>
    <w:p w14:paraId="2C323F87">
      <w:pPr>
        <w:pStyle w:val="105"/>
        <w:spacing w:before="120" w:after="120"/>
        <w:rPr>
          <w:rFonts w:ascii="Times New Roman"/>
        </w:rPr>
      </w:pPr>
      <w:r>
        <w:rPr>
          <w:rFonts w:ascii="Times New Roman"/>
        </w:rPr>
        <w:t>劳务与设备管理</w:t>
      </w:r>
    </w:p>
    <w:p w14:paraId="1EBBF436">
      <w:pPr>
        <w:pStyle w:val="165"/>
        <w:rPr>
          <w:rFonts w:ascii="Times New Roman"/>
        </w:rPr>
      </w:pPr>
      <w:r>
        <w:rPr>
          <w:rFonts w:ascii="Times New Roman"/>
        </w:rPr>
        <w:t>劳务人员信息应实名录入系统，考勤数据宜通过人脸识别或定位技术自动采集，工资发放记录需与考勤结果关联。</w:t>
      </w:r>
    </w:p>
    <w:p w14:paraId="2B94911D">
      <w:pPr>
        <w:pStyle w:val="165"/>
        <w:rPr>
          <w:rFonts w:ascii="Times New Roman"/>
        </w:rPr>
      </w:pPr>
      <w:r>
        <w:rPr>
          <w:rFonts w:ascii="Times New Roman"/>
        </w:rPr>
        <w:t>大型机械设备应建立电子档案，运行状态数据可对接物联网传感器，维修保养计划宜自动提醒。</w:t>
      </w:r>
    </w:p>
    <w:p w14:paraId="7D8FC2AC">
      <w:pPr>
        <w:pStyle w:val="165"/>
        <w:rPr>
          <w:rFonts w:ascii="Times New Roman"/>
        </w:rPr>
      </w:pPr>
      <w:r>
        <w:rPr>
          <w:rFonts w:ascii="Times New Roman"/>
        </w:rPr>
        <w:t>设备租赁管理模块应记录合同周期、费用结算与使用效率评估，闲置设备宜通过系统发起内部共享申请。</w:t>
      </w:r>
    </w:p>
    <w:p w14:paraId="30FC6333">
      <w:pPr>
        <w:pStyle w:val="105"/>
        <w:spacing w:before="120" w:after="120"/>
        <w:rPr>
          <w:rFonts w:ascii="Times New Roman"/>
        </w:rPr>
      </w:pPr>
      <w:r>
        <w:rPr>
          <w:rFonts w:ascii="Times New Roman"/>
        </w:rPr>
        <w:t>合同与支付管理</w:t>
      </w:r>
    </w:p>
    <w:p w14:paraId="5D767AAF">
      <w:pPr>
        <w:pStyle w:val="165"/>
        <w:rPr>
          <w:rFonts w:ascii="Times New Roman"/>
        </w:rPr>
      </w:pPr>
      <w:r>
        <w:rPr>
          <w:rFonts w:ascii="Times New Roman"/>
        </w:rPr>
        <w:t>系统应实现合同文本的电子化归档与版本控制，合同关键条款宜支持结构化解析。</w:t>
      </w:r>
    </w:p>
    <w:p w14:paraId="254D7FA4">
      <w:pPr>
        <w:pStyle w:val="165"/>
        <w:rPr>
          <w:rFonts w:ascii="Times New Roman"/>
        </w:rPr>
      </w:pPr>
      <w:r>
        <w:rPr>
          <w:rFonts w:ascii="Times New Roman"/>
        </w:rPr>
        <w:t>工程款支付申请应关联进度确认单、质量验收报告及发票信息，审批流程应支持多级会签与电子签章。</w:t>
      </w:r>
    </w:p>
    <w:p w14:paraId="292677EB">
      <w:pPr>
        <w:pStyle w:val="165"/>
        <w:rPr>
          <w:rFonts w:ascii="Times New Roman"/>
        </w:rPr>
      </w:pPr>
      <w:r>
        <w:rPr>
          <w:rFonts w:ascii="Times New Roman"/>
        </w:rPr>
        <w:t>合同履约监控功能可自动统计履约率、违约次数等指标，重大偏差应触发法务介入流程。</w:t>
      </w:r>
    </w:p>
    <w:p w14:paraId="189EADA4">
      <w:pPr>
        <w:pStyle w:val="105"/>
        <w:spacing w:before="120" w:after="120"/>
        <w:rPr>
          <w:rFonts w:ascii="Times New Roman"/>
        </w:rPr>
      </w:pPr>
      <w:r>
        <w:rPr>
          <w:rFonts w:ascii="Times New Roman"/>
        </w:rPr>
        <w:t>协同管理</w:t>
      </w:r>
    </w:p>
    <w:p w14:paraId="1A783363">
      <w:pPr>
        <w:pStyle w:val="165"/>
        <w:rPr>
          <w:rFonts w:ascii="Times New Roman"/>
        </w:rPr>
      </w:pPr>
      <w:r>
        <w:rPr>
          <w:rFonts w:ascii="Times New Roman"/>
        </w:rPr>
        <w:t>系统应提供多方协同工作平台，支持设计图纸、变更指令、会议纪要等文件的在线共享与批注，文件修订记录应永久保存。</w:t>
      </w:r>
    </w:p>
    <w:p w14:paraId="10582965">
      <w:pPr>
        <w:pStyle w:val="165"/>
        <w:rPr>
          <w:rFonts w:ascii="Times New Roman"/>
        </w:rPr>
      </w:pPr>
      <w:r>
        <w:rPr>
          <w:rFonts w:ascii="Times New Roman"/>
        </w:rPr>
        <w:t>任务分派与跟踪功能宜采用看板式管理，任务状态应实时更新并通知相关方。</w:t>
      </w:r>
    </w:p>
    <w:p w14:paraId="2138C5A9">
      <w:pPr>
        <w:pStyle w:val="165"/>
        <w:rPr>
          <w:rFonts w:ascii="Times New Roman"/>
        </w:rPr>
      </w:pPr>
      <w:r>
        <w:rPr>
          <w:rFonts w:ascii="Times New Roman"/>
        </w:rPr>
        <w:t>跨单位协作时，系统应定义数据权限边界，外部单位可访问的数据范围需经建设单位审批。</w:t>
      </w:r>
    </w:p>
    <w:p w14:paraId="18252955">
      <w:pPr>
        <w:pStyle w:val="105"/>
        <w:spacing w:before="120" w:after="120"/>
        <w:rPr>
          <w:rFonts w:ascii="Times New Roman"/>
        </w:rPr>
      </w:pPr>
      <w:r>
        <w:rPr>
          <w:rFonts w:ascii="Times New Roman"/>
        </w:rPr>
        <w:t>环境与能耗管理</w:t>
      </w:r>
    </w:p>
    <w:p w14:paraId="64AF57D3">
      <w:pPr>
        <w:pStyle w:val="165"/>
        <w:rPr>
          <w:rFonts w:ascii="Times New Roman"/>
        </w:rPr>
      </w:pPr>
      <w:r>
        <w:rPr>
          <w:rFonts w:ascii="Times New Roman"/>
        </w:rPr>
        <w:t>系统应集成环境监测数据，超标数据应自动上报监管部门并启动降尘降噪措施。</w:t>
      </w:r>
    </w:p>
    <w:p w14:paraId="35C93177">
      <w:pPr>
        <w:pStyle w:val="165"/>
        <w:rPr>
          <w:rFonts w:ascii="Times New Roman"/>
        </w:rPr>
      </w:pPr>
      <w:r>
        <w:rPr>
          <w:rFonts w:ascii="Times New Roman"/>
        </w:rPr>
        <w:t>施工能耗宜通过智能电表、流量计等设备自动采集，能耗分析报告可对比同类项目提出优化建议。</w:t>
      </w:r>
    </w:p>
    <w:p w14:paraId="027B66B8">
      <w:pPr>
        <w:pStyle w:val="165"/>
        <w:rPr>
          <w:rFonts w:ascii="Times New Roman"/>
        </w:rPr>
      </w:pPr>
      <w:r>
        <w:rPr>
          <w:rFonts w:ascii="Times New Roman"/>
        </w:rPr>
        <w:t>绿色施工措施执行情况应在线记录，包括建筑垃圾回收率、可再生材料使用比例等，数据宜用于环保验收申报。</w:t>
      </w:r>
    </w:p>
    <w:p w14:paraId="1A6C5E2C">
      <w:pPr>
        <w:pStyle w:val="105"/>
        <w:spacing w:before="120" w:after="120"/>
        <w:rPr>
          <w:rFonts w:ascii="Times New Roman"/>
        </w:rPr>
      </w:pPr>
      <w:r>
        <w:rPr>
          <w:rFonts w:ascii="Times New Roman"/>
        </w:rPr>
        <w:t>报表管理</w:t>
      </w:r>
    </w:p>
    <w:p w14:paraId="4A65852A">
      <w:pPr>
        <w:pStyle w:val="165"/>
        <w:rPr>
          <w:rFonts w:ascii="Times New Roman"/>
        </w:rPr>
      </w:pPr>
      <w:r>
        <w:rPr>
          <w:rFonts w:ascii="Times New Roman"/>
        </w:rPr>
        <w:t>系统应提供多维度数据分析看板，关键指标宜以图表形式动态展示。</w:t>
      </w:r>
    </w:p>
    <w:p w14:paraId="33B28B87">
      <w:pPr>
        <w:pStyle w:val="165"/>
        <w:rPr>
          <w:rFonts w:ascii="Times New Roman"/>
        </w:rPr>
      </w:pPr>
      <w:r>
        <w:rPr>
          <w:rFonts w:ascii="Times New Roman"/>
        </w:rPr>
        <w:t>定制化报表功能应支持按需生成日报、周报、月报，报表模板宜符合行业通用格式，数据来源应标注追溯路径。</w:t>
      </w:r>
    </w:p>
    <w:p w14:paraId="76C9AC14">
      <w:pPr>
        <w:pStyle w:val="105"/>
        <w:spacing w:before="120" w:after="120"/>
        <w:rPr>
          <w:rFonts w:ascii="Times New Roman"/>
        </w:rPr>
      </w:pPr>
      <w:r>
        <w:rPr>
          <w:rFonts w:ascii="Times New Roman"/>
        </w:rPr>
        <w:t>移动端功能</w:t>
      </w:r>
    </w:p>
    <w:p w14:paraId="31DB63CB">
      <w:pPr>
        <w:pStyle w:val="165"/>
        <w:rPr>
          <w:rFonts w:ascii="Times New Roman"/>
        </w:rPr>
      </w:pPr>
      <w:r>
        <w:rPr>
          <w:rFonts w:ascii="Times New Roman"/>
        </w:rPr>
        <w:t>系统应提供移动终端应用程序，核心功能宜适配手机与平板设备。</w:t>
      </w:r>
    </w:p>
    <w:p w14:paraId="48902535">
      <w:pPr>
        <w:pStyle w:val="165"/>
        <w:rPr>
          <w:rFonts w:ascii="Times New Roman"/>
        </w:rPr>
      </w:pPr>
      <w:r>
        <w:rPr>
          <w:rFonts w:ascii="Times New Roman"/>
        </w:rPr>
        <w:t>移动端宜支持离线操作，网络恢复后数据应自动同步至云端，同步过程应保证数据完整性。</w:t>
      </w:r>
    </w:p>
    <w:p w14:paraId="5CF04083">
      <w:pPr>
        <w:pStyle w:val="165"/>
        <w:rPr>
          <w:rFonts w:ascii="Times New Roman"/>
        </w:rPr>
      </w:pPr>
      <w:r>
        <w:rPr>
          <w:rFonts w:ascii="Times New Roman"/>
        </w:rPr>
        <w:t>移动端权限管理应区别于PC端，敏感操作应增加身份二次验证。</w:t>
      </w:r>
    </w:p>
    <w:p w14:paraId="62F3DB44">
      <w:pPr>
        <w:pStyle w:val="105"/>
        <w:spacing w:before="120" w:after="120"/>
        <w:rPr>
          <w:rFonts w:ascii="Times New Roman"/>
        </w:rPr>
      </w:pPr>
      <w:r>
        <w:rPr>
          <w:rFonts w:ascii="Times New Roman"/>
        </w:rPr>
        <w:t>系统集成与扩展</w:t>
      </w:r>
    </w:p>
    <w:p w14:paraId="402FA408">
      <w:pPr>
        <w:pStyle w:val="165"/>
        <w:rPr>
          <w:rFonts w:ascii="Times New Roman"/>
        </w:rPr>
      </w:pPr>
      <w:r>
        <w:rPr>
          <w:rFonts w:ascii="Times New Roman"/>
        </w:rPr>
        <w:t>信息化管理系统宜与政府监管平台对接，满足施工许可、质量监督、竣工验收等环节的数据上报要求。</w:t>
      </w:r>
    </w:p>
    <w:p w14:paraId="7EB4A90F">
      <w:pPr>
        <w:pStyle w:val="165"/>
        <w:rPr>
          <w:rFonts w:ascii="Times New Roman"/>
        </w:rPr>
      </w:pPr>
      <w:r>
        <w:rPr>
          <w:rFonts w:ascii="Times New Roman"/>
        </w:rPr>
        <w:t>系统应支持功能模块的扩展开发，新增模块应通过接口测试确保与原有系统兼容，历史数据迁移方案应预先评审。</w:t>
      </w:r>
    </w:p>
    <w:p w14:paraId="36CA3608">
      <w:pPr>
        <w:pStyle w:val="165"/>
        <w:rPr>
          <w:rFonts w:ascii="Times New Roman"/>
        </w:rPr>
      </w:pPr>
      <w:r>
        <w:rPr>
          <w:rFonts w:ascii="Times New Roman"/>
        </w:rPr>
        <w:t>第三方技术工具集成时，系统应提供标准化数据交换协议，功能调用权限应分级控制。</w:t>
      </w:r>
    </w:p>
    <w:p w14:paraId="066B9709">
      <w:pPr>
        <w:pStyle w:val="104"/>
        <w:spacing w:before="240" w:after="240"/>
        <w:rPr>
          <w:rFonts w:ascii="Times New Roman"/>
        </w:rPr>
      </w:pPr>
      <w:bookmarkStart w:id="53" w:name="_Toc198124494"/>
      <w:r>
        <w:rPr>
          <w:rFonts w:ascii="Times New Roman"/>
        </w:rPr>
        <w:t>技术应用要求</w:t>
      </w:r>
      <w:bookmarkEnd w:id="53"/>
    </w:p>
    <w:p w14:paraId="688DEF03">
      <w:pPr>
        <w:pStyle w:val="105"/>
        <w:spacing w:before="120" w:after="120"/>
        <w:rPr>
          <w:rFonts w:ascii="Times New Roman"/>
        </w:rPr>
      </w:pPr>
      <w:r>
        <w:rPr>
          <w:rFonts w:ascii="Times New Roman"/>
        </w:rPr>
        <w:t>BIM技术应用</w:t>
      </w:r>
    </w:p>
    <w:p w14:paraId="28174682">
      <w:pPr>
        <w:pStyle w:val="165"/>
        <w:rPr>
          <w:rFonts w:ascii="Times New Roman"/>
        </w:rPr>
      </w:pPr>
      <w:r>
        <w:rPr>
          <w:rFonts w:ascii="Times New Roman"/>
        </w:rPr>
        <w:t>施工项目宜采用建筑信息模型（BIM）技术进行全过程管理，模型精度应满足不同阶段应用需求。设计阶段模型应包含构件几何信息与非几何属性，施工阶段模型宜深化至可指导现场作业的详细层级。</w:t>
      </w:r>
    </w:p>
    <w:p w14:paraId="1FF8C085">
      <w:pPr>
        <w:pStyle w:val="165"/>
        <w:rPr>
          <w:rFonts w:ascii="Times New Roman"/>
        </w:rPr>
      </w:pPr>
      <w:r>
        <w:rPr>
          <w:rFonts w:ascii="Times New Roman"/>
        </w:rPr>
        <w:t>BIM模型创建应遵循统一的数据标准，模型文件格式宜兼容主流BIM软件，模型版本更新应记录变更原因及责任人。</w:t>
      </w:r>
    </w:p>
    <w:p w14:paraId="24FE793F">
      <w:pPr>
        <w:pStyle w:val="165"/>
        <w:rPr>
          <w:rFonts w:ascii="Times New Roman"/>
        </w:rPr>
      </w:pPr>
      <w:r>
        <w:rPr>
          <w:rFonts w:ascii="Times New Roman"/>
        </w:rPr>
        <w:t>BIM技术应用应支持多专业协同设计，冲突检测功能宜自动识别机电管线与结构构件的空间干涉问题，检测结果应生成可视化报告。</w:t>
      </w:r>
    </w:p>
    <w:p w14:paraId="517E31F0">
      <w:pPr>
        <w:pStyle w:val="165"/>
        <w:rPr>
          <w:rFonts w:ascii="Times New Roman"/>
        </w:rPr>
      </w:pPr>
      <w:r>
        <w:rPr>
          <w:rFonts w:ascii="Times New Roman"/>
        </w:rPr>
        <w:t>施工进度模拟应基于BIM模型关联时间维度，4D模拟结果可辅助优化施工顺序与资源调度，模拟偏差超过5%时应重新调整模型参数。</w:t>
      </w:r>
    </w:p>
    <w:p w14:paraId="714EAC09">
      <w:pPr>
        <w:pStyle w:val="165"/>
        <w:rPr>
          <w:rFonts w:ascii="Times New Roman"/>
        </w:rPr>
      </w:pPr>
      <w:r>
        <w:rPr>
          <w:rFonts w:ascii="Times New Roman"/>
        </w:rPr>
        <w:t>BIM模型交付时，应附加数据交付手册，明确模型拆分规则、属性字段定义及轻量化展示要求。</w:t>
      </w:r>
    </w:p>
    <w:p w14:paraId="6EE224FF">
      <w:pPr>
        <w:pStyle w:val="105"/>
        <w:spacing w:before="120" w:after="120"/>
        <w:rPr>
          <w:rFonts w:ascii="Times New Roman"/>
        </w:rPr>
      </w:pPr>
      <w:r>
        <w:rPr>
          <w:rFonts w:ascii="Times New Roman"/>
        </w:rPr>
        <w:t>物联网技术应用</w:t>
      </w:r>
    </w:p>
    <w:p w14:paraId="74B23F99">
      <w:pPr>
        <w:pStyle w:val="165"/>
        <w:rPr>
          <w:rFonts w:ascii="Times New Roman"/>
        </w:rPr>
      </w:pPr>
      <w:r>
        <w:rPr>
          <w:rFonts w:ascii="Times New Roman"/>
        </w:rPr>
        <w:t>施工现场宜部署物联网传感设备，监测范围应覆盖环境参数、设备状态、人员定位等关键维度。传感器选型应满足精度与耐久性要求，安装位置需避开极端作业环境。</w:t>
      </w:r>
    </w:p>
    <w:p w14:paraId="753EBF40">
      <w:pPr>
        <w:pStyle w:val="165"/>
        <w:rPr>
          <w:rFonts w:ascii="Times New Roman"/>
        </w:rPr>
      </w:pPr>
      <w:r>
        <w:rPr>
          <w:rFonts w:ascii="Times New Roman"/>
        </w:rPr>
        <w:t>塔吊、施工电梯等大型设备应加装物联网终端，实时采集运行数据，数据更新频率不宜低于每分钟一次。</w:t>
      </w:r>
    </w:p>
    <w:p w14:paraId="033BDF08">
      <w:pPr>
        <w:pStyle w:val="165"/>
        <w:rPr>
          <w:rFonts w:ascii="Times New Roman"/>
        </w:rPr>
      </w:pPr>
      <w:r>
        <w:rPr>
          <w:rFonts w:ascii="Times New Roman"/>
        </w:rPr>
        <w:t>人员定位标签宜采用UWB或蓝牙技术，定位误差应小于1 m。高危区域应设置电子围栏，未经授权人员进入时可触发声光报警。</w:t>
      </w:r>
    </w:p>
    <w:p w14:paraId="2AE7F539">
      <w:pPr>
        <w:pStyle w:val="165"/>
        <w:rPr>
          <w:rFonts w:ascii="Times New Roman"/>
        </w:rPr>
      </w:pPr>
      <w:r>
        <w:rPr>
          <w:rFonts w:ascii="Times New Roman"/>
        </w:rPr>
        <w:t>物联网数据应通过无线网络传输至云端，网络中断时本地存储容量宜支持至少24 h数据缓存，网络恢复后应自动续传。</w:t>
      </w:r>
    </w:p>
    <w:p w14:paraId="56CB968C">
      <w:pPr>
        <w:pStyle w:val="105"/>
        <w:spacing w:before="120" w:after="120"/>
        <w:rPr>
          <w:rFonts w:ascii="Times New Roman"/>
        </w:rPr>
      </w:pPr>
      <w:r>
        <w:rPr>
          <w:rFonts w:ascii="Times New Roman"/>
        </w:rPr>
        <w:t>大数据分析技术应用</w:t>
      </w:r>
    </w:p>
    <w:p w14:paraId="5B5B52D9">
      <w:pPr>
        <w:pStyle w:val="165"/>
        <w:rPr>
          <w:rFonts w:ascii="Times New Roman"/>
        </w:rPr>
      </w:pPr>
      <w:r>
        <w:rPr>
          <w:rFonts w:ascii="Times New Roman"/>
        </w:rPr>
        <w:t>施工数据采集应覆盖进度、质量、安全、成本等核心业务，数据颗粒度宜细化至分部分项工程层级。数据清洗规则应预先定义，缺失或异常数据应标记后人工复核。</w:t>
      </w:r>
    </w:p>
    <w:p w14:paraId="59862E70">
      <w:pPr>
        <w:pStyle w:val="165"/>
        <w:rPr>
          <w:rFonts w:ascii="Times New Roman"/>
        </w:rPr>
      </w:pPr>
      <w:r>
        <w:rPr>
          <w:rFonts w:ascii="Times New Roman"/>
        </w:rPr>
        <w:t>数据分析模型构建应结合施工管理经验，进度预测模型宜考虑天气、供应链等外部因素，质量风险模型可关联历史缺陷数据库。</w:t>
      </w:r>
    </w:p>
    <w:p w14:paraId="0BB07634">
      <w:pPr>
        <w:pStyle w:val="165"/>
        <w:rPr>
          <w:rFonts w:ascii="Times New Roman"/>
        </w:rPr>
      </w:pPr>
      <w:r>
        <w:rPr>
          <w:rFonts w:ascii="Times New Roman"/>
        </w:rPr>
        <w:t>数据分析结果应以可视化形式呈现，关键指标应通过仪表盘实时展示，支持钻取至明细数据。</w:t>
      </w:r>
    </w:p>
    <w:p w14:paraId="0BB35181">
      <w:pPr>
        <w:pStyle w:val="165"/>
        <w:rPr>
          <w:rFonts w:ascii="Times New Roman"/>
        </w:rPr>
      </w:pPr>
      <w:r>
        <w:rPr>
          <w:rFonts w:ascii="Times New Roman"/>
        </w:rPr>
        <w:t>数据挖掘算法应用前应验证其适用性，机器学习模型训练样本应覆盖典型施工场景，模型输出结果应具备可解释性。</w:t>
      </w:r>
    </w:p>
    <w:p w14:paraId="3B197E88">
      <w:pPr>
        <w:pStyle w:val="105"/>
        <w:spacing w:before="120" w:after="120"/>
        <w:rPr>
          <w:rFonts w:ascii="Times New Roman"/>
        </w:rPr>
      </w:pPr>
      <w:r>
        <w:rPr>
          <w:rFonts w:ascii="Times New Roman"/>
        </w:rPr>
        <w:t>云计算与移动终端技术应用</w:t>
      </w:r>
    </w:p>
    <w:p w14:paraId="5C180C09">
      <w:pPr>
        <w:pStyle w:val="165"/>
        <w:rPr>
          <w:rFonts w:ascii="Times New Roman"/>
        </w:rPr>
      </w:pPr>
      <w:r>
        <w:rPr>
          <w:rFonts w:ascii="Times New Roman"/>
        </w:rPr>
        <w:t>信息化管理系统宜采用云计算架构，服务器资源可按需弹性扩展。公有云部署时应通过等保三级认证，私有云部署应定期进行安全渗透测试。</w:t>
      </w:r>
    </w:p>
    <w:p w14:paraId="21928CF0">
      <w:pPr>
        <w:pStyle w:val="165"/>
        <w:rPr>
          <w:rFonts w:ascii="Times New Roman"/>
        </w:rPr>
      </w:pPr>
      <w:r>
        <w:rPr>
          <w:rFonts w:ascii="Times New Roman"/>
        </w:rPr>
        <w:t>移动终端应用应支持离线操作模式，关键业务数据离线保存时间不宜超过8 h，重新联网后应优先同步。</w:t>
      </w:r>
    </w:p>
    <w:p w14:paraId="0E359A99">
      <w:pPr>
        <w:pStyle w:val="165"/>
        <w:rPr>
          <w:rFonts w:ascii="Times New Roman"/>
        </w:rPr>
      </w:pPr>
      <w:r>
        <w:rPr>
          <w:rFonts w:ascii="Times New Roman"/>
        </w:rPr>
        <w:t>移动端数据展示宜适配多种屏幕尺寸，图片与视频加载应启用压缩传输技术，流量消耗应控制在合理范围内。</w:t>
      </w:r>
    </w:p>
    <w:p w14:paraId="6246D144">
      <w:pPr>
        <w:pStyle w:val="105"/>
        <w:spacing w:before="120" w:after="120"/>
        <w:rPr>
          <w:rFonts w:ascii="Times New Roman"/>
        </w:rPr>
      </w:pPr>
      <w:r>
        <w:rPr>
          <w:rFonts w:ascii="Times New Roman"/>
        </w:rPr>
        <w:t>人工智能技术应用</w:t>
      </w:r>
    </w:p>
    <w:p w14:paraId="51D702DB">
      <w:pPr>
        <w:pStyle w:val="165"/>
        <w:rPr>
          <w:rFonts w:ascii="Times New Roman"/>
        </w:rPr>
      </w:pPr>
      <w:r>
        <w:rPr>
          <w:rFonts w:ascii="Times New Roman"/>
        </w:rPr>
        <w:t>图像识别技术可用于安全监控场景，AI算法应具备识别安全帽佩戴、脚手架搭设合规性等能力，识别准确率不宜低于90%。</w:t>
      </w:r>
    </w:p>
    <w:p w14:paraId="40956DA4">
      <w:pPr>
        <w:pStyle w:val="165"/>
        <w:rPr>
          <w:rFonts w:ascii="Times New Roman"/>
        </w:rPr>
      </w:pPr>
      <w:r>
        <w:rPr>
          <w:rFonts w:ascii="Times New Roman"/>
        </w:rPr>
        <w:t>自然语言处理技术可辅助合同条款抽取与风险提示，关键条款识别结果应经法务人员复核后方可生效。</w:t>
      </w:r>
    </w:p>
    <w:p w14:paraId="3F9BFD80">
      <w:pPr>
        <w:pStyle w:val="165"/>
        <w:rPr>
          <w:rFonts w:ascii="Times New Roman"/>
        </w:rPr>
      </w:pPr>
      <w:r>
        <w:rPr>
          <w:rFonts w:ascii="Times New Roman"/>
        </w:rPr>
        <w:t>智能预测技术宜应用于材料需求计划，算法输入参数应包括历史消耗数据、施工进度及市场供应波动因子。</w:t>
      </w:r>
    </w:p>
    <w:p w14:paraId="162C5CE6">
      <w:pPr>
        <w:pStyle w:val="105"/>
        <w:spacing w:before="120" w:after="120"/>
        <w:rPr>
          <w:rFonts w:ascii="Times New Roman"/>
        </w:rPr>
      </w:pPr>
      <w:r>
        <w:rPr>
          <w:rFonts w:ascii="Times New Roman"/>
        </w:rPr>
        <w:t>无人机技术应用</w:t>
      </w:r>
    </w:p>
    <w:p w14:paraId="3EF4AB90">
      <w:pPr>
        <w:pStyle w:val="165"/>
        <w:rPr>
          <w:rFonts w:ascii="Times New Roman"/>
        </w:rPr>
      </w:pPr>
      <w:r>
        <w:rPr>
          <w:rFonts w:ascii="Times New Roman"/>
        </w:rPr>
        <w:t>无人机巡检宜用于场地地形测绘、高空作业巡查等场景，飞行计划应提前报备并获得空域使用许可。</w:t>
      </w:r>
    </w:p>
    <w:p w14:paraId="4B667C24">
      <w:pPr>
        <w:pStyle w:val="165"/>
        <w:rPr>
          <w:rFonts w:ascii="Times New Roman"/>
        </w:rPr>
      </w:pPr>
      <w:r>
        <w:rPr>
          <w:rFonts w:ascii="Times New Roman"/>
        </w:rPr>
        <w:t>航拍影像分辨率应满足施工监测需求，正射影像图拼接误差不宜超过5 cm，三维点云模型可用于土方量计算。</w:t>
      </w:r>
    </w:p>
    <w:p w14:paraId="35B56033">
      <w:pPr>
        <w:pStyle w:val="165"/>
        <w:rPr>
          <w:rFonts w:ascii="Times New Roman"/>
        </w:rPr>
      </w:pPr>
      <w:r>
        <w:rPr>
          <w:rFonts w:ascii="Times New Roman"/>
        </w:rPr>
        <w:t>无人机数据应与BIM模型或进度管理系统集成，影像对比分析功能可辅助发现现场与计划的偏差。</w:t>
      </w:r>
    </w:p>
    <w:p w14:paraId="2BEE5756">
      <w:pPr>
        <w:pStyle w:val="105"/>
        <w:spacing w:before="120" w:after="120"/>
        <w:rPr>
          <w:rFonts w:ascii="Times New Roman"/>
        </w:rPr>
      </w:pPr>
      <w:r>
        <w:rPr>
          <w:rFonts w:ascii="Times New Roman"/>
        </w:rPr>
        <w:t>区块链技术应用</w:t>
      </w:r>
    </w:p>
    <w:p w14:paraId="719943C6">
      <w:pPr>
        <w:pStyle w:val="165"/>
        <w:rPr>
          <w:rFonts w:ascii="Times New Roman"/>
        </w:rPr>
      </w:pPr>
      <w:r>
        <w:rPr>
          <w:rFonts w:ascii="Times New Roman"/>
        </w:rPr>
        <w:t>重要工程文件宜采用区块链存证，哈希值生成时间应精确至秒级，存证信息应包含操作人身份标识。</w:t>
      </w:r>
    </w:p>
    <w:p w14:paraId="1FC9F25A">
      <w:pPr>
        <w:pStyle w:val="165"/>
        <w:rPr>
          <w:rFonts w:ascii="Times New Roman"/>
        </w:rPr>
      </w:pPr>
      <w:r>
        <w:rPr>
          <w:rFonts w:ascii="Times New Roman"/>
        </w:rPr>
        <w:t>供应链溯源可应用区块链技术，物料从生产到进场各环节数据应上链存储，数据篡改风险应通过共识机制防控。</w:t>
      </w:r>
    </w:p>
    <w:p w14:paraId="728554EE">
      <w:pPr>
        <w:pStyle w:val="105"/>
        <w:spacing w:before="120" w:after="120"/>
        <w:rPr>
          <w:rFonts w:ascii="Times New Roman"/>
        </w:rPr>
      </w:pPr>
      <w:r>
        <w:rPr>
          <w:rFonts w:ascii="Times New Roman"/>
        </w:rPr>
        <w:t>数字孪生技术应用</w:t>
      </w:r>
    </w:p>
    <w:p w14:paraId="001817BD">
      <w:pPr>
        <w:pStyle w:val="165"/>
        <w:rPr>
          <w:rFonts w:ascii="Times New Roman"/>
        </w:rPr>
      </w:pPr>
      <w:r>
        <w:rPr>
          <w:rFonts w:ascii="Times New Roman"/>
        </w:rPr>
        <w:t>数字孪生模型应实现物理工地与虚拟模型的实时映射，数据同步延迟不宜超过30 s，模型驱动数据源应包括物联网与BIM系统。</w:t>
      </w:r>
    </w:p>
    <w:p w14:paraId="37536914">
      <w:pPr>
        <w:pStyle w:val="165"/>
        <w:rPr>
          <w:rFonts w:ascii="Times New Roman"/>
        </w:rPr>
      </w:pPr>
      <w:r>
        <w:rPr>
          <w:rFonts w:ascii="Times New Roman"/>
        </w:rPr>
        <w:t>孪生模型宜支持应急预案模拟，火灾、坍塌等场景的疏散路径规划结果应通过视频推演验证可行性。</w:t>
      </w:r>
    </w:p>
    <w:p w14:paraId="26478E67">
      <w:pPr>
        <w:pStyle w:val="105"/>
        <w:spacing w:before="120" w:after="120"/>
        <w:rPr>
          <w:rFonts w:ascii="Times New Roman"/>
        </w:rPr>
      </w:pPr>
      <w:r>
        <w:rPr>
          <w:rFonts w:ascii="Times New Roman"/>
        </w:rPr>
        <w:t>交互式技术应用</w:t>
      </w:r>
    </w:p>
    <w:p w14:paraId="222ED73E">
      <w:pPr>
        <w:pStyle w:val="165"/>
        <w:rPr>
          <w:rFonts w:ascii="Times New Roman"/>
        </w:rPr>
      </w:pPr>
      <w:r>
        <w:rPr>
          <w:rFonts w:ascii="Times New Roman"/>
        </w:rPr>
        <w:t>增强现实（AR）技术可辅助施工交底，设备安装定位误差应小于2 cm，虚拟信息叠加应适应现场光照变化。</w:t>
      </w:r>
    </w:p>
    <w:p w14:paraId="7A04267C">
      <w:pPr>
        <w:pStyle w:val="165"/>
        <w:rPr>
          <w:rFonts w:ascii="Times New Roman"/>
        </w:rPr>
      </w:pPr>
      <w:r>
        <w:rPr>
          <w:rFonts w:ascii="Times New Roman"/>
        </w:rPr>
        <w:t>虚拟现实（VR）培训系统宜模拟高空坠落、机械伤害等事故场景，沉浸式体验时长不宜超过20 min以防眩晕。</w:t>
      </w:r>
    </w:p>
    <w:p w14:paraId="16273A2D">
      <w:pPr>
        <w:pStyle w:val="104"/>
        <w:spacing w:before="240" w:after="240"/>
        <w:rPr>
          <w:rFonts w:ascii="Times New Roman"/>
        </w:rPr>
      </w:pPr>
      <w:bookmarkStart w:id="54" w:name="_Toc198124495"/>
      <w:r>
        <w:rPr>
          <w:rFonts w:ascii="Times New Roman"/>
        </w:rPr>
        <w:t>数据与信息安全</w:t>
      </w:r>
      <w:bookmarkEnd w:id="54"/>
    </w:p>
    <w:p w14:paraId="79EF9953">
      <w:pPr>
        <w:pStyle w:val="105"/>
        <w:spacing w:before="120" w:after="120"/>
        <w:rPr>
          <w:rFonts w:ascii="Times New Roman"/>
        </w:rPr>
      </w:pPr>
      <w:r>
        <w:rPr>
          <w:rFonts w:ascii="Times New Roman"/>
        </w:rPr>
        <w:t>数据分类与权限</w:t>
      </w:r>
    </w:p>
    <w:p w14:paraId="77DA0234">
      <w:pPr>
        <w:pStyle w:val="165"/>
        <w:rPr>
          <w:rFonts w:ascii="Times New Roman"/>
        </w:rPr>
      </w:pPr>
      <w:r>
        <w:rPr>
          <w:rFonts w:ascii="Times New Roman"/>
        </w:rPr>
        <w:t>施工项目数据应根据敏感程度与业务属性进行分类，核心数据应包含设计图纸、成本报表、合同文本及安全监测记录，分类结果宜通过标签化管理实现。</w:t>
      </w:r>
    </w:p>
    <w:p w14:paraId="01938B3E">
      <w:pPr>
        <w:pStyle w:val="165"/>
        <w:rPr>
          <w:rFonts w:ascii="Times New Roman"/>
        </w:rPr>
      </w:pPr>
      <w:r>
        <w:rPr>
          <w:rFonts w:ascii="Times New Roman"/>
        </w:rPr>
        <w:t>数据访问权限应遵循最小化原则，按角色分配读写权限。建设单位可查看全流程数据，施工单位宜限制为自有业务范围，监理单位权限应聚焦质量与安全监督数据。</w:t>
      </w:r>
    </w:p>
    <w:p w14:paraId="145170DD">
      <w:pPr>
        <w:pStyle w:val="165"/>
        <w:rPr>
          <w:rFonts w:ascii="Times New Roman"/>
        </w:rPr>
      </w:pPr>
      <w:r>
        <w:rPr>
          <w:rFonts w:ascii="Times New Roman"/>
        </w:rPr>
        <w:t>临时外部协作方访问数据时，应通过审批流程授予临时权限，权限有效期不宜超过项目周期，协作终止后应立即收回。</w:t>
      </w:r>
    </w:p>
    <w:p w14:paraId="6D89BB16">
      <w:pPr>
        <w:pStyle w:val="105"/>
        <w:spacing w:before="120" w:after="120"/>
        <w:rPr>
          <w:rFonts w:ascii="Times New Roman"/>
        </w:rPr>
      </w:pPr>
      <w:r>
        <w:rPr>
          <w:rFonts w:ascii="Times New Roman"/>
        </w:rPr>
        <w:t>数据加密与传输安全</w:t>
      </w:r>
    </w:p>
    <w:p w14:paraId="57DB27E6">
      <w:pPr>
        <w:pStyle w:val="165"/>
        <w:rPr>
          <w:rFonts w:ascii="Times New Roman"/>
        </w:rPr>
      </w:pPr>
      <w:r>
        <w:rPr>
          <w:rFonts w:ascii="Times New Roman"/>
        </w:rPr>
        <w:t>敏感数据在存储与传输过程中应启用加密技术，加密算法强度宜满足国家密码管理部门要求，密钥管理应实现分级存储与定期轮换。</w:t>
      </w:r>
    </w:p>
    <w:p w14:paraId="0D96902E">
      <w:pPr>
        <w:pStyle w:val="165"/>
        <w:rPr>
          <w:rFonts w:ascii="Times New Roman"/>
        </w:rPr>
      </w:pPr>
      <w:r>
        <w:rPr>
          <w:rFonts w:ascii="Times New Roman"/>
        </w:rPr>
        <w:t>数据跨网络传输时，宜采用虚拟专用网络或SSL/TLS协议保障通道安全，传输中断后应具备断点续传与完整性校验功能。</w:t>
      </w:r>
    </w:p>
    <w:p w14:paraId="6425DE38">
      <w:pPr>
        <w:pStyle w:val="165"/>
        <w:rPr>
          <w:rFonts w:ascii="Times New Roman"/>
        </w:rPr>
      </w:pPr>
      <w:r>
        <w:rPr>
          <w:rFonts w:ascii="Times New Roman"/>
        </w:rPr>
        <w:t>移动终端与云端数据交互时，应禁用明文传输，身份认证失败超过3次可自动锁定账户并通知管理员。</w:t>
      </w:r>
    </w:p>
    <w:p w14:paraId="553E471A">
      <w:pPr>
        <w:pStyle w:val="105"/>
        <w:spacing w:before="120" w:after="120"/>
        <w:rPr>
          <w:rFonts w:ascii="Times New Roman"/>
        </w:rPr>
      </w:pPr>
      <w:r>
        <w:rPr>
          <w:rFonts w:ascii="Times New Roman"/>
        </w:rPr>
        <w:t>网络安全防护</w:t>
      </w:r>
    </w:p>
    <w:p w14:paraId="513A9992">
      <w:pPr>
        <w:pStyle w:val="165"/>
        <w:rPr>
          <w:rFonts w:ascii="Times New Roman"/>
        </w:rPr>
      </w:pPr>
      <w:r>
        <w:rPr>
          <w:rFonts w:ascii="Times New Roman"/>
        </w:rPr>
        <w:t>企业内部网络应部署防火墙、入侵检测系统及防病毒软件，安全策略宜禁止非授权设备接入，网络日志需留存至少180天备查。</w:t>
      </w:r>
    </w:p>
    <w:p w14:paraId="502249CF">
      <w:pPr>
        <w:pStyle w:val="165"/>
        <w:rPr>
          <w:rFonts w:ascii="Times New Roman"/>
        </w:rPr>
      </w:pPr>
      <w:r>
        <w:rPr>
          <w:rFonts w:ascii="Times New Roman"/>
        </w:rPr>
        <w:t>远程访问施工管理系统时，应强制启用双因素认证，认证方式可结合动态令牌、生物识别或短信验证码。</w:t>
      </w:r>
    </w:p>
    <w:p w14:paraId="4E7666E3">
      <w:pPr>
        <w:pStyle w:val="165"/>
        <w:rPr>
          <w:rFonts w:ascii="Times New Roman"/>
        </w:rPr>
      </w:pPr>
      <w:r>
        <w:rPr>
          <w:rFonts w:ascii="Times New Roman"/>
        </w:rPr>
        <w:t>无线网络覆盖区域应划分独立子网，物联网设备与办公终端宜隔离部署，网络广播流量应限制在必要范围内。</w:t>
      </w:r>
    </w:p>
    <w:p w14:paraId="291D10A0">
      <w:pPr>
        <w:pStyle w:val="165"/>
        <w:rPr>
          <w:rFonts w:ascii="Times New Roman"/>
        </w:rPr>
      </w:pPr>
      <w:r>
        <w:rPr>
          <w:rFonts w:ascii="Times New Roman"/>
        </w:rPr>
        <w:t>网络安全防护设计应符合GB/T 25070的规定。</w:t>
      </w:r>
    </w:p>
    <w:p w14:paraId="0C8E3293">
      <w:pPr>
        <w:pStyle w:val="105"/>
        <w:spacing w:before="120" w:after="120"/>
        <w:rPr>
          <w:rFonts w:ascii="Times New Roman"/>
        </w:rPr>
      </w:pPr>
      <w:r>
        <w:rPr>
          <w:rFonts w:ascii="Times New Roman"/>
        </w:rPr>
        <w:t>数据备份与恢复</w:t>
      </w:r>
    </w:p>
    <w:p w14:paraId="4636E780">
      <w:pPr>
        <w:pStyle w:val="165"/>
        <w:rPr>
          <w:rFonts w:ascii="Times New Roman"/>
        </w:rPr>
      </w:pPr>
      <w:r>
        <w:rPr>
          <w:rFonts w:ascii="Times New Roman"/>
        </w:rPr>
        <w:t>核心业务数据应每日执行增量备份，每周执行全量备份，备份介质宜采用本地存储与异地云存储双重冗余。</w:t>
      </w:r>
    </w:p>
    <w:p w14:paraId="435BF8E2">
      <w:pPr>
        <w:pStyle w:val="165"/>
        <w:rPr>
          <w:rFonts w:ascii="Times New Roman"/>
        </w:rPr>
      </w:pPr>
      <w:r>
        <w:rPr>
          <w:rFonts w:ascii="Times New Roman"/>
        </w:rPr>
        <w:t>备份数据恢复测试应每季度至少执行一次，测试结果应记录恢复时间与数据一致性指标，恢复过程不得影响生产系统运行。</w:t>
      </w:r>
    </w:p>
    <w:p w14:paraId="3A67D8B5">
      <w:pPr>
        <w:pStyle w:val="165"/>
        <w:rPr>
          <w:rFonts w:ascii="Times New Roman"/>
        </w:rPr>
      </w:pPr>
      <w:r>
        <w:rPr>
          <w:rFonts w:ascii="Times New Roman"/>
        </w:rPr>
        <w:t>历史数据归档应遵循工程档案管理规定，离线存储介质应定期检查物理状态，超过保存期限的数据销毁应留存审批记录。</w:t>
      </w:r>
    </w:p>
    <w:p w14:paraId="15D9234F">
      <w:pPr>
        <w:pStyle w:val="105"/>
        <w:spacing w:before="120" w:after="120"/>
        <w:rPr>
          <w:rFonts w:ascii="Times New Roman"/>
        </w:rPr>
      </w:pPr>
      <w:r>
        <w:rPr>
          <w:rFonts w:ascii="Times New Roman"/>
        </w:rPr>
        <w:t>系统审计与监控</w:t>
      </w:r>
    </w:p>
    <w:p w14:paraId="462C3B08">
      <w:pPr>
        <w:pStyle w:val="165"/>
        <w:rPr>
          <w:rFonts w:ascii="Times New Roman"/>
        </w:rPr>
      </w:pPr>
      <w:r>
        <w:rPr>
          <w:rFonts w:ascii="Times New Roman"/>
        </w:rPr>
        <w:t>信息化管理系统应记录用户登录、数据导出、权限变更等关键操作日志，日志信息至少包含操作时间、账户身份及IP地址。</w:t>
      </w:r>
    </w:p>
    <w:p w14:paraId="29E177A0">
      <w:pPr>
        <w:pStyle w:val="165"/>
        <w:rPr>
          <w:rFonts w:ascii="Times New Roman"/>
        </w:rPr>
      </w:pPr>
      <w:r>
        <w:rPr>
          <w:rFonts w:ascii="Times New Roman"/>
        </w:rPr>
        <w:t>系统宜部署实时监控模块，异常行为应触发告警并自动截取操作截图。</w:t>
      </w:r>
    </w:p>
    <w:p w14:paraId="49B7072C">
      <w:pPr>
        <w:pStyle w:val="165"/>
        <w:rPr>
          <w:rFonts w:ascii="Times New Roman"/>
        </w:rPr>
      </w:pPr>
      <w:r>
        <w:rPr>
          <w:rFonts w:ascii="Times New Roman"/>
        </w:rPr>
        <w:t>安全审计报告应每月生成，内容涵盖漏洞扫描结果、违规操作统计及改进建议，报告应提交至项目管理层审阅。</w:t>
      </w:r>
    </w:p>
    <w:p w14:paraId="0D49A32F">
      <w:pPr>
        <w:pStyle w:val="105"/>
        <w:spacing w:before="120" w:after="120"/>
        <w:rPr>
          <w:rFonts w:ascii="Times New Roman"/>
        </w:rPr>
      </w:pPr>
      <w:r>
        <w:rPr>
          <w:rFonts w:ascii="Times New Roman"/>
        </w:rPr>
        <w:t>第三方服务安全管理</w:t>
      </w:r>
    </w:p>
    <w:p w14:paraId="5D05E956">
      <w:pPr>
        <w:pStyle w:val="165"/>
        <w:rPr>
          <w:rFonts w:ascii="Times New Roman"/>
        </w:rPr>
      </w:pPr>
      <w:r>
        <w:rPr>
          <w:rFonts w:ascii="Times New Roman"/>
        </w:rPr>
        <w:t>采用云计算、AI算法等第三方服务时，应评估供应商的安全资质，服务协议应明确数据所有权归属及泄露责任划分。</w:t>
      </w:r>
    </w:p>
    <w:p w14:paraId="46D568F9">
      <w:pPr>
        <w:pStyle w:val="165"/>
        <w:rPr>
          <w:rFonts w:ascii="Times New Roman"/>
        </w:rPr>
      </w:pPr>
      <w:r>
        <w:rPr>
          <w:rFonts w:ascii="Times New Roman"/>
        </w:rPr>
        <w:t>第三方接口调用应限制频次与数据量，接口密钥应定期更新，废弃接口应及时关闭并清除测试数据。</w:t>
      </w:r>
    </w:p>
    <w:p w14:paraId="04290568">
      <w:pPr>
        <w:pStyle w:val="165"/>
        <w:rPr>
          <w:rFonts w:ascii="Times New Roman"/>
        </w:rPr>
      </w:pPr>
      <w:r>
        <w:rPr>
          <w:rFonts w:ascii="Times New Roman"/>
        </w:rPr>
        <w:t>外包运维团队访问系统前应签署保密协议，操作过程宜通过录屏软件全程监控，监控记录保存期限不得少于1年。</w:t>
      </w:r>
    </w:p>
    <w:p w14:paraId="6FB460AA">
      <w:pPr>
        <w:pStyle w:val="105"/>
        <w:spacing w:before="120" w:after="120"/>
        <w:rPr>
          <w:rFonts w:ascii="Times New Roman"/>
        </w:rPr>
      </w:pPr>
      <w:r>
        <w:rPr>
          <w:rFonts w:ascii="Times New Roman"/>
        </w:rPr>
        <w:t>数据泄露应急响应</w:t>
      </w:r>
    </w:p>
    <w:p w14:paraId="75ED3AC9">
      <w:pPr>
        <w:pStyle w:val="165"/>
        <w:rPr>
          <w:rFonts w:ascii="Times New Roman"/>
        </w:rPr>
      </w:pPr>
      <w:r>
        <w:rPr>
          <w:rFonts w:ascii="Times New Roman"/>
        </w:rPr>
        <w:t>项目组应制定数据泄露应急预案，明确事件分级标准、上报流程及处置措施，预案演练宜每半年执行一次。</w:t>
      </w:r>
    </w:p>
    <w:p w14:paraId="28F539EA">
      <w:pPr>
        <w:pStyle w:val="165"/>
        <w:rPr>
          <w:rFonts w:ascii="Times New Roman"/>
        </w:rPr>
      </w:pPr>
      <w:r>
        <w:rPr>
          <w:rFonts w:ascii="Times New Roman"/>
        </w:rPr>
        <w:t>确认数据泄露后，应在 h内启动应急响应，隔离受影响系统并追溯泄露源头，重大事件应24 h内向监管部门报告。</w:t>
      </w:r>
    </w:p>
    <w:p w14:paraId="62BB9A73">
      <w:pPr>
        <w:pStyle w:val="165"/>
        <w:rPr>
          <w:rFonts w:ascii="Times New Roman"/>
        </w:rPr>
      </w:pPr>
      <w:r>
        <w:rPr>
          <w:rFonts w:ascii="Times New Roman"/>
        </w:rPr>
        <w:t>泄露事件处理完毕后，应编制复盘报告并提出技术加固方案，同类问题重复发生时应追究相关责任人责任。</w:t>
      </w:r>
    </w:p>
    <w:p w14:paraId="5C417B20">
      <w:pPr>
        <w:pStyle w:val="105"/>
        <w:spacing w:before="120" w:after="120"/>
        <w:rPr>
          <w:rFonts w:ascii="Times New Roman"/>
        </w:rPr>
      </w:pPr>
      <w:r>
        <w:rPr>
          <w:rFonts w:ascii="Times New Roman"/>
        </w:rPr>
        <w:t>个人信息保护</w:t>
      </w:r>
    </w:p>
    <w:p w14:paraId="571D543D">
      <w:pPr>
        <w:pStyle w:val="165"/>
        <w:rPr>
          <w:rFonts w:ascii="Times New Roman"/>
        </w:rPr>
      </w:pPr>
      <w:r>
        <w:rPr>
          <w:rFonts w:ascii="Times New Roman"/>
        </w:rPr>
        <w:t>采集劳务人员身份证号、银行账号等个人信息时，应事先获得书面授权，信息使用范围不得超出合同约定用途。</w:t>
      </w:r>
    </w:p>
    <w:p w14:paraId="1B358B4B">
      <w:pPr>
        <w:pStyle w:val="165"/>
        <w:rPr>
          <w:rFonts w:ascii="Times New Roman"/>
        </w:rPr>
      </w:pPr>
      <w:r>
        <w:rPr>
          <w:rFonts w:ascii="Times New Roman"/>
        </w:rPr>
        <w:t>个人信息存储时应去标识化处理，访问日志应单独加密保存，员工离职后其个人信息宜在30天内匿名化或删除。</w:t>
      </w:r>
    </w:p>
    <w:p w14:paraId="702D7BA2">
      <w:pPr>
        <w:pStyle w:val="165"/>
        <w:rPr>
          <w:rFonts w:ascii="Times New Roman"/>
        </w:rPr>
      </w:pPr>
      <w:r>
        <w:rPr>
          <w:rFonts w:ascii="Times New Roman"/>
        </w:rPr>
        <w:t>向第三方提供个人信息前，应开展安全影响评估，评估报告应经建设单位法务部门审核批准。</w:t>
      </w:r>
    </w:p>
    <w:p w14:paraId="6AD3E24E">
      <w:pPr>
        <w:pStyle w:val="165"/>
        <w:rPr>
          <w:rFonts w:ascii="Times New Roman"/>
        </w:rPr>
      </w:pPr>
      <w:r>
        <w:rPr>
          <w:rFonts w:ascii="Times New Roman"/>
        </w:rPr>
        <w:t>个人信息采集应符合GB/T 35273的规定。</w:t>
      </w:r>
    </w:p>
    <w:p w14:paraId="6ABF9ED1">
      <w:pPr>
        <w:pStyle w:val="105"/>
        <w:spacing w:before="120" w:after="120"/>
        <w:rPr>
          <w:rFonts w:ascii="Times New Roman"/>
        </w:rPr>
      </w:pPr>
      <w:r>
        <w:rPr>
          <w:rFonts w:ascii="Times New Roman"/>
        </w:rPr>
        <w:t>物理环境安全</w:t>
      </w:r>
    </w:p>
    <w:p w14:paraId="543CA253">
      <w:pPr>
        <w:pStyle w:val="165"/>
        <w:rPr>
          <w:rFonts w:ascii="Times New Roman"/>
        </w:rPr>
      </w:pPr>
      <w:r>
        <w:rPr>
          <w:rFonts w:ascii="Times New Roman"/>
        </w:rPr>
        <w:t>数据中心机房应配备门禁系统、视频监控及防火防潮设施，备用电源宜支持满载运行至少4 h。</w:t>
      </w:r>
    </w:p>
    <w:p w14:paraId="352C214C">
      <w:pPr>
        <w:pStyle w:val="165"/>
        <w:rPr>
          <w:rFonts w:ascii="Times New Roman"/>
        </w:rPr>
      </w:pPr>
      <w:r>
        <w:rPr>
          <w:rFonts w:ascii="Times New Roman"/>
        </w:rPr>
        <w:t>现场物联网设备应采取防拆解设计，外壳防护等级不宜低于IP65，固定螺栓可附加一次性封签。</w:t>
      </w:r>
    </w:p>
    <w:p w14:paraId="79061D99">
      <w:pPr>
        <w:pStyle w:val="165"/>
        <w:rPr>
          <w:rFonts w:ascii="Times New Roman"/>
        </w:rPr>
      </w:pPr>
      <w:r>
        <w:rPr>
          <w:rFonts w:ascii="Times New Roman"/>
        </w:rPr>
        <w:t>废弃存储介质销毁前应进行多次覆写或物理粉碎，销毁过程应由两名以上责任人监督并签字确认。</w:t>
      </w:r>
    </w:p>
    <w:p w14:paraId="77C71855">
      <w:pPr>
        <w:pStyle w:val="105"/>
        <w:spacing w:before="120" w:after="120"/>
        <w:rPr>
          <w:rFonts w:ascii="Times New Roman"/>
        </w:rPr>
      </w:pPr>
      <w:r>
        <w:rPr>
          <w:rFonts w:ascii="Times New Roman"/>
        </w:rPr>
        <w:t>合规性要求</w:t>
      </w:r>
    </w:p>
    <w:p w14:paraId="2BFD79BA">
      <w:pPr>
        <w:pStyle w:val="165"/>
        <w:rPr>
          <w:rFonts w:ascii="Times New Roman"/>
        </w:rPr>
      </w:pPr>
      <w:r>
        <w:rPr>
          <w:rFonts w:ascii="Times New Roman"/>
        </w:rPr>
        <w:t>数据与信息安全管理应符合《网络安全法》《个人信息保护法》等法律法规，跨境数据传输前应通过安全评估。</w:t>
      </w:r>
    </w:p>
    <w:p w14:paraId="7A7A04DC">
      <w:pPr>
        <w:pStyle w:val="165"/>
        <w:rPr>
          <w:rFonts w:ascii="Times New Roman"/>
        </w:rPr>
      </w:pPr>
      <w:r>
        <w:rPr>
          <w:rFonts w:ascii="Times New Roman"/>
        </w:rPr>
        <w:t>系统上线前应通过等保二级或以上认证，认证范围应覆盖全部功能模块，复测周期不宜超过3年。</w:t>
      </w:r>
    </w:p>
    <w:p w14:paraId="233F44EB">
      <w:pPr>
        <w:pStyle w:val="104"/>
        <w:spacing w:before="240" w:after="240"/>
        <w:rPr>
          <w:rFonts w:ascii="Times New Roman"/>
        </w:rPr>
      </w:pPr>
      <w:bookmarkStart w:id="55" w:name="_Toc198124496"/>
      <w:r>
        <w:rPr>
          <w:rFonts w:ascii="Times New Roman"/>
        </w:rPr>
        <w:t>系统实施与验收</w:t>
      </w:r>
      <w:bookmarkEnd w:id="55"/>
    </w:p>
    <w:p w14:paraId="4D43AFC8">
      <w:pPr>
        <w:pStyle w:val="105"/>
        <w:spacing w:before="120" w:after="120"/>
        <w:rPr>
          <w:rFonts w:ascii="Times New Roman"/>
        </w:rPr>
      </w:pPr>
      <w:r>
        <w:rPr>
          <w:rFonts w:ascii="Times New Roman"/>
        </w:rPr>
        <w:t>实施准备</w:t>
      </w:r>
    </w:p>
    <w:p w14:paraId="38BB5F47">
      <w:pPr>
        <w:pStyle w:val="165"/>
        <w:rPr>
          <w:rFonts w:ascii="Times New Roman"/>
        </w:rPr>
      </w:pPr>
      <w:r>
        <w:rPr>
          <w:rFonts w:ascii="Times New Roman"/>
        </w:rPr>
        <w:t>信息化管理系统实施前应编制专项方案，明确实施目标、范围、资源配置及风险应对措施，方案宜通过建设单位、施工单位及监理单位联合评审。</w:t>
      </w:r>
    </w:p>
    <w:p w14:paraId="0742F58C">
      <w:pPr>
        <w:pStyle w:val="165"/>
        <w:rPr>
          <w:rFonts w:ascii="Times New Roman"/>
        </w:rPr>
      </w:pPr>
      <w:r>
        <w:rPr>
          <w:rFonts w:ascii="Times New Roman"/>
        </w:rPr>
        <w:t>实施团队应包含业务专家、技术开发人员及项目管理成员，关键角色职责应在方案中定义，人员变动时应做好交接培训。</w:t>
      </w:r>
    </w:p>
    <w:p w14:paraId="2ED2ABAA">
      <w:pPr>
        <w:pStyle w:val="165"/>
        <w:rPr>
          <w:rFonts w:ascii="Times New Roman"/>
        </w:rPr>
      </w:pPr>
      <w:r>
        <w:rPr>
          <w:rFonts w:ascii="Times New Roman"/>
        </w:rPr>
        <w:t>系统部署环境应提前准备，硬件设备、网络条件及第三方软件兼容性应通过预测试，测试结果应存档备查。</w:t>
      </w:r>
    </w:p>
    <w:p w14:paraId="086270C2">
      <w:pPr>
        <w:pStyle w:val="105"/>
        <w:spacing w:before="120" w:after="120"/>
        <w:rPr>
          <w:rFonts w:ascii="Times New Roman"/>
        </w:rPr>
      </w:pPr>
      <w:r>
        <w:rPr>
          <w:rFonts w:ascii="Times New Roman"/>
        </w:rPr>
        <w:t>系统部署</w:t>
      </w:r>
    </w:p>
    <w:p w14:paraId="438C7E58">
      <w:pPr>
        <w:pStyle w:val="165"/>
        <w:rPr>
          <w:rFonts w:ascii="Times New Roman"/>
        </w:rPr>
      </w:pPr>
      <w:r>
        <w:rPr>
          <w:rFonts w:ascii="Times New Roman"/>
        </w:rPr>
        <w:t>系统部署宜分阶段推进，初期可选择典型工点或标段开展试点，试点周期不宜少于30天，功能验证通过后方可全面推广。</w:t>
      </w:r>
    </w:p>
    <w:p w14:paraId="7FD7D4D3">
      <w:pPr>
        <w:pStyle w:val="165"/>
        <w:rPr>
          <w:rFonts w:ascii="Times New Roman"/>
        </w:rPr>
      </w:pPr>
      <w:r>
        <w:rPr>
          <w:rFonts w:ascii="Times New Roman"/>
        </w:rPr>
        <w:t>数据迁移应保证完整性与一致性，历史数据清洗规则应预先制定，迁移完成后应抽样核对关键字段，错误率超过1%时应重新执行迁移。</w:t>
      </w:r>
    </w:p>
    <w:p w14:paraId="160CA136">
      <w:pPr>
        <w:pStyle w:val="165"/>
        <w:rPr>
          <w:rFonts w:ascii="Times New Roman"/>
        </w:rPr>
      </w:pPr>
      <w:r>
        <w:rPr>
          <w:rFonts w:ascii="Times New Roman"/>
        </w:rPr>
        <w:t>多系统并行运行时，应确保新旧系统数据同步，过渡期宜设置双轨运行机制，业务切换时间点应经各方确认。</w:t>
      </w:r>
    </w:p>
    <w:p w14:paraId="4856E019">
      <w:pPr>
        <w:pStyle w:val="105"/>
        <w:spacing w:before="120" w:after="120"/>
        <w:rPr>
          <w:rFonts w:ascii="Times New Roman"/>
        </w:rPr>
      </w:pPr>
      <w:r>
        <w:rPr>
          <w:rFonts w:ascii="Times New Roman"/>
        </w:rPr>
        <w:t>测试与调试</w:t>
      </w:r>
    </w:p>
    <w:p w14:paraId="47E0074F">
      <w:pPr>
        <w:pStyle w:val="165"/>
        <w:rPr>
          <w:rFonts w:ascii="Times New Roman"/>
        </w:rPr>
      </w:pPr>
      <w:r>
        <w:rPr>
          <w:rFonts w:ascii="Times New Roman"/>
        </w:rPr>
        <w:t>系统功能测试应覆盖核心业务场景，测试用例宜由业务部门与技术团队共同编写，未通过测试的功能模块应限期整改并复测。</w:t>
      </w:r>
    </w:p>
    <w:p w14:paraId="78852E93">
      <w:pPr>
        <w:pStyle w:val="165"/>
        <w:rPr>
          <w:rFonts w:ascii="Times New Roman"/>
        </w:rPr>
      </w:pPr>
      <w:r>
        <w:rPr>
          <w:rFonts w:ascii="Times New Roman"/>
        </w:rPr>
        <w:t>性能测试应模拟高峰时段并发操作，响应时间、吞吐量等指标应满足施工管理需求，压力测试结果应作为验收依据之一。</w:t>
      </w:r>
    </w:p>
    <w:p w14:paraId="2858A52E">
      <w:pPr>
        <w:pStyle w:val="165"/>
        <w:rPr>
          <w:rFonts w:ascii="Times New Roman"/>
        </w:rPr>
      </w:pPr>
      <w:r>
        <w:rPr>
          <w:rFonts w:ascii="Times New Roman"/>
        </w:rPr>
        <w:t>安全测试应涵盖身份认证、数据加密及漏洞扫描，高风险漏洞修复前系统不得上线运行。</w:t>
      </w:r>
    </w:p>
    <w:p w14:paraId="1779E217">
      <w:pPr>
        <w:pStyle w:val="105"/>
        <w:spacing w:before="120" w:after="120"/>
        <w:rPr>
          <w:rFonts w:ascii="Times New Roman"/>
        </w:rPr>
      </w:pPr>
      <w:r>
        <w:rPr>
          <w:rFonts w:ascii="Times New Roman"/>
        </w:rPr>
        <w:t>用户培训</w:t>
      </w:r>
    </w:p>
    <w:p w14:paraId="39E34F6B">
      <w:pPr>
        <w:pStyle w:val="165"/>
        <w:rPr>
          <w:rFonts w:ascii="Times New Roman"/>
        </w:rPr>
      </w:pPr>
      <w:r>
        <w:rPr>
          <w:rFonts w:ascii="Times New Roman"/>
        </w:rPr>
        <w:t>培训计划应分层次设计，管理层侧重决策分析功能，操作层聚焦数据录入与流程审批，培训教材宜提供图文与视频双版本。</w:t>
      </w:r>
    </w:p>
    <w:p w14:paraId="606A8526">
      <w:pPr>
        <w:pStyle w:val="165"/>
        <w:rPr>
          <w:rFonts w:ascii="Times New Roman"/>
        </w:rPr>
      </w:pPr>
      <w:r>
        <w:rPr>
          <w:rFonts w:ascii="Times New Roman"/>
        </w:rPr>
        <w:t>培训效果应通过理论考试与实操考核评估，通过率低于80%的岗位应组织补训，考核记录应纳入人员技术档案。</w:t>
      </w:r>
    </w:p>
    <w:p w14:paraId="7182F55E">
      <w:pPr>
        <w:pStyle w:val="165"/>
        <w:rPr>
          <w:rFonts w:ascii="Times New Roman"/>
        </w:rPr>
      </w:pPr>
      <w:r>
        <w:rPr>
          <w:rFonts w:ascii="Times New Roman"/>
        </w:rPr>
        <w:t>系统上线后宜设立技术支持热线，初期3个月内应安排专职人员现场驻点指导，常见问题可汇总成知识库供用户查询。</w:t>
      </w:r>
    </w:p>
    <w:p w14:paraId="11591B59">
      <w:pPr>
        <w:pStyle w:val="105"/>
        <w:spacing w:before="120" w:after="120"/>
        <w:rPr>
          <w:rFonts w:ascii="Times New Roman"/>
        </w:rPr>
      </w:pPr>
      <w:r>
        <w:rPr>
          <w:rFonts w:ascii="Times New Roman"/>
        </w:rPr>
        <w:t>验收流程</w:t>
      </w:r>
    </w:p>
    <w:p w14:paraId="227AD5BD">
      <w:pPr>
        <w:pStyle w:val="165"/>
        <w:rPr>
          <w:rFonts w:ascii="Times New Roman"/>
        </w:rPr>
      </w:pPr>
      <w:r>
        <w:rPr>
          <w:rFonts w:ascii="Times New Roman"/>
        </w:rPr>
        <w:t>系统验收应分为初步验收与最终验收，初步验收重点核查功能完整性，最终验收应结合试运行期间问题整改结果。</w:t>
      </w:r>
    </w:p>
    <w:p w14:paraId="5D66742C">
      <w:pPr>
        <w:pStyle w:val="165"/>
        <w:rPr>
          <w:rFonts w:ascii="Times New Roman"/>
        </w:rPr>
      </w:pPr>
      <w:r>
        <w:rPr>
          <w:rFonts w:ascii="Times New Roman"/>
        </w:rPr>
        <w:t>验收委员会应由建设单位、设计单位、施工单位及行业专家组成，验收标准应基于合同条款与本规范要求。</w:t>
      </w:r>
    </w:p>
    <w:p w14:paraId="3E83A4E2">
      <w:pPr>
        <w:pStyle w:val="165"/>
        <w:rPr>
          <w:rFonts w:ascii="Times New Roman"/>
        </w:rPr>
      </w:pPr>
      <w:r>
        <w:rPr>
          <w:rFonts w:ascii="Times New Roman"/>
        </w:rPr>
        <w:t>验收报告应明确系统是否达到预期目标，遗留问题应列明责任方与解决时限，报告签署后视为项目正式交付。</w:t>
      </w:r>
    </w:p>
    <w:p w14:paraId="0D781A92">
      <w:pPr>
        <w:pStyle w:val="105"/>
        <w:spacing w:before="120" w:after="120"/>
        <w:rPr>
          <w:rFonts w:ascii="Times New Roman"/>
        </w:rPr>
      </w:pPr>
      <w:r>
        <w:rPr>
          <w:rFonts w:ascii="Times New Roman"/>
        </w:rPr>
        <w:t>文档管理</w:t>
      </w:r>
    </w:p>
    <w:p w14:paraId="539FF97A">
      <w:pPr>
        <w:pStyle w:val="165"/>
        <w:rPr>
          <w:rFonts w:ascii="Times New Roman"/>
        </w:rPr>
      </w:pPr>
      <w:r>
        <w:rPr>
          <w:rFonts w:ascii="Times New Roman"/>
        </w:rPr>
        <w:t>实施过程产生的文档应完整归档，包括需求说明书、设计图纸、测试报告、培训记录等，电子文档宜采用不可修改格式存储。</w:t>
      </w:r>
    </w:p>
    <w:p w14:paraId="3B329E21">
      <w:pPr>
        <w:pStyle w:val="165"/>
        <w:rPr>
          <w:rFonts w:ascii="Times New Roman"/>
        </w:rPr>
      </w:pPr>
      <w:r>
        <w:rPr>
          <w:rFonts w:ascii="Times New Roman"/>
        </w:rPr>
        <w:t>交付文档应编制目录索引，纸质文件与电子档案需一一对应，档案保存期限应符合工程质量管理规定。</w:t>
      </w:r>
    </w:p>
    <w:p w14:paraId="4E51F8E5">
      <w:pPr>
        <w:pStyle w:val="105"/>
        <w:spacing w:before="120" w:after="120"/>
        <w:rPr>
          <w:rFonts w:ascii="Times New Roman"/>
        </w:rPr>
      </w:pPr>
      <w:r>
        <w:rPr>
          <w:rFonts w:ascii="Times New Roman"/>
        </w:rPr>
        <w:t>运维管理</w:t>
      </w:r>
    </w:p>
    <w:p w14:paraId="39C65A42">
      <w:pPr>
        <w:pStyle w:val="165"/>
        <w:rPr>
          <w:rFonts w:ascii="Times New Roman"/>
        </w:rPr>
      </w:pPr>
      <w:r>
        <w:rPr>
          <w:rFonts w:ascii="Times New Roman"/>
        </w:rPr>
        <w:t>系统运维应建立标准化流程，日常巡检内容宜包含服务器状态、数据备份完整性及日志分析，巡检频率不宜低于每周一次。</w:t>
      </w:r>
    </w:p>
    <w:p w14:paraId="0981737E">
      <w:pPr>
        <w:pStyle w:val="165"/>
        <w:rPr>
          <w:rFonts w:ascii="Times New Roman"/>
        </w:rPr>
      </w:pPr>
      <w:r>
        <w:rPr>
          <w:rFonts w:ascii="Times New Roman"/>
        </w:rPr>
        <w:t>故障分级处理机制应明确响应时间，一般故障应在4 h内解决，重大故障应启动应急预案并上报管理层。</w:t>
      </w:r>
    </w:p>
    <w:p w14:paraId="46385043">
      <w:pPr>
        <w:pStyle w:val="165"/>
        <w:rPr>
          <w:rFonts w:ascii="Times New Roman"/>
        </w:rPr>
      </w:pPr>
      <w:r>
        <w:rPr>
          <w:rFonts w:ascii="Times New Roman"/>
        </w:rPr>
        <w:t>系统版本更新前应评估兼容性影响，更新日志应记录变更内容与回退方式，用户告知工作宜提前3个工作日完成。</w:t>
      </w:r>
    </w:p>
    <w:bookmarkEnd w:id="24"/>
    <w:bookmarkEnd w:id="37"/>
    <w:p w14:paraId="7D17F215">
      <w:pPr>
        <w:pStyle w:val="56"/>
        <w:ind w:firstLine="0" w:firstLineChars="0"/>
        <w:jc w:val="center"/>
      </w:pPr>
      <w:bookmarkStart w:id="56" w:name="BookMark8"/>
      <w:r>
        <w:rPr>
          <w:rFonts w:hint="eastAsia"/>
        </w:rPr>
        <w:drawing>
          <wp:inline distT="0" distB="0" distL="0" distR="0">
            <wp:extent cx="1485900" cy="317500"/>
            <wp:effectExtent l="0" t="0" r="0" b="6350"/>
            <wp:docPr id="1739597231" name="图片 3"/>
            <wp:cNvGraphicFramePr/>
            <a:graphic xmlns:a="http://schemas.openxmlformats.org/drawingml/2006/main">
              <a:graphicData uri="http://schemas.openxmlformats.org/drawingml/2006/picture">
                <pic:pic xmlns:pic="http://schemas.openxmlformats.org/drawingml/2006/picture">
                  <pic:nvPicPr>
                    <pic:cNvPr id="1739597231"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02D9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52592">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CFC75">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AB235">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8D03F">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C202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D16A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C05E">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2B6C0">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D2"/>
    <w:rsid w:val="0000040A"/>
    <w:rsid w:val="00000A94"/>
    <w:rsid w:val="00001540"/>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1007"/>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116"/>
    <w:rsid w:val="0006357D"/>
    <w:rsid w:val="00067F1E"/>
    <w:rsid w:val="00071CC0"/>
    <w:rsid w:val="00071CFC"/>
    <w:rsid w:val="0007397B"/>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DD8"/>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699E"/>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A5C"/>
    <w:rsid w:val="00210B15"/>
    <w:rsid w:val="002142EA"/>
    <w:rsid w:val="00215ADD"/>
    <w:rsid w:val="002204BB"/>
    <w:rsid w:val="00221B79"/>
    <w:rsid w:val="00221C6B"/>
    <w:rsid w:val="00223B01"/>
    <w:rsid w:val="00224036"/>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4F21"/>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58DF"/>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50B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488B"/>
    <w:rsid w:val="004C1FBC"/>
    <w:rsid w:val="004C25A2"/>
    <w:rsid w:val="004C3F1D"/>
    <w:rsid w:val="004C458D"/>
    <w:rsid w:val="004C7556"/>
    <w:rsid w:val="004C7E8B"/>
    <w:rsid w:val="004C7E9D"/>
    <w:rsid w:val="004C7F67"/>
    <w:rsid w:val="004D076D"/>
    <w:rsid w:val="004D0EF1"/>
    <w:rsid w:val="004D2253"/>
    <w:rsid w:val="004D4406"/>
    <w:rsid w:val="004D66D2"/>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51BF"/>
    <w:rsid w:val="00570D0F"/>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210"/>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517A"/>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2823"/>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C64E7"/>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278C4"/>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1A63"/>
    <w:rsid w:val="008C2182"/>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49B2"/>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5BC2"/>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4EED"/>
    <w:rsid w:val="00A06A6B"/>
    <w:rsid w:val="00A07E47"/>
    <w:rsid w:val="00A129D0"/>
    <w:rsid w:val="00A12C33"/>
    <w:rsid w:val="00A138BA"/>
    <w:rsid w:val="00A14C8E"/>
    <w:rsid w:val="00A153D9"/>
    <w:rsid w:val="00A15F09"/>
    <w:rsid w:val="00A169B6"/>
    <w:rsid w:val="00A2271D"/>
    <w:rsid w:val="00A237D5"/>
    <w:rsid w:val="00A26A8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41E9"/>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97F06"/>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2CA7"/>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307C"/>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1E0D"/>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169D"/>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6D32"/>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C16"/>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B7F4D"/>
    <w:rsid w:val="00EC5359"/>
    <w:rsid w:val="00EC562A"/>
    <w:rsid w:val="00ED067A"/>
    <w:rsid w:val="00ED2B50"/>
    <w:rsid w:val="00EE0315"/>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330"/>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5FA"/>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2914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20F165124D43BB8CCDFC272A7FDB5D"/>
        <w:style w:val=""/>
        <w:category>
          <w:name w:val="常规"/>
          <w:gallery w:val="placeholder"/>
        </w:category>
        <w:types>
          <w:type w:val="bbPlcHdr"/>
        </w:types>
        <w:behaviors>
          <w:behavior w:val="content"/>
        </w:behaviors>
        <w:description w:val=""/>
        <w:guid w:val="{A036975D-0B79-4163-AA33-DA31664DE5F4}"/>
      </w:docPartPr>
      <w:docPartBody>
        <w:p w14:paraId="630450C0">
          <w:pPr>
            <w:pStyle w:val="5"/>
            <w:rPr>
              <w:rFonts w:hint="eastAsia"/>
            </w:rPr>
          </w:pPr>
          <w:r>
            <w:rPr>
              <w:rStyle w:val="4"/>
              <w:rFonts w:hint="eastAsia"/>
            </w:rPr>
            <w:t>单击或点击此处输入文字。</w:t>
          </w:r>
        </w:p>
      </w:docPartBody>
    </w:docPart>
    <w:docPart>
      <w:docPartPr>
        <w:name w:val="5D3C5E67884046FAB56DFF4BA1262188"/>
        <w:style w:val=""/>
        <w:category>
          <w:name w:val="常规"/>
          <w:gallery w:val="placeholder"/>
        </w:category>
        <w:types>
          <w:type w:val="bbPlcHdr"/>
        </w:types>
        <w:behaviors>
          <w:behavior w:val="content"/>
        </w:behaviors>
        <w:description w:val=""/>
        <w:guid w:val="{CAAF7718-63D1-47BA-AC73-2FAC7CED8E49}"/>
      </w:docPartPr>
      <w:docPartBody>
        <w:p w14:paraId="2DE0DD0A">
          <w:pPr>
            <w:pStyle w:val="6"/>
            <w:rPr>
              <w:rFonts w:hint="eastAsia"/>
            </w:rPr>
          </w:pPr>
          <w:r>
            <w:rPr>
              <w:rStyle w:val="4"/>
              <w:rFonts w:hint="eastAsia"/>
            </w:rPr>
            <w:t>选择一项。</w:t>
          </w:r>
        </w:p>
      </w:docPartBody>
    </w:docPart>
    <w:docPart>
      <w:docPartPr>
        <w:name w:val="DAC3D6E2C4824D4893C03121A1725FB5"/>
        <w:style w:val=""/>
        <w:category>
          <w:name w:val="常规"/>
          <w:gallery w:val="placeholder"/>
        </w:category>
        <w:types>
          <w:type w:val="bbPlcHdr"/>
        </w:types>
        <w:behaviors>
          <w:behavior w:val="content"/>
        </w:behaviors>
        <w:description w:val=""/>
        <w:guid w:val="{8646839E-5106-4972-B7EF-C92FE5AF513A}"/>
      </w:docPartPr>
      <w:docPartBody>
        <w:p w14:paraId="3CF1F44E">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459"/>
    <w:rsid w:val="003B79AB"/>
    <w:rsid w:val="00546874"/>
    <w:rsid w:val="005A502B"/>
    <w:rsid w:val="005B1210"/>
    <w:rsid w:val="007C64E7"/>
    <w:rsid w:val="009449B2"/>
    <w:rsid w:val="00C71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E20F165124D43BB8CCDFC272A7FDB5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5D3C5E67884046FAB56DFF4BA1262188"/>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AC3D6E2C4824D4893C03121A1725FB5"/>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7699</Words>
  <Characters>7980</Characters>
  <Lines>201</Lines>
  <Paragraphs>241</Paragraphs>
  <TotalTime>705</TotalTime>
  <ScaleCrop>false</ScaleCrop>
  <LinksUpToDate>false</LinksUpToDate>
  <CharactersWithSpaces>8058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2025-05-13T02:34:00Z</dcterms:created>
  <dc:creator>Administrator</dc:creator>
  <dc:description>&lt;config cover="true" show_menu="true" version="1.0.0" doctype="SDKXY"&gt;_x000d_
&lt;/config&gt;</dc:description>
  <cp:lastModifiedBy>Shimmer</cp:lastModifiedBy>
  <cp:lastPrinted>2021-02-02T08:22:00Z</cp:lastPrinted>
  <dcterms:modified xsi:type="dcterms:W3CDTF">2025-05-14T08:24:44Z</dcterms:modified>
  <dc:title>团体标准</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1C02281C828D4FB298D3C02F5682F86C_12</vt:lpwstr>
  </property>
</Properties>
</file>