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48"/>
          <w:szCs w:val="48"/>
          <w:highlight w:val="none"/>
          <w:lang w:val="en-US" w:eastAsia="zh-CN"/>
        </w:rPr>
      </w:pPr>
      <w:r>
        <w:rPr>
          <w:rFonts w:hint="default" w:ascii="Times New Roman" w:hAnsi="Times New Roman" w:eastAsia="黑体" w:cs="Times New Roman"/>
          <w:b/>
          <w:sz w:val="48"/>
          <w:szCs w:val="48"/>
          <w:highlight w:val="none"/>
          <w:lang w:val="en-US" w:eastAsia="zh-CN"/>
        </w:rPr>
        <w:t>建筑工程工地废弃料循环再生利用准则</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建筑工程工地废弃料循环再生利用准则</w:t>
      </w: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四</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24</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24</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建筑工程工地废弃料循环再生利用准则</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4AEFAAB0">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随着城市化进程的加速推进，建筑工程规模不断扩大，由此产生的废弃料数量与日俱增。传统处理方式多以填埋、堆放为主，不仅占用大量土地资源，还可能对周边土壤、水源等生态环境造成污染。与此同时，建筑行业对原材料的需求持续旺盛，过度开采天然资源又加剧了资源短缺的困境。当前，建筑工程工地废弃料循环再生利用面临诸多挑战。一方面，缺乏统一、完善的标准规范，不同地区、不同企业在废弃料分类、处理工艺、产品质量等方面存在较大差异，导致再生产品质量参差不齐，市场认可度低，难以大规模推广应用。另一方面，相关技术研发相对滞后，废弃料再生利用技术成本较高，部分技术在实际应用中稳定性不足，限制了其商业化进程。</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开展标准的研制。建筑工程工地废弃料循环再生利用准则项目的实施具有重大意义。从资源节约角度来看，通过将废弃料转化为可再利用的建筑材料，能够有效减少对天然资源的依赖，缓解资源短缺压力，实现资源的可持续利用。在环境保护方面，减少废弃料的填埋和堆放，可降低对土地资源的占用和对生态环境的破坏，减少因开采和加工天然资源带来的能源消耗和污染物排放。从行业发展角度而言，准则的制定将规范市场秩序，提高再生产品的质量和市场竞争力，促进建筑废弃物再生利用产业的健康发展，推动建筑行业向绿色、低碳、循环方向转型升级，为经济社会的可持续发展做出积极贡献。</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建筑工程</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建筑工程</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w:t>
      </w:r>
      <w:r>
        <w:rPr>
          <w:rFonts w:hint="default" w:ascii="Times New Roman" w:hAnsi="Times New Roman" w:cs="Times New Roman"/>
          <w:kern w:val="0"/>
          <w:sz w:val="28"/>
          <w:szCs w:val="28"/>
          <w:highlight w:val="none"/>
          <w:lang w:val="en-US" w:eastAsia="zh-CN"/>
        </w:rPr>
        <w:t>建筑工程</w:t>
      </w:r>
      <w:r>
        <w:rPr>
          <w:rFonts w:hint="default" w:ascii="Times New Roman" w:hAnsi="Times New Roman" w:cs="Times New Roman"/>
          <w:kern w:val="0"/>
          <w:sz w:val="28"/>
          <w:szCs w:val="28"/>
          <w:highlight w:val="none"/>
          <w:lang w:val="en-US" w:eastAsia="zh-CN"/>
        </w:rPr>
        <w:t>相</w:t>
      </w:r>
      <w:r>
        <w:rPr>
          <w:rFonts w:hint="default" w:ascii="Times New Roman" w:hAnsi="Times New Roman" w:cs="Times New Roman"/>
          <w:kern w:val="0"/>
          <w:sz w:val="28"/>
          <w:szCs w:val="28"/>
          <w:highlight w:val="none"/>
          <w:lang w:val="en-US" w:eastAsia="zh-CN"/>
        </w:rPr>
        <w:t>关情况进行了深入的调查研究，同时广泛搜集相关标准和国外技术资料，进行了大量的研究分析、资料查证工作，确定了</w:t>
      </w:r>
      <w:r>
        <w:rPr>
          <w:rFonts w:hint="default" w:ascii="Times New Roman" w:hAnsi="Times New Roman" w:cs="Times New Roman"/>
          <w:kern w:val="0"/>
          <w:sz w:val="28"/>
          <w:szCs w:val="28"/>
          <w:highlight w:val="none"/>
          <w:lang w:val="en-US" w:eastAsia="zh-CN"/>
        </w:rPr>
        <w:t>建筑工程</w:t>
      </w:r>
      <w:r>
        <w:rPr>
          <w:rFonts w:hint="default" w:ascii="Times New Roman" w:hAnsi="Times New Roman" w:cs="Times New Roman"/>
          <w:kern w:val="0"/>
          <w:sz w:val="28"/>
          <w:szCs w:val="28"/>
          <w:highlight w:val="none"/>
          <w:lang w:val="en-US" w:eastAsia="zh-CN"/>
        </w:rPr>
        <w:t>市</w:t>
      </w:r>
      <w:r>
        <w:rPr>
          <w:rFonts w:hint="default" w:ascii="Times New Roman" w:hAnsi="Times New Roman" w:cs="Times New Roman"/>
          <w:kern w:val="0"/>
          <w:sz w:val="28"/>
          <w:szCs w:val="28"/>
          <w:highlight w:val="none"/>
          <w:lang w:val="en-US" w:eastAsia="zh-CN"/>
        </w:rPr>
        <w:t>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w:t>
      </w:r>
      <w:r>
        <w:rPr>
          <w:rFonts w:hint="default" w:ascii="Times New Roman" w:hAnsi="Times New Roman" w:cs="Times New Roman"/>
          <w:kern w:val="0"/>
          <w:sz w:val="28"/>
          <w:szCs w:val="28"/>
          <w:highlight w:val="none"/>
          <w:lang w:val="en-US" w:eastAsia="zh-CN"/>
        </w:rPr>
        <w:t>建筑工程</w:t>
      </w:r>
      <w:r>
        <w:rPr>
          <w:rFonts w:hint="default" w:ascii="Times New Roman" w:hAnsi="Times New Roman" w:cs="Times New Roman"/>
          <w:kern w:val="0"/>
          <w:sz w:val="28"/>
          <w:szCs w:val="28"/>
          <w:highlight w:val="none"/>
          <w:lang w:val="en-US" w:eastAsia="zh-CN"/>
        </w:rPr>
        <w:t>需</w:t>
      </w:r>
      <w:r>
        <w:rPr>
          <w:rFonts w:hint="default" w:ascii="Times New Roman" w:hAnsi="Times New Roman" w:cs="Times New Roman"/>
          <w:kern w:val="0"/>
          <w:sz w:val="28"/>
          <w:szCs w:val="28"/>
          <w:highlight w:val="none"/>
          <w:lang w:val="en-US" w:eastAsia="zh-CN"/>
        </w:rPr>
        <w:t>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建筑工程工地废弃料循环再生利用准则</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default" w:ascii="Times New Roman" w:hAnsi="Times New Roman" w:cs="Times New Roman"/>
          <w:kern w:val="0"/>
          <w:sz w:val="28"/>
          <w:szCs w:val="28"/>
          <w:highlight w:val="none"/>
          <w:lang w:val="en-US" w:eastAsia="zh-CN"/>
        </w:rPr>
        <w:t>建筑工程工地废弃料循环再生利用准则</w:t>
      </w:r>
      <w:r>
        <w:rPr>
          <w:rFonts w:hint="default" w:ascii="Times New Roman" w:hAnsi="Times New Roman" w:cs="Times New Roman"/>
          <w:kern w:val="0"/>
          <w:sz w:val="28"/>
          <w:szCs w:val="28"/>
          <w:highlight w:val="none"/>
          <w:lang w:val="en-US" w:eastAsia="zh-CN"/>
        </w:rPr>
        <w:t>》（征求意见稿）。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52CE0480">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中国中小企业协会、</w:t>
      </w:r>
      <w:r>
        <w:rPr>
          <w:rFonts w:hint="default" w:ascii="Times New Roman" w:hAnsi="Times New Roman" w:cs="Times New Roman"/>
          <w:kern w:val="0"/>
          <w:sz w:val="28"/>
          <w:szCs w:val="28"/>
          <w:highlight w:val="none"/>
          <w:lang w:val="en-US" w:eastAsia="zh-CN"/>
        </w:rPr>
        <w:t>浙江林鸥工程管理有限公司</w:t>
      </w:r>
      <w:r>
        <w:rPr>
          <w:rFonts w:hint="default" w:ascii="Times New Roman" w:hAnsi="Times New Roman" w:cs="Times New Roman"/>
          <w:kern w:val="0"/>
          <w:sz w:val="28"/>
          <w:szCs w:val="28"/>
          <w:highlight w:val="none"/>
        </w:rPr>
        <w:t>等多家单位的专家成立了规范起草小组，开展标准的编制工作。</w:t>
      </w:r>
      <w:r>
        <w:rPr>
          <w:rFonts w:hint="default" w:ascii="Times New Roman" w:hAnsi="Times New Roman" w:cs="Times New Roman"/>
          <w:kern w:val="0"/>
          <w:sz w:val="28"/>
          <w:szCs w:val="28"/>
          <w:highlight w:val="none"/>
          <w:lang w:val="en-US" w:eastAsia="zh-CN"/>
        </w:rPr>
        <w:t>浙江林鸥工程管理有限公司是一家专注于工程管理领域的专业企业，凭借深厚的行业经验与卓越的技术实力，致力于为客户提供全方位、高质量的工程管理服务。公司业务涵盖项目规划、设计咨询、施工监理、成本控制等多个环节，以精细化管理、创新化思维，助力各类工程项目高效、安全、顺利推进</w:t>
      </w:r>
      <w:r>
        <w:rPr>
          <w:rFonts w:hint="default" w:ascii="Times New Roman" w:hAnsi="Times New Roman" w:cs="Times New Roman"/>
          <w:kern w:val="0"/>
          <w:sz w:val="28"/>
          <w:szCs w:val="28"/>
          <w:highlight w:val="none"/>
        </w:rPr>
        <w:t>。作为牵头单位，公司为标准制定提供了丰富的实践经验和专业支持。</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w:t>
      </w:r>
      <w:r>
        <w:rPr>
          <w:rFonts w:hint="default" w:ascii="Times New Roman" w:hAnsi="Times New Roman" w:cs="Times New Roman"/>
          <w:kern w:val="0"/>
          <w:sz w:val="28"/>
          <w:szCs w:val="28"/>
          <w:highlight w:val="none"/>
        </w:rPr>
        <w:t>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4</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6</w:t>
      </w:r>
      <w:r>
        <w:rPr>
          <w:rFonts w:hint="default" w:ascii="Times New Roman" w:hAnsi="Times New Roman" w:cs="Times New Roman"/>
          <w:sz w:val="28"/>
          <w:szCs w:val="28"/>
          <w:highlight w:val="none"/>
        </w:rPr>
        <w:t>个</w:t>
      </w:r>
      <w:r>
        <w:rPr>
          <w:rFonts w:hint="default" w:ascii="Times New Roman" w:hAnsi="Times New Roman" w:cs="Times New Roman"/>
          <w:sz w:val="28"/>
          <w:szCs w:val="28"/>
          <w:highlight w:val="none"/>
        </w:rPr>
        <w:t>部分，主要内容如下：</w:t>
      </w:r>
    </w:p>
    <w:p w14:paraId="6AE48F62">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4884211"/>
      <w:bookmarkStart w:id="3" w:name="_Toc196297835"/>
      <w:bookmarkStart w:id="4" w:name="_Toc26648465"/>
      <w:bookmarkStart w:id="5" w:name="_Toc97192964"/>
      <w:bookmarkStart w:id="6" w:name="_Toc17233325"/>
      <w:bookmarkStart w:id="7" w:name="_Toc17233333"/>
      <w:bookmarkStart w:id="8" w:name="_Toc26986530"/>
      <w:bookmarkStart w:id="9" w:name="_Toc26986771"/>
      <w:bookmarkStart w:id="10" w:name="_Toc24884218"/>
      <w:bookmarkStart w:id="11" w:name="_Toc26718930"/>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p>
    <w:p w14:paraId="5161A1A5">
      <w:pPr>
        <w:pStyle w:val="35"/>
        <w:widowControl/>
        <w:spacing w:line="360" w:lineRule="auto"/>
        <w:ind w:left="0" w:firstLine="420"/>
        <w:rPr>
          <w:rFonts w:hint="default" w:ascii="Times New Roman" w:hAnsi="Times New Roman" w:cs="Times New Roman"/>
          <w:sz w:val="28"/>
          <w:szCs w:val="28"/>
          <w:highlight w:val="none"/>
          <w:lang w:val="en-US"/>
        </w:rPr>
      </w:pPr>
      <w:bookmarkStart w:id="12" w:name="_Toc17233326"/>
      <w:bookmarkStart w:id="13" w:name="_Toc24884212"/>
      <w:bookmarkStart w:id="14" w:name="_Toc17233334"/>
      <w:bookmarkStart w:id="15" w:name="_Toc24884219"/>
      <w:bookmarkStart w:id="16" w:name="_Toc26648466"/>
      <w:r>
        <w:rPr>
          <w:rFonts w:hint="default" w:ascii="Times New Roman" w:hAnsi="Times New Roman" w:cs="Times New Roman"/>
          <w:sz w:val="28"/>
          <w:szCs w:val="28"/>
          <w:highlight w:val="none"/>
          <w:lang w:eastAsia="zh-CN"/>
        </w:rPr>
        <w:t>本文件规定了建筑工程工地废弃料循环再生利用的术语和定义、基本要求、过程循环、再生利用相关内容。</w:t>
      </w:r>
    </w:p>
    <w:p w14:paraId="1EF07A0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本文件适用于建筑工程工地废弃料循环再生利用。</w:t>
      </w:r>
    </w:p>
    <w:p w14:paraId="1FB44F98">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7" w:name="_Toc26986531"/>
      <w:bookmarkStart w:id="18" w:name="_Toc196297836"/>
      <w:bookmarkStart w:id="19" w:name="_Toc26986772"/>
      <w:bookmarkStart w:id="20" w:name="_Toc26718931"/>
      <w:bookmarkStart w:id="21" w:name="_Toc97192965"/>
      <w:r>
        <w:rPr>
          <w:rFonts w:hint="default" w:ascii="Times New Roman" w:hAnsi="Times New Roman" w:cs="Times New Roman"/>
          <w:sz w:val="28"/>
          <w:szCs w:val="28"/>
          <w:highlight w:val="none"/>
          <w:lang w:eastAsia="zh-CN"/>
        </w:rPr>
        <w:t>规范性引用文件</w:t>
      </w:r>
      <w:bookmarkEnd w:id="12"/>
      <w:bookmarkEnd w:id="13"/>
      <w:bookmarkEnd w:id="14"/>
      <w:bookmarkEnd w:id="15"/>
      <w:bookmarkEnd w:id="16"/>
      <w:bookmarkEnd w:id="17"/>
      <w:bookmarkEnd w:id="18"/>
      <w:bookmarkEnd w:id="19"/>
      <w:bookmarkEnd w:id="20"/>
      <w:bookmarkEnd w:id="21"/>
    </w:p>
    <w:p w14:paraId="068C4D6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812979C">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4223 </w:t>
      </w:r>
      <w:r>
        <w:rPr>
          <w:rFonts w:hint="default" w:ascii="Times New Roman" w:hAnsi="Times New Roman" w:cs="Times New Roman"/>
          <w:sz w:val="28"/>
          <w:szCs w:val="28"/>
          <w:highlight w:val="none"/>
          <w:lang w:eastAsia="zh-CN"/>
        </w:rPr>
        <w:t>废钢铁</w:t>
      </w:r>
    </w:p>
    <w:p w14:paraId="76BC3883">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6566 </w:t>
      </w:r>
      <w:r>
        <w:rPr>
          <w:rFonts w:hint="default" w:ascii="Times New Roman" w:hAnsi="Times New Roman" w:cs="Times New Roman"/>
          <w:sz w:val="28"/>
          <w:szCs w:val="28"/>
          <w:highlight w:val="none"/>
          <w:lang w:eastAsia="zh-CN"/>
        </w:rPr>
        <w:t>建筑材料放射性核素限量</w:t>
      </w:r>
    </w:p>
    <w:p w14:paraId="6894806F">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22529 </w:t>
      </w:r>
      <w:r>
        <w:rPr>
          <w:rFonts w:hint="default" w:ascii="Times New Roman" w:hAnsi="Times New Roman" w:cs="Times New Roman"/>
          <w:sz w:val="28"/>
          <w:szCs w:val="28"/>
          <w:highlight w:val="none"/>
          <w:lang w:eastAsia="zh-CN"/>
        </w:rPr>
        <w:t>废弃木质材料回收利用管理规范</w:t>
      </w:r>
    </w:p>
    <w:p w14:paraId="3F8D9721">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25176 </w:t>
      </w:r>
      <w:r>
        <w:rPr>
          <w:rFonts w:hint="default" w:ascii="Times New Roman" w:hAnsi="Times New Roman" w:cs="Times New Roman"/>
          <w:sz w:val="28"/>
          <w:szCs w:val="28"/>
          <w:highlight w:val="none"/>
          <w:lang w:eastAsia="zh-CN"/>
        </w:rPr>
        <w:t>混凝土和砂浆用再生细骨料</w:t>
      </w:r>
    </w:p>
    <w:p w14:paraId="617F3D8A">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25177 </w:t>
      </w:r>
      <w:r>
        <w:rPr>
          <w:rFonts w:hint="default" w:ascii="Times New Roman" w:hAnsi="Times New Roman" w:cs="Times New Roman"/>
          <w:sz w:val="28"/>
          <w:szCs w:val="28"/>
          <w:highlight w:val="none"/>
          <w:lang w:eastAsia="zh-CN"/>
        </w:rPr>
        <w:t>混凝土用再生粗骨料</w:t>
      </w:r>
    </w:p>
    <w:p w14:paraId="4AEB664B">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29408 </w:t>
      </w:r>
      <w:r>
        <w:rPr>
          <w:rFonts w:hint="default" w:ascii="Times New Roman" w:hAnsi="Times New Roman" w:cs="Times New Roman"/>
          <w:sz w:val="28"/>
          <w:szCs w:val="28"/>
          <w:highlight w:val="none"/>
          <w:lang w:eastAsia="zh-CN"/>
        </w:rPr>
        <w:t>废弃木质材料分类</w:t>
      </w:r>
    </w:p>
    <w:p w14:paraId="0DFB6BE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50007 </w:t>
      </w:r>
      <w:r>
        <w:rPr>
          <w:rFonts w:hint="default" w:ascii="Times New Roman" w:hAnsi="Times New Roman" w:cs="Times New Roman"/>
          <w:sz w:val="28"/>
          <w:szCs w:val="28"/>
          <w:highlight w:val="none"/>
          <w:lang w:eastAsia="zh-CN"/>
        </w:rPr>
        <w:t>建筑地基基础设计规范</w:t>
      </w:r>
    </w:p>
    <w:p w14:paraId="6C7FDDA3">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50010 </w:t>
      </w:r>
      <w:r>
        <w:rPr>
          <w:rFonts w:hint="default" w:ascii="Times New Roman" w:hAnsi="Times New Roman" w:cs="Times New Roman"/>
          <w:sz w:val="28"/>
          <w:szCs w:val="28"/>
          <w:highlight w:val="none"/>
          <w:lang w:eastAsia="zh-CN"/>
        </w:rPr>
        <w:t>混凝土结构设计标准</w:t>
      </w:r>
    </w:p>
    <w:p w14:paraId="2F7C97CA">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50476 </w:t>
      </w:r>
      <w:r>
        <w:rPr>
          <w:rFonts w:hint="default" w:ascii="Times New Roman" w:hAnsi="Times New Roman" w:cs="Times New Roman"/>
          <w:sz w:val="28"/>
          <w:szCs w:val="28"/>
          <w:highlight w:val="none"/>
          <w:lang w:eastAsia="zh-CN"/>
        </w:rPr>
        <w:t>混凝土结构耐久性设计标准</w:t>
      </w:r>
    </w:p>
    <w:p w14:paraId="6BF15AC6">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CJJ/T 43 </w:t>
      </w:r>
      <w:r>
        <w:rPr>
          <w:rFonts w:hint="default" w:ascii="Times New Roman" w:hAnsi="Times New Roman" w:cs="Times New Roman"/>
          <w:sz w:val="28"/>
          <w:szCs w:val="28"/>
          <w:highlight w:val="none"/>
          <w:lang w:eastAsia="zh-CN"/>
        </w:rPr>
        <w:t>城镇道路沥青路面再生利用技术规程</w:t>
      </w:r>
    </w:p>
    <w:p w14:paraId="2DCD24E4">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CJJ/T 134 </w:t>
      </w:r>
      <w:r>
        <w:rPr>
          <w:rFonts w:hint="default" w:ascii="Times New Roman" w:hAnsi="Times New Roman" w:cs="Times New Roman"/>
          <w:sz w:val="28"/>
          <w:szCs w:val="28"/>
          <w:highlight w:val="none"/>
          <w:lang w:eastAsia="zh-CN"/>
        </w:rPr>
        <w:t>建筑垃圾处理技术标准</w:t>
      </w:r>
    </w:p>
    <w:p w14:paraId="18EEB9EF">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CJJ/T 253 </w:t>
      </w:r>
      <w:r>
        <w:rPr>
          <w:rFonts w:hint="default" w:ascii="Times New Roman" w:hAnsi="Times New Roman" w:cs="Times New Roman"/>
          <w:sz w:val="28"/>
          <w:szCs w:val="28"/>
          <w:highlight w:val="none"/>
          <w:lang w:eastAsia="zh-CN"/>
        </w:rPr>
        <w:t>再生骨料透水混凝土应用技术规程</w:t>
      </w:r>
    </w:p>
    <w:p w14:paraId="210D1B24">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 55 </w:t>
      </w:r>
      <w:r>
        <w:rPr>
          <w:rFonts w:hint="default" w:ascii="Times New Roman" w:hAnsi="Times New Roman" w:cs="Times New Roman"/>
          <w:sz w:val="28"/>
          <w:szCs w:val="28"/>
          <w:highlight w:val="none"/>
          <w:lang w:eastAsia="zh-CN"/>
        </w:rPr>
        <w:t>普通混凝土配合比设计规程</w:t>
      </w:r>
    </w:p>
    <w:p w14:paraId="06ED6DC1">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JGJ/T 104 </w:t>
      </w:r>
      <w:r>
        <w:rPr>
          <w:rFonts w:hint="default" w:ascii="Times New Roman" w:hAnsi="Times New Roman" w:cs="Times New Roman"/>
          <w:sz w:val="28"/>
          <w:szCs w:val="28"/>
          <w:highlight w:val="none"/>
          <w:lang w:eastAsia="zh-CN"/>
        </w:rPr>
        <w:t>建筑工程冬期施工规程</w:t>
      </w:r>
    </w:p>
    <w:p w14:paraId="3CE047ED">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JGJ/T 240 </w:t>
      </w:r>
      <w:r>
        <w:rPr>
          <w:rFonts w:hint="default" w:ascii="Times New Roman" w:hAnsi="Times New Roman" w:cs="Times New Roman"/>
          <w:sz w:val="28"/>
          <w:szCs w:val="28"/>
          <w:highlight w:val="none"/>
          <w:lang w:eastAsia="zh-CN"/>
        </w:rPr>
        <w:t>再生骨料应用技术规程</w:t>
      </w:r>
    </w:p>
    <w:p w14:paraId="31F5DDC1">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JTG/T 5521 </w:t>
      </w:r>
      <w:r>
        <w:rPr>
          <w:rFonts w:hint="default" w:ascii="Times New Roman" w:hAnsi="Times New Roman" w:cs="Times New Roman"/>
          <w:sz w:val="28"/>
          <w:szCs w:val="28"/>
          <w:highlight w:val="none"/>
          <w:lang w:eastAsia="zh-CN"/>
        </w:rPr>
        <w:t>公路沥青路面再生技术规范</w:t>
      </w:r>
    </w:p>
    <w:p w14:paraId="06E2EF04">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SB/T 10900 </w:t>
      </w:r>
      <w:r>
        <w:rPr>
          <w:rFonts w:hint="default" w:ascii="Times New Roman" w:hAnsi="Times New Roman" w:cs="Times New Roman"/>
          <w:sz w:val="28"/>
          <w:szCs w:val="28"/>
          <w:highlight w:val="none"/>
          <w:lang w:eastAsia="zh-CN"/>
        </w:rPr>
        <w:t>废玻璃分类</w:t>
      </w:r>
    </w:p>
    <w:p w14:paraId="7F0DDCDF">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SB/T 11108 </w:t>
      </w:r>
      <w:r>
        <w:rPr>
          <w:rFonts w:hint="default" w:ascii="Times New Roman" w:hAnsi="Times New Roman" w:cs="Times New Roman"/>
          <w:sz w:val="28"/>
          <w:szCs w:val="28"/>
          <w:highlight w:val="none"/>
          <w:lang w:eastAsia="zh-CN"/>
        </w:rPr>
        <w:t>废玻璃回收分拣技术规范</w:t>
      </w:r>
    </w:p>
    <w:p w14:paraId="5A5B597F">
      <w:pPr>
        <w:pStyle w:val="37"/>
        <w:widowControl/>
        <w:numPr>
          <w:numId w:val="0"/>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SB/T 11149 </w:t>
      </w:r>
      <w:r>
        <w:rPr>
          <w:rFonts w:hint="default" w:ascii="Times New Roman" w:hAnsi="Times New Roman" w:cs="Times New Roman"/>
          <w:sz w:val="28"/>
          <w:szCs w:val="28"/>
          <w:highlight w:val="none"/>
          <w:lang w:eastAsia="zh-CN"/>
        </w:rPr>
        <w:t>废塑料回收分选技术规范</w:t>
      </w:r>
    </w:p>
    <w:p w14:paraId="692B93D9">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2" w:name="_Toc196297837"/>
      <w:bookmarkStart w:id="23" w:name="_Toc97192966"/>
      <w:r>
        <w:rPr>
          <w:rFonts w:hint="default" w:ascii="Times New Roman" w:hAnsi="Times New Roman" w:cs="Times New Roman"/>
          <w:sz w:val="28"/>
          <w:szCs w:val="28"/>
          <w:highlight w:val="none"/>
          <w:lang w:eastAsia="zh-CN"/>
        </w:rPr>
        <w:t>术语和定义</w:t>
      </w:r>
      <w:bookmarkEnd w:id="22"/>
      <w:bookmarkEnd w:id="23"/>
    </w:p>
    <w:p w14:paraId="4EAB95AD">
      <w:pPr>
        <w:pStyle w:val="35"/>
        <w:widowControl/>
        <w:spacing w:line="360" w:lineRule="auto"/>
        <w:ind w:left="0" w:firstLine="420"/>
        <w:rPr>
          <w:rFonts w:hint="default" w:ascii="Times New Roman" w:hAnsi="Times New Roman" w:cs="Times New Roman"/>
          <w:sz w:val="28"/>
          <w:szCs w:val="28"/>
          <w:highlight w:val="none"/>
          <w:lang w:val="en-US"/>
        </w:rPr>
      </w:pPr>
      <w:bookmarkStart w:id="24" w:name="_Toc26986532"/>
      <w:bookmarkEnd w:id="24"/>
      <w:r>
        <w:rPr>
          <w:rFonts w:hint="default" w:ascii="Times New Roman" w:hAnsi="Times New Roman" w:cs="Times New Roman"/>
          <w:sz w:val="28"/>
          <w:szCs w:val="28"/>
          <w:highlight w:val="none"/>
          <w:lang w:eastAsia="zh-CN"/>
        </w:rPr>
        <w:t>以下术语和定义适用于本文件。</w:t>
      </w:r>
    </w:p>
    <w:p w14:paraId="29514673">
      <w:pPr>
        <w:pStyle w:val="42"/>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工地废弃物</w:t>
      </w:r>
      <w:r>
        <w:rPr>
          <w:rFonts w:hint="default" w:ascii="Times New Roman" w:hAnsi="Times New Roman" w:eastAsia="黑体" w:cs="Times New Roman"/>
          <w:sz w:val="28"/>
          <w:szCs w:val="28"/>
          <w:highlight w:val="none"/>
          <w:lang w:val="en-US"/>
        </w:rPr>
        <w:t xml:space="preserve"> construction waste</w:t>
      </w:r>
    </w:p>
    <w:p w14:paraId="1B10490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施工现场施工时产生的工程渣土、工程泥浆、工程垃圾、拆除垃圾和装修垃圾等对环境不产生危险伤害的各类废弃物总称。</w:t>
      </w:r>
    </w:p>
    <w:p w14:paraId="2DACFA39">
      <w:pPr>
        <w:pStyle w:val="42"/>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源头利用</w:t>
      </w:r>
      <w:r>
        <w:rPr>
          <w:rFonts w:hint="default" w:ascii="Times New Roman" w:hAnsi="Times New Roman" w:eastAsia="黑体" w:cs="Times New Roman"/>
          <w:sz w:val="28"/>
          <w:szCs w:val="28"/>
          <w:highlight w:val="none"/>
          <w:lang w:val="en-US"/>
        </w:rPr>
        <w:t xml:space="preserve"> source utilization</w:t>
      </w:r>
    </w:p>
    <w:p w14:paraId="351035C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在设计与施工时，通过分析施工现场工地废弃物排放产生的过程进行优化设计和施工组织措施，从源头减少施工现场工地废弃物的产生数量。</w:t>
      </w:r>
    </w:p>
    <w:p w14:paraId="283D757E">
      <w:pPr>
        <w:pStyle w:val="42"/>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工程垃圾</w:t>
      </w:r>
      <w:r>
        <w:rPr>
          <w:rFonts w:hint="default" w:ascii="Times New Roman" w:hAnsi="Times New Roman" w:eastAsia="黑体" w:cs="Times New Roman"/>
          <w:sz w:val="28"/>
          <w:szCs w:val="28"/>
          <w:highlight w:val="none"/>
          <w:lang w:val="en-US"/>
        </w:rPr>
        <w:t xml:space="preserve"> engineering waste</w:t>
      </w:r>
    </w:p>
    <w:p w14:paraId="11D7808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各类建筑物、构筑物等建设过程中产生的废弃料。</w:t>
      </w:r>
    </w:p>
    <w:p w14:paraId="47D02226">
      <w:pPr>
        <w:pStyle w:val="42"/>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拆除垃圾</w:t>
      </w:r>
      <w:r>
        <w:rPr>
          <w:rFonts w:hint="default" w:ascii="Times New Roman" w:hAnsi="Times New Roman" w:eastAsia="黑体" w:cs="Times New Roman"/>
          <w:sz w:val="28"/>
          <w:szCs w:val="28"/>
          <w:highlight w:val="none"/>
          <w:lang w:val="en-US"/>
        </w:rPr>
        <w:t xml:space="preserve"> demolition waste</w:t>
      </w:r>
    </w:p>
    <w:p w14:paraId="4538B8D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施工现场因拆除行为而产生的垃圾。</w:t>
      </w:r>
    </w:p>
    <w:p w14:paraId="1F2E4BE2">
      <w:pPr>
        <w:pStyle w:val="42"/>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装修垃圾</w:t>
      </w:r>
      <w:r>
        <w:rPr>
          <w:rFonts w:hint="default" w:ascii="Times New Roman" w:hAnsi="Times New Roman" w:eastAsia="黑体" w:cs="Times New Roman"/>
          <w:sz w:val="28"/>
          <w:szCs w:val="28"/>
          <w:highlight w:val="none"/>
          <w:lang w:val="en-US"/>
        </w:rPr>
        <w:t xml:space="preserve"> decoration waste</w:t>
      </w:r>
    </w:p>
    <w:p w14:paraId="698A58D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施工现场装饰装修过程中产生的弃物。</w:t>
      </w:r>
    </w:p>
    <w:p w14:paraId="2B755695">
      <w:pPr>
        <w:pStyle w:val="42"/>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再生产品</w:t>
      </w:r>
      <w:r>
        <w:rPr>
          <w:rFonts w:hint="default" w:ascii="Times New Roman" w:hAnsi="Times New Roman" w:eastAsia="黑体" w:cs="Times New Roman"/>
          <w:sz w:val="28"/>
          <w:szCs w:val="28"/>
          <w:highlight w:val="none"/>
          <w:lang w:val="en-US"/>
        </w:rPr>
        <w:t xml:space="preserve"> recycled products</w:t>
      </w:r>
    </w:p>
    <w:p w14:paraId="5795D3C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以工地废弃物为主要原料加工制成的再生材料和制品。</w:t>
      </w:r>
    </w:p>
    <w:p w14:paraId="3C3B0F41">
      <w:pPr>
        <w:pStyle w:val="42"/>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工地废弃物处理</w:t>
      </w:r>
      <w:r>
        <w:rPr>
          <w:rFonts w:hint="default" w:ascii="Times New Roman" w:hAnsi="Times New Roman" w:eastAsia="黑体" w:cs="Times New Roman"/>
          <w:sz w:val="28"/>
          <w:szCs w:val="28"/>
          <w:highlight w:val="none"/>
          <w:lang w:val="en-US"/>
        </w:rPr>
        <w:t xml:space="preserve"> construction waste disposal</w:t>
      </w:r>
    </w:p>
    <w:p w14:paraId="287DD26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对施工现场工地废弃物进行收集、分类、处理、转运输、再利用的全过程。</w:t>
      </w:r>
    </w:p>
    <w:p w14:paraId="2106ED64">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5" w:name="_Toc196297838"/>
      <w:r>
        <w:rPr>
          <w:rFonts w:hint="default" w:ascii="Times New Roman" w:hAnsi="Times New Roman" w:cs="Times New Roman"/>
          <w:sz w:val="28"/>
          <w:szCs w:val="28"/>
          <w:highlight w:val="none"/>
          <w:lang w:eastAsia="zh-CN"/>
        </w:rPr>
        <w:t>基本要求</w:t>
      </w:r>
      <w:bookmarkEnd w:id="25"/>
    </w:p>
    <w:p w14:paraId="7BCB4A91">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施工现场内的工地废弃物循环再生利用应遵循</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源头利用、分类管理、就地处置、排放控制</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的原则。</w:t>
      </w:r>
    </w:p>
    <w:p w14:paraId="2C2B1F9C">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建设单位应在施工前科学决策，宜避免或减少项目施工中变更建设内容和设计方案造成工地废弃物的增加。</w:t>
      </w:r>
    </w:p>
    <w:p w14:paraId="141091B7">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建设单位应明确施工现场工地废弃物循环再生利用的目标和措施，并纳入招标文件和合同文本，施工现场工地废弃物收集、分类、存放、处置费用纳入工程概算，建立相应的管理机制。</w:t>
      </w:r>
    </w:p>
    <w:p w14:paraId="79667CAB">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设计单位应进入现场考察循环再生利用要素，设计中宜采用能够实现工地废弃物循环再生利用和资源化利用的创新设计、施工技术与装备应用。</w:t>
      </w:r>
    </w:p>
    <w:p w14:paraId="1CDEFE53">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设计单位设计时应进行优化选型，优先选用装配式建筑。</w:t>
      </w:r>
    </w:p>
    <w:p w14:paraId="4178562B">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设计单位应与施工单位协同配合，设计深度满足施工需要，减少施工过程设计变更，实行建筑、结构、机电、装修、景观等专业一体化、标准化设计，并明确再生产品的使用部位和技术指标。</w:t>
      </w:r>
    </w:p>
    <w:p w14:paraId="78C0147D">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施工单位应建立健全施工现场工地废弃物循环再生利用管理体系，编制工地废弃物循环再生利用专项方案，确定循环再生利用目标，明确职责分工，结合工程实际制定有针对性的技术、管理和保障措施。</w:t>
      </w:r>
    </w:p>
    <w:p w14:paraId="1E85F270">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施工单位应建立施工现场工地废弃物管理处置公示制度，在施工现场显著位置公示工地废弃物收集、分类、存放、处置各责任单位。</w:t>
      </w:r>
    </w:p>
    <w:p w14:paraId="247E5CCD">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监理单位应将施工现场工地废弃物循环再生利用施工作为专项监理内容，审核施工现场工地废弃物循环再生利用专项方案并监督施工单位落实。</w:t>
      </w:r>
    </w:p>
    <w:p w14:paraId="1B2BFF64">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建设、设计、施工、监理等单位应协同现场施工，定期组织本单位相关人员进行工地废弃物循环再生利用工作和任务目标的检查，提高从业人员工地废弃物管理意识。</w:t>
      </w:r>
    </w:p>
    <w:p w14:paraId="1C71C9F6">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施工现场工地废弃物应就地收集、分类、存放，对于能现场处置和再利用的工地废弃物可进行处置和利用。对于无法实现现场处置和再利用的工地废弃物可委托符合要求的工地废弃物资源化利用企业进行处置。</w:t>
      </w:r>
    </w:p>
    <w:p w14:paraId="17F2EF7D">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施工现场工地废弃物循环再生利用和资源化利用应采用技术可靠、经济合理的技术和工艺。</w:t>
      </w:r>
    </w:p>
    <w:p w14:paraId="33C8A7CE">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施工现场工地废弃物收集、分类、存放过程中不应混入生活垃圾、污泥和危险废物等。</w:t>
      </w:r>
    </w:p>
    <w:p w14:paraId="66B8A1AE">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6" w:name="_Toc196297839"/>
      <w:r>
        <w:rPr>
          <w:rFonts w:hint="default" w:ascii="Times New Roman" w:hAnsi="Times New Roman" w:cs="Times New Roman"/>
          <w:sz w:val="28"/>
          <w:szCs w:val="28"/>
          <w:highlight w:val="none"/>
          <w:lang w:eastAsia="zh-CN"/>
        </w:rPr>
        <w:t>过程循环</w:t>
      </w:r>
      <w:bookmarkEnd w:id="26"/>
    </w:p>
    <w:p w14:paraId="269E24ED">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一般要求</w:t>
      </w:r>
    </w:p>
    <w:p w14:paraId="74ABC8D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施工单位应结合施工实际编制施工现场工地废弃物循环再生利用专项方案，包含工地废弃物类别、数量预估、分类处置途径、排放控制和就近利用等内容。</w:t>
      </w:r>
    </w:p>
    <w:p w14:paraId="6EF59DB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施工现场工地废弃物的源头利用应采取施工图纸深化、施工方案优化、先进建造技术、永临结合、周转材料重复利用、施工过程管理等措施。</w:t>
      </w:r>
    </w:p>
    <w:p w14:paraId="6063010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施工单位应在图纸会审时与设计单位沟通，避免或减少施工过程中拆改、变更产生工地废弃物。</w:t>
      </w:r>
    </w:p>
    <w:p w14:paraId="2CFEDA4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施工单位应根据工程施工进度计划，对使用材料的采购、进场时间和批量、维护以及合理使用进行统筹安排。</w:t>
      </w:r>
    </w:p>
    <w:p w14:paraId="0D6C51D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施工过程中应开展精准施工和标准化施工，减少因施工不当导致的后续剔凿、切割和返工作业产生工地废弃物。</w:t>
      </w:r>
    </w:p>
    <w:p w14:paraId="3CE17C7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具备工地废弃物就地处置能力的施工现场，建设单位或施工单位应根据场地条件，合理设置资源化利用场站对工地废弃物进行分类、加工、产品储存。</w:t>
      </w:r>
    </w:p>
    <w:p w14:paraId="0D3E9F5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施工过程应落实工地废弃物的收集、分类、储存和加工制度。</w:t>
      </w:r>
    </w:p>
    <w:p w14:paraId="6A2BCDE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施工现场办公用房、宿舍、工地围挡、大门、工具棚、安全防护栏杆等临时设施，宜采用可周转的标准化设施。</w:t>
      </w:r>
    </w:p>
    <w:p w14:paraId="740349F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结合物联网等信息化技术，建立健全施工现场工地废弃物循环再生利用全过程管理机制，有条件的施工单位宜采用数字工地管理平台，实现施工现场工地废弃物循环再生利用管理。</w:t>
      </w:r>
    </w:p>
    <w:p w14:paraId="5D53901D">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工程渣土</w:t>
      </w:r>
    </w:p>
    <w:p w14:paraId="67D7778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工程渣土应根据土层、类别、特性确定用途并设置堆放场区，可用于工程回填、场地覆盖、园林绿化等，工程场地的表层耕植土优先用于园林绿化。</w:t>
      </w:r>
    </w:p>
    <w:p w14:paraId="77ADAC9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工程渣土用作回填材料应根据工程项目的回填需求和部位选择相应类别，并符合以下要求：</w:t>
      </w:r>
    </w:p>
    <w:p w14:paraId="33CD77D2">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直接作为填料的工程渣土应满足工程项目的填料性能要求，不满足时，应采取改良处理措施；</w:t>
      </w:r>
    </w:p>
    <w:p w14:paraId="088CB51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市区内内河河堤、土石坝的内侧闭气土可采用渗透性低的淤泥或淤泥质粘土；</w:t>
      </w:r>
    </w:p>
    <w:p w14:paraId="5C2A0BB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用作压实填土地基的工程渣土，其类别和特性应满足</w:t>
      </w:r>
      <w:r>
        <w:rPr>
          <w:rFonts w:hint="default" w:ascii="Times New Roman" w:hAnsi="Times New Roman" w:cs="Times New Roman"/>
          <w:sz w:val="28"/>
          <w:szCs w:val="28"/>
          <w:highlight w:val="none"/>
          <w:lang w:val="en-US"/>
        </w:rPr>
        <w:t>GB 50007</w:t>
      </w:r>
      <w:r>
        <w:rPr>
          <w:rFonts w:hint="default" w:ascii="Times New Roman" w:hAnsi="Times New Roman" w:cs="Times New Roman"/>
          <w:sz w:val="28"/>
          <w:szCs w:val="28"/>
          <w:highlight w:val="none"/>
          <w:lang w:eastAsia="zh-CN"/>
        </w:rPr>
        <w:t>的要求；</w:t>
      </w:r>
    </w:p>
    <w:p w14:paraId="15B6C10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大型填方工程可选用有利于保持填方边坡稳定的粉砂土、卵砾石等。</w:t>
      </w:r>
    </w:p>
    <w:p w14:paraId="44CFFCF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工程渣土用作生活垃圾填埋场的封场用土应根据封场土层构造选择相应类别，并符合以下要求：</w:t>
      </w:r>
    </w:p>
    <w:p w14:paraId="7F0A4F1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工程渣土可用作封场土底部的基础层，基础层作为排气层使用时，应采用渗透性大的卵石、圆砾等石材；</w:t>
      </w:r>
    </w:p>
    <w:p w14:paraId="5791B6D0">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封场的阻隔层，应采用渗透性低、密封性能良好的淤泥、粘土等。</w:t>
      </w:r>
    </w:p>
    <w:p w14:paraId="39E17C5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工程渣土用作生产骨料时，应符合以下要求：</w:t>
      </w:r>
    </w:p>
    <w:p w14:paraId="0846750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优质的粉砂、砂土，经筛选、清洗工艺除泥后，其性能满足</w:t>
      </w:r>
      <w:r>
        <w:rPr>
          <w:rFonts w:hint="default" w:ascii="Times New Roman" w:hAnsi="Times New Roman" w:cs="Times New Roman"/>
          <w:sz w:val="28"/>
          <w:szCs w:val="28"/>
          <w:highlight w:val="none"/>
          <w:lang w:val="en-US"/>
        </w:rPr>
        <w:t>GB/T 25176</w:t>
      </w:r>
      <w:r>
        <w:rPr>
          <w:rFonts w:hint="default" w:ascii="Times New Roman" w:hAnsi="Times New Roman" w:cs="Times New Roman"/>
          <w:sz w:val="28"/>
          <w:szCs w:val="28"/>
          <w:highlight w:val="none"/>
          <w:lang w:eastAsia="zh-CN"/>
        </w:rPr>
        <w:t>的要求时，可用作制备混凝土、砂浆的细骨料；</w:t>
      </w:r>
    </w:p>
    <w:p w14:paraId="776E8F8B">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砾石、卵石及岩石等经除泥、破碎、筛选后，其性能满足</w:t>
      </w:r>
      <w:r>
        <w:rPr>
          <w:rFonts w:hint="default" w:ascii="Times New Roman" w:hAnsi="Times New Roman" w:cs="Times New Roman"/>
          <w:sz w:val="28"/>
          <w:szCs w:val="28"/>
          <w:highlight w:val="none"/>
          <w:lang w:val="en-US"/>
        </w:rPr>
        <w:t>GB/T 25177</w:t>
      </w:r>
      <w:r>
        <w:rPr>
          <w:rFonts w:hint="default" w:ascii="Times New Roman" w:hAnsi="Times New Roman" w:cs="Times New Roman"/>
          <w:sz w:val="28"/>
          <w:szCs w:val="28"/>
          <w:highlight w:val="none"/>
          <w:lang w:eastAsia="zh-CN"/>
        </w:rPr>
        <w:t>的要求时，可用作制备混凝土的粗骨料；</w:t>
      </w:r>
    </w:p>
    <w:p w14:paraId="2DCF9E3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非单一土性的工程渣土，经破碎、筛分、分离、清洗工艺处置后，可用作制备混凝土、砂浆的粗骨料和细骨料。</w:t>
      </w:r>
    </w:p>
    <w:p w14:paraId="153388A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采用清洗工艺生成的泥浆，应配备泥水分离设备系统，泥水分离系统可采用压滤法进行处置，经浓缩压滤系统处理后的物料（泥饼）含水率不宜大于</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w:t>
      </w:r>
    </w:p>
    <w:p w14:paraId="61D89FC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淤泥、淤泥质土、粘土、页岩以及浓缩、压滤后的泥饼等外运处置，当用于生产陶粒、烧结再生砖和砌块时，其焙烧宜优先采用连续化、烧成时间短、热利用率高的隧道窑生产工艺。</w:t>
      </w:r>
    </w:p>
    <w:p w14:paraId="7FA78C4D">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工程泥浆</w:t>
      </w:r>
    </w:p>
    <w:p w14:paraId="3274D87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工程泥浆经固化、脱水处理后，泥饼可用作回填、场地覆盖或制备再生产品。</w:t>
      </w:r>
    </w:p>
    <w:p w14:paraId="4A326C3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不同土层形成的工程泥浆宜分类处置，处置前应获得泥浆物理组成、重度、含水率、黏度、含砂率、胶体率、失水率、酸碱度等指标。</w:t>
      </w:r>
    </w:p>
    <w:p w14:paraId="69C8F11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工程泥浆处置工艺应符合以下要求：</w:t>
      </w:r>
    </w:p>
    <w:p w14:paraId="558EB55F">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粉土、粉砂等土层中形成的工程泥浆，含渣量较大时，应预先分离工程泥浆中的土渣；</w:t>
      </w:r>
    </w:p>
    <w:p w14:paraId="06FFAB0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按泥浆的浓度、颗粒组成，可添加适量的絮凝剂等化学药剂；</w:t>
      </w:r>
    </w:p>
    <w:p w14:paraId="32F3AF1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根据场地条件、泥浆种类等选择适宜的固化、脱水技术。</w:t>
      </w:r>
    </w:p>
    <w:p w14:paraId="445241F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有条件的施工单位应对施工现场进行工程泥浆资源化利用，设置收集管网、沉淀池、分离装置、脱水装置、固化处理站、泥饼堆场等设施。</w:t>
      </w:r>
    </w:p>
    <w:p w14:paraId="20FB9B1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工程泥浆集中处置时应配备成套的泥浆处置设备，处置过程应符合节能环保要求。</w:t>
      </w:r>
    </w:p>
    <w:p w14:paraId="695B6DB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工程泥浆处置后形成的泥饼，应进行对应用途的有害物质检测，检测合格或无害化处理后予以再生利用，并符合以下要求：</w:t>
      </w:r>
    </w:p>
    <w:p w14:paraId="2FD702B8">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外运到市内资源化利用场站或有条件的烧结企业，用于生产烧结再生砖和砌块；</w:t>
      </w:r>
    </w:p>
    <w:p w14:paraId="72E2AC9A">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就地回填或外运用作覆盖用土，用于回填或覆盖用土时，其含水率不宜大于</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w:t>
      </w:r>
    </w:p>
    <w:p w14:paraId="539CEB5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工程泥浆分选后形成的砂、石骨料，用作再利用的粗、细骨料时其性能应符合</w:t>
      </w:r>
      <w:r>
        <w:rPr>
          <w:rFonts w:hint="default" w:ascii="Times New Roman" w:hAnsi="Times New Roman" w:cs="Times New Roman"/>
          <w:sz w:val="28"/>
          <w:szCs w:val="28"/>
          <w:highlight w:val="none"/>
          <w:lang w:val="en-US"/>
        </w:rPr>
        <w:t>GB/T 25177</w:t>
      </w:r>
      <w:r>
        <w:rPr>
          <w:rFonts w:hint="default" w:ascii="Times New Roman" w:hAnsi="Times New Roman" w:cs="Times New Roman"/>
          <w:sz w:val="28"/>
          <w:szCs w:val="28"/>
          <w:highlight w:val="none"/>
          <w:lang w:eastAsia="zh-CN"/>
        </w:rPr>
        <w:t>和</w:t>
      </w:r>
      <w:r>
        <w:rPr>
          <w:rFonts w:hint="default" w:ascii="Times New Roman" w:hAnsi="Times New Roman" w:cs="Times New Roman"/>
          <w:sz w:val="28"/>
          <w:szCs w:val="28"/>
          <w:highlight w:val="none"/>
          <w:lang w:val="en-US"/>
        </w:rPr>
        <w:t>GB/T 25176</w:t>
      </w:r>
      <w:r>
        <w:rPr>
          <w:rFonts w:hint="default" w:ascii="Times New Roman" w:hAnsi="Times New Roman" w:cs="Times New Roman"/>
          <w:sz w:val="28"/>
          <w:szCs w:val="28"/>
          <w:highlight w:val="none"/>
          <w:lang w:eastAsia="zh-CN"/>
        </w:rPr>
        <w:t>要求。</w:t>
      </w:r>
    </w:p>
    <w:p w14:paraId="4251D44E">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工程垃圾</w:t>
      </w:r>
    </w:p>
    <w:p w14:paraId="7451795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工程垃圾中的废弃混凝土宜优先用于生产再生骨料，废弃沥青混合料宜用于生产再生混合料；废弃模板根据材质应分类回收，竹木材质宜用作再生板材、纸张或生物质燃料等的原材料。</w:t>
      </w:r>
    </w:p>
    <w:p w14:paraId="5FD6487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废弃的工程桩桩头、基坑支撑、道路混凝土宜按强度等级分类利用，根据再生产品性能要求选用相应的处置工艺，工程现场具备就地处置条件时，可现场加工成再生骨料，就地利用。</w:t>
      </w:r>
    </w:p>
    <w:p w14:paraId="255423A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沥青混合料宜通过冷再生、热再生、全混合再生、再生等方式进行再利用，并应符合以下要求：</w:t>
      </w:r>
    </w:p>
    <w:p w14:paraId="64FD8ED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回收的沥青路面材料应及时处置，避免长期堆放、结块；</w:t>
      </w:r>
    </w:p>
    <w:p w14:paraId="304EE44A">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沥青混合料的再生方式分为拌热再生、拌温再生、拌冷再生和现场热再生、现场冷再生，沥青路面材料符合</w:t>
      </w:r>
      <w:bookmarkStart w:id="27" w:name="_Hlk196299811"/>
      <w:r>
        <w:rPr>
          <w:rFonts w:hint="default" w:ascii="Times New Roman" w:hAnsi="Times New Roman" w:cs="Times New Roman"/>
          <w:sz w:val="28"/>
          <w:szCs w:val="28"/>
          <w:highlight w:val="none"/>
          <w:lang w:val="en-US"/>
        </w:rPr>
        <w:t>JTG/T 5521</w:t>
      </w:r>
      <w:r>
        <w:rPr>
          <w:rFonts w:hint="default" w:ascii="Times New Roman" w:hAnsi="Times New Roman" w:cs="Times New Roman"/>
          <w:sz w:val="28"/>
          <w:szCs w:val="28"/>
          <w:highlight w:val="none"/>
          <w:lang w:eastAsia="zh-CN"/>
        </w:rPr>
        <w:t>和</w:t>
      </w:r>
      <w:r>
        <w:rPr>
          <w:rFonts w:hint="default" w:ascii="Times New Roman" w:hAnsi="Times New Roman" w:cs="Times New Roman"/>
          <w:sz w:val="28"/>
          <w:szCs w:val="28"/>
          <w:highlight w:val="none"/>
          <w:lang w:val="en-US"/>
        </w:rPr>
        <w:t>CJJ/T 43</w:t>
      </w:r>
      <w:r>
        <w:rPr>
          <w:rFonts w:hint="default" w:ascii="Times New Roman" w:hAnsi="Times New Roman" w:cs="Times New Roman"/>
          <w:sz w:val="28"/>
          <w:szCs w:val="28"/>
          <w:highlight w:val="none"/>
          <w:lang w:eastAsia="zh-CN"/>
        </w:rPr>
        <w:t>的要求。</w:t>
      </w:r>
    </w:p>
    <w:p w14:paraId="6958A5E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道路维修、改建时现场铣刨的旧沥青混凝土宜采用沥青路面再生技术就地热再生或冷再生后生成路面沥青混凝土，现场无法就地利用时，旧沥青混凝土也可分类收集外运至沥青混合料拌合厂，经破碎、筛分后作为沥青混合料的原材料。</w:t>
      </w:r>
    </w:p>
    <w:p w14:paraId="5402D4D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废弃混凝土、废弃沥青混合料用于回填时应根据填方工程的填料粒径要求，经破碎处置形成再生填料后回填，也可作为桩体填充材料使用。</w:t>
      </w:r>
    </w:p>
    <w:p w14:paraId="157186F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废模板分为废弃竹木模板、塑料模板、钢或铝合金模板、复合模板等，其再生利用应符合</w:t>
      </w:r>
      <w:r>
        <w:rPr>
          <w:rFonts w:hint="default" w:ascii="Times New Roman" w:hAnsi="Times New Roman" w:cs="Times New Roman"/>
          <w:sz w:val="28"/>
          <w:szCs w:val="28"/>
          <w:highlight w:val="none"/>
          <w:lang w:val="en-US"/>
        </w:rPr>
        <w:t>GB/T 50743</w:t>
      </w:r>
      <w:r>
        <w:rPr>
          <w:rFonts w:hint="default" w:ascii="Times New Roman" w:hAnsi="Times New Roman" w:cs="Times New Roman"/>
          <w:sz w:val="28"/>
          <w:szCs w:val="28"/>
          <w:highlight w:val="none"/>
          <w:lang w:eastAsia="zh-CN"/>
        </w:rPr>
        <w:t>的要求。</w:t>
      </w:r>
    </w:p>
    <w:p w14:paraId="115DB06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废木材的再生利用应符合</w:t>
      </w:r>
      <w:r>
        <w:rPr>
          <w:rFonts w:hint="default" w:ascii="Times New Roman" w:hAnsi="Times New Roman" w:cs="Times New Roman"/>
          <w:sz w:val="28"/>
          <w:szCs w:val="28"/>
          <w:highlight w:val="none"/>
          <w:lang w:val="en-US"/>
        </w:rPr>
        <w:t>GB/T 22529</w:t>
      </w:r>
      <w:r>
        <w:rPr>
          <w:rFonts w:hint="default" w:ascii="Times New Roman" w:hAnsi="Times New Roman" w:cs="Times New Roman"/>
          <w:sz w:val="28"/>
          <w:szCs w:val="28"/>
          <w:highlight w:val="none"/>
          <w:lang w:eastAsia="zh-CN"/>
        </w:rPr>
        <w:t>和</w:t>
      </w:r>
      <w:r>
        <w:rPr>
          <w:rFonts w:hint="default" w:ascii="Times New Roman" w:hAnsi="Times New Roman" w:cs="Times New Roman"/>
          <w:sz w:val="28"/>
          <w:szCs w:val="28"/>
          <w:highlight w:val="none"/>
          <w:lang w:val="en-US"/>
        </w:rPr>
        <w:t>GB/T 29408</w:t>
      </w:r>
      <w:bookmarkEnd w:id="27"/>
      <w:r>
        <w:rPr>
          <w:rFonts w:hint="default" w:ascii="Times New Roman" w:hAnsi="Times New Roman" w:cs="Times New Roman"/>
          <w:sz w:val="28"/>
          <w:szCs w:val="28"/>
          <w:highlight w:val="none"/>
          <w:lang w:eastAsia="zh-CN"/>
        </w:rPr>
        <w:t>的要求。</w:t>
      </w:r>
    </w:p>
    <w:p w14:paraId="0EB7CAB5">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拆除垃圾</w:t>
      </w:r>
    </w:p>
    <w:p w14:paraId="6DA920C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拆除垃圾的利用宜符合以下要求：</w:t>
      </w:r>
    </w:p>
    <w:p w14:paraId="7E45A2E0">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废弃混凝土、砂浆、石材、砖瓦、陶瓷等用于生产再生骨料；</w:t>
      </w:r>
    </w:p>
    <w:p w14:paraId="471634A3">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废弃沥青混合料用于生产再生沥青混合料；</w:t>
      </w:r>
    </w:p>
    <w:p w14:paraId="3B401BC0">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废弃金属、木材、玻璃、塑料等根据材质分类回收利用。</w:t>
      </w:r>
    </w:p>
    <w:p w14:paraId="5C90878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砖瓦、砂浆、陶瓷等宜采用一级破碎工艺处置，采用粉磨工艺时，前端应设置除铁、金属探测报警装置。</w:t>
      </w:r>
    </w:p>
    <w:p w14:paraId="6E562E5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砖瓦粉磨工艺，应符合以下要求：</w:t>
      </w:r>
    </w:p>
    <w:p w14:paraId="4F757D4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粉磨设备应根据设备产能、易磨性、耗能指标以及再生产品细度等要求确定；</w:t>
      </w:r>
    </w:p>
    <w:p w14:paraId="4598F1A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磨机在进、出料口应设置锁风装置；</w:t>
      </w:r>
    </w:p>
    <w:p w14:paraId="7F2D1B8F">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砖粉收集应选用收尘效率高的气箱式脉冲布袋收尘器；</w:t>
      </w:r>
    </w:p>
    <w:p w14:paraId="654EB1E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材料储存仓的仓顶、仓底以及输送设备转运点均应设置收尘装置。</w:t>
      </w:r>
    </w:p>
    <w:p w14:paraId="4656BCB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工地废弃物中砖瓦组分含量较大时应根据再生材料的质量要求设置分选系统。</w:t>
      </w:r>
    </w:p>
    <w:p w14:paraId="469C5F9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拆除垃圾组分中轻质物料含量较大时应设置风选工艺，可通过加大分选工艺的循环次数和破碎物料的分选频次提升轻质物料的分选效果。</w:t>
      </w:r>
    </w:p>
    <w:p w14:paraId="45B4ABB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废砖瓦、陶瓷、砂浆的再生利用应符合以下要求：</w:t>
      </w:r>
    </w:p>
    <w:p w14:paraId="72AD3F4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在拆迁现场就地处置作为工程回填材料、桩体填料及软土地基处理材料；</w:t>
      </w:r>
    </w:p>
    <w:p w14:paraId="156F01C5">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用作再生填料时应通过破碎筛分处置工艺获得满足工程项目填料要求的粒径；</w:t>
      </w:r>
    </w:p>
    <w:p w14:paraId="4C49B780">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外运可作为非烧结再生砖、烧结再生砖、砌块和墙板的原材料；</w:t>
      </w:r>
    </w:p>
    <w:p w14:paraId="0FF88B3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废砖瓦经分选、破碎、粉磨工艺处置达到一定细度后作为预拌混凝土和预拌砂浆的复合掺合料。</w:t>
      </w:r>
    </w:p>
    <w:p w14:paraId="5B047F2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废金属、废塑料和废玻璃的再生利用应符合</w:t>
      </w:r>
      <w:bookmarkStart w:id="28" w:name="_Hlk196299848"/>
      <w:r>
        <w:rPr>
          <w:rFonts w:hint="default" w:ascii="Times New Roman" w:hAnsi="Times New Roman" w:cs="Times New Roman"/>
          <w:sz w:val="28"/>
          <w:szCs w:val="28"/>
          <w:highlight w:val="none"/>
          <w:lang w:val="en-US"/>
        </w:rPr>
        <w:t>GB/T 4223</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SB/T 10900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SB/T 11108</w:t>
      </w:r>
      <w:bookmarkEnd w:id="28"/>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SB/T 11149</w:t>
      </w:r>
      <w:r>
        <w:rPr>
          <w:rFonts w:hint="default" w:ascii="Times New Roman" w:hAnsi="Times New Roman" w:cs="Times New Roman"/>
          <w:sz w:val="28"/>
          <w:szCs w:val="28"/>
          <w:highlight w:val="none"/>
          <w:lang w:eastAsia="zh-CN"/>
        </w:rPr>
        <w:t>的要求。</w:t>
      </w:r>
    </w:p>
    <w:p w14:paraId="70610E65">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装修垃圾</w:t>
      </w:r>
    </w:p>
    <w:p w14:paraId="677D94A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装修垃圾的利用宜符合以下要求：</w:t>
      </w:r>
    </w:p>
    <w:p w14:paraId="69930C5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废弃混凝土、砂浆、石材、砖瓦、陶瓷等用于生产再生骨料；</w:t>
      </w:r>
    </w:p>
    <w:p w14:paraId="3A0B67A5">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石膏、加气混凝土砌块等轻质材料用于生产预拌混凝土或预拌砂浆掺合料；</w:t>
      </w:r>
    </w:p>
    <w:p w14:paraId="6F101007">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废弃金属、木材、玻璃、塑料等根据材质分类回收利用。</w:t>
      </w:r>
    </w:p>
    <w:p w14:paraId="55DE1BB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堆放的装修垃圾应及时处置，袋装装修垃圾，应预先破袋且袋内的固体废弃物残留率不应大于</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p>
    <w:p w14:paraId="1E05271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装修垃圾应进行轻质物料重量比例组分分析，轻质物料分选应符合以下要求：</w:t>
      </w:r>
    </w:p>
    <w:p w14:paraId="4E67B18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装修垃圾处置前通过优选机械分选、机器人等方式拣选杂物；</w:t>
      </w:r>
    </w:p>
    <w:p w14:paraId="13EE017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装修垃圾处置过程设置多级风选和筛分设备，分离轻质物料。</w:t>
      </w:r>
    </w:p>
    <w:p w14:paraId="4DA8268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装修垃圾处置后形成的再生骨料，当其轻质物料含量不满足再生产品要求时可选用风选或浮选等工艺予以分离。</w:t>
      </w:r>
    </w:p>
    <w:p w14:paraId="44E3FA2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装修垃圾中的废弃混凝土、石材、砖瓦、陶瓷、砂浆，其再生利用应符合以下要求：</w:t>
      </w:r>
    </w:p>
    <w:p w14:paraId="1BB13702">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装修垃圾用于生产再生混凝土、再生砂浆时采用清洗工艺；</w:t>
      </w:r>
    </w:p>
    <w:p w14:paraId="31B766B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废弃石膏、加气混凝土砌块等轻质材料经分选、破碎、粉磨后可作为非烧结砖、砌块的掺合料。</w:t>
      </w:r>
    </w:p>
    <w:p w14:paraId="666A82E3">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冬期施工</w:t>
      </w:r>
    </w:p>
    <w:p w14:paraId="4A2CF21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施工现场进入冬期后工程渣土、工程泥浆、工程垃圾及越冬维护等工地废弃物处理方法应符合</w:t>
      </w:r>
      <w:r>
        <w:rPr>
          <w:rFonts w:hint="default" w:ascii="Times New Roman" w:hAnsi="Times New Roman" w:cs="Times New Roman"/>
          <w:sz w:val="28"/>
          <w:szCs w:val="28"/>
          <w:highlight w:val="none"/>
          <w:lang w:val="en-US"/>
        </w:rPr>
        <w:t>JGJ/T 104</w:t>
      </w:r>
      <w:r>
        <w:rPr>
          <w:rFonts w:hint="default" w:ascii="Times New Roman" w:hAnsi="Times New Roman" w:cs="Times New Roman"/>
          <w:sz w:val="28"/>
          <w:szCs w:val="28"/>
          <w:highlight w:val="none"/>
          <w:lang w:eastAsia="zh-CN"/>
        </w:rPr>
        <w:t>的要求。</w:t>
      </w:r>
    </w:p>
    <w:p w14:paraId="4A0C4B7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冬期施工工地废弃物处置应编制冬期施工专项方案。</w:t>
      </w:r>
    </w:p>
    <w:p w14:paraId="697B899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工程渣土进行冬期施工前应探明施工地点的地下水位高低及渣土的分类、含水率、重度、冻胀特征等参数并根据天气温度采取不同防冻胀措施。</w:t>
      </w:r>
    </w:p>
    <w:p w14:paraId="1C499874">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工程渣土用作回填时不应含有直径大于</w:t>
      </w:r>
      <w:r>
        <w:rPr>
          <w:rFonts w:hint="default" w:ascii="Times New Roman" w:hAnsi="Times New Roman" w:cs="Times New Roman"/>
          <w:sz w:val="28"/>
          <w:szCs w:val="28"/>
          <w:highlight w:val="none"/>
          <w:lang w:val="en-US"/>
        </w:rPr>
        <w:t>150 mm</w:t>
      </w:r>
      <w:r>
        <w:rPr>
          <w:rFonts w:hint="default" w:ascii="Times New Roman" w:hAnsi="Times New Roman" w:cs="Times New Roman"/>
          <w:sz w:val="28"/>
          <w:szCs w:val="28"/>
          <w:highlight w:val="none"/>
          <w:lang w:eastAsia="zh-CN"/>
        </w:rPr>
        <w:t>的冻土块，且其含量不应超过</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，铺填时冻土块应分散回填并逐层夯实。</w:t>
      </w:r>
    </w:p>
    <w:p w14:paraId="62735D0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工程渣土用作室内地面垫层下回填的土方时填料中不应含有冻土块，并应及时夯实，填方完成后至地面施工前应采取防冻胀措施。</w:t>
      </w:r>
    </w:p>
    <w:p w14:paraId="46BC098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施工现场的填方和排水沟的边坡加固修整不宜采用冻结后工程渣土回填，边坡加固修整时宜在解冻后进行。</w:t>
      </w:r>
    </w:p>
    <w:p w14:paraId="3C737B7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冬期施工处理工程泥浆应对收集管网进行保温包裹，保温层的厚度应保证管网内的泥浆的温度不低于</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p>
    <w:p w14:paraId="6C92A2D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冬期施工现场工程泥浆池或封闭容器应采取防冻胀措施，地下水位过高时采取必要的降水措施。</w:t>
      </w:r>
    </w:p>
    <w:p w14:paraId="591509B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施工现场处理工程泥浆的分离装置、脱水装置和固化处理站可采取加入防冻剂或包裹保温材料的方式进行防冻，加入的防冻剂不应污染工程泥浆拌和水并不应对周围现场造成污染。</w:t>
      </w:r>
    </w:p>
    <w:p w14:paraId="7EDFBC3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冬期施工处理有机工程垃圾时宜采用暖棚法进行处理，并保证暖棚内的温度不低于</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p>
    <w:p w14:paraId="621D120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冬期处理拆除垃圾时应采用防止金属类工地废弃物在过低温度下对人身造成的致冷伤害。</w:t>
      </w:r>
    </w:p>
    <w:p w14:paraId="20B1CB6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冬期不宜在低于</w:t>
      </w:r>
      <w:r>
        <w:rPr>
          <w:rFonts w:hint="default" w:ascii="Times New Roman" w:hAnsi="Times New Roman" w:cs="Times New Roman"/>
          <w:sz w:val="28"/>
          <w:szCs w:val="28"/>
          <w:highlight w:val="none"/>
          <w:lang w:val="en-US"/>
        </w:rPr>
        <w:t>-35℃</w:t>
      </w:r>
      <w:r>
        <w:rPr>
          <w:rFonts w:hint="default" w:ascii="Times New Roman" w:hAnsi="Times New Roman" w:cs="Times New Roman"/>
          <w:sz w:val="28"/>
          <w:szCs w:val="28"/>
          <w:highlight w:val="none"/>
          <w:lang w:eastAsia="zh-CN"/>
        </w:rPr>
        <w:t>条件进行拆除垃圾、废弃混凝土、废弃砂浆的再生粗细骨料的剥离作业和石材、砖瓦、陶瓷的粉磨作业。</w:t>
      </w:r>
    </w:p>
    <w:p w14:paraId="6C1AA700">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越冬维护</w:t>
      </w:r>
    </w:p>
    <w:p w14:paraId="060F348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对于施工现场有取暖要求的工地废弃物处理管网、装置和设备场站在入冬前均应编制越冬维护方案。</w:t>
      </w:r>
    </w:p>
    <w:p w14:paraId="78FE2C1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进入越冬期之前，应依据施工现场的工程地质、水文、当地气温温度、地基土冻胀特征和最大冻结深度等资料制定越冬保温维护措施。</w:t>
      </w:r>
    </w:p>
    <w:p w14:paraId="0274CD1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越冬工程保温维护宜就地取材，保温层的厚度应由热工计算确定，符合</w:t>
      </w:r>
      <w:r>
        <w:rPr>
          <w:rFonts w:hint="default" w:ascii="Times New Roman" w:hAnsi="Times New Roman" w:cs="Times New Roman"/>
          <w:sz w:val="28"/>
          <w:szCs w:val="28"/>
          <w:highlight w:val="none"/>
          <w:lang w:val="en-US"/>
        </w:rPr>
        <w:t>JGJ/T 104</w:t>
      </w:r>
      <w:r>
        <w:rPr>
          <w:rFonts w:hint="default" w:ascii="Times New Roman" w:hAnsi="Times New Roman" w:cs="Times New Roman"/>
          <w:sz w:val="28"/>
          <w:szCs w:val="28"/>
          <w:highlight w:val="none"/>
          <w:lang w:eastAsia="zh-CN"/>
        </w:rPr>
        <w:t>的要求。</w:t>
      </w:r>
    </w:p>
    <w:p w14:paraId="12A1668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越冬维护工程的门窗洞口封闭宜采用多次周转、可重复利用的保温防风材料。</w:t>
      </w:r>
    </w:p>
    <w:p w14:paraId="401D2EE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基础防冻保温方式宜选用不产生工地废弃物并可重复利用的材料。</w:t>
      </w:r>
    </w:p>
    <w:p w14:paraId="0F8F1E4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冬期施工的负温混凝土达到受冻临界强度前的保温防风防雪覆盖材料宜选用可多次使用、可回收定型保温毯或不产生回收垃圾的保温材料。</w:t>
      </w:r>
    </w:p>
    <w:p w14:paraId="046EB62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越冬维护期间采用的各类热源管网宜采用工厂定型的预制保温管材。</w:t>
      </w:r>
    </w:p>
    <w:p w14:paraId="1DE3695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施工现场和建（构）筑物周围应做好排水作业，地基和基础不应被水浸泡，工程泥浆不应倒入建（构）筑物地基和基础中。</w:t>
      </w:r>
    </w:p>
    <w:p w14:paraId="3299DE7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山区坡地施工现场入冬前应根据地表水流动的方向设置截水沟、泄水沟。不应在建（构）筑物底部设置暗沟和管沟疏水。</w:t>
      </w:r>
    </w:p>
    <w:p w14:paraId="173EE96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地废弃物处理设施、场地应采用防止冻土膨胀措施，根据地市所处的地区气候及冻土条件进行设置并计算保温材料厚度，覆盖防水材料选型、冬期防雨雪保护层选择可因地制宜、就地取材，对冻土层冻深减少宜为</w:t>
      </w:r>
      <w:r>
        <w:rPr>
          <w:rFonts w:hint="default" w:ascii="Times New Roman" w:hAnsi="Times New Roman" w:cs="Times New Roman"/>
          <w:sz w:val="28"/>
          <w:szCs w:val="28"/>
          <w:highlight w:val="none"/>
          <w:lang w:val="en-US"/>
        </w:rPr>
        <w:t>1.0 m</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1.5 m</w:t>
      </w:r>
      <w:r>
        <w:rPr>
          <w:rFonts w:hint="default" w:ascii="Times New Roman" w:hAnsi="Times New Roman" w:cs="Times New Roman"/>
          <w:sz w:val="28"/>
          <w:szCs w:val="28"/>
          <w:highlight w:val="none"/>
          <w:lang w:eastAsia="zh-CN"/>
        </w:rPr>
        <w:t>。</w:t>
      </w:r>
    </w:p>
    <w:p w14:paraId="7B70BEB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越冬维护期间施工现场的所有水管管网应排空。</w:t>
      </w:r>
    </w:p>
    <w:p w14:paraId="144288A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越冬维护期间，施工单位应制定施工现场用电、防火、安全环保等责任制，并应有专职人员值班负责越冬维护施工现场安全。</w:t>
      </w:r>
    </w:p>
    <w:p w14:paraId="2D9FED4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越冬期结束后施工单位应对各类越冬使用可重复利用的材料进行收集、分类、再利用或储存，对不能重复使用的拆除材料可按其相应的性质进行收集、分类转运至再生利用单位进行处置。</w:t>
      </w:r>
    </w:p>
    <w:p w14:paraId="44D9B8A8">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9" w:name="_Toc196297840"/>
      <w:r>
        <w:rPr>
          <w:rFonts w:hint="default" w:ascii="Times New Roman" w:hAnsi="Times New Roman" w:cs="Times New Roman"/>
          <w:sz w:val="28"/>
          <w:szCs w:val="28"/>
          <w:highlight w:val="none"/>
          <w:lang w:eastAsia="zh-CN"/>
        </w:rPr>
        <w:t>再生利用</w:t>
      </w:r>
      <w:bookmarkEnd w:id="29"/>
    </w:p>
    <w:p w14:paraId="2F378C4C">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一般要求</w:t>
      </w:r>
    </w:p>
    <w:p w14:paraId="6D1CF20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制定包括工地废弃物具体分类，分时段、分部位、分种类收集存放要求的施工现场工地废弃物分类收集与存放管理制度，有多个单位同时施工的现场应在各自的施工区域内建立工地废弃物管理责任制和进行台账管理。</w:t>
      </w:r>
    </w:p>
    <w:p w14:paraId="5D0D741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施工现场工地废弃物应根据来源、种类和资源化利用要求分类存放并符合以下要求：</w:t>
      </w:r>
    </w:p>
    <w:p w14:paraId="46B5DEF2">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工地废弃物宜采取有罩棚、潮湿喷雾的棚内封闭堆放方式；</w:t>
      </w:r>
    </w:p>
    <w:p w14:paraId="119CDD1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露天堆放时应及时苫盖，喷雾，不应扬尘污染环境；</w:t>
      </w:r>
    </w:p>
    <w:p w14:paraId="7D9BCCD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装修垃圾应采取顶部遮盖或室内堆放方式；</w:t>
      </w:r>
    </w:p>
    <w:p w14:paraId="4382835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堆放高度应满足堆场地基承载力要求宜不高于</w:t>
      </w:r>
      <w:r>
        <w:rPr>
          <w:rFonts w:hint="default" w:ascii="Times New Roman" w:hAnsi="Times New Roman" w:cs="Times New Roman"/>
          <w:sz w:val="28"/>
          <w:szCs w:val="28"/>
          <w:highlight w:val="none"/>
          <w:lang w:val="en-US"/>
        </w:rPr>
        <w:t>3.0 m</w:t>
      </w:r>
      <w:r>
        <w:rPr>
          <w:rFonts w:hint="default" w:ascii="Times New Roman" w:hAnsi="Times New Roman" w:cs="Times New Roman"/>
          <w:sz w:val="28"/>
          <w:szCs w:val="28"/>
          <w:highlight w:val="none"/>
          <w:lang w:eastAsia="zh-CN"/>
        </w:rPr>
        <w:t>。</w:t>
      </w:r>
    </w:p>
    <w:p w14:paraId="206A19D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施工现场工地废弃物运输倾倒应符合以下要求：</w:t>
      </w:r>
    </w:p>
    <w:p w14:paraId="0DEFBD5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任何单位和个人不应随意运输、倾倒施工现场工地废弃物；</w:t>
      </w:r>
    </w:p>
    <w:p w14:paraId="0F39E2C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对于不能进行现场处置和就地利用或无法设立资源利用化场站的现场，垃圾外运时应由核准的从事工地废弃物运输服务的企业运输；</w:t>
      </w:r>
    </w:p>
    <w:p w14:paraId="6595DDD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外运工地废弃物离开现场时，填写施工现场工地废弃物出场统计表，分类堆放的工地废弃物应分别运输。</w:t>
      </w:r>
    </w:p>
    <w:p w14:paraId="1F0023D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工地废弃物堆放和外运时，估算堆放体积和运输车装载量不应超体积堆放超载运输。</w:t>
      </w:r>
    </w:p>
    <w:p w14:paraId="271BE73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施工现场出入口宜安装视频监控设备实时监控运输车辆，应设置车辆冲洗设施，配备专人清洗车辆。</w:t>
      </w:r>
    </w:p>
    <w:p w14:paraId="1369411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施工现场必要的工地废弃物外运应符合以下要求：</w:t>
      </w:r>
    </w:p>
    <w:p w14:paraId="1E6C56D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易产生扬尘污染的施工现场工地废弃物宜采用密封式货车运输；当采用非密封式货车时其装载高度不可超过车辆槽帮上沿并遮盖严实；</w:t>
      </w:r>
    </w:p>
    <w:p w14:paraId="4172CEA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废弃泥浆运输采用密闭式罐车。</w:t>
      </w:r>
    </w:p>
    <w:p w14:paraId="607BB0A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工地废弃物处置与资源化利用宜以现场处置与资源化利用为主、非资源化利用为辅的方式。</w:t>
      </w:r>
    </w:p>
    <w:p w14:paraId="739B2C9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施工现场设置的资源化利用场站应配备独立的质量检验部门和专职检验人员，健全质量检验管理制度，配备经过检定合格、符合使用期限的相应检验检测设备。</w:t>
      </w:r>
    </w:p>
    <w:p w14:paraId="6C2E7CC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施工现场设置的资源化利用场站加工的产品应明确标示相应类型的再生材料或有再生材料的标识信息。</w:t>
      </w:r>
    </w:p>
    <w:p w14:paraId="2800902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施工现场工地废弃物再生原材料和再生产品的放射性要求应符合</w:t>
      </w:r>
      <w:r>
        <w:rPr>
          <w:rFonts w:hint="default" w:ascii="Times New Roman" w:hAnsi="Times New Roman" w:cs="Times New Roman"/>
          <w:sz w:val="28"/>
          <w:szCs w:val="28"/>
          <w:highlight w:val="none"/>
          <w:lang w:val="en-US"/>
        </w:rPr>
        <w:t>GB 6566</w:t>
      </w:r>
      <w:r>
        <w:rPr>
          <w:rFonts w:hint="default" w:ascii="Times New Roman" w:hAnsi="Times New Roman" w:cs="Times New Roman"/>
          <w:sz w:val="28"/>
          <w:szCs w:val="28"/>
          <w:highlight w:val="none"/>
          <w:lang w:eastAsia="zh-CN"/>
        </w:rPr>
        <w:t>的要求。</w:t>
      </w:r>
    </w:p>
    <w:p w14:paraId="31700FC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施工现场工地废弃物应按成分进行资源化利用，符合以下要求：</w:t>
      </w:r>
    </w:p>
    <w:p w14:paraId="03A5242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渣土类工地废弃物可作为制砖和道路工程回填等用原料；</w:t>
      </w:r>
    </w:p>
    <w:p w14:paraId="0AC4442B">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废旧混凝土、碎砖瓦等可作为再生建材用原料；</w:t>
      </w:r>
    </w:p>
    <w:p w14:paraId="114F2A3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废沥青可作为再生沥青原料；</w:t>
      </w:r>
    </w:p>
    <w:p w14:paraId="0BD1F0D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金属类工地废弃物可按原用途使用。</w:t>
      </w:r>
    </w:p>
    <w:p w14:paraId="3F87C0EE">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收集</w:t>
      </w:r>
    </w:p>
    <w:p w14:paraId="646467E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工程渣土根据土层、类别、土壤性质分类收集，符合以下要求：</w:t>
      </w:r>
    </w:p>
    <w:p w14:paraId="23718FBA">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表层耕植土应剥离，不应和其他土类、工地废弃物混合；</w:t>
      </w:r>
    </w:p>
    <w:p w14:paraId="006E4C6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可用作建筑原材料的粉砂（土）、砂土以及卵（砾）石、岩石等应分类收集。</w:t>
      </w:r>
    </w:p>
    <w:p w14:paraId="75A6CD4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工程泥浆应通过施工现场设置的泥浆池或封闭的容器收集、存放，未经处置的泥浆不应就地或随意排放，泥浆池及封闭容器应符合以下要求：</w:t>
      </w:r>
    </w:p>
    <w:p w14:paraId="63B58DB7">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泥浆池应采取防渗漏措施；</w:t>
      </w:r>
    </w:p>
    <w:p w14:paraId="7633CFB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封闭容器内外表面采取除锈、防腐措施，并具有良好的封闭性能。</w:t>
      </w:r>
    </w:p>
    <w:p w14:paraId="3508EFA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规模较大的建设工程，采用泥浆池分离较为困难时宜预先固化处理。</w:t>
      </w:r>
    </w:p>
    <w:p w14:paraId="57ECD4F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施工现场粉末状工地废弃物应采用封闭容器收集、存放，并采取防污染措施。</w:t>
      </w:r>
    </w:p>
    <w:p w14:paraId="1CA9240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工程垃圾应根据建设工程资源化利用专项方案实施分类收集，符合以下要求：</w:t>
      </w:r>
    </w:p>
    <w:p w14:paraId="01A7E857">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工程垃圾资源化利用专项方案应在建设工程施工前编制完成；</w:t>
      </w:r>
    </w:p>
    <w:p w14:paraId="0922B98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桩基工程的工程桩桩头、基坑工程的临时支撑可统一收集，现场破碎、分离混凝土和钢筋时应分类堆放；</w:t>
      </w:r>
    </w:p>
    <w:p w14:paraId="39D9EF7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道路混凝土或沥青混合料应单独收集；</w:t>
      </w:r>
    </w:p>
    <w:p w14:paraId="69587763">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其他工程垃圾不应与工程桩桩头、支撑或道路混凝土、沥青混合料混杂；</w:t>
      </w:r>
    </w:p>
    <w:p w14:paraId="689E9EA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根据工程垃圾堆放尺寸及质量，采用人工、机械和机器人相结合的方法科学收集。</w:t>
      </w:r>
    </w:p>
    <w:p w14:paraId="2E857C5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拆除垃圾应根据拆除工程资源化利用专项方案实施分类收集，符合以下要求：</w:t>
      </w:r>
    </w:p>
    <w:p w14:paraId="1DDC0725">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拆除垃圾资源化利用专项方案应在拆除工程施工前编制完成；</w:t>
      </w:r>
    </w:p>
    <w:p w14:paraId="4B0EA66A">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建筑物拆除前应清空内部设施、设备、家具等物品；</w:t>
      </w:r>
    </w:p>
    <w:p w14:paraId="53EAA2A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附属构件（门、窗等）可先于主体结构拆除并分类堆放；</w:t>
      </w:r>
    </w:p>
    <w:p w14:paraId="312162E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拆除的混凝土梁、柱、楼板构件或其他预制件可统一收集；</w:t>
      </w:r>
    </w:p>
    <w:p w14:paraId="68ED1A83">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砖瓦宜分类堆放，完整的砖瓦可再利用或再生利用；</w:t>
      </w:r>
    </w:p>
    <w:p w14:paraId="6D128BC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根据拆除垃圾堆放尺寸及质量，采用人工、机械和机器人相结合的方法科学收集。</w:t>
      </w:r>
    </w:p>
    <w:p w14:paraId="037FC92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装修垃圾不应与生活垃圾混杂，其分类收集应符合以下要求：</w:t>
      </w:r>
    </w:p>
    <w:p w14:paraId="2B56688A">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较大的装修工程应在施工前编制完成装修垃圾资源化利用专项方案；</w:t>
      </w:r>
    </w:p>
    <w:p w14:paraId="7A084A30">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住宅装修合同应明确业主、施工单位关于装修垃圾分类收集的职责；</w:t>
      </w:r>
    </w:p>
    <w:p w14:paraId="0048FA7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装修垃圾应袋装收集；</w:t>
      </w:r>
    </w:p>
    <w:p w14:paraId="6A0A83F2">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无机装修废料（混凝土、砂浆、砖瓦、陶瓷等）不应与有机杂物、金属等混杂；</w:t>
      </w:r>
    </w:p>
    <w:p w14:paraId="18748B7F">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住宅小区应设置专门的装修垃圾堆放点或应装入专用收集槽、车待处置；</w:t>
      </w:r>
    </w:p>
    <w:p w14:paraId="3DFE513F">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非住宅装修工程的装修垃圾应分类、集中堆放。</w:t>
      </w:r>
    </w:p>
    <w:p w14:paraId="18F94951">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分类和存放</w:t>
      </w:r>
    </w:p>
    <w:p w14:paraId="299EE38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施工现场工地废弃物分类，应符合以下要求：</w:t>
      </w:r>
    </w:p>
    <w:p w14:paraId="680B6FF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施工现场工地废弃物按</w:t>
      </w:r>
      <w:bookmarkStart w:id="30" w:name="OLE_LINK1"/>
      <w:r>
        <w:rPr>
          <w:rFonts w:hint="default" w:ascii="Times New Roman" w:hAnsi="Times New Roman" w:cs="Times New Roman"/>
          <w:sz w:val="28"/>
          <w:szCs w:val="28"/>
          <w:highlight w:val="none"/>
          <w:lang w:val="en-US"/>
        </w:rPr>
        <w:t>CJJ/T 134</w:t>
      </w:r>
      <w:bookmarkEnd w:id="30"/>
      <w:r>
        <w:rPr>
          <w:rFonts w:hint="default" w:ascii="Times New Roman" w:hAnsi="Times New Roman" w:cs="Times New Roman"/>
          <w:sz w:val="28"/>
          <w:szCs w:val="28"/>
          <w:highlight w:val="none"/>
          <w:lang w:eastAsia="zh-CN"/>
        </w:rPr>
        <w:t>分为工程渣土、工程泥浆、工程垃圾、拆除垃圾、装饰垃圾；</w:t>
      </w:r>
    </w:p>
    <w:p w14:paraId="2DB4E43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施工现场工程垃圾和拆除垃圾按材料的化学成分可分为金属类、无机非金属类、混合类；</w:t>
      </w:r>
    </w:p>
    <w:p w14:paraId="151BFA4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各类施工现场工程垃圾范围分类应符合以下要求：</w:t>
      </w:r>
    </w:p>
    <w:p w14:paraId="468C7642">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金属类工程垃圾包括废弃钢筋、铜管、铁丝等黑色金属和有色金属废弃物质；</w:t>
      </w:r>
    </w:p>
    <w:p w14:paraId="6FA02DDB">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无机非金属类工程垃圾包括新拌混凝土、新拌砂浆和水泥浆等流态废弃物，天然石材、硬化混凝土、硬化砂浆、烧土制品、砂、石、硅酸盐制品、陶瓷和玻璃等固体废弃物；</w:t>
      </w:r>
    </w:p>
    <w:p w14:paraId="4ADAE7B7">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混合类工程垃圾指除金属类、无机非金属类以外的轻质金属夹芯板、石膏板等固体废弃物。</w:t>
      </w:r>
    </w:p>
    <w:p w14:paraId="35709F1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施工现场末端处理具备各类工地废弃物利用条件时，应按照末端余下的各类工地废弃物材料的特点分别利用且不应混用。</w:t>
      </w:r>
    </w:p>
    <w:p w14:paraId="06C246B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工程渣土和工程泥浆分类与存放，应符合以下要求：</w:t>
      </w:r>
    </w:p>
    <w:p w14:paraId="5B2F4A9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结合土方回填对土质的要求及场地布置情况，规划现场渣土暂时存放场地；</w:t>
      </w:r>
    </w:p>
    <w:p w14:paraId="003C6CAB">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对临时存放的工程渣土做好覆盖并确保安全稳定；</w:t>
      </w:r>
    </w:p>
    <w:p w14:paraId="0B2CA29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施工时产生的泥浆应排入泥浆池集中存放，泥浆池宜用不透水、可周转的材料制作。</w:t>
      </w:r>
    </w:p>
    <w:p w14:paraId="2473790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工程垃圾和拆除垃圾分类与存放，应符合以下要求：</w:t>
      </w:r>
    </w:p>
    <w:p w14:paraId="3B0333C2">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设置工程垃圾和拆除堆放相对固定收集点用于临时堆放；</w:t>
      </w:r>
    </w:p>
    <w:p w14:paraId="1175040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设置金属类、无机非金属类、混合类等工程垃圾和拆除垃圾的堆放场地，用于垃圾外运之前或再次利用之前临时存放；</w:t>
      </w:r>
    </w:p>
    <w:p w14:paraId="39C1A98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易飞扬的垃圾堆放场地应封闭喷雾，垃圾堆放场地宜采用可重复利用率高的材料建造；</w:t>
      </w:r>
    </w:p>
    <w:p w14:paraId="482BE3B0">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垃圾堆放场地周边应设置明显的、易于辨识的标识标牌，并采取喷淋、覆盖等防尘措施。</w:t>
      </w:r>
    </w:p>
    <w:p w14:paraId="05B5CEC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施工现场应设置工地废弃物存放场地，符合以下要求：</w:t>
      </w:r>
    </w:p>
    <w:p w14:paraId="1188B3F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设置分类存放标识牌；</w:t>
      </w:r>
    </w:p>
    <w:p w14:paraId="29042B0F">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具备分拣、加工、存放的功能；</w:t>
      </w:r>
    </w:p>
    <w:p w14:paraId="5AFA855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高于周围场地不少于</w:t>
      </w:r>
      <w:r>
        <w:rPr>
          <w:rFonts w:hint="default" w:ascii="Times New Roman" w:hAnsi="Times New Roman" w:cs="Times New Roman"/>
          <w:sz w:val="28"/>
          <w:szCs w:val="28"/>
          <w:highlight w:val="none"/>
          <w:lang w:val="en-US"/>
        </w:rPr>
        <w:t>150mm</w:t>
      </w:r>
      <w:r>
        <w:rPr>
          <w:rFonts w:hint="default" w:ascii="Times New Roman" w:hAnsi="Times New Roman" w:cs="Times New Roman"/>
          <w:sz w:val="28"/>
          <w:szCs w:val="28"/>
          <w:highlight w:val="none"/>
          <w:lang w:eastAsia="zh-CN"/>
        </w:rPr>
        <w:t>并设置排水措施；</w:t>
      </w:r>
    </w:p>
    <w:p w14:paraId="48B1373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在施工全周期内存续，其选址应便于工地废弃物清运并随施工部署变化及时调整；</w:t>
      </w:r>
    </w:p>
    <w:p w14:paraId="1ACBD553">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工程渣土存放场地选址时宜结合回填工程对土质的要求及场地布置情况合理规划，渣土存放时应及时覆盖。</w:t>
      </w:r>
    </w:p>
    <w:p w14:paraId="40FED73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采用封闭容器存放施工现场工地废弃物时，应符合以下要求：</w:t>
      </w:r>
    </w:p>
    <w:p w14:paraId="7227733B">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容器内外表面均采取防锈、防腐措施，容器外表面光滑平整，色泽均匀，无波纹、划痕、杂质、气泡和裂纹等缺陷；</w:t>
      </w:r>
    </w:p>
    <w:p w14:paraId="1031AE7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容器连接、焊接牢固，焊缝平整，无烧穿、裂纹、气孔、夹渣等缺陷；</w:t>
      </w:r>
    </w:p>
    <w:p w14:paraId="6F0B9AF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密闭性能良好，在收集存放过程中无臭气散发、垃圾飘撒、污水渗漏等现象；</w:t>
      </w:r>
    </w:p>
    <w:p w14:paraId="7D507847">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有足够强度、刚度，无变形、无损坏。</w:t>
      </w:r>
    </w:p>
    <w:p w14:paraId="43B8AD47">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处置和利用</w:t>
      </w:r>
    </w:p>
    <w:p w14:paraId="34CDC02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施工现场工程渣土和工程泥浆经处置后的利用，宜符合以下要求：</w:t>
      </w:r>
    </w:p>
    <w:p w14:paraId="4DEF150A">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工程回填；</w:t>
      </w:r>
    </w:p>
    <w:p w14:paraId="3A0709B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生活垃圾填埋场覆盖用土；</w:t>
      </w:r>
    </w:p>
    <w:p w14:paraId="3A53E57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工地各类填埋；</w:t>
      </w:r>
    </w:p>
    <w:p w14:paraId="68BCA250">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其它资源化利用。</w:t>
      </w:r>
    </w:p>
    <w:p w14:paraId="3BCAF45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施工现场工程垃圾和拆除垃圾经收集、分类、加工、处置后的利用，宜符合以下要求：</w:t>
      </w:r>
    </w:p>
    <w:p w14:paraId="07ABD033">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作为混凝土、砂浆再生骨料；</w:t>
      </w:r>
    </w:p>
    <w:p w14:paraId="4409DE9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作为抹灰砂浆与砌筑砂浆的掺合料；</w:t>
      </w:r>
    </w:p>
    <w:p w14:paraId="431B4ECA">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原位金属利用；</w:t>
      </w:r>
    </w:p>
    <w:p w14:paraId="75772B1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回填利用；</w:t>
      </w:r>
    </w:p>
    <w:p w14:paraId="1D5A427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填埋处置；</w:t>
      </w:r>
    </w:p>
    <w:p w14:paraId="575B724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其它利用。</w:t>
      </w:r>
    </w:p>
    <w:p w14:paraId="53A72D8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施工现场装饰装修垃圾经收集、分类、加工与处置后的利用，宜符合以下要求：</w:t>
      </w:r>
    </w:p>
    <w:p w14:paraId="4D2432A3">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作为装饰材料的原位利用；</w:t>
      </w:r>
    </w:p>
    <w:p w14:paraId="19A8F86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重新处置后作为原料利用；</w:t>
      </w:r>
    </w:p>
    <w:p w14:paraId="07BC6548">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其它利用。</w:t>
      </w:r>
    </w:p>
    <w:p w14:paraId="4A12EF8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难以就地利用的工地废弃物应采取合法的方式外运并采取相应的防污染、防腐及环保措施，对不能就地利用的废旧钢材、旧模板、废旧塑料等交专门回收公司进行加工和资源化处理，不能进行再生利用的部分装修垃圾等应运至焚烧站进行热回收。</w:t>
      </w:r>
    </w:p>
    <w:p w14:paraId="30CEA8E4">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现场再生料加工</w:t>
      </w:r>
    </w:p>
    <w:p w14:paraId="485CFC7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施工现场应对金属类、无机非金属类、混合类工程垃圾和拆除垃圾分别分类后统一加工。</w:t>
      </w:r>
    </w:p>
    <w:p w14:paraId="01182884">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金属类工程垃圾和拆除垃圾可采用调直、压平、闪光焊、对焊、弧焊、冷连接、套筒连接等方式或根据收集的各类不同金属按其性质进行加工再生利用。</w:t>
      </w:r>
    </w:p>
    <w:p w14:paraId="4717574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无机非金属类工程垃圾和拆除垃圾可采用破碎、剥离、球磨等加工方式形成再生料。</w:t>
      </w:r>
    </w:p>
    <w:p w14:paraId="4400245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混合类工程垃圾和拆除垃圾再生料加工前应进行有机物与无机物分离后，再根据各自垃圾的不同性质进行加工。</w:t>
      </w:r>
    </w:p>
    <w:p w14:paraId="6D202DF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现场再生料加工时不应对环境造成粉尘污染、噪声污染与灯光污染。</w:t>
      </w:r>
    </w:p>
    <w:p w14:paraId="49F169C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现场再生料加工处理时产生的无法利用的边角废料，应统一收集并送至有关部门指定的资源化利用场站二次加工处理。</w:t>
      </w:r>
    </w:p>
    <w:p w14:paraId="7FAABCF7">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再生处置</w:t>
      </w:r>
    </w:p>
    <w:p w14:paraId="0F20BF2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资源化利用再生产品用于建设项目时，应符合以下要求：</w:t>
      </w:r>
    </w:p>
    <w:p w14:paraId="3C6F5A5A">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产品同等性能条件下优先采用再生产品；</w:t>
      </w:r>
    </w:p>
    <w:p w14:paraId="0F5CD44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建设项目范围内的地面道路和停车场应优先采用再生产品；</w:t>
      </w:r>
    </w:p>
    <w:p w14:paraId="223283B8">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建设项目的基础垫层、围墙、管井、管沟、挡土坡及市政道路的路基垫层等部位可采用再生产品；</w:t>
      </w:r>
    </w:p>
    <w:p w14:paraId="73D5288F">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政府投资的建设项目应优先采用再生产品。</w:t>
      </w:r>
    </w:p>
    <w:p w14:paraId="357BBA3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再生骨料可用于生产预拌混凝土、砂浆、砌块、砖、混凝土预制构件等，应符合</w:t>
      </w:r>
      <w:bookmarkStart w:id="31" w:name="_Hlk196299992"/>
      <w:r>
        <w:rPr>
          <w:rFonts w:hint="default" w:ascii="Times New Roman" w:hAnsi="Times New Roman" w:cs="Times New Roman"/>
          <w:sz w:val="28"/>
          <w:szCs w:val="28"/>
          <w:highlight w:val="none"/>
          <w:lang w:val="en-US"/>
        </w:rPr>
        <w:t>JGJ/T 240</w:t>
      </w:r>
      <w:r>
        <w:rPr>
          <w:rFonts w:hint="default" w:ascii="Times New Roman" w:hAnsi="Times New Roman" w:cs="Times New Roman"/>
          <w:sz w:val="28"/>
          <w:szCs w:val="28"/>
          <w:highlight w:val="none"/>
          <w:lang w:eastAsia="zh-CN"/>
        </w:rPr>
        <w:t>的要求。</w:t>
      </w:r>
    </w:p>
    <w:p w14:paraId="40664CA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再生骨料用作混凝土梁、板、柱、剪力墙、楼梯的原材料时，其性能指标应符合</w:t>
      </w:r>
      <w:r>
        <w:rPr>
          <w:rFonts w:hint="default" w:ascii="Times New Roman" w:hAnsi="Times New Roman" w:cs="Times New Roman"/>
          <w:sz w:val="28"/>
          <w:szCs w:val="28"/>
          <w:highlight w:val="none"/>
          <w:lang w:val="en-US"/>
        </w:rPr>
        <w:t>GB/T 50010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50476</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JGJ 55</w:t>
      </w:r>
      <w:r>
        <w:rPr>
          <w:rFonts w:hint="default" w:ascii="Times New Roman" w:hAnsi="Times New Roman" w:cs="Times New Roman"/>
          <w:sz w:val="28"/>
          <w:szCs w:val="28"/>
          <w:highlight w:val="none"/>
          <w:lang w:eastAsia="zh-CN"/>
        </w:rPr>
        <w:t>的要求。</w:t>
      </w:r>
    </w:p>
    <w:p w14:paraId="036F7AA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再生骨料用作城市透水路面、路面砖、海绵城市用透水砖、停车场等透水混凝土的原材料时，其性能指标应符合</w:t>
      </w:r>
      <w:r>
        <w:rPr>
          <w:rFonts w:hint="default" w:ascii="Times New Roman" w:hAnsi="Times New Roman" w:cs="Times New Roman"/>
          <w:sz w:val="28"/>
          <w:szCs w:val="28"/>
          <w:highlight w:val="none"/>
          <w:lang w:val="en-US"/>
        </w:rPr>
        <w:t>CJJ/T 253</w:t>
      </w:r>
      <w:bookmarkEnd w:id="31"/>
      <w:r>
        <w:rPr>
          <w:rFonts w:hint="default" w:ascii="Times New Roman" w:hAnsi="Times New Roman" w:cs="Times New Roman"/>
          <w:sz w:val="28"/>
          <w:szCs w:val="28"/>
          <w:highlight w:val="none"/>
          <w:lang w:eastAsia="zh-CN"/>
        </w:rPr>
        <w:t>的要求。</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2"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32"/>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2DF6068B">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在建筑工程工地废弃料循环再生利用准则的实践探索中，一系列关键试验得以开展。针对废弃混凝土块，进行了不同破碎粒径对再生骨料性能影响的试验，通过调整破碎设备参数，制备出多种粒径规格的再生骨料，并对其压碎指标、吸水率等物理性能进行检测。试验发现，合理控制破碎粒径能有效提升再生骨料质量，为后续再生混凝土的生产提供了重要依据。对于废弃砖瓦，开展了不同掺量下再生砖瓦骨料对砂浆性能影响的试验，结果表明，在一定掺量范围内，再生砖瓦骨料可替代部分天然砂，且砂浆的强度和工作性能能够满足工程要求。此外，还针对废弃木材、钢材等废弃料进行了分类处理与再利用试验，验证了不同处理工艺对废弃料性能恢复和再利用价值的提升效果。</w:t>
      </w:r>
    </w:p>
    <w:p w14:paraId="3EC8A05D">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通过对上述试验数据的分析，可以看出建筑工程工地废弃料具有较高的循环再生利用潜力。合理应用废弃料不仅能减少对天然资源的开采，降低建筑成本，还能有效解决废弃料堆积带来的环境污染问题。基于试验结果制定的建筑工程工地废弃料循环再生利用准则，为工程实践提供了明确的技术指导和规范要求。准则明确了各类废弃料的分类标准、处理工艺、再生产品质量要求以及在工程中的应用范围等，有助于提高废弃料循环再生利用的规范性和科学性。同时，准则的实施还能促进相关产业的发展，推动建筑行业向绿色、可持续方向转型，具有重要的经济、社会和环境效益。</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3"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33"/>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bookmarkStart w:id="41" w:name="_GoBack"/>
      <w:bookmarkEnd w:id="41"/>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4"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34"/>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建筑工程</w:t>
      </w:r>
      <w:r>
        <w:rPr>
          <w:rFonts w:hint="default" w:ascii="Times New Roman" w:hAnsi="Times New Roman" w:cs="Times New Roman" w:eastAsiaTheme="minorEastAsia"/>
          <w:kern w:val="0"/>
          <w:sz w:val="28"/>
          <w:szCs w:val="28"/>
          <w:highlight w:val="none"/>
          <w:lang w:val="en-US" w:eastAsia="zh-CN" w:bidi="ar-SA"/>
        </w:rPr>
        <w:t>企业</w:t>
      </w:r>
      <w:r>
        <w:rPr>
          <w:rFonts w:hint="default" w:ascii="Times New Roman" w:hAnsi="Times New Roman" w:cs="Times New Roman" w:eastAsiaTheme="minorEastAsia"/>
          <w:kern w:val="0"/>
          <w:sz w:val="28"/>
          <w:szCs w:val="28"/>
          <w:highlight w:val="none"/>
          <w:lang w:val="en-US" w:eastAsia="zh-CN" w:bidi="ar-SA"/>
        </w:rPr>
        <w:t>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35"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35"/>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6"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36"/>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7"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37"/>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8"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38"/>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9"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39"/>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0"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40"/>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6A044"/>
    <w:multiLevelType w:val="multilevel"/>
    <w:tmpl w:val="E896A044"/>
    <w:lvl w:ilvl="0" w:tentative="0">
      <w:start w:val="1"/>
      <w:numFmt w:val="none"/>
      <w:suff w:val="nothing"/>
      <w:lvlText w:val="%1"/>
      <w:lvlJc w:val="left"/>
      <w:pPr>
        <w:ind w:left="0" w:firstLine="0"/>
      </w:pPr>
    </w:lvl>
    <w:lvl w:ilvl="1" w:tentative="0">
      <w:start w:val="1"/>
      <w:numFmt w:val="decimal"/>
      <w:pStyle w:val="36"/>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2"/>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0"/>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20018246"/>
    <w:multiLevelType w:val="multilevel"/>
    <w:tmpl w:val="20018246"/>
    <w:lvl w:ilvl="0" w:tentative="0">
      <w:start w:val="1"/>
      <w:numFmt w:val="none"/>
      <w:pStyle w:val="37"/>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41"/>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8E71105"/>
    <w:rsid w:val="19312DFE"/>
    <w:rsid w:val="1F15287C"/>
    <w:rsid w:val="255B6B18"/>
    <w:rsid w:val="279447B3"/>
    <w:rsid w:val="2C2D1EE2"/>
    <w:rsid w:val="2D467F37"/>
    <w:rsid w:val="2DAD6C8F"/>
    <w:rsid w:val="3AFC0F1D"/>
    <w:rsid w:val="3BDF00F2"/>
    <w:rsid w:val="40E14CE3"/>
    <w:rsid w:val="4E77301A"/>
    <w:rsid w:val="542D0422"/>
    <w:rsid w:val="57BF1D4F"/>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34">
    <w:name w:val="标准文件_段 Char"/>
    <w:basedOn w:val="14"/>
    <w:link w:val="35"/>
    <w:uiPriority w:val="0"/>
    <w:rPr>
      <w:rFonts w:hint="eastAsia" w:ascii="宋体" w:hAnsi="Times New Roman" w:eastAsia="宋体" w:cs="宋体"/>
      <w:sz w:val="21"/>
    </w:rPr>
  </w:style>
  <w:style w:type="paragraph" w:customStyle="1" w:styleId="35">
    <w:name w:val="标准文件_段"/>
    <w:basedOn w:val="1"/>
    <w:link w:val="34"/>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6">
    <w:name w:val="标准文件_章标题"/>
    <w:basedOn w:val="1"/>
    <w:next w:val="35"/>
    <w:uiPriority w:val="0"/>
    <w:pPr>
      <w:keepNext w:val="0"/>
      <w:keepLines w:val="0"/>
      <w:widowControl/>
      <w:numPr>
        <w:ilvl w:val="1"/>
        <w:numId w:val="2"/>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7">
    <w:name w:val="标准文件_一级项"/>
    <w:basedOn w:val="1"/>
    <w:uiPriority w:val="0"/>
    <w:pPr>
      <w:keepNext w:val="0"/>
      <w:keepLines w:val="0"/>
      <w:widowControl/>
      <w:numPr>
        <w:ilvl w:val="0"/>
        <w:numId w:val="3"/>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38">
    <w:name w:val="标准文件_一级无标题"/>
    <w:basedOn w:val="39"/>
    <w:uiPriority w:val="0"/>
    <w:pPr>
      <w:keepNext w:val="0"/>
      <w:keepLines w:val="0"/>
      <w:widowControl/>
      <w:numPr>
        <w:ilvl w:val="2"/>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9">
    <w:name w:val="标准文件_一级条标题"/>
    <w:basedOn w:val="36"/>
    <w:next w:val="35"/>
    <w:uiPriority w:val="0"/>
    <w:pPr>
      <w:keepNext w:val="0"/>
      <w:keepLines w:val="0"/>
      <w:widowControl/>
      <w:numPr>
        <w:ilvl w:val="2"/>
        <w:numId w:val="2"/>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40">
    <w:name w:val="标准文件_二级无标题"/>
    <w:uiPriority w:val="0"/>
    <w:pPr>
      <w:keepNext w:val="0"/>
      <w:keepLines w:val="0"/>
      <w:widowControl w:val="0"/>
      <w:numPr>
        <w:ilvl w:val="3"/>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1">
    <w:name w:val="标准文件_二级项2"/>
    <w:basedOn w:val="35"/>
    <w:uiPriority w:val="0"/>
    <w:pPr>
      <w:keepNext w:val="0"/>
      <w:keepLines w:val="0"/>
      <w:widowControl/>
      <w:numPr>
        <w:ilvl w:val="1"/>
        <w:numId w:val="3"/>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 w:type="paragraph" w:customStyle="1" w:styleId="42">
    <w:name w:val="标准文件_术语条一"/>
    <w:basedOn w:val="38"/>
    <w:next w:val="35"/>
    <w:uiPriority w:val="0"/>
    <w:pPr>
      <w:keepNext w:val="0"/>
      <w:keepLines w:val="0"/>
      <w:widowControl/>
      <w:numPr>
        <w:ilvl w:val="2"/>
        <w:numId w:val="2"/>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1486</Words>
  <Characters>1507</Characters>
  <Lines>62</Lines>
  <Paragraphs>17</Paragraphs>
  <TotalTime>7</TotalTime>
  <ScaleCrop>false</ScaleCrop>
  <LinksUpToDate>false</LinksUpToDate>
  <CharactersWithSpaces>1551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JuneRain</cp:lastModifiedBy>
  <dcterms:modified xsi:type="dcterms:W3CDTF">2025-04-23T09:17:53Z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