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F08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0AC92B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785472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91.040.30</w:t>
            </w:r>
            <w:r>
              <w:rPr>
                <w:rFonts w:ascii="黑体" w:hAnsi="黑体" w:eastAsia="黑体"/>
                <w:sz w:val="21"/>
                <w:szCs w:val="21"/>
              </w:rPr>
              <w:fldChar w:fldCharType="end"/>
            </w:r>
            <w:bookmarkEnd w:id="0"/>
          </w:p>
        </w:tc>
      </w:tr>
      <w:tr w14:paraId="505D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6CB09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2153C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BBFA477">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33C9661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30</w:t>
            </w:r>
            <w:r>
              <w:rPr>
                <w:rFonts w:ascii="黑体" w:hAnsi="黑体" w:eastAsia="黑体"/>
                <w:sz w:val="21"/>
                <w:szCs w:val="21"/>
              </w:rPr>
              <w:fldChar w:fldCharType="end"/>
            </w:r>
            <w:bookmarkEnd w:id="2"/>
          </w:p>
        </w:tc>
      </w:tr>
    </w:tbl>
    <w:p w14:paraId="37CF09A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CB2772E">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592F0F0">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131D6C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090428">
      <w:pPr>
        <w:pStyle w:val="50"/>
        <w:framePr w:w="9639" w:h="6976" w:hRule="exact" w:hSpace="0" w:vSpace="0" w:wrap="around" w:hAnchor="page" w:y="6408"/>
        <w:jc w:val="center"/>
        <w:rPr>
          <w:rFonts w:hint="eastAsia" w:ascii="黑体" w:hAnsi="黑体" w:eastAsia="黑体"/>
          <w:b w:val="0"/>
          <w:bCs w:val="0"/>
          <w:w w:val="100"/>
        </w:rPr>
      </w:pPr>
    </w:p>
    <w:p w14:paraId="14F13C3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绿色建筑智能通风系统集成施工技术要求</w:t>
      </w:r>
      <w:r>
        <w:fldChar w:fldCharType="end"/>
      </w:r>
      <w:bookmarkEnd w:id="9"/>
    </w:p>
    <w:p w14:paraId="059EC61F">
      <w:pPr>
        <w:framePr w:w="9639" w:h="6974" w:hRule="exact" w:wrap="around" w:vAnchor="page" w:hAnchor="page" w:x="1419" w:y="6408" w:anchorLock="1"/>
        <w:ind w:left="-1418"/>
      </w:pPr>
    </w:p>
    <w:p w14:paraId="37234E1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requirements for integrated construction of intelligent ventilation systems in green buildings</w:t>
      </w:r>
      <w:r>
        <w:rPr>
          <w:rFonts w:eastAsia="黑体"/>
          <w:szCs w:val="28"/>
        </w:rPr>
        <w:fldChar w:fldCharType="end"/>
      </w:r>
      <w:bookmarkEnd w:id="10"/>
    </w:p>
    <w:p w14:paraId="607745A8">
      <w:pPr>
        <w:framePr w:w="9639" w:h="6974" w:hRule="exact" w:wrap="around" w:vAnchor="page" w:hAnchor="page" w:x="1419" w:y="6408" w:anchorLock="1"/>
        <w:spacing w:line="760" w:lineRule="exact"/>
        <w:ind w:left="-1418"/>
      </w:pPr>
    </w:p>
    <w:p w14:paraId="5AB8298D">
      <w:pPr>
        <w:pStyle w:val="125"/>
        <w:framePr w:w="9639" w:h="6974" w:hRule="exact" w:wrap="around" w:vAnchor="page" w:hAnchor="page" w:x="1419" w:y="6408" w:anchorLock="1"/>
        <w:textAlignment w:val="bottom"/>
        <w:rPr>
          <w:rFonts w:eastAsia="黑体"/>
          <w:szCs w:val="28"/>
        </w:rPr>
      </w:pPr>
    </w:p>
    <w:p w14:paraId="661EF92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D498C2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992DAD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1E10FD7">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298060">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D2EB17A">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35B5D8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89EE4C2">
      <w:pPr>
        <w:pStyle w:val="91"/>
        <w:spacing w:after="360"/>
        <w:rPr>
          <w:rFonts w:hint="eastAsia"/>
        </w:rPr>
      </w:pPr>
      <w:bookmarkStart w:id="21" w:name="BookMark1"/>
      <w:r>
        <w:rPr>
          <w:rFonts w:hint="eastAsia"/>
          <w:spacing w:val="320"/>
        </w:rPr>
        <w:t>目</w:t>
      </w:r>
      <w:r>
        <w:rPr>
          <w:rFonts w:hint="eastAsia"/>
        </w:rPr>
        <w:t>次</w:t>
      </w:r>
    </w:p>
    <w:p w14:paraId="6F1B17B5">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"_Toc197531751"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_Toc197531751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D696FA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"_Toc197531752"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0ECCE3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"_Toc197531753"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7AF82D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"_Toc197531754"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33A9BA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"_Toc197531755" </w:instrText>
      </w:r>
      <w:r>
        <w:fldChar w:fldCharType="separate"/>
      </w:r>
      <w:r>
        <w:rPr>
          <w:rStyle w:val="32"/>
          <w:rFonts w:ascii="Times New Roman"/>
        </w:rPr>
        <w:t>4  系统设计要求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A71A4E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"_Toc197531756" </w:instrText>
      </w:r>
      <w:r>
        <w:fldChar w:fldCharType="separate"/>
      </w:r>
      <w:r>
        <w:rPr>
          <w:rStyle w:val="32"/>
          <w:rFonts w:ascii="Times New Roman"/>
        </w:rPr>
        <w:t>5  设备与材料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4CF8F2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"_Toc197531757" </w:instrText>
      </w:r>
      <w:r>
        <w:fldChar w:fldCharType="separate"/>
      </w:r>
      <w:r>
        <w:rPr>
          <w:rStyle w:val="32"/>
          <w:rFonts w:ascii="Times New Roman"/>
        </w:rPr>
        <w:t>6  施工工艺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_Toc197531757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9B39A3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"_Toc197531758" </w:instrText>
      </w:r>
      <w:r>
        <w:fldChar w:fldCharType="separate"/>
      </w:r>
      <w:r>
        <w:rPr>
          <w:rStyle w:val="32"/>
          <w:rFonts w:ascii="Times New Roman"/>
        </w:rPr>
        <w:t>7  智能控制集成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_Toc197531758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A30220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"_Toc197531759" </w:instrText>
      </w:r>
      <w:r>
        <w:fldChar w:fldCharType="separate"/>
      </w:r>
      <w:r>
        <w:rPr>
          <w:rStyle w:val="32"/>
          <w:rFonts w:ascii="Times New Roman"/>
        </w:rPr>
        <w:t>8  调试与验收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_Toc197531759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5396053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"_Toc197531760" </w:instrText>
      </w:r>
      <w:r>
        <w:fldChar w:fldCharType="separate"/>
      </w:r>
      <w:r>
        <w:rPr>
          <w:rStyle w:val="32"/>
          <w:rFonts w:ascii="Times New Roman"/>
        </w:rPr>
        <w:t>9  运行维护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_Toc197531760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14FFEF9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1682CE9D">
      <w:pPr>
        <w:pStyle w:val="89"/>
        <w:spacing w:before="900" w:after="360"/>
        <w:rPr>
          <w:rFonts w:ascii="Times New Roman"/>
        </w:rPr>
      </w:pPr>
      <w:bookmarkStart w:id="22" w:name="_Toc197531751"/>
      <w:bookmarkStart w:id="23" w:name="BookMark2"/>
      <w:r>
        <w:rPr>
          <w:rFonts w:ascii="Times New Roman"/>
          <w:spacing w:val="320"/>
        </w:rPr>
        <w:t>前</w:t>
      </w:r>
      <w:r>
        <w:rPr>
          <w:rFonts w:ascii="Times New Roman"/>
        </w:rPr>
        <w:t>言</w:t>
      </w:r>
      <w:bookmarkEnd w:id="22"/>
    </w:p>
    <w:p w14:paraId="1B8FB171">
      <w:pPr>
        <w:pStyle w:val="56"/>
        <w:ind w:firstLine="420"/>
        <w:rPr>
          <w:rFonts w:ascii="Times New Roman"/>
        </w:rPr>
      </w:pPr>
      <w:r>
        <w:rPr>
          <w:rFonts w:ascii="Times New Roman"/>
        </w:rPr>
        <w:t>本文件按照GB/T 1.1—2020《标准化工作导则  第1部分：标准化文件的结构和起草规则》的规定起草。</w:t>
      </w:r>
    </w:p>
    <w:p w14:paraId="28130A4E">
      <w:pPr>
        <w:pStyle w:val="56"/>
        <w:ind w:firstLine="420"/>
        <w:rPr>
          <w:rFonts w:ascii="Times New Roman"/>
        </w:rPr>
      </w:pPr>
      <w:r>
        <w:rPr>
          <w:rFonts w:ascii="Times New Roman"/>
        </w:rPr>
        <w:t>请注意本文件的某些内容可能涉及专利。本文件的发布机构不承担识别专利的责任。</w:t>
      </w:r>
    </w:p>
    <w:p w14:paraId="1E055909">
      <w:pPr>
        <w:pStyle w:val="56"/>
        <w:ind w:firstLine="420"/>
        <w:rPr>
          <w:rFonts w:ascii="Times New Roman"/>
        </w:rPr>
      </w:pPr>
      <w:r>
        <w:rPr>
          <w:rFonts w:ascii="Times New Roman"/>
        </w:rPr>
        <w:t>本文件由</w:t>
      </w:r>
      <w:r>
        <w:rPr>
          <w:rFonts w:hint="eastAsia" w:ascii="Times New Roman"/>
        </w:rPr>
        <w:t>龙泉市住房保障服务中心</w:t>
      </w:r>
      <w:r>
        <w:rPr>
          <w:rFonts w:ascii="Times New Roman"/>
        </w:rPr>
        <w:t>提出。</w:t>
      </w:r>
    </w:p>
    <w:p w14:paraId="748B84AC">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35669D4B">
      <w:pPr>
        <w:pStyle w:val="56"/>
        <w:ind w:firstLine="420"/>
        <w:rPr>
          <w:rFonts w:hint="eastAsia" w:ascii="Times New Roman" w:eastAsia="宋体"/>
          <w:lang w:eastAsia="zh-CN"/>
        </w:rPr>
      </w:pPr>
      <w:r>
        <w:rPr>
          <w:rFonts w:ascii="Times New Roman"/>
        </w:rPr>
        <w:t>本文件起草单位：</w:t>
      </w:r>
      <w:r>
        <w:rPr>
          <w:rFonts w:hint="eastAsia" w:ascii="Times New Roman"/>
        </w:rPr>
        <w:t>龙泉市住房保障服务中心</w:t>
      </w:r>
      <w:r>
        <w:rPr>
          <w:rFonts w:hint="eastAsia" w:ascii="Times New Roman"/>
          <w:lang w:eastAsia="zh-CN"/>
        </w:rPr>
        <w:t>。</w:t>
      </w:r>
    </w:p>
    <w:p w14:paraId="79F79E10">
      <w:pPr>
        <w:pStyle w:val="56"/>
        <w:ind w:firstLine="420"/>
        <w:rPr>
          <w:rFonts w:ascii="Times New Roman"/>
        </w:rPr>
      </w:pPr>
      <w:r>
        <w:rPr>
          <w:rFonts w:ascii="Times New Roman"/>
        </w:rPr>
        <w:t>本文件主要起草人：</w:t>
      </w:r>
    </w:p>
    <w:p w14:paraId="1C53ACFC">
      <w:pPr>
        <w:pStyle w:val="56"/>
        <w:ind w:firstLine="420"/>
        <w:rPr>
          <w:rFonts w:ascii="Times New Roman"/>
        </w:rPr>
      </w:pPr>
    </w:p>
    <w:p w14:paraId="5F8D1135">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57" w:name="_GoBack"/>
      <w:bookmarkEnd w:id="57"/>
    </w:p>
    <w:bookmarkEnd w:id="23"/>
    <w:p w14:paraId="1320C7F6">
      <w:pPr>
        <w:spacing w:line="20" w:lineRule="exact"/>
        <w:jc w:val="center"/>
        <w:rPr>
          <w:rFonts w:ascii="Times New Roman" w:hAnsi="Times New Roman" w:eastAsia="黑体"/>
          <w:sz w:val="32"/>
          <w:szCs w:val="32"/>
        </w:rPr>
      </w:pPr>
      <w:bookmarkStart w:id="24" w:name="BookMark4"/>
    </w:p>
    <w:p w14:paraId="6BA3E4D5">
      <w:pPr>
        <w:spacing w:line="20" w:lineRule="exact"/>
        <w:jc w:val="center"/>
        <w:rPr>
          <w:rFonts w:ascii="Times New Roman" w:hAnsi="Times New Roman" w:eastAsia="黑体"/>
          <w:sz w:val="32"/>
          <w:szCs w:val="32"/>
        </w:rPr>
      </w:pPr>
    </w:p>
    <w:sdt>
      <w:sdtPr>
        <w:tag w:val="NEW_STAND_NAME"/>
        <w:id w:val="595910757"/>
        <w:lock w:val="sdtLocked"/>
        <w:placeholder>
          <w:docPart w:val="FC05843CFDEC4E62B1BD33AC68804CB6"/>
        </w:placeholder>
      </w:sdtPr>
      <w:sdtContent>
        <w:p w14:paraId="098EAFA0">
          <w:pPr>
            <w:pStyle w:val="177"/>
            <w:spacing w:before="240" w:beforeLines="100" w:after="528" w:afterLines="220"/>
          </w:pPr>
          <w:bookmarkStart w:id="25" w:name="NEW_STAND_NAME"/>
          <w:r>
            <w:rPr>
              <w:rFonts w:hint="eastAsia"/>
            </w:rPr>
            <w:t>绿色建筑智能通风系统集成施工技术要求</w:t>
          </w:r>
        </w:p>
      </w:sdtContent>
    </w:sdt>
    <w:bookmarkEnd w:id="25"/>
    <w:p w14:paraId="41F4447F">
      <w:pPr>
        <w:pStyle w:val="104"/>
        <w:spacing w:before="240" w:after="240"/>
        <w:rPr>
          <w:rFonts w:ascii="Times New Roman"/>
        </w:rPr>
      </w:pPr>
      <w:bookmarkStart w:id="26" w:name="_Toc26986771"/>
      <w:bookmarkStart w:id="27" w:name="_Toc26718930"/>
      <w:bookmarkStart w:id="28" w:name="_Toc24884211"/>
      <w:bookmarkStart w:id="29" w:name="_Toc17233325"/>
      <w:bookmarkStart w:id="30" w:name="_Toc97192964"/>
      <w:bookmarkStart w:id="31" w:name="_Toc17233333"/>
      <w:bookmarkStart w:id="32" w:name="_Toc26648465"/>
      <w:bookmarkStart w:id="33" w:name="_Toc26986530"/>
      <w:bookmarkStart w:id="34" w:name="_Toc197531752"/>
      <w:bookmarkStart w:id="35" w:name="_Toc24884218"/>
      <w:bookmarkStart w:id="36" w:name="_Hlk197532485"/>
      <w:r>
        <w:rPr>
          <w:rFonts w:ascii="Times New Roman"/>
        </w:rPr>
        <w:t>范围</w:t>
      </w:r>
      <w:bookmarkEnd w:id="26"/>
      <w:bookmarkEnd w:id="27"/>
      <w:bookmarkEnd w:id="28"/>
      <w:bookmarkEnd w:id="29"/>
      <w:bookmarkEnd w:id="30"/>
      <w:bookmarkEnd w:id="31"/>
      <w:bookmarkEnd w:id="32"/>
      <w:bookmarkEnd w:id="33"/>
      <w:bookmarkEnd w:id="34"/>
      <w:bookmarkEnd w:id="35"/>
    </w:p>
    <w:p w14:paraId="7F060A09">
      <w:pPr>
        <w:pStyle w:val="56"/>
        <w:ind w:firstLine="420"/>
        <w:rPr>
          <w:rFonts w:ascii="Times New Roman"/>
        </w:rPr>
      </w:pPr>
      <w:bookmarkStart w:id="37" w:name="_Toc24884219"/>
      <w:bookmarkStart w:id="38" w:name="_Toc24884212"/>
      <w:bookmarkStart w:id="39" w:name="_Toc17233326"/>
      <w:bookmarkStart w:id="40" w:name="_Toc26648466"/>
      <w:bookmarkStart w:id="41" w:name="_Toc17233334"/>
      <w:r>
        <w:rPr>
          <w:rFonts w:ascii="Times New Roman"/>
        </w:rPr>
        <w:t>本文件规定了绿色建筑智能通风系统集成施工的术语和定义、系统设计要求、设备与材料、施工工艺、智能控制集成、调试与验收、运行维护。</w:t>
      </w:r>
    </w:p>
    <w:p w14:paraId="52F49EE4">
      <w:pPr>
        <w:pStyle w:val="56"/>
        <w:ind w:firstLine="420"/>
        <w:rPr>
          <w:rFonts w:ascii="Times New Roman"/>
        </w:rPr>
      </w:pPr>
      <w:r>
        <w:rPr>
          <w:rFonts w:ascii="Times New Roman"/>
        </w:rPr>
        <w:t>本文件适用于绿色建筑智能通风系统集成施工。</w:t>
      </w:r>
    </w:p>
    <w:p w14:paraId="0D807A1B">
      <w:pPr>
        <w:pStyle w:val="104"/>
        <w:spacing w:before="240" w:after="240"/>
        <w:rPr>
          <w:rFonts w:ascii="Times New Roman"/>
        </w:rPr>
      </w:pPr>
      <w:bookmarkStart w:id="42" w:name="_Toc97192965"/>
      <w:bookmarkStart w:id="43" w:name="_Toc26986531"/>
      <w:bookmarkStart w:id="44" w:name="_Toc26986772"/>
      <w:bookmarkStart w:id="45" w:name="_Toc197531753"/>
      <w:bookmarkStart w:id="46" w:name="_Toc26718931"/>
      <w:r>
        <w:rPr>
          <w:rFonts w:ascii="Times New Roman"/>
        </w:rPr>
        <w:t>规范性引用文件</w:t>
      </w:r>
      <w:bookmarkEnd w:id="37"/>
      <w:bookmarkEnd w:id="38"/>
      <w:bookmarkEnd w:id="39"/>
      <w:bookmarkEnd w:id="40"/>
      <w:bookmarkEnd w:id="41"/>
      <w:bookmarkEnd w:id="42"/>
      <w:bookmarkEnd w:id="43"/>
      <w:bookmarkEnd w:id="44"/>
      <w:bookmarkEnd w:id="45"/>
      <w:bookmarkEnd w:id="46"/>
      <w:r>
        <w:rPr>
          <w:rFonts w:ascii="Times New Roman"/>
        </w:rPr>
        <w:t xml:space="preserve"> </w:t>
      </w:r>
    </w:p>
    <w:sdt>
      <w:sdtPr>
        <w:rPr>
          <w:rFonts w:ascii="Times New Roman"/>
        </w:rPr>
        <w:id w:val="715848253"/>
        <w:placeholder>
          <w:docPart w:val="75D1A4FE8A3B4981B698BA9E521FD1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4D91928">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A0DB0D">
      <w:pPr>
        <w:pStyle w:val="56"/>
        <w:ind w:firstLine="420"/>
        <w:rPr>
          <w:rFonts w:ascii="Times New Roman"/>
        </w:rPr>
      </w:pPr>
      <w:r>
        <w:rPr>
          <w:rFonts w:ascii="Times New Roman"/>
        </w:rPr>
        <w:t>GB 50118 民用建筑隔声设计规范</w:t>
      </w:r>
    </w:p>
    <w:p w14:paraId="67A6C19C">
      <w:pPr>
        <w:pStyle w:val="56"/>
        <w:ind w:firstLine="420"/>
        <w:rPr>
          <w:rFonts w:ascii="Times New Roman"/>
        </w:rPr>
      </w:pPr>
      <w:r>
        <w:rPr>
          <w:rFonts w:ascii="Times New Roman"/>
        </w:rPr>
        <w:t>GB/T 18883 室内空气质量标准</w:t>
      </w:r>
    </w:p>
    <w:p w14:paraId="035E72B7">
      <w:pPr>
        <w:pStyle w:val="104"/>
        <w:spacing w:before="240" w:after="240"/>
        <w:rPr>
          <w:rFonts w:ascii="Times New Roman"/>
        </w:rPr>
      </w:pPr>
      <w:bookmarkStart w:id="47" w:name="_Toc97192966"/>
      <w:bookmarkStart w:id="48" w:name="_Toc197531754"/>
      <w:r>
        <w:rPr>
          <w:rFonts w:ascii="Times New Roman"/>
          <w:szCs w:val="21"/>
        </w:rPr>
        <w:t>术语和定义</w:t>
      </w:r>
      <w:bookmarkEnd w:id="47"/>
      <w:bookmarkEnd w:id="48"/>
    </w:p>
    <w:sdt>
      <w:sdtPr>
        <w:rPr>
          <w:rFonts w:ascii="Times New Roman"/>
        </w:rPr>
        <w:id w:val="-1909835108"/>
        <w:placeholder>
          <w:docPart w:val="8A4F7776F40741458B3D0B7B74C0008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59637F51">
          <w:pPr>
            <w:pStyle w:val="56"/>
            <w:ind w:firstLine="420"/>
            <w:rPr>
              <w:rFonts w:ascii="Times New Roman"/>
            </w:rPr>
          </w:pPr>
          <w:bookmarkStart w:id="49" w:name="_Toc26986532"/>
          <w:bookmarkEnd w:id="49"/>
          <w:r>
            <w:rPr>
              <w:rFonts w:ascii="Times New Roman"/>
            </w:rPr>
            <w:t>下列术语和定义适用于本文件。</w:t>
          </w:r>
        </w:p>
      </w:sdtContent>
    </w:sdt>
    <w:p w14:paraId="417D3231">
      <w:pPr>
        <w:pStyle w:val="223"/>
        <w:ind w:left="420" w:hanging="420" w:hangingChars="200"/>
        <w:rPr>
          <w:rFonts w:ascii="Times New Roman" w:eastAsia="黑体"/>
        </w:rPr>
      </w:pPr>
      <w:r>
        <w:rPr>
          <w:rFonts w:ascii="Times New Roman" w:eastAsia="黑体"/>
        </w:rPr>
        <w:br w:type="textWrapping"/>
      </w:r>
      <w:r>
        <w:rPr>
          <w:rFonts w:ascii="Times New Roman" w:eastAsia="黑体"/>
        </w:rPr>
        <w:t>智能通风系统 intelligent ventilation system</w:t>
      </w:r>
    </w:p>
    <w:p w14:paraId="5918200A">
      <w:pPr>
        <w:pStyle w:val="56"/>
        <w:ind w:firstLine="420"/>
        <w:rPr>
          <w:rFonts w:ascii="Times New Roman"/>
        </w:rPr>
      </w:pPr>
      <w:r>
        <w:rPr>
          <w:rFonts w:ascii="Times New Roman"/>
        </w:rPr>
        <w:t>基于传感器网络、自动控制技术与数据分析平台，能够根据建筑环境参数实时调节通风量的主动式环境控制系统。</w:t>
      </w:r>
    </w:p>
    <w:p w14:paraId="3207D97E">
      <w:pPr>
        <w:pStyle w:val="223"/>
        <w:ind w:left="420" w:hanging="420" w:hangingChars="200"/>
        <w:rPr>
          <w:rFonts w:ascii="Times New Roman" w:eastAsia="黑体"/>
        </w:rPr>
      </w:pPr>
      <w:r>
        <w:rPr>
          <w:rFonts w:ascii="Times New Roman" w:eastAsia="黑体"/>
        </w:rPr>
        <w:br w:type="textWrapping"/>
      </w:r>
      <w:r>
        <w:rPr>
          <w:rFonts w:ascii="Times New Roman" w:eastAsia="黑体"/>
        </w:rPr>
        <w:t>环境参数 environmental parameters</w:t>
      </w:r>
    </w:p>
    <w:p w14:paraId="0D9202C4">
      <w:pPr>
        <w:pStyle w:val="56"/>
        <w:ind w:firstLine="420"/>
        <w:rPr>
          <w:rFonts w:ascii="Times New Roman"/>
        </w:rPr>
      </w:pPr>
      <w:r>
        <w:rPr>
          <w:rFonts w:ascii="Times New Roman"/>
        </w:rPr>
        <w:t>反映建筑室内外环境状态的物理量，包括但不限于温度、湿度、二氧化碳浓度、颗粒物浓度及风速。</w:t>
      </w:r>
    </w:p>
    <w:p w14:paraId="29A40262">
      <w:pPr>
        <w:pStyle w:val="104"/>
        <w:spacing w:before="240" w:after="240"/>
        <w:rPr>
          <w:rFonts w:ascii="Times New Roman"/>
        </w:rPr>
      </w:pPr>
      <w:bookmarkStart w:id="50" w:name="_Toc197531755"/>
      <w:r>
        <w:rPr>
          <w:rFonts w:ascii="Times New Roman"/>
        </w:rPr>
        <w:t>系统设计要求</w:t>
      </w:r>
      <w:bookmarkEnd w:id="50"/>
    </w:p>
    <w:p w14:paraId="13FC3030">
      <w:pPr>
        <w:pStyle w:val="105"/>
        <w:spacing w:before="120" w:after="120"/>
        <w:rPr>
          <w:rFonts w:ascii="Times New Roman"/>
        </w:rPr>
      </w:pPr>
      <w:r>
        <w:rPr>
          <w:rFonts w:ascii="Times New Roman"/>
        </w:rPr>
        <w:t>设计原则</w:t>
      </w:r>
    </w:p>
    <w:p w14:paraId="4CD158F5">
      <w:pPr>
        <w:pStyle w:val="165"/>
        <w:rPr>
          <w:rFonts w:ascii="Times New Roman"/>
        </w:rPr>
      </w:pPr>
      <w:r>
        <w:rPr>
          <w:rFonts w:ascii="Times New Roman"/>
        </w:rPr>
        <w:t>系统设计应遵循安全性、可靠性、节能性与智能化相统一的原则，满足建筑功能需求及长期运维要求。</w:t>
      </w:r>
    </w:p>
    <w:p w14:paraId="164E9FB3">
      <w:pPr>
        <w:pStyle w:val="165"/>
        <w:rPr>
          <w:rFonts w:ascii="Times New Roman"/>
        </w:rPr>
      </w:pPr>
      <w:r>
        <w:rPr>
          <w:rFonts w:ascii="Times New Roman"/>
        </w:rPr>
        <w:t>系统设计宜与建筑暖通空调、消防、电气等专业协同规划，确保多系统数据互通及逻辑联动。</w:t>
      </w:r>
    </w:p>
    <w:p w14:paraId="615150B2">
      <w:pPr>
        <w:pStyle w:val="165"/>
        <w:rPr>
          <w:rFonts w:ascii="Times New Roman"/>
        </w:rPr>
      </w:pPr>
      <w:r>
        <w:rPr>
          <w:rFonts w:ascii="Times New Roman"/>
        </w:rPr>
        <w:t>通风系统应优先采用自适应控制策略，根据环境参数动态调整运行模式，降低能源消耗。</w:t>
      </w:r>
    </w:p>
    <w:p w14:paraId="07919F20">
      <w:pPr>
        <w:pStyle w:val="165"/>
        <w:rPr>
          <w:rFonts w:ascii="Times New Roman"/>
        </w:rPr>
      </w:pPr>
      <w:r>
        <w:rPr>
          <w:rFonts w:ascii="Times New Roman"/>
        </w:rPr>
        <w:t>设备选型及布局应综合考虑建筑空间特征、使用场景及后期扩展需求，宜预留不少于20%的容量冗余。</w:t>
      </w:r>
    </w:p>
    <w:p w14:paraId="789235A9">
      <w:pPr>
        <w:pStyle w:val="165"/>
        <w:rPr>
          <w:rFonts w:ascii="Times New Roman"/>
        </w:rPr>
      </w:pPr>
      <w:r>
        <w:rPr>
          <w:rFonts w:ascii="Times New Roman"/>
        </w:rPr>
        <w:t>控制逻辑设计应具备抗干扰能力，避免因单点故障导致系统整体失效。</w:t>
      </w:r>
    </w:p>
    <w:p w14:paraId="4D34FB70">
      <w:pPr>
        <w:pStyle w:val="105"/>
        <w:spacing w:before="120" w:after="120"/>
        <w:rPr>
          <w:rFonts w:ascii="Times New Roman"/>
        </w:rPr>
      </w:pPr>
      <w:r>
        <w:rPr>
          <w:rFonts w:ascii="Times New Roman"/>
        </w:rPr>
        <w:t>功能规划</w:t>
      </w:r>
    </w:p>
    <w:p w14:paraId="049ED474">
      <w:pPr>
        <w:pStyle w:val="65"/>
        <w:spacing w:before="120" w:after="120"/>
        <w:rPr>
          <w:rFonts w:ascii="Times New Roman"/>
        </w:rPr>
      </w:pPr>
      <w:r>
        <w:rPr>
          <w:rFonts w:ascii="Times New Roman"/>
        </w:rPr>
        <w:t>基础控制功能</w:t>
      </w:r>
    </w:p>
    <w:p w14:paraId="7AAADC9A">
      <w:pPr>
        <w:pStyle w:val="164"/>
        <w:rPr>
          <w:rFonts w:ascii="Times New Roman"/>
        </w:rPr>
      </w:pPr>
      <w:r>
        <w:rPr>
          <w:rFonts w:ascii="Times New Roman"/>
        </w:rPr>
        <w:t>系统应实现风机启停、风量调节、风向切换等基础控制功能，支持本地手动操作与远程自动控制。</w:t>
      </w:r>
    </w:p>
    <w:p w14:paraId="07DE0326">
      <w:pPr>
        <w:pStyle w:val="164"/>
        <w:rPr>
          <w:rFonts w:ascii="Times New Roman"/>
        </w:rPr>
      </w:pPr>
      <w:r>
        <w:rPr>
          <w:rFonts w:ascii="Times New Roman"/>
        </w:rPr>
        <w:t>宜采用分区域独立控制策略，不同功能分区的运行参数应可独立设定及调整。</w:t>
      </w:r>
    </w:p>
    <w:p w14:paraId="6B2B7E60">
      <w:pPr>
        <w:pStyle w:val="65"/>
        <w:spacing w:before="120" w:after="120"/>
        <w:rPr>
          <w:rFonts w:ascii="Times New Roman"/>
        </w:rPr>
      </w:pPr>
      <w:r>
        <w:rPr>
          <w:rFonts w:ascii="Times New Roman"/>
        </w:rPr>
        <w:t>智能联动功能</w:t>
      </w:r>
    </w:p>
    <w:p w14:paraId="7E9C2434">
      <w:pPr>
        <w:pStyle w:val="164"/>
        <w:rPr>
          <w:rFonts w:ascii="Times New Roman"/>
        </w:rPr>
      </w:pPr>
      <w:r>
        <w:rPr>
          <w:rFonts w:ascii="Times New Roman"/>
        </w:rPr>
        <w:t>系统应具备与消防系统的强制联动能力，火灾报警触发时，应自动切换至排烟模式并关闭非必要送风设备。</w:t>
      </w:r>
    </w:p>
    <w:p w14:paraId="4725DE7E">
      <w:pPr>
        <w:pStyle w:val="164"/>
        <w:rPr>
          <w:rFonts w:ascii="Times New Roman"/>
        </w:rPr>
      </w:pPr>
      <w:r>
        <w:rPr>
          <w:rFonts w:ascii="Times New Roman"/>
        </w:rPr>
        <w:t>宜与室内空气质量监测系统联动，根据二氧化碳、颗粒物浓度等参数动态优化新风引入量。</w:t>
      </w:r>
    </w:p>
    <w:p w14:paraId="12D56E81">
      <w:pPr>
        <w:pStyle w:val="164"/>
        <w:rPr>
          <w:rFonts w:ascii="Times New Roman"/>
        </w:rPr>
      </w:pPr>
      <w:r>
        <w:rPr>
          <w:rFonts w:ascii="Times New Roman"/>
        </w:rPr>
        <w:t>可结合建筑能源管理系统，在用电高峰时段自动降低风机负荷。</w:t>
      </w:r>
    </w:p>
    <w:p w14:paraId="20FCFF77">
      <w:pPr>
        <w:pStyle w:val="65"/>
        <w:spacing w:before="120" w:after="120"/>
        <w:rPr>
          <w:rFonts w:ascii="Times New Roman"/>
        </w:rPr>
      </w:pPr>
      <w:r>
        <w:rPr>
          <w:rFonts w:ascii="Times New Roman"/>
        </w:rPr>
        <w:t>应急处理功能</w:t>
      </w:r>
    </w:p>
    <w:p w14:paraId="24E13F57">
      <w:pPr>
        <w:pStyle w:val="164"/>
        <w:rPr>
          <w:rFonts w:ascii="Times New Roman"/>
        </w:rPr>
      </w:pPr>
      <w:r>
        <w:rPr>
          <w:rFonts w:ascii="Times New Roman"/>
        </w:rPr>
        <w:t>系统应内置故障自诊断模块，对传感器失效、通信中断等异常状态实时报警并记录日志。</w:t>
      </w:r>
    </w:p>
    <w:p w14:paraId="7047AE8A">
      <w:pPr>
        <w:pStyle w:val="164"/>
        <w:rPr>
          <w:rFonts w:ascii="Times New Roman"/>
        </w:rPr>
      </w:pPr>
      <w:r>
        <w:rPr>
          <w:rFonts w:ascii="Times New Roman"/>
        </w:rPr>
        <w:t>重要控制节点宜采用双回路冗余设计，主控设备故障时应自动切换至备用系统。</w:t>
      </w:r>
    </w:p>
    <w:p w14:paraId="08FFDE58">
      <w:pPr>
        <w:pStyle w:val="65"/>
        <w:spacing w:before="120" w:after="120"/>
        <w:rPr>
          <w:rFonts w:ascii="Times New Roman"/>
        </w:rPr>
      </w:pPr>
      <w:r>
        <w:rPr>
          <w:rFonts w:ascii="Times New Roman"/>
        </w:rPr>
        <w:t>数据分析功能</w:t>
      </w:r>
    </w:p>
    <w:p w14:paraId="5B019355">
      <w:pPr>
        <w:pStyle w:val="164"/>
        <w:rPr>
          <w:rFonts w:ascii="Times New Roman"/>
        </w:rPr>
      </w:pPr>
      <w:r>
        <w:rPr>
          <w:rFonts w:ascii="Times New Roman"/>
        </w:rPr>
        <w:t>系统应具备运行数据采集与存储能力，历史数据保存周期不宜少于1年。</w:t>
      </w:r>
    </w:p>
    <w:p w14:paraId="667E1B03">
      <w:pPr>
        <w:pStyle w:val="164"/>
        <w:rPr>
          <w:rFonts w:ascii="Times New Roman"/>
        </w:rPr>
      </w:pPr>
      <w:r>
        <w:rPr>
          <w:rFonts w:ascii="Times New Roman"/>
        </w:rPr>
        <w:t>宜配置能效分析工具，按月或按季生成能耗统计报告，并提出优化建议。</w:t>
      </w:r>
    </w:p>
    <w:p w14:paraId="0EDF3AF4">
      <w:pPr>
        <w:pStyle w:val="105"/>
        <w:spacing w:before="120" w:after="120"/>
        <w:rPr>
          <w:rFonts w:ascii="Times New Roman"/>
        </w:rPr>
      </w:pPr>
      <w:r>
        <w:rPr>
          <w:rFonts w:ascii="Times New Roman"/>
        </w:rPr>
        <w:t>性能指标</w:t>
      </w:r>
    </w:p>
    <w:p w14:paraId="24E55598">
      <w:pPr>
        <w:pStyle w:val="65"/>
        <w:spacing w:before="120" w:after="120"/>
        <w:rPr>
          <w:rFonts w:ascii="Times New Roman"/>
        </w:rPr>
      </w:pPr>
      <w:r>
        <w:rPr>
          <w:rFonts w:ascii="Times New Roman"/>
        </w:rPr>
        <w:t>能效指标</w:t>
      </w:r>
    </w:p>
    <w:p w14:paraId="70EE6B31">
      <w:pPr>
        <w:pStyle w:val="164"/>
        <w:rPr>
          <w:rFonts w:ascii="Times New Roman"/>
        </w:rPr>
      </w:pPr>
      <w:r>
        <w:rPr>
          <w:rFonts w:ascii="Times New Roman"/>
        </w:rPr>
        <w:t>通风系统综合能效比应满足现行国家节能设计标准要求，全年运行能耗宜低于同类传统系统15%。</w:t>
      </w:r>
    </w:p>
    <w:p w14:paraId="059328C5">
      <w:pPr>
        <w:pStyle w:val="164"/>
        <w:rPr>
          <w:rFonts w:ascii="Times New Roman"/>
        </w:rPr>
      </w:pPr>
      <w:r>
        <w:rPr>
          <w:rFonts w:ascii="Times New Roman"/>
        </w:rPr>
        <w:t>变频设备在低负荷工况下的效率不应低于额定值的80%。</w:t>
      </w:r>
    </w:p>
    <w:p w14:paraId="798FCBAE">
      <w:pPr>
        <w:pStyle w:val="65"/>
        <w:spacing w:before="120" w:after="120"/>
        <w:rPr>
          <w:rFonts w:ascii="Times New Roman"/>
        </w:rPr>
      </w:pPr>
      <w:r>
        <w:rPr>
          <w:rFonts w:ascii="Times New Roman"/>
        </w:rPr>
        <w:t>环境控制指标</w:t>
      </w:r>
    </w:p>
    <w:p w14:paraId="1C85C24E">
      <w:pPr>
        <w:pStyle w:val="164"/>
        <w:rPr>
          <w:rFonts w:ascii="Times New Roman"/>
        </w:rPr>
      </w:pPr>
      <w:r>
        <w:rPr>
          <w:rFonts w:ascii="Times New Roman"/>
        </w:rPr>
        <w:t>人员密集区域的噪声控制应符合GB 50118相关规定，设备间外部噪声宜低于45 dB。</w:t>
      </w:r>
    </w:p>
    <w:p w14:paraId="527BF9FC">
      <w:pPr>
        <w:pStyle w:val="164"/>
        <w:rPr>
          <w:rFonts w:ascii="Times New Roman"/>
        </w:rPr>
      </w:pPr>
      <w:r>
        <w:rPr>
          <w:rFonts w:ascii="Times New Roman"/>
        </w:rPr>
        <w:t>室内空气质量应符合GB/T 18883的要求，温湿度控制精度宜保持在设定值±5%范围内。</w:t>
      </w:r>
    </w:p>
    <w:p w14:paraId="7932159B">
      <w:pPr>
        <w:pStyle w:val="65"/>
        <w:spacing w:before="120" w:after="120"/>
        <w:rPr>
          <w:rFonts w:ascii="Times New Roman"/>
        </w:rPr>
      </w:pPr>
      <w:r>
        <w:rPr>
          <w:rFonts w:ascii="Times New Roman"/>
        </w:rPr>
        <w:t>响应性能</w:t>
      </w:r>
    </w:p>
    <w:p w14:paraId="1173CC14">
      <w:pPr>
        <w:pStyle w:val="164"/>
        <w:rPr>
          <w:rFonts w:ascii="Times New Roman"/>
        </w:rPr>
      </w:pPr>
      <w:r>
        <w:rPr>
          <w:rFonts w:ascii="Times New Roman"/>
        </w:rPr>
        <w:t>控制指令从下发至设备动作的延迟时间应小于2 s，紧急模式下响应时间不得超过1 s。</w:t>
      </w:r>
    </w:p>
    <w:p w14:paraId="2268DCFB">
      <w:pPr>
        <w:pStyle w:val="164"/>
        <w:rPr>
          <w:rFonts w:ascii="Times New Roman"/>
        </w:rPr>
      </w:pPr>
      <w:r>
        <w:rPr>
          <w:rFonts w:ascii="Times New Roman"/>
        </w:rPr>
        <w:t>传感器数据刷新频率不宜低于1次/min，关键参数监测周期可缩短至10 s。</w:t>
      </w:r>
    </w:p>
    <w:p w14:paraId="2BF24820">
      <w:pPr>
        <w:pStyle w:val="65"/>
        <w:spacing w:before="120" w:after="120"/>
        <w:rPr>
          <w:rFonts w:ascii="Times New Roman"/>
        </w:rPr>
      </w:pPr>
      <w:r>
        <w:rPr>
          <w:rFonts w:ascii="Times New Roman"/>
        </w:rPr>
        <w:t>可靠性指标</w:t>
      </w:r>
    </w:p>
    <w:p w14:paraId="08C5BD49">
      <w:pPr>
        <w:pStyle w:val="164"/>
        <w:rPr>
          <w:rFonts w:ascii="Times New Roman"/>
        </w:rPr>
      </w:pPr>
      <w:r>
        <w:rPr>
          <w:rFonts w:ascii="Times New Roman"/>
        </w:rPr>
        <w:t>系统全年无故障运行时间不应少于8000 h，单点故障不应导致超过30%的功能丧失。</w:t>
      </w:r>
    </w:p>
    <w:p w14:paraId="24FB3BD7">
      <w:pPr>
        <w:pStyle w:val="164"/>
        <w:rPr>
          <w:rFonts w:ascii="Times New Roman"/>
        </w:rPr>
      </w:pPr>
      <w:r>
        <w:rPr>
          <w:rFonts w:ascii="Times New Roman"/>
        </w:rPr>
        <w:t>控制软件应通过72 h连续压力测试，未出现死机或数据丢失现象。</w:t>
      </w:r>
    </w:p>
    <w:p w14:paraId="553361EC">
      <w:pPr>
        <w:pStyle w:val="105"/>
        <w:spacing w:before="120" w:after="120"/>
        <w:rPr>
          <w:rFonts w:ascii="Times New Roman"/>
        </w:rPr>
      </w:pPr>
      <w:r>
        <w:rPr>
          <w:rFonts w:ascii="Times New Roman"/>
        </w:rPr>
        <w:t>系统架构</w:t>
      </w:r>
    </w:p>
    <w:p w14:paraId="2F408B21">
      <w:pPr>
        <w:pStyle w:val="165"/>
        <w:rPr>
          <w:rFonts w:ascii="Times New Roman"/>
        </w:rPr>
      </w:pPr>
      <w:r>
        <w:rPr>
          <w:rFonts w:ascii="Times New Roman"/>
        </w:rPr>
        <w:t>应采用分层分布式架构，现场层、控制层与管理层之间应通过标准通信协议连接。</w:t>
      </w:r>
    </w:p>
    <w:p w14:paraId="5A263625">
      <w:pPr>
        <w:pStyle w:val="165"/>
        <w:rPr>
          <w:rFonts w:ascii="Times New Roman"/>
        </w:rPr>
      </w:pPr>
      <w:r>
        <w:rPr>
          <w:rFonts w:ascii="Times New Roman"/>
        </w:rPr>
        <w:t>现场控制器宜支持边缘计算功能，可在断网情况下维持基本运行逻辑。</w:t>
      </w:r>
    </w:p>
    <w:p w14:paraId="06F81C63">
      <w:pPr>
        <w:pStyle w:val="165"/>
        <w:rPr>
          <w:rFonts w:ascii="Times New Roman"/>
        </w:rPr>
      </w:pPr>
      <w:r>
        <w:rPr>
          <w:rFonts w:ascii="Times New Roman"/>
        </w:rPr>
        <w:t>管理层软件应提供开放接口，支持与楼宇自控系统或智慧城市平台数据交互。</w:t>
      </w:r>
    </w:p>
    <w:p w14:paraId="11D7D9C8">
      <w:pPr>
        <w:pStyle w:val="105"/>
        <w:spacing w:before="120" w:after="120"/>
        <w:rPr>
          <w:rFonts w:ascii="Times New Roman"/>
        </w:rPr>
      </w:pPr>
      <w:r>
        <w:rPr>
          <w:rFonts w:ascii="Times New Roman"/>
        </w:rPr>
        <w:t>人机交互</w:t>
      </w:r>
    </w:p>
    <w:p w14:paraId="20CA7FEF">
      <w:pPr>
        <w:pStyle w:val="165"/>
        <w:rPr>
          <w:rFonts w:ascii="Times New Roman"/>
        </w:rPr>
      </w:pPr>
      <w:r>
        <w:rPr>
          <w:rFonts w:ascii="Times New Roman"/>
        </w:rPr>
        <w:t>操作界面应提供中文图形化显示，关键参数应以趋势图形式呈现。</w:t>
      </w:r>
    </w:p>
    <w:p w14:paraId="139AC918">
      <w:pPr>
        <w:pStyle w:val="165"/>
        <w:rPr>
          <w:rFonts w:ascii="Times New Roman"/>
        </w:rPr>
      </w:pPr>
      <w:r>
        <w:rPr>
          <w:rFonts w:ascii="Times New Roman"/>
        </w:rPr>
        <w:t>宜配置移动终端监控功能，支持通过授权设备远程查看系统状态。</w:t>
      </w:r>
    </w:p>
    <w:p w14:paraId="34216C52">
      <w:pPr>
        <w:pStyle w:val="165"/>
        <w:rPr>
          <w:rFonts w:ascii="Times New Roman"/>
        </w:rPr>
      </w:pPr>
      <w:r>
        <w:rPr>
          <w:rFonts w:ascii="Times New Roman"/>
        </w:rPr>
        <w:t>权限管理应分为操作员、工程师、管理员三级，不同级别账号的功能范围应明确区分。</w:t>
      </w:r>
    </w:p>
    <w:p w14:paraId="5ACEF38D">
      <w:pPr>
        <w:pStyle w:val="105"/>
        <w:spacing w:before="120" w:after="120"/>
        <w:rPr>
          <w:rFonts w:ascii="Times New Roman"/>
        </w:rPr>
      </w:pPr>
      <w:r>
        <w:rPr>
          <w:rFonts w:ascii="Times New Roman"/>
        </w:rPr>
        <w:t>扩展性与兼容性</w:t>
      </w:r>
    </w:p>
    <w:p w14:paraId="50624AFB">
      <w:pPr>
        <w:pStyle w:val="165"/>
        <w:rPr>
          <w:rFonts w:ascii="Times New Roman"/>
        </w:rPr>
      </w:pPr>
      <w:r>
        <w:rPr>
          <w:rFonts w:ascii="Times New Roman"/>
        </w:rPr>
        <w:t>硬件接口应预留不少于10%的备用点位，软件平台宜支持模块化功能扩展。</w:t>
      </w:r>
    </w:p>
    <w:p w14:paraId="3580D898">
      <w:pPr>
        <w:pStyle w:val="165"/>
        <w:rPr>
          <w:rFonts w:ascii="Times New Roman"/>
        </w:rPr>
      </w:pPr>
      <w:r>
        <w:rPr>
          <w:rFonts w:ascii="Times New Roman"/>
        </w:rPr>
        <w:t>系统应兼容主流工业通信协议，新旧设备混合组网时需确保数据格式统一。</w:t>
      </w:r>
    </w:p>
    <w:p w14:paraId="3384B707">
      <w:pPr>
        <w:pStyle w:val="104"/>
        <w:spacing w:before="240" w:after="240"/>
        <w:rPr>
          <w:rFonts w:ascii="Times New Roman"/>
        </w:rPr>
      </w:pPr>
      <w:bookmarkStart w:id="51" w:name="_Toc197531756"/>
      <w:r>
        <w:rPr>
          <w:rFonts w:ascii="Times New Roman"/>
        </w:rPr>
        <w:t>设备与材料</w:t>
      </w:r>
      <w:bookmarkEnd w:id="51"/>
    </w:p>
    <w:p w14:paraId="056E6043">
      <w:pPr>
        <w:pStyle w:val="105"/>
        <w:spacing w:before="120" w:after="120"/>
        <w:rPr>
          <w:rFonts w:ascii="Times New Roman"/>
        </w:rPr>
      </w:pPr>
      <w:r>
        <w:rPr>
          <w:rFonts w:ascii="Times New Roman"/>
        </w:rPr>
        <w:t>设备选型</w:t>
      </w:r>
    </w:p>
    <w:p w14:paraId="766FA036">
      <w:pPr>
        <w:pStyle w:val="65"/>
        <w:spacing w:before="120" w:after="120"/>
        <w:rPr>
          <w:rFonts w:ascii="Times New Roman"/>
        </w:rPr>
      </w:pPr>
      <w:r>
        <w:rPr>
          <w:rFonts w:ascii="Times New Roman"/>
        </w:rPr>
        <w:t>通用要求</w:t>
      </w:r>
    </w:p>
    <w:p w14:paraId="57B6FF9F">
      <w:pPr>
        <w:pStyle w:val="164"/>
        <w:rPr>
          <w:rFonts w:ascii="Times New Roman"/>
        </w:rPr>
      </w:pPr>
      <w:r>
        <w:rPr>
          <w:rFonts w:ascii="Times New Roman"/>
        </w:rPr>
        <w:t>设备应满足系统设计功能需求，性能参数应符合国家现行相关产品标准。</w:t>
      </w:r>
    </w:p>
    <w:p w14:paraId="22795EEA">
      <w:pPr>
        <w:pStyle w:val="164"/>
        <w:rPr>
          <w:rFonts w:ascii="Times New Roman"/>
        </w:rPr>
      </w:pPr>
      <w:r>
        <w:rPr>
          <w:rFonts w:ascii="Times New Roman"/>
        </w:rPr>
        <w:t>关键设备宜选用通过行业认证的成熟产品，且具备可追溯的质量证明文件。</w:t>
      </w:r>
    </w:p>
    <w:p w14:paraId="253AFCEB">
      <w:pPr>
        <w:pStyle w:val="164"/>
        <w:rPr>
          <w:rFonts w:ascii="Times New Roman"/>
        </w:rPr>
      </w:pPr>
      <w:r>
        <w:rPr>
          <w:rFonts w:ascii="Times New Roman"/>
        </w:rPr>
        <w:t>设备的工作环境适应性应与安装位置的环境条件匹配，高温高湿区域应采用耐腐蚀材质。</w:t>
      </w:r>
    </w:p>
    <w:p w14:paraId="630588E7">
      <w:pPr>
        <w:pStyle w:val="65"/>
        <w:spacing w:before="120" w:after="120"/>
        <w:rPr>
          <w:rFonts w:ascii="Times New Roman"/>
        </w:rPr>
      </w:pPr>
      <w:r>
        <w:rPr>
          <w:rFonts w:ascii="Times New Roman"/>
        </w:rPr>
        <w:t>传感器类设备</w:t>
      </w:r>
    </w:p>
    <w:p w14:paraId="570DC1E7">
      <w:pPr>
        <w:pStyle w:val="164"/>
        <w:rPr>
          <w:rFonts w:ascii="Times New Roman"/>
        </w:rPr>
      </w:pPr>
      <w:r>
        <w:rPr>
          <w:rFonts w:ascii="Times New Roman"/>
        </w:rPr>
        <w:t>环境传感器应具备同时监测温度、湿度、二氧化碳浓度及颗粒物浓度的能力，测量误差不应超过标称值的5%。</w:t>
      </w:r>
    </w:p>
    <w:p w14:paraId="45D496B5">
      <w:pPr>
        <w:pStyle w:val="164"/>
        <w:rPr>
          <w:rFonts w:ascii="Times New Roman"/>
        </w:rPr>
      </w:pPr>
      <w:r>
        <w:rPr>
          <w:rFonts w:ascii="Times New Roman"/>
        </w:rPr>
        <w:t>空气质量传感器的采样周期宜可调，最低采样频率不应低于1次/min。</w:t>
      </w:r>
    </w:p>
    <w:p w14:paraId="07A664CA">
      <w:pPr>
        <w:pStyle w:val="164"/>
        <w:rPr>
          <w:rFonts w:ascii="Times New Roman"/>
        </w:rPr>
      </w:pPr>
      <w:r>
        <w:rPr>
          <w:rFonts w:ascii="Times New Roman"/>
        </w:rPr>
        <w:t>压力传感器量程应覆盖系统最大工作压力的1.5倍，过载保护功能应可靠有效。</w:t>
      </w:r>
    </w:p>
    <w:p w14:paraId="1575545B">
      <w:pPr>
        <w:pStyle w:val="65"/>
        <w:spacing w:before="120" w:after="120"/>
        <w:rPr>
          <w:rFonts w:ascii="Times New Roman"/>
        </w:rPr>
      </w:pPr>
      <w:r>
        <w:rPr>
          <w:rFonts w:ascii="Times New Roman"/>
        </w:rPr>
        <w:t>控制类设备</w:t>
      </w:r>
    </w:p>
    <w:p w14:paraId="0051AEAE">
      <w:pPr>
        <w:pStyle w:val="164"/>
        <w:rPr>
          <w:rFonts w:ascii="Times New Roman"/>
        </w:rPr>
      </w:pPr>
      <w:r>
        <w:rPr>
          <w:rFonts w:ascii="Times New Roman"/>
        </w:rPr>
        <w:t>控制器应支持至少两种标准通信协议，并具备协议自动转换功能。</w:t>
      </w:r>
    </w:p>
    <w:p w14:paraId="58A6F02C">
      <w:pPr>
        <w:pStyle w:val="164"/>
        <w:rPr>
          <w:rFonts w:ascii="Times New Roman"/>
        </w:rPr>
      </w:pPr>
      <w:r>
        <w:rPr>
          <w:rFonts w:ascii="Times New Roman"/>
        </w:rPr>
        <w:t>主控制器应内置数据缓存模块，在网络中断时可维持至少24 h的本地运行数据存储。</w:t>
      </w:r>
    </w:p>
    <w:p w14:paraId="1758B336">
      <w:pPr>
        <w:pStyle w:val="164"/>
        <w:rPr>
          <w:rFonts w:ascii="Times New Roman"/>
        </w:rPr>
      </w:pPr>
      <w:r>
        <w:rPr>
          <w:rFonts w:ascii="Times New Roman"/>
        </w:rPr>
        <w:t>分布式控制器宜采用模块化设计，便于后期功能扩展或替换。</w:t>
      </w:r>
    </w:p>
    <w:p w14:paraId="40DFDDB5">
      <w:pPr>
        <w:pStyle w:val="65"/>
        <w:spacing w:before="120" w:after="120"/>
        <w:rPr>
          <w:rFonts w:ascii="Times New Roman"/>
        </w:rPr>
      </w:pPr>
      <w:r>
        <w:rPr>
          <w:rFonts w:ascii="Times New Roman"/>
        </w:rPr>
        <w:t>执行机构</w:t>
      </w:r>
    </w:p>
    <w:p w14:paraId="003656C6">
      <w:pPr>
        <w:pStyle w:val="164"/>
        <w:rPr>
          <w:rFonts w:ascii="Times New Roman"/>
        </w:rPr>
      </w:pPr>
      <w:r>
        <w:rPr>
          <w:rFonts w:ascii="Times New Roman"/>
        </w:rPr>
        <w:t>风阀执行器应具备位置反馈功能，全行程动作时间不应超过30 s。</w:t>
      </w:r>
    </w:p>
    <w:p w14:paraId="3FABA57F">
      <w:pPr>
        <w:pStyle w:val="164"/>
        <w:rPr>
          <w:rFonts w:ascii="Times New Roman"/>
        </w:rPr>
      </w:pPr>
      <w:r>
        <w:rPr>
          <w:rFonts w:ascii="Times New Roman"/>
        </w:rPr>
        <w:t>变频驱动器应具备软启动功能，调速范围应覆盖额定频率的10%~100%。</w:t>
      </w:r>
    </w:p>
    <w:p w14:paraId="36F8E27D">
      <w:pPr>
        <w:pStyle w:val="164"/>
        <w:rPr>
          <w:rFonts w:ascii="Times New Roman"/>
        </w:rPr>
      </w:pPr>
      <w:r>
        <w:rPr>
          <w:rFonts w:ascii="Times New Roman"/>
        </w:rPr>
        <w:t>电动风量调节装置的重复定位精度不应低于满量程的2%。</w:t>
      </w:r>
    </w:p>
    <w:p w14:paraId="0515A61D">
      <w:pPr>
        <w:pStyle w:val="65"/>
        <w:spacing w:before="120" w:after="120"/>
        <w:rPr>
          <w:rFonts w:ascii="Times New Roman"/>
        </w:rPr>
      </w:pPr>
      <w:r>
        <w:rPr>
          <w:rFonts w:ascii="Times New Roman"/>
        </w:rPr>
        <w:t>通风主机</w:t>
      </w:r>
    </w:p>
    <w:p w14:paraId="496EEF76">
      <w:pPr>
        <w:pStyle w:val="164"/>
        <w:rPr>
          <w:rFonts w:ascii="Times New Roman"/>
        </w:rPr>
      </w:pPr>
      <w:r>
        <w:rPr>
          <w:rFonts w:ascii="Times New Roman"/>
        </w:rPr>
        <w:t>风机应满足设计风量与静压要求，在额定工况下的运行效率不应低于能效限定值。</w:t>
      </w:r>
    </w:p>
    <w:p w14:paraId="3FE56F1D">
      <w:pPr>
        <w:pStyle w:val="164"/>
        <w:rPr>
          <w:rFonts w:ascii="Times New Roman"/>
        </w:rPr>
      </w:pPr>
      <w:r>
        <w:rPr>
          <w:rFonts w:ascii="Times New Roman"/>
        </w:rPr>
        <w:t>室外安装的风机应满足相应防护等级要求，电气部件应具备防潮防尘能力。</w:t>
      </w:r>
    </w:p>
    <w:p w14:paraId="5FE47EEE">
      <w:pPr>
        <w:pStyle w:val="164"/>
        <w:rPr>
          <w:rFonts w:ascii="Times New Roman"/>
        </w:rPr>
      </w:pPr>
      <w:r>
        <w:rPr>
          <w:rFonts w:ascii="Times New Roman"/>
        </w:rPr>
        <w:t>大型风机宜配置振动监测接口，支持与智慧运维系统联动报警。</w:t>
      </w:r>
    </w:p>
    <w:p w14:paraId="5BE650AB">
      <w:pPr>
        <w:pStyle w:val="105"/>
        <w:spacing w:before="120" w:after="120"/>
        <w:rPr>
          <w:rFonts w:ascii="Times New Roman"/>
        </w:rPr>
      </w:pPr>
      <w:r>
        <w:rPr>
          <w:rFonts w:ascii="Times New Roman"/>
        </w:rPr>
        <w:t>材料要求</w:t>
      </w:r>
    </w:p>
    <w:p w14:paraId="2DB192A7">
      <w:pPr>
        <w:pStyle w:val="65"/>
        <w:spacing w:before="120" w:after="120"/>
        <w:rPr>
          <w:rFonts w:ascii="Times New Roman"/>
        </w:rPr>
      </w:pPr>
      <w:r>
        <w:rPr>
          <w:rFonts w:ascii="Times New Roman"/>
        </w:rPr>
        <w:t>风管材料</w:t>
      </w:r>
    </w:p>
    <w:p w14:paraId="7D867856">
      <w:pPr>
        <w:pStyle w:val="164"/>
        <w:rPr>
          <w:rFonts w:ascii="Times New Roman"/>
        </w:rPr>
      </w:pPr>
      <w:r>
        <w:rPr>
          <w:rFonts w:ascii="Times New Roman"/>
        </w:rPr>
        <w:t>金属风管板材厚度应满足强度及刚度要求，接缝处应采用密封材料填充。</w:t>
      </w:r>
    </w:p>
    <w:p w14:paraId="2AC374ED">
      <w:pPr>
        <w:pStyle w:val="164"/>
        <w:rPr>
          <w:rFonts w:ascii="Times New Roman"/>
        </w:rPr>
      </w:pPr>
      <w:r>
        <w:rPr>
          <w:rFonts w:ascii="Times New Roman"/>
        </w:rPr>
        <w:t>非金属风管材料燃烧性能不应低于B1级，烟密度等级应符合消防规范要求。</w:t>
      </w:r>
    </w:p>
    <w:p w14:paraId="27698157">
      <w:pPr>
        <w:pStyle w:val="164"/>
        <w:rPr>
          <w:rFonts w:ascii="Times New Roman"/>
        </w:rPr>
      </w:pPr>
      <w:r>
        <w:rPr>
          <w:rFonts w:ascii="Times New Roman"/>
        </w:rPr>
        <w:t>耐腐蚀区域使用的风管宜采用不锈钢或特种复合材质，连接件应避免电化学腐蚀。</w:t>
      </w:r>
    </w:p>
    <w:p w14:paraId="1593A6E6">
      <w:pPr>
        <w:pStyle w:val="65"/>
        <w:spacing w:before="120" w:after="120"/>
        <w:rPr>
          <w:rFonts w:ascii="Times New Roman"/>
        </w:rPr>
      </w:pPr>
      <w:r>
        <w:rPr>
          <w:rFonts w:ascii="Times New Roman"/>
        </w:rPr>
        <w:t>保温材料</w:t>
      </w:r>
    </w:p>
    <w:p w14:paraId="472DC3AA">
      <w:pPr>
        <w:pStyle w:val="164"/>
        <w:rPr>
          <w:rFonts w:ascii="Times New Roman"/>
        </w:rPr>
      </w:pPr>
      <w:r>
        <w:rPr>
          <w:rFonts w:ascii="Times New Roman"/>
        </w:rPr>
        <w:t>保温层导热系数不应大于0.040 W/(m·K)，外表面应设置防潮隔汽层。</w:t>
      </w:r>
    </w:p>
    <w:p w14:paraId="41B838AF">
      <w:pPr>
        <w:pStyle w:val="164"/>
        <w:rPr>
          <w:rFonts w:ascii="Times New Roman"/>
        </w:rPr>
      </w:pPr>
      <w:r>
        <w:rPr>
          <w:rFonts w:ascii="Times New Roman"/>
        </w:rPr>
        <w:t>穿越防火分区的风管保温材料燃烧性能应达到A级标准。</w:t>
      </w:r>
    </w:p>
    <w:p w14:paraId="536368F1">
      <w:pPr>
        <w:pStyle w:val="164"/>
        <w:rPr>
          <w:rFonts w:ascii="Times New Roman"/>
        </w:rPr>
      </w:pPr>
      <w:r>
        <w:rPr>
          <w:rFonts w:ascii="Times New Roman"/>
        </w:rPr>
        <w:t>室外保温层应添加抗紫外线保护层，接缝处应采用防水胶带密封。</w:t>
      </w:r>
    </w:p>
    <w:p w14:paraId="27BDB773">
      <w:pPr>
        <w:pStyle w:val="65"/>
        <w:spacing w:before="120" w:after="120"/>
        <w:rPr>
          <w:rFonts w:ascii="Times New Roman"/>
        </w:rPr>
      </w:pPr>
      <w:r>
        <w:rPr>
          <w:rFonts w:ascii="Times New Roman"/>
        </w:rPr>
        <w:t>密封材料</w:t>
      </w:r>
    </w:p>
    <w:p w14:paraId="3690CDFB">
      <w:pPr>
        <w:pStyle w:val="164"/>
        <w:rPr>
          <w:rFonts w:ascii="Times New Roman"/>
        </w:rPr>
      </w:pPr>
      <w:r>
        <w:rPr>
          <w:rFonts w:ascii="Times New Roman"/>
        </w:rPr>
        <w:t>法兰连接处应使用弹性密封胶条，压缩永久变形率不应超过20%。</w:t>
      </w:r>
    </w:p>
    <w:p w14:paraId="6C3AE30F">
      <w:pPr>
        <w:pStyle w:val="164"/>
        <w:rPr>
          <w:rFonts w:ascii="Times New Roman"/>
        </w:rPr>
      </w:pPr>
      <w:r>
        <w:rPr>
          <w:rFonts w:ascii="Times New Roman"/>
        </w:rPr>
        <w:t>穿越结构伸缩缝的风管应采用柔性连接材料，伸缩补偿量应满足建筑变形需求。</w:t>
      </w:r>
    </w:p>
    <w:p w14:paraId="2A259E3A">
      <w:pPr>
        <w:pStyle w:val="65"/>
        <w:spacing w:before="120" w:after="120"/>
        <w:rPr>
          <w:rFonts w:ascii="Times New Roman"/>
        </w:rPr>
      </w:pPr>
      <w:r>
        <w:rPr>
          <w:rFonts w:ascii="Times New Roman"/>
        </w:rPr>
        <w:t>电气材料</w:t>
      </w:r>
    </w:p>
    <w:p w14:paraId="613B4882">
      <w:pPr>
        <w:pStyle w:val="164"/>
        <w:rPr>
          <w:rFonts w:ascii="Times New Roman"/>
        </w:rPr>
      </w:pPr>
      <w:r>
        <w:rPr>
          <w:rFonts w:ascii="Times New Roman"/>
        </w:rPr>
        <w:t>控制电缆应选用屏蔽双绞线，屏蔽层应保持连续电气导通。</w:t>
      </w:r>
    </w:p>
    <w:p w14:paraId="3A598CA7">
      <w:pPr>
        <w:pStyle w:val="164"/>
        <w:rPr>
          <w:rFonts w:ascii="Times New Roman"/>
        </w:rPr>
      </w:pPr>
      <w:r>
        <w:rPr>
          <w:rFonts w:ascii="Times New Roman"/>
        </w:rPr>
        <w:t>室外敷设线缆护套应具备抗老化性能，直埋段应增加金属铠装保护层。</w:t>
      </w:r>
    </w:p>
    <w:p w14:paraId="1875BA56">
      <w:pPr>
        <w:pStyle w:val="164"/>
        <w:rPr>
          <w:rFonts w:ascii="Times New Roman"/>
        </w:rPr>
      </w:pPr>
      <w:r>
        <w:rPr>
          <w:rFonts w:ascii="Times New Roman"/>
        </w:rPr>
        <w:t>接线端子应采用铜合金材质，接触电阻不应超过标准值的1.2倍。</w:t>
      </w:r>
    </w:p>
    <w:p w14:paraId="777A3CA5">
      <w:pPr>
        <w:pStyle w:val="105"/>
        <w:spacing w:before="120" w:after="120"/>
        <w:rPr>
          <w:rFonts w:ascii="Times New Roman"/>
        </w:rPr>
      </w:pPr>
      <w:r>
        <w:rPr>
          <w:rFonts w:ascii="Times New Roman"/>
        </w:rPr>
        <w:t>设备安装附件</w:t>
      </w:r>
    </w:p>
    <w:p w14:paraId="27758A1E">
      <w:pPr>
        <w:pStyle w:val="165"/>
        <w:rPr>
          <w:rFonts w:ascii="Times New Roman"/>
        </w:rPr>
      </w:pPr>
      <w:r>
        <w:rPr>
          <w:rFonts w:ascii="Times New Roman"/>
        </w:rPr>
        <w:t>支吊架承载能力应大于设备重量的2.5倍，抗震设防地区应增加防摆限位装置。</w:t>
      </w:r>
    </w:p>
    <w:p w14:paraId="63406442">
      <w:pPr>
        <w:pStyle w:val="165"/>
        <w:rPr>
          <w:rFonts w:ascii="Times New Roman"/>
        </w:rPr>
      </w:pPr>
      <w:r>
        <w:rPr>
          <w:rFonts w:ascii="Times New Roman"/>
        </w:rPr>
        <w:t>减震器固有频率应避开设备运行频率范围，隔振效率不应低于85%。</w:t>
      </w:r>
    </w:p>
    <w:p w14:paraId="38531D21">
      <w:pPr>
        <w:pStyle w:val="165"/>
        <w:rPr>
          <w:rFonts w:ascii="Times New Roman"/>
        </w:rPr>
      </w:pPr>
      <w:r>
        <w:rPr>
          <w:rFonts w:ascii="Times New Roman"/>
        </w:rPr>
        <w:t>室外设备基座应高出地面至少150 mm，底部应设置排水孔道。</w:t>
      </w:r>
    </w:p>
    <w:p w14:paraId="67915D11">
      <w:pPr>
        <w:pStyle w:val="105"/>
        <w:spacing w:before="120" w:after="120"/>
        <w:rPr>
          <w:rFonts w:ascii="Times New Roman"/>
        </w:rPr>
      </w:pPr>
      <w:r>
        <w:rPr>
          <w:rFonts w:ascii="Times New Roman"/>
        </w:rPr>
        <w:t>进场检验</w:t>
      </w:r>
    </w:p>
    <w:p w14:paraId="4EAC4C76">
      <w:pPr>
        <w:pStyle w:val="65"/>
        <w:spacing w:before="120" w:after="120"/>
        <w:rPr>
          <w:rFonts w:ascii="Times New Roman"/>
        </w:rPr>
      </w:pPr>
      <w:r>
        <w:rPr>
          <w:rFonts w:ascii="Times New Roman"/>
        </w:rPr>
        <w:t>文件检查</w:t>
      </w:r>
    </w:p>
    <w:p w14:paraId="2BCFFA0C">
      <w:pPr>
        <w:pStyle w:val="164"/>
        <w:rPr>
          <w:rFonts w:ascii="Times New Roman"/>
        </w:rPr>
      </w:pPr>
      <w:r>
        <w:rPr>
          <w:rFonts w:ascii="Times New Roman"/>
        </w:rPr>
        <w:t>设备进场时应提供出厂合格证、性能检测报告及安装说明书等技术文件。</w:t>
      </w:r>
    </w:p>
    <w:p w14:paraId="64B8665D">
      <w:pPr>
        <w:pStyle w:val="164"/>
        <w:rPr>
          <w:rFonts w:ascii="Times New Roman"/>
        </w:rPr>
      </w:pPr>
      <w:r>
        <w:rPr>
          <w:rFonts w:ascii="Times New Roman"/>
        </w:rPr>
        <w:t>进口设备应附中文版操作手册，关键参数应有国内计量机构出具的校准证书。</w:t>
      </w:r>
    </w:p>
    <w:p w14:paraId="113BECFB">
      <w:pPr>
        <w:pStyle w:val="65"/>
        <w:spacing w:before="120" w:after="120"/>
        <w:rPr>
          <w:rFonts w:ascii="Times New Roman"/>
        </w:rPr>
      </w:pPr>
      <w:r>
        <w:rPr>
          <w:rFonts w:ascii="Times New Roman"/>
        </w:rPr>
        <w:t>外观检查</w:t>
      </w:r>
    </w:p>
    <w:p w14:paraId="50C5DC56">
      <w:pPr>
        <w:pStyle w:val="164"/>
        <w:rPr>
          <w:rFonts w:ascii="Times New Roman"/>
        </w:rPr>
      </w:pPr>
      <w:r>
        <w:rPr>
          <w:rFonts w:ascii="Times New Roman"/>
        </w:rPr>
        <w:t>设备外壳应无变形、锈蚀或机械损伤，铭牌标识应清晰完整。</w:t>
      </w:r>
    </w:p>
    <w:p w14:paraId="51A2BB83">
      <w:pPr>
        <w:pStyle w:val="164"/>
        <w:rPr>
          <w:rFonts w:ascii="Times New Roman"/>
        </w:rPr>
      </w:pPr>
      <w:r>
        <w:rPr>
          <w:rFonts w:ascii="Times New Roman"/>
        </w:rPr>
        <w:t>随机附件清单应与装箱单一致，缺件率不应超过1%。</w:t>
      </w:r>
    </w:p>
    <w:p w14:paraId="6B007C7C">
      <w:pPr>
        <w:pStyle w:val="65"/>
        <w:spacing w:before="120" w:after="120"/>
        <w:rPr>
          <w:rFonts w:ascii="Times New Roman"/>
        </w:rPr>
      </w:pPr>
      <w:r>
        <w:rPr>
          <w:rFonts w:ascii="Times New Roman"/>
        </w:rPr>
        <w:t>性能抽检</w:t>
      </w:r>
    </w:p>
    <w:p w14:paraId="061702F8">
      <w:pPr>
        <w:pStyle w:val="164"/>
        <w:rPr>
          <w:rFonts w:ascii="Times New Roman"/>
        </w:rPr>
      </w:pPr>
      <w:r>
        <w:rPr>
          <w:rFonts w:ascii="Times New Roman"/>
        </w:rPr>
        <w:t>同批次设备应按不少于5%的比例进行抽样测试，测试项目应包含基本功能验证。</w:t>
      </w:r>
    </w:p>
    <w:p w14:paraId="3BD9A07D">
      <w:pPr>
        <w:pStyle w:val="164"/>
        <w:rPr>
          <w:rFonts w:ascii="Times New Roman"/>
        </w:rPr>
      </w:pPr>
      <w:r>
        <w:rPr>
          <w:rFonts w:ascii="Times New Roman"/>
        </w:rPr>
        <w:t>传感器类设备宜在标准实验环境下进行精度复测，偏差超标的应整批退换。</w:t>
      </w:r>
    </w:p>
    <w:p w14:paraId="26EE9E53">
      <w:pPr>
        <w:pStyle w:val="164"/>
        <w:rPr>
          <w:rFonts w:ascii="Times New Roman"/>
        </w:rPr>
      </w:pPr>
      <w:r>
        <w:rPr>
          <w:rFonts w:ascii="Times New Roman"/>
        </w:rPr>
        <w:t>控制器应通电测试通信功能，与至少三种不同品牌设备进行协议兼容性验证。</w:t>
      </w:r>
    </w:p>
    <w:p w14:paraId="2B3C917F">
      <w:pPr>
        <w:pStyle w:val="65"/>
        <w:spacing w:before="120" w:after="120"/>
        <w:rPr>
          <w:rFonts w:ascii="Times New Roman"/>
        </w:rPr>
      </w:pPr>
      <w:r>
        <w:rPr>
          <w:rFonts w:ascii="Times New Roman"/>
        </w:rPr>
        <w:t>材料复验</w:t>
      </w:r>
    </w:p>
    <w:p w14:paraId="08F8E7CF">
      <w:pPr>
        <w:pStyle w:val="164"/>
        <w:rPr>
          <w:rFonts w:ascii="Times New Roman"/>
        </w:rPr>
      </w:pPr>
      <w:r>
        <w:rPr>
          <w:rFonts w:ascii="Times New Roman"/>
        </w:rPr>
        <w:t>风管板材应取样检测厚度及平整度，偏差超过2%的不得投入使用。</w:t>
      </w:r>
    </w:p>
    <w:p w14:paraId="4FE19909">
      <w:pPr>
        <w:pStyle w:val="164"/>
        <w:rPr>
          <w:rFonts w:ascii="Times New Roman"/>
        </w:rPr>
      </w:pPr>
      <w:r>
        <w:rPr>
          <w:rFonts w:ascii="Times New Roman"/>
        </w:rPr>
        <w:t>保温材料应送第三方实验室检测燃烧性能，未达标批次应全部更换。</w:t>
      </w:r>
    </w:p>
    <w:p w14:paraId="1CB8C7E3">
      <w:pPr>
        <w:pStyle w:val="105"/>
        <w:spacing w:before="120" w:after="120"/>
        <w:rPr>
          <w:rFonts w:ascii="Times New Roman"/>
        </w:rPr>
      </w:pPr>
      <w:r>
        <w:rPr>
          <w:rFonts w:ascii="Times New Roman"/>
        </w:rPr>
        <w:t>存储与防护</w:t>
      </w:r>
    </w:p>
    <w:p w14:paraId="77D90C3B">
      <w:pPr>
        <w:pStyle w:val="165"/>
        <w:rPr>
          <w:rFonts w:ascii="Times New Roman"/>
        </w:rPr>
      </w:pPr>
      <w:r>
        <w:rPr>
          <w:rFonts w:ascii="Times New Roman"/>
        </w:rPr>
        <w:t>电子设备应存放于干燥通风环境，相对湿度宜控制在30%~70%范围内。</w:t>
      </w:r>
    </w:p>
    <w:p w14:paraId="5CB7192F">
      <w:pPr>
        <w:pStyle w:val="165"/>
        <w:rPr>
          <w:rFonts w:ascii="Times New Roman"/>
        </w:rPr>
      </w:pPr>
      <w:r>
        <w:rPr>
          <w:rFonts w:ascii="Times New Roman"/>
        </w:rPr>
        <w:t>易损件运输时应采用原厂防震包装，现场堆放高度不应超过产品标识限值。</w:t>
      </w:r>
    </w:p>
    <w:p w14:paraId="774E13AF">
      <w:pPr>
        <w:pStyle w:val="165"/>
        <w:rPr>
          <w:rFonts w:ascii="Times New Roman"/>
        </w:rPr>
      </w:pPr>
      <w:r>
        <w:rPr>
          <w:rFonts w:ascii="Times New Roman"/>
        </w:rPr>
        <w:t>不锈钢材料应与碳钢制品分区存放，避免接触腐蚀性介质。</w:t>
      </w:r>
    </w:p>
    <w:p w14:paraId="09562B32">
      <w:pPr>
        <w:pStyle w:val="105"/>
        <w:spacing w:before="120" w:after="120"/>
        <w:rPr>
          <w:rFonts w:ascii="Times New Roman"/>
        </w:rPr>
      </w:pPr>
      <w:r>
        <w:rPr>
          <w:rFonts w:ascii="Times New Roman"/>
        </w:rPr>
        <w:t>特殊环境适应性</w:t>
      </w:r>
    </w:p>
    <w:p w14:paraId="49C3D223">
      <w:pPr>
        <w:pStyle w:val="165"/>
        <w:rPr>
          <w:rFonts w:ascii="Times New Roman"/>
        </w:rPr>
      </w:pPr>
      <w:r>
        <w:rPr>
          <w:rFonts w:ascii="Times New Roman"/>
        </w:rPr>
        <w:t>沿海高盐雾地区的金属部件应增加镀层厚度或采用牺牲阳极保护措施。</w:t>
      </w:r>
    </w:p>
    <w:p w14:paraId="786172A9">
      <w:pPr>
        <w:pStyle w:val="165"/>
        <w:rPr>
          <w:rFonts w:ascii="Times New Roman"/>
        </w:rPr>
      </w:pPr>
      <w:r>
        <w:rPr>
          <w:rFonts w:ascii="Times New Roman"/>
        </w:rPr>
        <w:t>寒冷地区室外设备应配置电伴热装置，启动温度阈值宜设定为-5 ℃。</w:t>
      </w:r>
    </w:p>
    <w:p w14:paraId="2B020C52">
      <w:pPr>
        <w:pStyle w:val="165"/>
        <w:rPr>
          <w:rFonts w:ascii="Times New Roman"/>
        </w:rPr>
      </w:pPr>
      <w:r>
        <w:rPr>
          <w:rFonts w:ascii="Times New Roman"/>
        </w:rPr>
        <w:t>数据中心等精密场所的通风设备应通过电磁兼容性测试，避免干扰敏感仪器。</w:t>
      </w:r>
    </w:p>
    <w:p w14:paraId="2905EBDD">
      <w:pPr>
        <w:pStyle w:val="104"/>
        <w:spacing w:before="240" w:after="240"/>
        <w:rPr>
          <w:rFonts w:ascii="Times New Roman"/>
        </w:rPr>
      </w:pPr>
      <w:bookmarkStart w:id="52" w:name="_Toc197531757"/>
      <w:r>
        <w:rPr>
          <w:rFonts w:ascii="Times New Roman"/>
        </w:rPr>
        <w:t>施工工艺</w:t>
      </w:r>
      <w:bookmarkEnd w:id="52"/>
    </w:p>
    <w:p w14:paraId="633642AB">
      <w:pPr>
        <w:pStyle w:val="105"/>
        <w:spacing w:before="120" w:after="120"/>
        <w:rPr>
          <w:rFonts w:ascii="Times New Roman"/>
        </w:rPr>
      </w:pPr>
      <w:r>
        <w:rPr>
          <w:rFonts w:ascii="Times New Roman"/>
        </w:rPr>
        <w:t>施工准备</w:t>
      </w:r>
    </w:p>
    <w:p w14:paraId="33A87B9B">
      <w:pPr>
        <w:pStyle w:val="65"/>
        <w:spacing w:before="120" w:after="120"/>
        <w:rPr>
          <w:rFonts w:ascii="Times New Roman"/>
        </w:rPr>
      </w:pPr>
      <w:r>
        <w:rPr>
          <w:rFonts w:ascii="Times New Roman"/>
        </w:rPr>
        <w:t>技术准备</w:t>
      </w:r>
    </w:p>
    <w:p w14:paraId="054C67E0">
      <w:pPr>
        <w:pStyle w:val="164"/>
        <w:rPr>
          <w:rFonts w:ascii="Times New Roman"/>
        </w:rPr>
      </w:pPr>
      <w:r>
        <w:rPr>
          <w:rFonts w:ascii="Times New Roman"/>
        </w:rPr>
        <w:t>施工前应编制专项施工方案，明确工艺顺序、质量控制要点及安全措施。</w:t>
      </w:r>
    </w:p>
    <w:p w14:paraId="5F39A416">
      <w:pPr>
        <w:pStyle w:val="164"/>
        <w:rPr>
          <w:rFonts w:ascii="Times New Roman"/>
        </w:rPr>
      </w:pPr>
      <w:r>
        <w:rPr>
          <w:rFonts w:ascii="Times New Roman"/>
        </w:rPr>
        <w:t>宜采用BIM技术进行三维管线综合排布，避免与建筑结构及其他专业管线冲突。</w:t>
      </w:r>
    </w:p>
    <w:p w14:paraId="4158C42C">
      <w:pPr>
        <w:pStyle w:val="164"/>
        <w:rPr>
          <w:rFonts w:ascii="Times New Roman"/>
        </w:rPr>
      </w:pPr>
      <w:r>
        <w:rPr>
          <w:rFonts w:ascii="Times New Roman"/>
        </w:rPr>
        <w:t>作业人员应接受技术交底，熟悉设备参数、安装要求及调试流程。</w:t>
      </w:r>
    </w:p>
    <w:p w14:paraId="056AA035">
      <w:pPr>
        <w:pStyle w:val="65"/>
        <w:spacing w:before="120" w:after="120"/>
        <w:rPr>
          <w:rFonts w:ascii="Times New Roman"/>
        </w:rPr>
      </w:pPr>
      <w:r>
        <w:rPr>
          <w:rFonts w:ascii="Times New Roman"/>
        </w:rPr>
        <w:t>现场准备</w:t>
      </w:r>
    </w:p>
    <w:p w14:paraId="5BC980BE">
      <w:pPr>
        <w:pStyle w:val="164"/>
        <w:rPr>
          <w:rFonts w:ascii="Times New Roman"/>
        </w:rPr>
      </w:pPr>
      <w:r>
        <w:rPr>
          <w:rFonts w:ascii="Times New Roman"/>
        </w:rPr>
        <w:t>设备堆放区应设置防雨防潮设施，精密仪器宜单独隔离存放。</w:t>
      </w:r>
    </w:p>
    <w:p w14:paraId="5C5CD183">
      <w:pPr>
        <w:pStyle w:val="164"/>
        <w:rPr>
          <w:rFonts w:ascii="Times New Roman"/>
        </w:rPr>
      </w:pPr>
      <w:r>
        <w:rPr>
          <w:rFonts w:ascii="Times New Roman"/>
        </w:rPr>
        <w:t>施工区域应预留设备运输通道，通道净宽不应小于最大设备尺寸的1.2倍。</w:t>
      </w:r>
    </w:p>
    <w:p w14:paraId="6FDE7C48">
      <w:pPr>
        <w:pStyle w:val="164"/>
        <w:rPr>
          <w:rFonts w:ascii="Times New Roman"/>
        </w:rPr>
      </w:pPr>
      <w:r>
        <w:rPr>
          <w:rFonts w:ascii="Times New Roman"/>
        </w:rPr>
        <w:t>高空作业平台承载力应经核算，临边防护设施应验收合格后方可启用。</w:t>
      </w:r>
    </w:p>
    <w:p w14:paraId="4552D35D">
      <w:pPr>
        <w:pStyle w:val="105"/>
        <w:spacing w:before="120" w:after="120"/>
        <w:rPr>
          <w:rFonts w:ascii="Times New Roman"/>
        </w:rPr>
      </w:pPr>
      <w:r>
        <w:rPr>
          <w:rFonts w:ascii="Times New Roman"/>
        </w:rPr>
        <w:t>风系统安装</w:t>
      </w:r>
    </w:p>
    <w:p w14:paraId="15835E58">
      <w:pPr>
        <w:pStyle w:val="65"/>
        <w:spacing w:before="120" w:after="120"/>
        <w:rPr>
          <w:rFonts w:ascii="Times New Roman"/>
        </w:rPr>
      </w:pPr>
      <w:r>
        <w:rPr>
          <w:rFonts w:ascii="Times New Roman"/>
        </w:rPr>
        <w:t>风管制作与安装</w:t>
      </w:r>
    </w:p>
    <w:p w14:paraId="50712D2D">
      <w:pPr>
        <w:pStyle w:val="164"/>
        <w:rPr>
          <w:rFonts w:ascii="Times New Roman"/>
        </w:rPr>
      </w:pPr>
      <w:r>
        <w:rPr>
          <w:rFonts w:ascii="Times New Roman"/>
        </w:rPr>
        <w:t>风管板材下料尺寸偏差不应超过2 mm，咬口连接应连续均匀。</w:t>
      </w:r>
    </w:p>
    <w:p w14:paraId="20DEFD54">
      <w:pPr>
        <w:pStyle w:val="164"/>
        <w:rPr>
          <w:rFonts w:ascii="Times New Roman"/>
        </w:rPr>
      </w:pPr>
      <w:r>
        <w:rPr>
          <w:rFonts w:ascii="Times New Roman"/>
        </w:rPr>
        <w:t>水平风管安装坡度宜为0.3%~0.5%，冷凝水排放口应设置水封装置。</w:t>
      </w:r>
    </w:p>
    <w:p w14:paraId="25A93B29">
      <w:pPr>
        <w:pStyle w:val="164"/>
        <w:rPr>
          <w:rFonts w:ascii="Times New Roman"/>
        </w:rPr>
      </w:pPr>
      <w:r>
        <w:rPr>
          <w:rFonts w:ascii="Times New Roman"/>
        </w:rPr>
        <w:t>穿越防火分区的风管应设置防火阀，阀体两侧200 mm范围内应采用不燃材料固定。</w:t>
      </w:r>
    </w:p>
    <w:p w14:paraId="684F5DD9">
      <w:pPr>
        <w:pStyle w:val="65"/>
        <w:spacing w:before="120" w:after="120"/>
        <w:rPr>
          <w:rFonts w:ascii="Times New Roman"/>
        </w:rPr>
      </w:pPr>
      <w:r>
        <w:rPr>
          <w:rFonts w:ascii="Times New Roman"/>
        </w:rPr>
        <w:t>支吊架安装</w:t>
      </w:r>
    </w:p>
    <w:p w14:paraId="1929D0AA">
      <w:pPr>
        <w:pStyle w:val="164"/>
        <w:rPr>
          <w:rFonts w:ascii="Times New Roman"/>
        </w:rPr>
      </w:pPr>
      <w:r>
        <w:rPr>
          <w:rFonts w:ascii="Times New Roman"/>
        </w:rPr>
        <w:t>金属支吊架应进行防腐处理，膨胀螺栓锚固深度不应小于80 mm。</w:t>
      </w:r>
    </w:p>
    <w:p w14:paraId="7436D548">
      <w:pPr>
        <w:pStyle w:val="164"/>
        <w:rPr>
          <w:rFonts w:ascii="Times New Roman"/>
        </w:rPr>
      </w:pPr>
      <w:r>
        <w:rPr>
          <w:rFonts w:ascii="Times New Roman"/>
        </w:rPr>
        <w:t>悬吊风管的吊杆垂直度偏差不宜超过3‰，长度超过20 m时应设置防摆支架。</w:t>
      </w:r>
    </w:p>
    <w:p w14:paraId="76A12EF4">
      <w:pPr>
        <w:pStyle w:val="164"/>
        <w:rPr>
          <w:rFonts w:ascii="Times New Roman"/>
        </w:rPr>
      </w:pPr>
      <w:r>
        <w:rPr>
          <w:rFonts w:ascii="Times New Roman"/>
        </w:rPr>
        <w:t>抗震设防区域的风管吊架应增设侧向限位器，活动支架间距不应大于设计值的1.5倍。</w:t>
      </w:r>
    </w:p>
    <w:p w14:paraId="209333F7">
      <w:pPr>
        <w:pStyle w:val="65"/>
        <w:spacing w:before="120" w:after="120"/>
        <w:rPr>
          <w:rFonts w:ascii="Times New Roman"/>
        </w:rPr>
      </w:pPr>
      <w:r>
        <w:rPr>
          <w:rFonts w:ascii="Times New Roman"/>
        </w:rPr>
        <w:t>风阀与风口安装</w:t>
      </w:r>
    </w:p>
    <w:p w14:paraId="2A9F47E5">
      <w:pPr>
        <w:pStyle w:val="164"/>
        <w:rPr>
          <w:rFonts w:ascii="Times New Roman"/>
        </w:rPr>
      </w:pPr>
      <w:r>
        <w:rPr>
          <w:rFonts w:ascii="Times New Roman"/>
        </w:rPr>
        <w:t>多叶调节阀叶片转动应灵活，开闭角度标识应清晰可见。</w:t>
      </w:r>
    </w:p>
    <w:p w14:paraId="3B95D49D">
      <w:pPr>
        <w:pStyle w:val="164"/>
        <w:rPr>
          <w:rFonts w:ascii="Times New Roman"/>
        </w:rPr>
      </w:pPr>
      <w:r>
        <w:rPr>
          <w:rFonts w:ascii="Times New Roman"/>
        </w:rPr>
        <w:t>散流器安装应保证气流分布均匀，距墙距离不应小于风口直径的1.5倍。</w:t>
      </w:r>
    </w:p>
    <w:p w14:paraId="7E0A5C41">
      <w:pPr>
        <w:pStyle w:val="164"/>
        <w:rPr>
          <w:rFonts w:ascii="Times New Roman"/>
        </w:rPr>
      </w:pPr>
      <w:r>
        <w:rPr>
          <w:rFonts w:ascii="Times New Roman"/>
        </w:rPr>
        <w:t>防雨百叶风口外沿应低于建筑外墙表面，叶片间隙应填充防虫网。</w:t>
      </w:r>
    </w:p>
    <w:p w14:paraId="6E8225EB">
      <w:pPr>
        <w:pStyle w:val="105"/>
        <w:spacing w:before="120" w:after="120"/>
        <w:rPr>
          <w:rFonts w:ascii="Times New Roman"/>
        </w:rPr>
      </w:pPr>
      <w:r>
        <w:rPr>
          <w:rFonts w:ascii="Times New Roman"/>
        </w:rPr>
        <w:t>电气与控制系统安装</w:t>
      </w:r>
    </w:p>
    <w:p w14:paraId="11F58F67">
      <w:pPr>
        <w:pStyle w:val="65"/>
        <w:spacing w:before="120" w:after="120"/>
        <w:rPr>
          <w:rFonts w:ascii="Times New Roman"/>
        </w:rPr>
      </w:pPr>
      <w:r>
        <w:rPr>
          <w:rFonts w:ascii="Times New Roman"/>
        </w:rPr>
        <w:t>线缆敷设</w:t>
      </w:r>
    </w:p>
    <w:p w14:paraId="356F53E7">
      <w:pPr>
        <w:pStyle w:val="164"/>
        <w:rPr>
          <w:rFonts w:ascii="Times New Roman"/>
        </w:rPr>
      </w:pPr>
      <w:r>
        <w:rPr>
          <w:rFonts w:ascii="Times New Roman"/>
        </w:rPr>
        <w:t>控制电缆与动力电缆应分层敷设，间距不应小于300 mm。</w:t>
      </w:r>
    </w:p>
    <w:p w14:paraId="0AF2843C">
      <w:pPr>
        <w:pStyle w:val="164"/>
        <w:rPr>
          <w:rFonts w:ascii="Times New Roman"/>
        </w:rPr>
      </w:pPr>
      <w:r>
        <w:rPr>
          <w:rFonts w:ascii="Times New Roman"/>
        </w:rPr>
        <w:t>桥架转弯半径不应小于电缆外径的6倍，锐角过渡处应安装防护衬垫。</w:t>
      </w:r>
    </w:p>
    <w:p w14:paraId="14C7B7EF">
      <w:pPr>
        <w:pStyle w:val="164"/>
        <w:rPr>
          <w:rFonts w:ascii="Times New Roman"/>
        </w:rPr>
      </w:pPr>
      <w:r>
        <w:rPr>
          <w:rFonts w:ascii="Times New Roman"/>
        </w:rPr>
        <w:t>室外穿线管管口应做防水弯，埋地深度不应小于当地冻土层厚度。</w:t>
      </w:r>
    </w:p>
    <w:p w14:paraId="4CE7FFE6">
      <w:pPr>
        <w:pStyle w:val="65"/>
        <w:spacing w:before="120" w:after="120"/>
        <w:rPr>
          <w:rFonts w:ascii="Times New Roman"/>
        </w:rPr>
      </w:pPr>
      <w:r>
        <w:rPr>
          <w:rFonts w:ascii="Times New Roman"/>
        </w:rPr>
        <w:t>设备接线</w:t>
      </w:r>
    </w:p>
    <w:p w14:paraId="6D1E2874">
      <w:pPr>
        <w:pStyle w:val="164"/>
        <w:rPr>
          <w:rFonts w:ascii="Times New Roman"/>
        </w:rPr>
      </w:pPr>
      <w:r>
        <w:rPr>
          <w:rFonts w:ascii="Times New Roman"/>
        </w:rPr>
        <w:t>传感器信号线宜采用双绞屏蔽线，屏蔽层应单端接地。</w:t>
      </w:r>
    </w:p>
    <w:p w14:paraId="3902E1CD">
      <w:pPr>
        <w:pStyle w:val="164"/>
        <w:rPr>
          <w:rFonts w:ascii="Times New Roman"/>
        </w:rPr>
      </w:pPr>
      <w:r>
        <w:rPr>
          <w:rFonts w:ascii="Times New Roman"/>
        </w:rPr>
        <w:t>控制器电源输入端应设置浪涌保护器，接地电阻值不应大于4 Ω。</w:t>
      </w:r>
    </w:p>
    <w:p w14:paraId="3E9D5276">
      <w:pPr>
        <w:pStyle w:val="164"/>
        <w:rPr>
          <w:rFonts w:ascii="Times New Roman"/>
        </w:rPr>
      </w:pPr>
      <w:r>
        <w:rPr>
          <w:rFonts w:ascii="Times New Roman"/>
        </w:rPr>
        <w:t>接线端子压接应牢固，裸露导体长度不应超过3 mm。</w:t>
      </w:r>
    </w:p>
    <w:p w14:paraId="34713C4E">
      <w:pPr>
        <w:pStyle w:val="65"/>
        <w:spacing w:before="120" w:after="120"/>
        <w:rPr>
          <w:rFonts w:ascii="Times New Roman"/>
        </w:rPr>
      </w:pPr>
      <w:r>
        <w:rPr>
          <w:rFonts w:ascii="Times New Roman"/>
        </w:rPr>
        <w:t>控制柜安装</w:t>
      </w:r>
    </w:p>
    <w:p w14:paraId="1EAB70AE">
      <w:pPr>
        <w:pStyle w:val="164"/>
        <w:rPr>
          <w:rFonts w:ascii="Times New Roman"/>
        </w:rPr>
      </w:pPr>
      <w:r>
        <w:rPr>
          <w:rFonts w:ascii="Times New Roman"/>
        </w:rPr>
        <w:t>柜体垂直度偏差不应超过2‰，基础型钢应可靠接地。</w:t>
      </w:r>
    </w:p>
    <w:p w14:paraId="320E94A9">
      <w:pPr>
        <w:pStyle w:val="164"/>
        <w:rPr>
          <w:rFonts w:ascii="Times New Roman"/>
        </w:rPr>
      </w:pPr>
      <w:r>
        <w:rPr>
          <w:rFonts w:ascii="Times New Roman"/>
        </w:rPr>
        <w:t>发热元件周围200 mm范围内不得布置温度敏感设备。</w:t>
      </w:r>
    </w:p>
    <w:p w14:paraId="7469DBE0">
      <w:pPr>
        <w:pStyle w:val="164"/>
        <w:rPr>
          <w:rFonts w:ascii="Times New Roman"/>
        </w:rPr>
      </w:pPr>
      <w:r>
        <w:rPr>
          <w:rFonts w:ascii="Times New Roman"/>
        </w:rPr>
        <w:t>柜内线缆应绑扎整齐，预留长度宜为柜体高度的1.2倍。</w:t>
      </w:r>
    </w:p>
    <w:p w14:paraId="1C252154">
      <w:pPr>
        <w:pStyle w:val="105"/>
        <w:spacing w:before="120" w:after="120"/>
        <w:rPr>
          <w:rFonts w:ascii="Times New Roman"/>
        </w:rPr>
      </w:pPr>
      <w:r>
        <w:rPr>
          <w:rFonts w:ascii="Times New Roman"/>
        </w:rPr>
        <w:t>设备安装</w:t>
      </w:r>
    </w:p>
    <w:p w14:paraId="577C5E38">
      <w:pPr>
        <w:pStyle w:val="65"/>
        <w:spacing w:before="120" w:after="120"/>
        <w:rPr>
          <w:rFonts w:ascii="Times New Roman"/>
        </w:rPr>
      </w:pPr>
      <w:r>
        <w:rPr>
          <w:rFonts w:ascii="Times New Roman"/>
        </w:rPr>
        <w:t>通风主机安装</w:t>
      </w:r>
    </w:p>
    <w:p w14:paraId="3D980A69">
      <w:pPr>
        <w:pStyle w:val="164"/>
        <w:rPr>
          <w:rFonts w:ascii="Times New Roman"/>
        </w:rPr>
      </w:pPr>
      <w:r>
        <w:rPr>
          <w:rFonts w:ascii="Times New Roman"/>
        </w:rPr>
        <w:t>风机底座应设置减震装置，同组减震器压缩量偏差不应超过1 mm。</w:t>
      </w:r>
    </w:p>
    <w:p w14:paraId="0CD42D6C">
      <w:pPr>
        <w:pStyle w:val="164"/>
        <w:rPr>
          <w:rFonts w:ascii="Times New Roman"/>
        </w:rPr>
      </w:pPr>
      <w:r>
        <w:rPr>
          <w:rFonts w:ascii="Times New Roman"/>
        </w:rPr>
        <w:t>皮带传动风机应调整电机与风机轴平行度，皮带张紧力宜控制在规定值的±10%内。</w:t>
      </w:r>
    </w:p>
    <w:p w14:paraId="42DF4274">
      <w:pPr>
        <w:pStyle w:val="164"/>
        <w:rPr>
          <w:rFonts w:ascii="Times New Roman"/>
        </w:rPr>
      </w:pPr>
      <w:r>
        <w:rPr>
          <w:rFonts w:ascii="Times New Roman"/>
        </w:rPr>
        <w:t>吊装风机应使用专用吊具，钢丝绳与设备接触部位应加装橡胶护套。</w:t>
      </w:r>
    </w:p>
    <w:p w14:paraId="0A053B27">
      <w:pPr>
        <w:pStyle w:val="65"/>
        <w:spacing w:before="120" w:after="120"/>
        <w:rPr>
          <w:rFonts w:ascii="Times New Roman"/>
        </w:rPr>
      </w:pPr>
      <w:r>
        <w:rPr>
          <w:rFonts w:ascii="Times New Roman"/>
        </w:rPr>
        <w:t>传感器安装</w:t>
      </w:r>
    </w:p>
    <w:p w14:paraId="7305C867">
      <w:pPr>
        <w:pStyle w:val="164"/>
        <w:rPr>
          <w:rFonts w:ascii="Times New Roman"/>
        </w:rPr>
      </w:pPr>
      <w:r>
        <w:rPr>
          <w:rFonts w:ascii="Times New Roman"/>
        </w:rPr>
        <w:t>温湿度传感器应远离冷热源，距门窗距离不应小于2 m。</w:t>
      </w:r>
    </w:p>
    <w:p w14:paraId="3FE5FF7E">
      <w:pPr>
        <w:pStyle w:val="164"/>
        <w:rPr>
          <w:rFonts w:ascii="Times New Roman"/>
        </w:rPr>
      </w:pPr>
      <w:r>
        <w:rPr>
          <w:rFonts w:ascii="Times New Roman"/>
        </w:rPr>
        <w:t>二氧化碳传感器安装高度宜为1.2 m~1.5 m，不得布置在通风死角区域。</w:t>
      </w:r>
    </w:p>
    <w:p w14:paraId="75876A26">
      <w:pPr>
        <w:pStyle w:val="164"/>
        <w:rPr>
          <w:rFonts w:ascii="Times New Roman"/>
        </w:rPr>
      </w:pPr>
      <w:r>
        <w:rPr>
          <w:rFonts w:ascii="Times New Roman"/>
        </w:rPr>
        <w:t>风压传感器取压口应与气流方向垂直，连接管路应保持平直无渗漏。</w:t>
      </w:r>
    </w:p>
    <w:p w14:paraId="67002ACA">
      <w:pPr>
        <w:pStyle w:val="105"/>
        <w:spacing w:before="120" w:after="120"/>
        <w:rPr>
          <w:rFonts w:ascii="Times New Roman"/>
        </w:rPr>
      </w:pPr>
      <w:r>
        <w:rPr>
          <w:rFonts w:ascii="Times New Roman"/>
        </w:rPr>
        <w:t>管道连接与密封</w:t>
      </w:r>
    </w:p>
    <w:p w14:paraId="0C76724F">
      <w:pPr>
        <w:pStyle w:val="165"/>
        <w:rPr>
          <w:rFonts w:ascii="Times New Roman"/>
        </w:rPr>
      </w:pPr>
      <w:r>
        <w:rPr>
          <w:rFonts w:ascii="Times New Roman"/>
        </w:rPr>
        <w:t>法兰连接螺栓应十字交叉对称紧固，外露螺纹长度不应超过2倍螺距。</w:t>
      </w:r>
    </w:p>
    <w:p w14:paraId="370BFBE5">
      <w:pPr>
        <w:pStyle w:val="165"/>
        <w:rPr>
          <w:rFonts w:ascii="Times New Roman"/>
        </w:rPr>
      </w:pPr>
      <w:r>
        <w:rPr>
          <w:rFonts w:ascii="Times New Roman"/>
        </w:rPr>
        <w:t>柔性短管安装应处于自然状态，不得承受设备位移产生的附加应力。</w:t>
      </w:r>
    </w:p>
    <w:p w14:paraId="61CB46B2">
      <w:pPr>
        <w:pStyle w:val="165"/>
        <w:rPr>
          <w:rFonts w:ascii="Times New Roman"/>
        </w:rPr>
      </w:pPr>
      <w:r>
        <w:rPr>
          <w:rFonts w:ascii="Times New Roman"/>
        </w:rPr>
        <w:t>风管保温层接缝处应错开布置，保温钉固定密度不宜少于8个/m</w:t>
      </w:r>
      <w:r>
        <w:rPr>
          <w:rFonts w:ascii="Times New Roman"/>
          <w:vertAlign w:val="superscript"/>
        </w:rPr>
        <w:t>2</w:t>
      </w:r>
      <w:r>
        <w:rPr>
          <w:rFonts w:ascii="Times New Roman"/>
        </w:rPr>
        <w:t>。</w:t>
      </w:r>
    </w:p>
    <w:p w14:paraId="4E6417F2">
      <w:pPr>
        <w:pStyle w:val="105"/>
        <w:spacing w:before="120" w:after="120"/>
        <w:rPr>
          <w:rFonts w:ascii="Times New Roman"/>
        </w:rPr>
      </w:pPr>
      <w:r>
        <w:rPr>
          <w:rFonts w:ascii="Times New Roman"/>
        </w:rPr>
        <w:t>系统调试</w:t>
      </w:r>
    </w:p>
    <w:p w14:paraId="70F76D5C">
      <w:pPr>
        <w:pStyle w:val="65"/>
        <w:spacing w:before="120" w:after="120"/>
        <w:rPr>
          <w:rFonts w:ascii="Times New Roman"/>
        </w:rPr>
      </w:pPr>
      <w:r>
        <w:rPr>
          <w:rFonts w:ascii="Times New Roman"/>
        </w:rPr>
        <w:t>单机调试</w:t>
      </w:r>
    </w:p>
    <w:p w14:paraId="1F78FA2E">
      <w:pPr>
        <w:pStyle w:val="164"/>
        <w:rPr>
          <w:rFonts w:ascii="Times New Roman"/>
        </w:rPr>
      </w:pPr>
      <w:r>
        <w:rPr>
          <w:rFonts w:ascii="Times New Roman"/>
        </w:rPr>
        <w:t>风机空载运行时间不应少于2 h，轴承温升不应超过40 ℃。</w:t>
      </w:r>
    </w:p>
    <w:p w14:paraId="7F228049">
      <w:pPr>
        <w:pStyle w:val="164"/>
        <w:rPr>
          <w:rFonts w:ascii="Times New Roman"/>
        </w:rPr>
      </w:pPr>
      <w:r>
        <w:rPr>
          <w:rFonts w:ascii="Times New Roman"/>
        </w:rPr>
        <w:t>电动风阀应全行程动作3次，开度反馈信号与实测值偏差不宜超过5%。</w:t>
      </w:r>
    </w:p>
    <w:p w14:paraId="69A07EF5">
      <w:pPr>
        <w:pStyle w:val="164"/>
        <w:rPr>
          <w:rFonts w:ascii="Times New Roman"/>
        </w:rPr>
      </w:pPr>
      <w:r>
        <w:rPr>
          <w:rFonts w:ascii="Times New Roman"/>
        </w:rPr>
        <w:t>传感器应进行零点校准，测量误差超过标称值时应重新标定。</w:t>
      </w:r>
    </w:p>
    <w:p w14:paraId="4D336262">
      <w:pPr>
        <w:pStyle w:val="65"/>
        <w:spacing w:before="120" w:after="120"/>
        <w:rPr>
          <w:rFonts w:ascii="Times New Roman"/>
        </w:rPr>
      </w:pPr>
      <w:r>
        <w:rPr>
          <w:rFonts w:ascii="Times New Roman"/>
        </w:rPr>
        <w:t>联合调试</w:t>
      </w:r>
    </w:p>
    <w:p w14:paraId="33C4E7A1">
      <w:pPr>
        <w:pStyle w:val="164"/>
        <w:rPr>
          <w:rFonts w:ascii="Times New Roman"/>
        </w:rPr>
      </w:pPr>
      <w:r>
        <w:rPr>
          <w:rFonts w:ascii="Times New Roman"/>
        </w:rPr>
        <w:t>应模拟火灾工况验证排烟系统联动逻辑，模式切换时间不应超过30 s。</w:t>
      </w:r>
    </w:p>
    <w:p w14:paraId="23F6ED0C">
      <w:pPr>
        <w:pStyle w:val="164"/>
        <w:rPr>
          <w:rFonts w:ascii="Times New Roman"/>
        </w:rPr>
      </w:pPr>
      <w:r>
        <w:rPr>
          <w:rFonts w:ascii="Times New Roman"/>
        </w:rPr>
        <w:t>室内空气质量超限时，新风量调节响应时间宜控制在5 min内。</w:t>
      </w:r>
    </w:p>
    <w:p w14:paraId="52F0ABDE">
      <w:pPr>
        <w:pStyle w:val="164"/>
        <w:rPr>
          <w:rFonts w:ascii="Times New Roman"/>
        </w:rPr>
      </w:pPr>
      <w:r>
        <w:rPr>
          <w:rFonts w:ascii="Times New Roman"/>
        </w:rPr>
        <w:t>系统应连续运行72 h，各设备无异常报警且数据采集完整率应达100%。</w:t>
      </w:r>
    </w:p>
    <w:p w14:paraId="75FE3A90">
      <w:pPr>
        <w:pStyle w:val="105"/>
        <w:spacing w:before="120" w:after="120"/>
        <w:rPr>
          <w:rFonts w:ascii="Times New Roman"/>
        </w:rPr>
      </w:pPr>
      <w:r>
        <w:rPr>
          <w:rFonts w:ascii="Times New Roman"/>
        </w:rPr>
        <w:t>安全与环保措施</w:t>
      </w:r>
    </w:p>
    <w:p w14:paraId="35199B20">
      <w:pPr>
        <w:pStyle w:val="165"/>
        <w:rPr>
          <w:rFonts w:ascii="Times New Roman"/>
        </w:rPr>
      </w:pPr>
      <w:r>
        <w:rPr>
          <w:rFonts w:ascii="Times New Roman"/>
        </w:rPr>
        <w:t>高空作业人员应佩戴五点式安全带，工具应使用防坠落绳固定。</w:t>
      </w:r>
    </w:p>
    <w:p w14:paraId="3260FB5C">
      <w:pPr>
        <w:pStyle w:val="165"/>
        <w:rPr>
          <w:rFonts w:ascii="Times New Roman"/>
        </w:rPr>
      </w:pPr>
      <w:r>
        <w:rPr>
          <w:rFonts w:ascii="Times New Roman"/>
        </w:rPr>
        <w:t>切割作业应设置集尘装置，金属废料分类回收率不应低于90%。</w:t>
      </w:r>
    </w:p>
    <w:p w14:paraId="4D97BF01">
      <w:pPr>
        <w:pStyle w:val="165"/>
        <w:rPr>
          <w:rFonts w:ascii="Times New Roman"/>
        </w:rPr>
      </w:pPr>
      <w:r>
        <w:rPr>
          <w:rFonts w:ascii="Times New Roman"/>
        </w:rPr>
        <w:t>夜间施工照明照度不应低于150 lx，噪声排放应符合当地环保规定。</w:t>
      </w:r>
    </w:p>
    <w:p w14:paraId="5187673F">
      <w:pPr>
        <w:pStyle w:val="105"/>
        <w:spacing w:before="120" w:after="120"/>
        <w:rPr>
          <w:rFonts w:ascii="Times New Roman"/>
        </w:rPr>
      </w:pPr>
      <w:r>
        <w:rPr>
          <w:rFonts w:ascii="Times New Roman"/>
        </w:rPr>
        <w:t>施工记录与验收</w:t>
      </w:r>
    </w:p>
    <w:p w14:paraId="5290CC94">
      <w:pPr>
        <w:pStyle w:val="165"/>
        <w:rPr>
          <w:rFonts w:ascii="Times New Roman"/>
        </w:rPr>
      </w:pPr>
      <w:r>
        <w:rPr>
          <w:rFonts w:ascii="Times New Roman"/>
        </w:rPr>
        <w:t>隐蔽工程验收应留存影像资料，影像中应包含定位标识及测量工具。</w:t>
      </w:r>
    </w:p>
    <w:p w14:paraId="18052ACD">
      <w:pPr>
        <w:pStyle w:val="165"/>
        <w:rPr>
          <w:rFonts w:ascii="Times New Roman"/>
        </w:rPr>
      </w:pPr>
      <w:r>
        <w:rPr>
          <w:rFonts w:ascii="Times New Roman"/>
        </w:rPr>
        <w:t>调试记录应记载初始参数、调整过程及最终稳定值，数据修改处需责任人签章。</w:t>
      </w:r>
    </w:p>
    <w:p w14:paraId="089F7C1C">
      <w:pPr>
        <w:pStyle w:val="165"/>
        <w:rPr>
          <w:rFonts w:ascii="Times New Roman"/>
        </w:rPr>
      </w:pPr>
      <w:r>
        <w:rPr>
          <w:rFonts w:ascii="Times New Roman"/>
        </w:rPr>
        <w:t>竣工图纸应标注设备实际安装坐标，修订内容应加盖竣工图章。</w:t>
      </w:r>
    </w:p>
    <w:p w14:paraId="31B702CE">
      <w:pPr>
        <w:pStyle w:val="104"/>
        <w:spacing w:before="240" w:after="240"/>
        <w:rPr>
          <w:rFonts w:ascii="Times New Roman"/>
        </w:rPr>
      </w:pPr>
      <w:bookmarkStart w:id="53" w:name="_Toc197531758"/>
      <w:r>
        <w:rPr>
          <w:rFonts w:ascii="Times New Roman"/>
        </w:rPr>
        <w:t>智能控制集成</w:t>
      </w:r>
      <w:bookmarkEnd w:id="53"/>
    </w:p>
    <w:p w14:paraId="54F36F3A">
      <w:pPr>
        <w:pStyle w:val="105"/>
        <w:spacing w:before="120" w:after="120"/>
        <w:rPr>
          <w:rFonts w:ascii="Times New Roman"/>
        </w:rPr>
      </w:pPr>
      <w:r>
        <w:rPr>
          <w:rFonts w:ascii="Times New Roman"/>
        </w:rPr>
        <w:t>系统架构</w:t>
      </w:r>
    </w:p>
    <w:p w14:paraId="19FEEE79">
      <w:pPr>
        <w:pStyle w:val="165"/>
        <w:rPr>
          <w:rFonts w:ascii="Times New Roman"/>
        </w:rPr>
      </w:pPr>
      <w:r>
        <w:rPr>
          <w:rFonts w:ascii="Times New Roman"/>
        </w:rPr>
        <w:t>智能控制系统应采用分层分布式架构，现场控制层、网络传输层及管理平台层应实现物理隔离与逻辑互通。</w:t>
      </w:r>
    </w:p>
    <w:p w14:paraId="640F48BC">
      <w:pPr>
        <w:pStyle w:val="165"/>
        <w:rPr>
          <w:rFonts w:ascii="Times New Roman"/>
        </w:rPr>
      </w:pPr>
      <w:r>
        <w:rPr>
          <w:rFonts w:ascii="Times New Roman"/>
        </w:rPr>
        <w:t>边缘计算节点宜部署于现场控制层，具备本地数据处理及紧急决策能力。</w:t>
      </w:r>
    </w:p>
    <w:p w14:paraId="396637A7">
      <w:pPr>
        <w:pStyle w:val="165"/>
        <w:rPr>
          <w:rFonts w:ascii="Times New Roman"/>
        </w:rPr>
      </w:pPr>
      <w:r>
        <w:rPr>
          <w:rFonts w:ascii="Times New Roman"/>
        </w:rPr>
        <w:t>管理平台应支持跨系统数据融合，可对接楼宇自控系统或智慧城市管理平台。</w:t>
      </w:r>
    </w:p>
    <w:p w14:paraId="2171D5F7">
      <w:pPr>
        <w:pStyle w:val="105"/>
        <w:spacing w:before="120" w:after="120"/>
        <w:rPr>
          <w:rFonts w:ascii="Times New Roman"/>
        </w:rPr>
      </w:pPr>
      <w:r>
        <w:rPr>
          <w:rFonts w:ascii="Times New Roman"/>
        </w:rPr>
        <w:t>通信协议</w:t>
      </w:r>
    </w:p>
    <w:p w14:paraId="272A2578">
      <w:pPr>
        <w:pStyle w:val="165"/>
        <w:rPr>
          <w:rFonts w:ascii="Times New Roman"/>
        </w:rPr>
      </w:pPr>
      <w:r>
        <w:rPr>
          <w:rFonts w:ascii="Times New Roman"/>
        </w:rPr>
        <w:t>控制网络应优先采用国际通用工业通信协议，协议类型宜在系统设计阶段明确。</w:t>
      </w:r>
    </w:p>
    <w:p w14:paraId="16EC440A">
      <w:pPr>
        <w:pStyle w:val="165"/>
        <w:rPr>
          <w:rFonts w:ascii="Times New Roman"/>
        </w:rPr>
      </w:pPr>
      <w:r>
        <w:rPr>
          <w:rFonts w:ascii="Times New Roman"/>
        </w:rPr>
        <w:t>异构系统互联时，应配置协议转换网关，确保数据格式统一且传输速率匹配。</w:t>
      </w:r>
    </w:p>
    <w:p w14:paraId="00FAE623">
      <w:pPr>
        <w:pStyle w:val="165"/>
        <w:rPr>
          <w:rFonts w:ascii="Times New Roman"/>
        </w:rPr>
      </w:pPr>
      <w:r>
        <w:rPr>
          <w:rFonts w:ascii="Times New Roman"/>
        </w:rPr>
        <w:t>无线通信模块应具备抗干扰能力，信号覆盖率不应低于95%，丢包率宜小于0.1%。</w:t>
      </w:r>
    </w:p>
    <w:p w14:paraId="345B9087">
      <w:pPr>
        <w:pStyle w:val="105"/>
        <w:spacing w:before="120" w:after="120"/>
        <w:rPr>
          <w:rFonts w:ascii="Times New Roman"/>
        </w:rPr>
      </w:pPr>
      <w:r>
        <w:rPr>
          <w:rFonts w:ascii="Times New Roman"/>
        </w:rPr>
        <w:t>控制逻辑设计</w:t>
      </w:r>
    </w:p>
    <w:p w14:paraId="37C44D48">
      <w:pPr>
        <w:pStyle w:val="65"/>
        <w:spacing w:before="120" w:after="120"/>
        <w:rPr>
          <w:rFonts w:ascii="Times New Roman"/>
        </w:rPr>
      </w:pPr>
      <w:r>
        <w:rPr>
          <w:rFonts w:ascii="Times New Roman"/>
        </w:rPr>
        <w:t>基础逻辑</w:t>
      </w:r>
    </w:p>
    <w:p w14:paraId="1D358CF3">
      <w:pPr>
        <w:pStyle w:val="164"/>
        <w:rPr>
          <w:rFonts w:ascii="Times New Roman"/>
        </w:rPr>
      </w:pPr>
      <w:r>
        <w:rPr>
          <w:rFonts w:ascii="Times New Roman"/>
        </w:rPr>
        <w:t>设备启停逻辑应具备优先级设定功能，紧急模式下的控制指令应可覆盖常规操作。</w:t>
      </w:r>
    </w:p>
    <w:p w14:paraId="2A6D024C">
      <w:pPr>
        <w:pStyle w:val="164"/>
        <w:rPr>
          <w:rFonts w:ascii="Times New Roman"/>
        </w:rPr>
      </w:pPr>
      <w:r>
        <w:rPr>
          <w:rFonts w:ascii="Times New Roman"/>
        </w:rPr>
        <w:t>多设备协同运行时，应设置动作时序控制，避免瞬时负荷冲击。</w:t>
      </w:r>
    </w:p>
    <w:p w14:paraId="32FDEF8B">
      <w:pPr>
        <w:pStyle w:val="65"/>
        <w:spacing w:before="120" w:after="120"/>
        <w:rPr>
          <w:rFonts w:ascii="Times New Roman"/>
        </w:rPr>
      </w:pPr>
      <w:r>
        <w:rPr>
          <w:rFonts w:ascii="Times New Roman"/>
        </w:rPr>
        <w:t>自适应控制</w:t>
      </w:r>
    </w:p>
    <w:p w14:paraId="4AB419B4">
      <w:pPr>
        <w:pStyle w:val="164"/>
        <w:rPr>
          <w:rFonts w:ascii="Times New Roman"/>
        </w:rPr>
      </w:pPr>
      <w:r>
        <w:rPr>
          <w:rFonts w:ascii="Times New Roman"/>
        </w:rPr>
        <w:t>系统宜采用机器学习算法分析历史数据，动态优化运行策略。</w:t>
      </w:r>
    </w:p>
    <w:p w14:paraId="7A4ADB6A">
      <w:pPr>
        <w:pStyle w:val="164"/>
        <w:rPr>
          <w:rFonts w:ascii="Times New Roman"/>
        </w:rPr>
      </w:pPr>
      <w:r>
        <w:rPr>
          <w:rFonts w:ascii="Times New Roman"/>
        </w:rPr>
        <w:t>环境参数超出预设阈值时，控制逻辑应自动切换至应急调控模式。</w:t>
      </w:r>
    </w:p>
    <w:p w14:paraId="24D06739">
      <w:pPr>
        <w:pStyle w:val="65"/>
        <w:spacing w:before="120" w:after="120"/>
        <w:rPr>
          <w:rFonts w:ascii="Times New Roman"/>
        </w:rPr>
      </w:pPr>
      <w:r>
        <w:rPr>
          <w:rFonts w:ascii="Times New Roman"/>
        </w:rPr>
        <w:t>能效管理</w:t>
      </w:r>
    </w:p>
    <w:p w14:paraId="37BC29F3">
      <w:pPr>
        <w:pStyle w:val="164"/>
        <w:rPr>
          <w:rFonts w:ascii="Times New Roman"/>
        </w:rPr>
      </w:pPr>
      <w:r>
        <w:rPr>
          <w:rFonts w:ascii="Times New Roman"/>
        </w:rPr>
        <w:t>应建立能耗基准模型，实时对比实际能耗并生成优化建议。</w:t>
      </w:r>
    </w:p>
    <w:p w14:paraId="48A231A8">
      <w:pPr>
        <w:pStyle w:val="164"/>
        <w:rPr>
          <w:rFonts w:ascii="Times New Roman"/>
        </w:rPr>
      </w:pPr>
      <w:r>
        <w:rPr>
          <w:rFonts w:ascii="Times New Roman"/>
        </w:rPr>
        <w:t>负荷预测功能宜结合天气预报数据，提前调整设备运行状态。</w:t>
      </w:r>
    </w:p>
    <w:p w14:paraId="1157E6D5">
      <w:pPr>
        <w:pStyle w:val="105"/>
        <w:spacing w:before="120" w:after="120"/>
        <w:rPr>
          <w:rFonts w:ascii="Times New Roman"/>
        </w:rPr>
      </w:pPr>
      <w:r>
        <w:rPr>
          <w:rFonts w:ascii="Times New Roman"/>
        </w:rPr>
        <w:t>数据管理</w:t>
      </w:r>
    </w:p>
    <w:p w14:paraId="743F22F6">
      <w:pPr>
        <w:pStyle w:val="65"/>
        <w:spacing w:before="120" w:after="120"/>
        <w:rPr>
          <w:rFonts w:ascii="Times New Roman"/>
        </w:rPr>
      </w:pPr>
      <w:r>
        <w:rPr>
          <w:rFonts w:ascii="Times New Roman"/>
        </w:rPr>
        <w:t>数据采集</w:t>
      </w:r>
    </w:p>
    <w:p w14:paraId="21A2DA68">
      <w:pPr>
        <w:pStyle w:val="164"/>
        <w:rPr>
          <w:rFonts w:ascii="Times New Roman"/>
        </w:rPr>
      </w:pPr>
      <w:r>
        <w:rPr>
          <w:rFonts w:ascii="Times New Roman"/>
        </w:rPr>
        <w:t>传感器数据应实时上传至中央数据库，存储周期不宜少于3年。</w:t>
      </w:r>
    </w:p>
    <w:p w14:paraId="7FA198DA">
      <w:pPr>
        <w:pStyle w:val="164"/>
        <w:rPr>
          <w:rFonts w:ascii="Times New Roman"/>
        </w:rPr>
      </w:pPr>
      <w:r>
        <w:rPr>
          <w:rFonts w:ascii="Times New Roman"/>
        </w:rPr>
        <w:t>关键设备运行参数采样频率不应低于1次/s，非关键数据可降低至1次/min。</w:t>
      </w:r>
    </w:p>
    <w:p w14:paraId="7571D190">
      <w:pPr>
        <w:pStyle w:val="65"/>
        <w:spacing w:before="120" w:after="120"/>
        <w:rPr>
          <w:rFonts w:ascii="Times New Roman"/>
        </w:rPr>
      </w:pPr>
      <w:r>
        <w:rPr>
          <w:rFonts w:ascii="Times New Roman"/>
        </w:rPr>
        <w:t>数据处理</w:t>
      </w:r>
    </w:p>
    <w:p w14:paraId="42C8D3ED">
      <w:pPr>
        <w:pStyle w:val="164"/>
        <w:rPr>
          <w:rFonts w:ascii="Times New Roman"/>
        </w:rPr>
      </w:pPr>
      <w:r>
        <w:rPr>
          <w:rFonts w:ascii="Times New Roman"/>
        </w:rPr>
        <w:t>原始数据应进行噪声过滤与异常值修正，算法应通过离线验证。</w:t>
      </w:r>
    </w:p>
    <w:p w14:paraId="2D771619">
      <w:pPr>
        <w:pStyle w:val="164"/>
        <w:rPr>
          <w:rFonts w:ascii="Times New Roman"/>
        </w:rPr>
      </w:pPr>
      <w:r>
        <w:rPr>
          <w:rFonts w:ascii="Times New Roman"/>
        </w:rPr>
        <w:t>数据分析结果应以标准化格式输出，支持第三方软件调用。</w:t>
      </w:r>
    </w:p>
    <w:p w14:paraId="4C977F3E">
      <w:pPr>
        <w:pStyle w:val="65"/>
        <w:spacing w:before="120" w:after="120"/>
        <w:rPr>
          <w:rFonts w:ascii="Times New Roman"/>
        </w:rPr>
      </w:pPr>
      <w:r>
        <w:rPr>
          <w:rFonts w:ascii="Times New Roman"/>
        </w:rPr>
        <w:t>数据安全</w:t>
      </w:r>
    </w:p>
    <w:p w14:paraId="7A6F92B8">
      <w:pPr>
        <w:pStyle w:val="164"/>
        <w:rPr>
          <w:rFonts w:ascii="Times New Roman"/>
        </w:rPr>
      </w:pPr>
      <w:r>
        <w:rPr>
          <w:rFonts w:ascii="Times New Roman"/>
        </w:rPr>
        <w:t>传输数据应加密处理，宜采用国密算法保障通信安全。</w:t>
      </w:r>
    </w:p>
    <w:p w14:paraId="255C8E36">
      <w:pPr>
        <w:pStyle w:val="164"/>
        <w:rPr>
          <w:rFonts w:ascii="Times New Roman"/>
        </w:rPr>
      </w:pPr>
      <w:r>
        <w:rPr>
          <w:rFonts w:ascii="Times New Roman"/>
        </w:rPr>
        <w:t>数据库应设置分级访问权限，操作日志保留时间不应少于6个月。</w:t>
      </w:r>
    </w:p>
    <w:p w14:paraId="6AC880B6">
      <w:pPr>
        <w:pStyle w:val="105"/>
        <w:spacing w:before="120" w:after="120"/>
        <w:rPr>
          <w:rFonts w:ascii="Times New Roman"/>
        </w:rPr>
      </w:pPr>
      <w:r>
        <w:rPr>
          <w:rFonts w:ascii="Times New Roman"/>
        </w:rPr>
        <w:t>人机交互界面</w:t>
      </w:r>
    </w:p>
    <w:p w14:paraId="28FEB0D1">
      <w:pPr>
        <w:pStyle w:val="165"/>
        <w:rPr>
          <w:rFonts w:ascii="Times New Roman"/>
        </w:rPr>
      </w:pPr>
      <w:r>
        <w:rPr>
          <w:rFonts w:ascii="Times New Roman"/>
        </w:rPr>
        <w:t>图形界面应直观展示系统拓扑结构，设备状态宜以颜色分级标识。</w:t>
      </w:r>
    </w:p>
    <w:p w14:paraId="4DD20E94">
      <w:pPr>
        <w:pStyle w:val="165"/>
        <w:rPr>
          <w:rFonts w:ascii="Times New Roman"/>
        </w:rPr>
      </w:pPr>
      <w:r>
        <w:rPr>
          <w:rFonts w:ascii="Times New Roman"/>
        </w:rPr>
        <w:t>可配置多维度数据看板，支持自定义参数组合与趋势分析。</w:t>
      </w:r>
    </w:p>
    <w:p w14:paraId="0E8616A4">
      <w:pPr>
        <w:pStyle w:val="165"/>
        <w:rPr>
          <w:rFonts w:ascii="Times New Roman"/>
        </w:rPr>
      </w:pPr>
      <w:r>
        <w:rPr>
          <w:rFonts w:ascii="Times New Roman"/>
        </w:rPr>
        <w:t>移动端应用应具备离线缓存功能，网络恢复后自动同步数据。</w:t>
      </w:r>
    </w:p>
    <w:p w14:paraId="491F4102">
      <w:pPr>
        <w:pStyle w:val="105"/>
        <w:spacing w:before="120" w:after="120"/>
        <w:rPr>
          <w:rFonts w:ascii="Times New Roman"/>
        </w:rPr>
      </w:pPr>
      <w:r>
        <w:rPr>
          <w:rFonts w:ascii="Times New Roman"/>
        </w:rPr>
        <w:t>安全与冗余</w:t>
      </w:r>
    </w:p>
    <w:p w14:paraId="4F0DC2BE">
      <w:pPr>
        <w:pStyle w:val="65"/>
        <w:spacing w:before="120" w:after="120"/>
        <w:rPr>
          <w:rFonts w:ascii="Times New Roman"/>
        </w:rPr>
      </w:pPr>
      <w:r>
        <w:rPr>
          <w:rFonts w:ascii="Times New Roman"/>
        </w:rPr>
        <w:t>设备冗余</w:t>
      </w:r>
    </w:p>
    <w:p w14:paraId="122D99ED">
      <w:pPr>
        <w:pStyle w:val="164"/>
        <w:rPr>
          <w:rFonts w:ascii="Times New Roman"/>
        </w:rPr>
      </w:pPr>
      <w:r>
        <w:rPr>
          <w:rFonts w:ascii="Times New Roman"/>
        </w:rPr>
        <w:t>核心控制器应配置热备冗余，主备切换时间不应超过5 s。</w:t>
      </w:r>
    </w:p>
    <w:p w14:paraId="7A76E333">
      <w:pPr>
        <w:pStyle w:val="164"/>
        <w:rPr>
          <w:rFonts w:ascii="Times New Roman"/>
        </w:rPr>
      </w:pPr>
      <w:r>
        <w:rPr>
          <w:rFonts w:ascii="Times New Roman"/>
        </w:rPr>
        <w:t>关键传感器宜采用双路独立供电，单路故障时仍可维持基本监测功能。</w:t>
      </w:r>
    </w:p>
    <w:p w14:paraId="3DF70E05">
      <w:pPr>
        <w:pStyle w:val="65"/>
        <w:spacing w:before="120" w:after="120"/>
        <w:rPr>
          <w:rFonts w:ascii="Times New Roman"/>
        </w:rPr>
      </w:pPr>
      <w:r>
        <w:rPr>
          <w:rFonts w:ascii="Times New Roman"/>
        </w:rPr>
        <w:t>网络安全</w:t>
      </w:r>
    </w:p>
    <w:p w14:paraId="6F81AFB4">
      <w:pPr>
        <w:pStyle w:val="164"/>
        <w:rPr>
          <w:rFonts w:ascii="Times New Roman"/>
        </w:rPr>
      </w:pPr>
      <w:r>
        <w:rPr>
          <w:rFonts w:ascii="Times New Roman"/>
        </w:rPr>
        <w:t>外部接入端口应部署防火墙，非法访问尝试应触发实时告警。</w:t>
      </w:r>
    </w:p>
    <w:p w14:paraId="5D3E8925">
      <w:pPr>
        <w:pStyle w:val="164"/>
        <w:rPr>
          <w:rFonts w:ascii="Times New Roman"/>
        </w:rPr>
      </w:pPr>
      <w:r>
        <w:rPr>
          <w:rFonts w:ascii="Times New Roman"/>
        </w:rPr>
        <w:t>固件升级包应经数字签名认证，防止未授权代码注入。</w:t>
      </w:r>
    </w:p>
    <w:p w14:paraId="43203AEA">
      <w:pPr>
        <w:pStyle w:val="65"/>
        <w:spacing w:before="120" w:after="120"/>
        <w:rPr>
          <w:rFonts w:ascii="Times New Roman"/>
        </w:rPr>
      </w:pPr>
      <w:r>
        <w:rPr>
          <w:rFonts w:ascii="Times New Roman"/>
        </w:rPr>
        <w:t>功能安全</w:t>
      </w:r>
    </w:p>
    <w:p w14:paraId="5E14BB21">
      <w:pPr>
        <w:pStyle w:val="164"/>
        <w:rPr>
          <w:rFonts w:ascii="Times New Roman"/>
        </w:rPr>
      </w:pPr>
      <w:r>
        <w:rPr>
          <w:rFonts w:ascii="Times New Roman"/>
        </w:rPr>
        <w:t>控制指令应设置互锁逻辑，避免冲突操作导致设备损坏。</w:t>
      </w:r>
    </w:p>
    <w:p w14:paraId="5C5BDC05">
      <w:pPr>
        <w:pStyle w:val="164"/>
        <w:rPr>
          <w:rFonts w:ascii="Times New Roman"/>
        </w:rPr>
      </w:pPr>
      <w:r>
        <w:rPr>
          <w:rFonts w:ascii="Times New Roman"/>
        </w:rPr>
        <w:t>系统应具备自愈能力，通信中断后可在30 s内恢复基础控制功能。</w:t>
      </w:r>
    </w:p>
    <w:p w14:paraId="07DAF5FC">
      <w:pPr>
        <w:pStyle w:val="104"/>
        <w:spacing w:before="240" w:after="240"/>
        <w:rPr>
          <w:rFonts w:ascii="Times New Roman"/>
        </w:rPr>
      </w:pPr>
      <w:bookmarkStart w:id="54" w:name="_Toc197531759"/>
      <w:r>
        <w:rPr>
          <w:rFonts w:ascii="Times New Roman"/>
        </w:rPr>
        <w:t>调试与验收</w:t>
      </w:r>
      <w:bookmarkEnd w:id="54"/>
    </w:p>
    <w:p w14:paraId="761B844F">
      <w:pPr>
        <w:pStyle w:val="105"/>
        <w:spacing w:before="120" w:after="120"/>
        <w:rPr>
          <w:rFonts w:ascii="Times New Roman"/>
        </w:rPr>
      </w:pPr>
      <w:r>
        <w:rPr>
          <w:rFonts w:ascii="Times New Roman"/>
        </w:rPr>
        <w:t>调试准备</w:t>
      </w:r>
    </w:p>
    <w:p w14:paraId="18AFBAA5">
      <w:pPr>
        <w:pStyle w:val="165"/>
        <w:rPr>
          <w:rFonts w:ascii="Times New Roman"/>
        </w:rPr>
      </w:pPr>
      <w:r>
        <w:rPr>
          <w:rFonts w:ascii="Times New Roman"/>
        </w:rPr>
        <w:t>调试前应编制专项方案，明确调试流程、参与单位职责及应急预案。</w:t>
      </w:r>
    </w:p>
    <w:p w14:paraId="28980DCE">
      <w:pPr>
        <w:pStyle w:val="165"/>
        <w:rPr>
          <w:rFonts w:ascii="Times New Roman"/>
        </w:rPr>
      </w:pPr>
      <w:r>
        <w:rPr>
          <w:rFonts w:ascii="Times New Roman"/>
        </w:rPr>
        <w:t>所有设备应完成单机试运行，故障排除率需达100%。</w:t>
      </w:r>
    </w:p>
    <w:p w14:paraId="6C5664B6">
      <w:pPr>
        <w:pStyle w:val="165"/>
        <w:rPr>
          <w:rFonts w:ascii="Times New Roman"/>
        </w:rPr>
      </w:pPr>
      <w:r>
        <w:rPr>
          <w:rFonts w:ascii="Times New Roman"/>
        </w:rPr>
        <w:t>调试环境应满足设备运行条件，供电稳定性、温湿度范围等参数需符合设计要求。</w:t>
      </w:r>
    </w:p>
    <w:p w14:paraId="496281E5">
      <w:pPr>
        <w:pStyle w:val="105"/>
        <w:spacing w:before="120" w:after="120"/>
        <w:rPr>
          <w:rFonts w:ascii="Times New Roman"/>
        </w:rPr>
      </w:pPr>
      <w:r>
        <w:rPr>
          <w:rFonts w:ascii="Times New Roman"/>
        </w:rPr>
        <w:t>单机调试</w:t>
      </w:r>
    </w:p>
    <w:p w14:paraId="631DF7B2">
      <w:pPr>
        <w:pStyle w:val="165"/>
        <w:rPr>
          <w:rFonts w:ascii="Times New Roman"/>
        </w:rPr>
      </w:pPr>
      <w:r>
        <w:rPr>
          <w:rFonts w:ascii="Times New Roman"/>
        </w:rPr>
        <w:t>风机应测试启动电流、振动值及噪声水平，连续运行时间不宜少于2 h。</w:t>
      </w:r>
    </w:p>
    <w:p w14:paraId="0FB448C6">
      <w:pPr>
        <w:pStyle w:val="165"/>
        <w:rPr>
          <w:rFonts w:ascii="Times New Roman"/>
        </w:rPr>
      </w:pPr>
      <w:r>
        <w:rPr>
          <w:rFonts w:ascii="Times New Roman"/>
        </w:rPr>
        <w:t>传感器应进行零点校准与量程验证，测量误差超过标称值时应重新标定或更换。</w:t>
      </w:r>
    </w:p>
    <w:p w14:paraId="125896FE">
      <w:pPr>
        <w:pStyle w:val="165"/>
        <w:rPr>
          <w:rFonts w:ascii="Times New Roman"/>
        </w:rPr>
      </w:pPr>
      <w:r>
        <w:rPr>
          <w:rFonts w:ascii="Times New Roman"/>
        </w:rPr>
        <w:t>执行机构需全行程动作5次以上，开闭反馈信号与机械位置偏差不应超过3%。</w:t>
      </w:r>
    </w:p>
    <w:p w14:paraId="6BA5578D">
      <w:pPr>
        <w:pStyle w:val="165"/>
        <w:rPr>
          <w:rFonts w:ascii="Times New Roman"/>
        </w:rPr>
      </w:pPr>
      <w:r>
        <w:rPr>
          <w:rFonts w:ascii="Times New Roman"/>
        </w:rPr>
        <w:t>控制柜输入输出电压应逐项检测，接地电阻值不应大于4 Ω。</w:t>
      </w:r>
    </w:p>
    <w:p w14:paraId="411CAECA">
      <w:pPr>
        <w:pStyle w:val="105"/>
        <w:spacing w:before="120" w:after="120"/>
        <w:rPr>
          <w:rFonts w:ascii="Times New Roman"/>
        </w:rPr>
      </w:pPr>
      <w:r>
        <w:rPr>
          <w:rFonts w:ascii="Times New Roman"/>
        </w:rPr>
        <w:t>系统联合调试</w:t>
      </w:r>
    </w:p>
    <w:p w14:paraId="046A4AE3">
      <w:pPr>
        <w:pStyle w:val="65"/>
        <w:spacing w:before="120" w:after="120"/>
        <w:rPr>
          <w:rFonts w:ascii="Times New Roman"/>
        </w:rPr>
      </w:pPr>
      <w:r>
        <w:rPr>
          <w:rFonts w:ascii="Times New Roman"/>
        </w:rPr>
        <w:t>功能联动调试</w:t>
      </w:r>
    </w:p>
    <w:p w14:paraId="7CC78F39">
      <w:pPr>
        <w:pStyle w:val="164"/>
        <w:rPr>
          <w:rFonts w:ascii="Times New Roman"/>
        </w:rPr>
      </w:pPr>
      <w:r>
        <w:rPr>
          <w:rFonts w:ascii="Times New Roman"/>
        </w:rPr>
        <w:t>应模拟火灾报警信号，验证排烟模式优先启动的响应时间与联动设备动作顺序。</w:t>
      </w:r>
    </w:p>
    <w:p w14:paraId="0ECE76B8">
      <w:pPr>
        <w:pStyle w:val="164"/>
        <w:rPr>
          <w:rFonts w:ascii="Times New Roman"/>
        </w:rPr>
      </w:pPr>
      <w:r>
        <w:rPr>
          <w:rFonts w:ascii="Times New Roman"/>
        </w:rPr>
        <w:t>空气质量超标时，新风量调节与风机转速变化应同步执行，滞后时间不得超过设定阈值。</w:t>
      </w:r>
    </w:p>
    <w:p w14:paraId="21AD31CF">
      <w:pPr>
        <w:pStyle w:val="65"/>
        <w:spacing w:before="120" w:after="120"/>
        <w:rPr>
          <w:rFonts w:ascii="Times New Roman"/>
        </w:rPr>
      </w:pPr>
      <w:r>
        <w:rPr>
          <w:rFonts w:ascii="Times New Roman"/>
        </w:rPr>
        <w:t>性能验证</w:t>
      </w:r>
    </w:p>
    <w:p w14:paraId="0C5C9830">
      <w:pPr>
        <w:pStyle w:val="164"/>
        <w:rPr>
          <w:rFonts w:ascii="Times New Roman"/>
        </w:rPr>
      </w:pPr>
      <w:r>
        <w:rPr>
          <w:rFonts w:ascii="Times New Roman"/>
        </w:rPr>
        <w:t>系统应进行满负荷与部分负荷工况测试，风量平衡偏差不宜超过设计值的10%。</w:t>
      </w:r>
    </w:p>
    <w:p w14:paraId="57470F93">
      <w:pPr>
        <w:pStyle w:val="164"/>
        <w:rPr>
          <w:rFonts w:ascii="Times New Roman"/>
        </w:rPr>
      </w:pPr>
      <w:r>
        <w:rPr>
          <w:rFonts w:ascii="Times New Roman"/>
        </w:rPr>
        <w:t>在模拟电源中断场景下，控制系统应能自动保存状态数据并在恢复供电后无缝续运。</w:t>
      </w:r>
    </w:p>
    <w:p w14:paraId="5C2D65B3">
      <w:pPr>
        <w:pStyle w:val="65"/>
        <w:spacing w:before="120" w:after="120"/>
        <w:rPr>
          <w:rFonts w:ascii="Times New Roman"/>
        </w:rPr>
      </w:pPr>
      <w:r>
        <w:rPr>
          <w:rFonts w:ascii="Times New Roman"/>
        </w:rPr>
        <w:t>稳定性测试</w:t>
      </w:r>
    </w:p>
    <w:p w14:paraId="54A36210">
      <w:pPr>
        <w:pStyle w:val="56"/>
        <w:ind w:firstLine="420"/>
        <w:rPr>
          <w:rFonts w:ascii="Times New Roman"/>
        </w:rPr>
      </w:pPr>
      <w:r>
        <w:rPr>
          <w:rFonts w:ascii="Times New Roman"/>
        </w:rPr>
        <w:t>系统应连续运行72 h，期间故障报警次数不得超过3次，数据采集完整率应达100%。</w:t>
      </w:r>
    </w:p>
    <w:p w14:paraId="1AF5D815">
      <w:pPr>
        <w:pStyle w:val="105"/>
        <w:spacing w:before="120" w:after="120"/>
        <w:rPr>
          <w:rFonts w:ascii="Times New Roman"/>
        </w:rPr>
      </w:pPr>
      <w:r>
        <w:rPr>
          <w:rFonts w:ascii="Times New Roman"/>
        </w:rPr>
        <w:t>验收程序</w:t>
      </w:r>
    </w:p>
    <w:p w14:paraId="646F500E">
      <w:pPr>
        <w:pStyle w:val="65"/>
        <w:spacing w:before="120" w:after="120"/>
        <w:rPr>
          <w:rFonts w:ascii="Times New Roman"/>
        </w:rPr>
      </w:pPr>
      <w:r>
        <w:rPr>
          <w:rFonts w:ascii="Times New Roman"/>
        </w:rPr>
        <w:t>分项验收</w:t>
      </w:r>
    </w:p>
    <w:p w14:paraId="1D5F0C4B">
      <w:pPr>
        <w:pStyle w:val="164"/>
        <w:rPr>
          <w:rFonts w:ascii="Times New Roman"/>
        </w:rPr>
      </w:pPr>
      <w:r>
        <w:rPr>
          <w:rFonts w:ascii="Times New Roman"/>
        </w:rPr>
        <w:t>隐蔽工程验收应在封闭前完成，重点检查管道密封性、线缆绝缘电阻及防火封堵质量。</w:t>
      </w:r>
    </w:p>
    <w:p w14:paraId="62675F9A">
      <w:pPr>
        <w:pStyle w:val="164"/>
        <w:rPr>
          <w:rFonts w:ascii="Times New Roman"/>
        </w:rPr>
      </w:pPr>
      <w:r>
        <w:rPr>
          <w:rFonts w:ascii="Times New Roman"/>
        </w:rPr>
        <w:t>智能控制功能需逐项签认，逻辑冲突或功能缺失项应限期整改。</w:t>
      </w:r>
    </w:p>
    <w:p w14:paraId="32CB864A">
      <w:pPr>
        <w:pStyle w:val="65"/>
        <w:spacing w:before="120" w:after="120"/>
        <w:rPr>
          <w:rFonts w:ascii="Times New Roman"/>
        </w:rPr>
      </w:pPr>
      <w:r>
        <w:rPr>
          <w:rFonts w:ascii="Times New Roman"/>
        </w:rPr>
        <w:t>综合验收</w:t>
      </w:r>
    </w:p>
    <w:p w14:paraId="44EB9B93">
      <w:pPr>
        <w:pStyle w:val="164"/>
        <w:rPr>
          <w:rFonts w:ascii="Times New Roman"/>
        </w:rPr>
      </w:pPr>
      <w:r>
        <w:rPr>
          <w:rFonts w:ascii="Times New Roman"/>
        </w:rPr>
        <w:t>应组织设计、施工、监理及使用单位共同参与，按验收清单逐条核验。</w:t>
      </w:r>
    </w:p>
    <w:p w14:paraId="1DBC3650">
      <w:pPr>
        <w:pStyle w:val="164"/>
        <w:rPr>
          <w:rFonts w:ascii="Times New Roman"/>
        </w:rPr>
      </w:pPr>
      <w:r>
        <w:rPr>
          <w:rFonts w:ascii="Times New Roman"/>
        </w:rPr>
        <w:t>系统能效指标需提供第三方检测报告，节能率不得低于设计目标值的90%。</w:t>
      </w:r>
    </w:p>
    <w:p w14:paraId="587C61B8">
      <w:pPr>
        <w:pStyle w:val="65"/>
        <w:spacing w:before="120" w:after="120"/>
        <w:rPr>
          <w:rFonts w:ascii="Times New Roman"/>
        </w:rPr>
      </w:pPr>
      <w:r>
        <w:rPr>
          <w:rFonts w:ascii="Times New Roman"/>
        </w:rPr>
        <w:t>试运行考核</w:t>
      </w:r>
    </w:p>
    <w:p w14:paraId="36BDB4B3">
      <w:pPr>
        <w:pStyle w:val="56"/>
        <w:ind w:firstLine="420"/>
        <w:rPr>
          <w:rFonts w:ascii="Times New Roman"/>
        </w:rPr>
      </w:pPr>
      <w:r>
        <w:rPr>
          <w:rFonts w:ascii="Times New Roman"/>
        </w:rPr>
        <w:t>系统应通过30天试运行期，期间运维记录应完整，重大故障不得重复发生。</w:t>
      </w:r>
    </w:p>
    <w:p w14:paraId="26C9FD3D">
      <w:pPr>
        <w:pStyle w:val="105"/>
        <w:spacing w:before="120" w:after="120"/>
        <w:rPr>
          <w:rFonts w:ascii="Times New Roman"/>
        </w:rPr>
      </w:pPr>
      <w:r>
        <w:rPr>
          <w:rFonts w:ascii="Times New Roman"/>
        </w:rPr>
        <w:t>验收标准</w:t>
      </w:r>
    </w:p>
    <w:p w14:paraId="2E04C834">
      <w:pPr>
        <w:pStyle w:val="165"/>
        <w:rPr>
          <w:rFonts w:ascii="Times New Roman"/>
        </w:rPr>
      </w:pPr>
      <w:r>
        <w:rPr>
          <w:rFonts w:ascii="Times New Roman"/>
        </w:rPr>
        <w:t>设备运行参数应符合设计文件要求，允许偏差范围应不超出相关国家标准的限值。</w:t>
      </w:r>
    </w:p>
    <w:p w14:paraId="088151D4">
      <w:pPr>
        <w:pStyle w:val="165"/>
        <w:rPr>
          <w:rFonts w:ascii="Times New Roman"/>
        </w:rPr>
      </w:pPr>
      <w:r>
        <w:rPr>
          <w:rFonts w:ascii="Times New Roman"/>
        </w:rPr>
        <w:t>人机界面操作响应时间应小于1 s，历史数据存储与查询功能需完整可用。</w:t>
      </w:r>
    </w:p>
    <w:p w14:paraId="642CEACF">
      <w:pPr>
        <w:pStyle w:val="165"/>
        <w:rPr>
          <w:rFonts w:ascii="Times New Roman"/>
        </w:rPr>
      </w:pPr>
      <w:r>
        <w:rPr>
          <w:rFonts w:ascii="Times New Roman"/>
        </w:rPr>
        <w:t>智能算法预测准确率、故障诊断有效率等软性指标应达到技术协议约定值。</w:t>
      </w:r>
    </w:p>
    <w:p w14:paraId="63B50885">
      <w:pPr>
        <w:pStyle w:val="104"/>
        <w:spacing w:before="240" w:after="240"/>
        <w:rPr>
          <w:rFonts w:ascii="Times New Roman"/>
        </w:rPr>
      </w:pPr>
      <w:bookmarkStart w:id="55" w:name="_Toc197531760"/>
      <w:r>
        <w:rPr>
          <w:rFonts w:ascii="Times New Roman"/>
        </w:rPr>
        <w:t>运行维护</w:t>
      </w:r>
      <w:bookmarkEnd w:id="55"/>
    </w:p>
    <w:p w14:paraId="3314B1E1">
      <w:pPr>
        <w:pStyle w:val="105"/>
        <w:spacing w:before="120" w:after="120"/>
        <w:rPr>
          <w:rFonts w:ascii="Times New Roman"/>
        </w:rPr>
      </w:pPr>
      <w:r>
        <w:rPr>
          <w:rFonts w:ascii="Times New Roman"/>
        </w:rPr>
        <w:t>运维体系</w:t>
      </w:r>
    </w:p>
    <w:p w14:paraId="3BF8DD3B">
      <w:pPr>
        <w:pStyle w:val="165"/>
        <w:rPr>
          <w:rFonts w:ascii="Times New Roman"/>
        </w:rPr>
      </w:pPr>
      <w:r>
        <w:rPr>
          <w:rFonts w:ascii="Times New Roman"/>
        </w:rPr>
        <w:t>应建立完整的运维管理制度，明确管理职责、工作流程及考核指标。</w:t>
      </w:r>
    </w:p>
    <w:p w14:paraId="554BE7C4">
      <w:pPr>
        <w:pStyle w:val="165"/>
        <w:rPr>
          <w:rFonts w:ascii="Times New Roman"/>
        </w:rPr>
      </w:pPr>
      <w:r>
        <w:rPr>
          <w:rFonts w:ascii="Times New Roman"/>
        </w:rPr>
        <w:t>宜采用智能化运维平台，实现设备状态远程监控与故障预警。</w:t>
      </w:r>
    </w:p>
    <w:p w14:paraId="5C07210B">
      <w:pPr>
        <w:pStyle w:val="165"/>
        <w:rPr>
          <w:rFonts w:ascii="Times New Roman"/>
        </w:rPr>
      </w:pPr>
      <w:r>
        <w:rPr>
          <w:rFonts w:ascii="Times New Roman"/>
        </w:rPr>
        <w:t>运维团队应包含暖通、电气及自动化等专业人员，并实行24 h值班制。</w:t>
      </w:r>
    </w:p>
    <w:p w14:paraId="188B90D8">
      <w:pPr>
        <w:pStyle w:val="105"/>
        <w:spacing w:before="120" w:after="120"/>
        <w:rPr>
          <w:rFonts w:ascii="Times New Roman"/>
        </w:rPr>
      </w:pPr>
      <w:r>
        <w:rPr>
          <w:rFonts w:ascii="Times New Roman"/>
        </w:rPr>
        <w:t>日常维护</w:t>
      </w:r>
    </w:p>
    <w:p w14:paraId="3D406CE2">
      <w:pPr>
        <w:pStyle w:val="165"/>
        <w:rPr>
          <w:rFonts w:ascii="Times New Roman"/>
        </w:rPr>
      </w:pPr>
      <w:r>
        <w:rPr>
          <w:rFonts w:ascii="Times New Roman"/>
        </w:rPr>
        <w:t>应制定定期巡检计划，对风机、传感器、控制柜等关键设备进行状态检查。</w:t>
      </w:r>
    </w:p>
    <w:p w14:paraId="6B9DFFB4">
      <w:pPr>
        <w:pStyle w:val="165"/>
        <w:rPr>
          <w:rFonts w:ascii="Times New Roman"/>
        </w:rPr>
      </w:pPr>
      <w:r>
        <w:rPr>
          <w:rFonts w:ascii="Times New Roman"/>
        </w:rPr>
        <w:t>设备表面清洁、轴承润滑等基础维护宜每月开展一次，滤网更换周期不宜超过3个月。</w:t>
      </w:r>
    </w:p>
    <w:p w14:paraId="276781EC">
      <w:pPr>
        <w:pStyle w:val="165"/>
        <w:rPr>
          <w:rFonts w:ascii="Times New Roman"/>
        </w:rPr>
      </w:pPr>
      <w:r>
        <w:rPr>
          <w:rFonts w:ascii="Times New Roman"/>
        </w:rPr>
        <w:t>传感器精度应每季度校准一次，校准结果应记录归档。</w:t>
      </w:r>
    </w:p>
    <w:p w14:paraId="48EFF301">
      <w:pPr>
        <w:pStyle w:val="105"/>
        <w:spacing w:before="120" w:after="120"/>
        <w:rPr>
          <w:rFonts w:ascii="Times New Roman"/>
        </w:rPr>
      </w:pPr>
      <w:r>
        <w:rPr>
          <w:rFonts w:ascii="Times New Roman"/>
        </w:rPr>
        <w:t>故障管理</w:t>
      </w:r>
    </w:p>
    <w:p w14:paraId="384A5703">
      <w:pPr>
        <w:pStyle w:val="165"/>
        <w:rPr>
          <w:rFonts w:ascii="Times New Roman"/>
        </w:rPr>
      </w:pPr>
      <w:r>
        <w:rPr>
          <w:rFonts w:ascii="Times New Roman"/>
        </w:rPr>
        <w:t>系统应实时推送故障报警信息，并自动分类为紧急、重要、一般三级。</w:t>
      </w:r>
    </w:p>
    <w:p w14:paraId="16F8EC47">
      <w:pPr>
        <w:pStyle w:val="165"/>
        <w:rPr>
          <w:rFonts w:ascii="Times New Roman"/>
        </w:rPr>
      </w:pPr>
      <w:r>
        <w:rPr>
          <w:rFonts w:ascii="Times New Roman"/>
        </w:rPr>
        <w:t>紧急故障响应时间不得超过2 h，重要故障应在8 h内处置完毕。</w:t>
      </w:r>
    </w:p>
    <w:p w14:paraId="668D1FA1">
      <w:pPr>
        <w:pStyle w:val="165"/>
        <w:rPr>
          <w:rFonts w:ascii="Times New Roman"/>
        </w:rPr>
      </w:pPr>
      <w:r>
        <w:rPr>
          <w:rFonts w:ascii="Times New Roman"/>
        </w:rPr>
        <w:t>故障处理完毕后应分析根本原因，形成案例库并更新预防措施。</w:t>
      </w:r>
    </w:p>
    <w:p w14:paraId="2FEC9773">
      <w:pPr>
        <w:pStyle w:val="105"/>
        <w:spacing w:before="120" w:after="120"/>
        <w:rPr>
          <w:rFonts w:ascii="Times New Roman"/>
        </w:rPr>
      </w:pPr>
      <w:r>
        <w:rPr>
          <w:rFonts w:ascii="Times New Roman"/>
        </w:rPr>
        <w:t>人员培训</w:t>
      </w:r>
    </w:p>
    <w:p w14:paraId="227AD379">
      <w:pPr>
        <w:pStyle w:val="165"/>
        <w:rPr>
          <w:rFonts w:ascii="Times New Roman"/>
        </w:rPr>
      </w:pPr>
      <w:r>
        <w:rPr>
          <w:rFonts w:ascii="Times New Roman"/>
        </w:rPr>
        <w:t>运维人员应通过专业技能考核，每年度接受不少于16 h的继续教育。</w:t>
      </w:r>
    </w:p>
    <w:p w14:paraId="5D0F8160">
      <w:pPr>
        <w:pStyle w:val="165"/>
        <w:rPr>
          <w:rFonts w:ascii="Times New Roman"/>
        </w:rPr>
      </w:pPr>
      <w:r>
        <w:rPr>
          <w:rFonts w:ascii="Times New Roman"/>
        </w:rPr>
        <w:t>宜每半年组织一次应急演练，模拟火灾、断电等突发场景的处置流程。</w:t>
      </w:r>
    </w:p>
    <w:p w14:paraId="36E33776">
      <w:pPr>
        <w:pStyle w:val="165"/>
        <w:rPr>
          <w:rFonts w:ascii="Times New Roman"/>
        </w:rPr>
      </w:pPr>
      <w:r>
        <w:rPr>
          <w:rFonts w:ascii="Times New Roman"/>
        </w:rPr>
        <w:t>新设备投用前应对操作人员进行专项培训，合格后方可独立操作。</w:t>
      </w:r>
    </w:p>
    <w:p w14:paraId="45D37FCF">
      <w:pPr>
        <w:pStyle w:val="105"/>
        <w:spacing w:before="120" w:after="120"/>
        <w:rPr>
          <w:rFonts w:ascii="Times New Roman"/>
        </w:rPr>
      </w:pPr>
      <w:r>
        <w:rPr>
          <w:rFonts w:ascii="Times New Roman"/>
        </w:rPr>
        <w:t>系统升级</w:t>
      </w:r>
    </w:p>
    <w:p w14:paraId="5DDB0F26">
      <w:pPr>
        <w:pStyle w:val="165"/>
        <w:rPr>
          <w:rFonts w:ascii="Times New Roman"/>
        </w:rPr>
      </w:pPr>
      <w:r>
        <w:rPr>
          <w:rFonts w:ascii="Times New Roman"/>
        </w:rPr>
        <w:t>应定期评估系统软硬件性能，技术落后或无法满足需求的设备宜逐步更新。</w:t>
      </w:r>
    </w:p>
    <w:p w14:paraId="37E114AC">
      <w:pPr>
        <w:pStyle w:val="165"/>
        <w:rPr>
          <w:rFonts w:ascii="Times New Roman"/>
        </w:rPr>
      </w:pPr>
      <w:r>
        <w:rPr>
          <w:rFonts w:ascii="Times New Roman"/>
        </w:rPr>
        <w:t>软件升级前应备份原有配置，升级后应进行48 h试运行验证。</w:t>
      </w:r>
    </w:p>
    <w:p w14:paraId="50E2EB97">
      <w:pPr>
        <w:pStyle w:val="165"/>
        <w:rPr>
          <w:rFonts w:ascii="Times New Roman"/>
        </w:rPr>
      </w:pPr>
      <w:r>
        <w:rPr>
          <w:rFonts w:ascii="Times New Roman"/>
        </w:rPr>
        <w:t>新增设备接入时需进行兼容性测试，避免影响既有系统稳定性。</w:t>
      </w:r>
    </w:p>
    <w:p w14:paraId="113FA3C6">
      <w:pPr>
        <w:pStyle w:val="105"/>
        <w:spacing w:before="120" w:after="120"/>
        <w:rPr>
          <w:rFonts w:ascii="Times New Roman"/>
        </w:rPr>
      </w:pPr>
      <w:r>
        <w:rPr>
          <w:rFonts w:ascii="Times New Roman"/>
        </w:rPr>
        <w:t>应急处理</w:t>
      </w:r>
    </w:p>
    <w:p w14:paraId="517A9EF2">
      <w:pPr>
        <w:pStyle w:val="165"/>
        <w:rPr>
          <w:rFonts w:ascii="Times New Roman"/>
        </w:rPr>
      </w:pPr>
      <w:r>
        <w:rPr>
          <w:rFonts w:ascii="Times New Roman"/>
        </w:rPr>
        <w:t>应制定专项应急预案，明确自然灾害、人为破坏等场景的处置流程。</w:t>
      </w:r>
    </w:p>
    <w:p w14:paraId="683096B5">
      <w:pPr>
        <w:pStyle w:val="165"/>
        <w:rPr>
          <w:rFonts w:ascii="Times New Roman"/>
        </w:rPr>
      </w:pPr>
      <w:r>
        <w:rPr>
          <w:rFonts w:ascii="Times New Roman"/>
        </w:rPr>
        <w:t>主系统故障时应启动备用控制模式，基础通风功能恢复时间不得超过1 h。</w:t>
      </w:r>
    </w:p>
    <w:p w14:paraId="38405EEB">
      <w:pPr>
        <w:pStyle w:val="165"/>
        <w:rPr>
          <w:rFonts w:ascii="Times New Roman"/>
        </w:rPr>
      </w:pPr>
      <w:r>
        <w:rPr>
          <w:rFonts w:ascii="Times New Roman"/>
        </w:rPr>
        <w:t>每年宜联合消防、安防等部门开展一次多系统协同应急演练。</w:t>
      </w:r>
    </w:p>
    <w:bookmarkEnd w:id="24"/>
    <w:bookmarkEnd w:id="36"/>
    <w:p w14:paraId="06B2064C">
      <w:pPr>
        <w:pStyle w:val="56"/>
        <w:ind w:firstLine="0" w:firstLineChars="0"/>
        <w:jc w:val="center"/>
      </w:pPr>
      <w:bookmarkStart w:id="56" w:name="BookMark8"/>
      <w:r>
        <w:drawing>
          <wp:inline distT="0" distB="0" distL="0" distR="0">
            <wp:extent cx="1485900" cy="317500"/>
            <wp:effectExtent l="0" t="0" r="0" b="6350"/>
            <wp:docPr id="186630715" name="图片 1"/>
            <wp:cNvGraphicFramePr/>
            <a:graphic xmlns:a="http://schemas.openxmlformats.org/drawingml/2006/main">
              <a:graphicData uri="http://schemas.openxmlformats.org/drawingml/2006/picture">
                <pic:pic xmlns:pic="http://schemas.openxmlformats.org/drawingml/2006/picture">
                  <pic:nvPicPr>
                    <pic:cNvPr id="186630715"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F172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2AD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E47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27C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E93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B4C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6AB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D63B">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E647">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E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0B1"/>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C31"/>
    <w:rsid w:val="00104926"/>
    <w:rsid w:val="00104E9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36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D9F"/>
    <w:rsid w:val="002253A1"/>
    <w:rsid w:val="00225CF8"/>
    <w:rsid w:val="0022794E"/>
    <w:rsid w:val="00233D64"/>
    <w:rsid w:val="0023482A"/>
    <w:rsid w:val="002359CB"/>
    <w:rsid w:val="002406BE"/>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BE1"/>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076"/>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882"/>
    <w:rsid w:val="003D6D61"/>
    <w:rsid w:val="003E019F"/>
    <w:rsid w:val="003E020A"/>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71E"/>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A53"/>
    <w:rsid w:val="004D4406"/>
    <w:rsid w:val="004D7C42"/>
    <w:rsid w:val="004E0465"/>
    <w:rsid w:val="004E127B"/>
    <w:rsid w:val="004E1C0A"/>
    <w:rsid w:val="004E2754"/>
    <w:rsid w:val="004E30C5"/>
    <w:rsid w:val="004E4AA5"/>
    <w:rsid w:val="004E4AEE"/>
    <w:rsid w:val="004E59E3"/>
    <w:rsid w:val="004E67C0"/>
    <w:rsid w:val="004F391A"/>
    <w:rsid w:val="004F3CFB"/>
    <w:rsid w:val="004F6456"/>
    <w:rsid w:val="004F696E"/>
    <w:rsid w:val="004F6C71"/>
    <w:rsid w:val="004F73CB"/>
    <w:rsid w:val="00501139"/>
    <w:rsid w:val="0050363E"/>
    <w:rsid w:val="005039BC"/>
    <w:rsid w:val="005043BB"/>
    <w:rsid w:val="005048CD"/>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51F"/>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EEA"/>
    <w:rsid w:val="005C5F21"/>
    <w:rsid w:val="005C6C44"/>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9F0"/>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4A8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5B9"/>
    <w:rsid w:val="00794E60"/>
    <w:rsid w:val="007958B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6B2"/>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268"/>
    <w:rsid w:val="00896DFF"/>
    <w:rsid w:val="0089762C"/>
    <w:rsid w:val="008A07C4"/>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DC0"/>
    <w:rsid w:val="009062E6"/>
    <w:rsid w:val="00911474"/>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7B6"/>
    <w:rsid w:val="009720FF"/>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FD5"/>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497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43A"/>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734"/>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A38"/>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616"/>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B9A"/>
    <w:rsid w:val="00D66846"/>
    <w:rsid w:val="00D675FB"/>
    <w:rsid w:val="00D71F25"/>
    <w:rsid w:val="00D72A9C"/>
    <w:rsid w:val="00D77031"/>
    <w:rsid w:val="00D84941"/>
    <w:rsid w:val="00D84FA1"/>
    <w:rsid w:val="00D851F0"/>
    <w:rsid w:val="00D86DB7"/>
    <w:rsid w:val="00D87BF5"/>
    <w:rsid w:val="00D90721"/>
    <w:rsid w:val="00D926D0"/>
    <w:rsid w:val="00D93030"/>
    <w:rsid w:val="00D93C9D"/>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7FB"/>
    <w:rsid w:val="00E06404"/>
    <w:rsid w:val="00E11A85"/>
    <w:rsid w:val="00E12495"/>
    <w:rsid w:val="00E15CCD"/>
    <w:rsid w:val="00E202EF"/>
    <w:rsid w:val="00E20379"/>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C74"/>
    <w:rsid w:val="00E60C63"/>
    <w:rsid w:val="00E60D0A"/>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49A"/>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6E2"/>
    <w:rsid w:val="00F56511"/>
    <w:rsid w:val="00F60B1D"/>
    <w:rsid w:val="00F6194E"/>
    <w:rsid w:val="00F623AC"/>
    <w:rsid w:val="00F6412A"/>
    <w:rsid w:val="00F65893"/>
    <w:rsid w:val="00F66A4A"/>
    <w:rsid w:val="00F71E22"/>
    <w:rsid w:val="00F72142"/>
    <w:rsid w:val="00F72AE7"/>
    <w:rsid w:val="00F833BA"/>
    <w:rsid w:val="00F84FD0"/>
    <w:rsid w:val="00F859A8"/>
    <w:rsid w:val="00F86D87"/>
    <w:rsid w:val="00F87EFE"/>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8F7"/>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38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05843CFDEC4E62B1BD33AC68804CB6"/>
        <w:style w:val=""/>
        <w:category>
          <w:name w:val="常规"/>
          <w:gallery w:val="placeholder"/>
        </w:category>
        <w:types>
          <w:type w:val="bbPlcHdr"/>
        </w:types>
        <w:behaviors>
          <w:behavior w:val="content"/>
        </w:behaviors>
        <w:description w:val=""/>
        <w:guid w:val="{9FBD82E4-1E51-4627-B842-0FFB647EEE6A}"/>
      </w:docPartPr>
      <w:docPartBody>
        <w:p w14:paraId="614E3916">
          <w:pPr>
            <w:pStyle w:val="5"/>
          </w:pPr>
          <w:r>
            <w:rPr>
              <w:rStyle w:val="4"/>
              <w:rFonts w:hint="eastAsia"/>
            </w:rPr>
            <w:t>单击或点击此处输入文字。</w:t>
          </w:r>
        </w:p>
      </w:docPartBody>
    </w:docPart>
    <w:docPart>
      <w:docPartPr>
        <w:name w:val="75D1A4FE8A3B4981B698BA9E521FD125"/>
        <w:style w:val=""/>
        <w:category>
          <w:name w:val="常规"/>
          <w:gallery w:val="placeholder"/>
        </w:category>
        <w:types>
          <w:type w:val="bbPlcHdr"/>
        </w:types>
        <w:behaviors>
          <w:behavior w:val="content"/>
        </w:behaviors>
        <w:description w:val=""/>
        <w:guid w:val="{FDC0E4BA-2C2D-4B9C-B48E-70173C4F220F}"/>
      </w:docPartPr>
      <w:docPartBody>
        <w:p w14:paraId="43B01BB9">
          <w:pPr>
            <w:pStyle w:val="6"/>
          </w:pPr>
          <w:r>
            <w:rPr>
              <w:rStyle w:val="4"/>
              <w:rFonts w:hint="eastAsia"/>
            </w:rPr>
            <w:t>选择一项。</w:t>
          </w:r>
        </w:p>
      </w:docPartBody>
    </w:docPart>
    <w:docPart>
      <w:docPartPr>
        <w:name w:val="8A4F7776F40741458B3D0B7B74C00086"/>
        <w:style w:val=""/>
        <w:category>
          <w:name w:val="常规"/>
          <w:gallery w:val="placeholder"/>
        </w:category>
        <w:types>
          <w:type w:val="bbPlcHdr"/>
        </w:types>
        <w:behaviors>
          <w:behavior w:val="content"/>
        </w:behaviors>
        <w:description w:val=""/>
        <w:guid w:val="{D7409922-6590-4649-8AF3-B882EA801548}"/>
      </w:docPartPr>
      <w:docPartBody>
        <w:p w14:paraId="11A94F95">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8E"/>
    <w:rsid w:val="0082338E"/>
    <w:rsid w:val="00E2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C05843CFDEC4E62B1BD33AC68804CB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5D1A4FE8A3B4981B698BA9E521FD12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A4F7776F40741458B3D0B7B74C0008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3684</Words>
  <Characters>4001</Characters>
  <Lines>221</Lines>
  <Paragraphs>224</Paragraphs>
  <TotalTime>460</TotalTime>
  <ScaleCrop>false</ScaleCrop>
  <LinksUpToDate>false</LinksUpToDate>
  <CharactersWithSpaces>4085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2025-05-07T01:58:00Z</dcterms:created>
  <dc:creator>Administrator</dc:creator>
  <dc:description>&lt;config cover="true" show_menu="true" version="1.0.0" doctype="SDKXY"&gt;_x000d_
&lt;/config&gt;</dc:description>
  <cp:lastModifiedBy>Shimmer</cp:lastModifiedBy>
  <cp:lastPrinted>2021-02-02T08:22:00Z</cp:lastPrinted>
  <dcterms:modified xsi:type="dcterms:W3CDTF">2025-05-14T08:24:49Z</dcterms:modified>
  <dc:title>团体标准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813F90368A9F43B0BBE2D24A7482B54F_12</vt:lpwstr>
  </property>
</Properties>
</file>