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AE89" w14:textId="77777777" w:rsidR="009E3DB9" w:rsidRDefault="009E3DB9">
      <w:pPr>
        <w:jc w:val="center"/>
        <w:rPr>
          <w:rFonts w:hint="eastAsia"/>
        </w:rPr>
      </w:pPr>
    </w:p>
    <w:p w14:paraId="0E9E6FD3" w14:textId="77777777" w:rsidR="009E3DB9" w:rsidRDefault="009E3DB9">
      <w:pPr>
        <w:jc w:val="center"/>
        <w:rPr>
          <w:rFonts w:hint="eastAsia"/>
        </w:rPr>
      </w:pPr>
    </w:p>
    <w:p w14:paraId="6F34B203" w14:textId="77777777" w:rsidR="009E3DB9" w:rsidRDefault="009E3DB9">
      <w:pPr>
        <w:jc w:val="center"/>
        <w:rPr>
          <w:rFonts w:hint="eastAsia"/>
        </w:rPr>
      </w:pPr>
    </w:p>
    <w:p w14:paraId="539E1E6A" w14:textId="77777777" w:rsidR="009E3DB9" w:rsidRDefault="009E3DB9">
      <w:pPr>
        <w:jc w:val="center"/>
        <w:rPr>
          <w:rFonts w:hint="eastAsia"/>
        </w:rPr>
      </w:pPr>
    </w:p>
    <w:p w14:paraId="7401B620" w14:textId="77777777" w:rsidR="009E3DB9" w:rsidRDefault="009E3DB9">
      <w:pPr>
        <w:jc w:val="center"/>
        <w:rPr>
          <w:rFonts w:hint="eastAsia"/>
        </w:rPr>
      </w:pPr>
    </w:p>
    <w:p w14:paraId="00B4DFDE" w14:textId="77777777" w:rsidR="009E3DB9" w:rsidRDefault="009E3DB9">
      <w:pPr>
        <w:jc w:val="center"/>
        <w:rPr>
          <w:rFonts w:hint="eastAsia"/>
        </w:rPr>
      </w:pPr>
    </w:p>
    <w:p w14:paraId="35FCED0A" w14:textId="77777777" w:rsidR="009E3DB9" w:rsidRDefault="009E3DB9">
      <w:pPr>
        <w:jc w:val="center"/>
        <w:rPr>
          <w:rFonts w:hint="eastAsia"/>
        </w:rPr>
      </w:pPr>
    </w:p>
    <w:p w14:paraId="431E649D" w14:textId="77777777" w:rsidR="009E3DB9" w:rsidRDefault="009E3DB9">
      <w:pPr>
        <w:jc w:val="center"/>
        <w:rPr>
          <w:rFonts w:hint="eastAsia"/>
        </w:rPr>
      </w:pPr>
    </w:p>
    <w:p w14:paraId="0006A106" w14:textId="77777777" w:rsidR="009E3DB9" w:rsidRDefault="009E3DB9">
      <w:pPr>
        <w:jc w:val="center"/>
        <w:rPr>
          <w:rFonts w:hint="eastAsia"/>
        </w:rPr>
      </w:pPr>
    </w:p>
    <w:p w14:paraId="195C0952" w14:textId="77777777" w:rsidR="009E3DB9" w:rsidRDefault="009E3DB9">
      <w:pPr>
        <w:jc w:val="center"/>
        <w:rPr>
          <w:rFonts w:hint="eastAsia"/>
        </w:rPr>
      </w:pPr>
    </w:p>
    <w:p w14:paraId="7ADE53B9" w14:textId="77777777" w:rsidR="009E3DB9" w:rsidRDefault="009E3DB9">
      <w:pPr>
        <w:jc w:val="center"/>
        <w:rPr>
          <w:rFonts w:hint="eastAsia"/>
        </w:rPr>
      </w:pPr>
    </w:p>
    <w:p w14:paraId="758F5710" w14:textId="77777777" w:rsidR="009E3DB9" w:rsidRDefault="00000000">
      <w:pPr>
        <w:jc w:val="center"/>
        <w:rPr>
          <w:rFonts w:ascii="黑体" w:eastAsia="黑体" w:hAnsi="黑体" w:cs="黑体" w:hint="eastAsia"/>
          <w:sz w:val="44"/>
          <w:szCs w:val="44"/>
        </w:rPr>
      </w:pPr>
      <w:r>
        <w:rPr>
          <w:rFonts w:ascii="黑体" w:eastAsia="黑体" w:hAnsi="黑体" w:cs="黑体" w:hint="eastAsia"/>
          <w:sz w:val="44"/>
          <w:szCs w:val="44"/>
        </w:rPr>
        <w:t>中国中小企业协会团体标准</w:t>
      </w:r>
    </w:p>
    <w:p w14:paraId="0A21095B" w14:textId="77777777" w:rsidR="009E3DB9" w:rsidRDefault="009E3DB9">
      <w:pPr>
        <w:jc w:val="center"/>
        <w:rPr>
          <w:rFonts w:hint="eastAsia"/>
        </w:rPr>
      </w:pPr>
    </w:p>
    <w:p w14:paraId="30709085" w14:textId="77777777" w:rsidR="009E3DB9"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《市政桥梁结构监测技术规范》</w:t>
      </w:r>
    </w:p>
    <w:p w14:paraId="69651B73" w14:textId="77777777" w:rsidR="009E3DB9" w:rsidRDefault="009E3DB9">
      <w:pPr>
        <w:jc w:val="center"/>
        <w:rPr>
          <w:rFonts w:ascii="迷你简小标宋" w:eastAsia="迷你简小标宋" w:hAnsi="宋体" w:hint="eastAsia"/>
          <w:sz w:val="44"/>
          <w:szCs w:val="44"/>
        </w:rPr>
      </w:pPr>
    </w:p>
    <w:p w14:paraId="66DB0283" w14:textId="77777777" w:rsidR="009E3DB9"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编制说明</w:t>
      </w:r>
    </w:p>
    <w:p w14:paraId="7AFC3F77" w14:textId="77777777" w:rsidR="009E3DB9" w:rsidRDefault="009E3DB9">
      <w:pPr>
        <w:jc w:val="center"/>
        <w:rPr>
          <w:rFonts w:hint="eastAsia"/>
        </w:rPr>
      </w:pPr>
    </w:p>
    <w:p w14:paraId="3A1BBD4E" w14:textId="77777777" w:rsidR="009E3DB9" w:rsidRDefault="009E3DB9">
      <w:pPr>
        <w:jc w:val="center"/>
        <w:rPr>
          <w:rFonts w:hint="eastAsia"/>
        </w:rPr>
      </w:pPr>
    </w:p>
    <w:p w14:paraId="553A2397" w14:textId="77777777" w:rsidR="009E3DB9" w:rsidRDefault="009E3DB9">
      <w:pPr>
        <w:jc w:val="center"/>
        <w:rPr>
          <w:rFonts w:hint="eastAsia"/>
        </w:rPr>
      </w:pPr>
    </w:p>
    <w:p w14:paraId="327431EC" w14:textId="77777777" w:rsidR="009E3DB9" w:rsidRDefault="009E3DB9">
      <w:pPr>
        <w:jc w:val="center"/>
        <w:rPr>
          <w:rFonts w:hint="eastAsia"/>
        </w:rPr>
      </w:pPr>
    </w:p>
    <w:p w14:paraId="2EABEAF3" w14:textId="77777777" w:rsidR="009E3DB9" w:rsidRDefault="009E3DB9">
      <w:pPr>
        <w:jc w:val="center"/>
        <w:rPr>
          <w:rFonts w:hint="eastAsia"/>
        </w:rPr>
      </w:pPr>
    </w:p>
    <w:p w14:paraId="1461394E" w14:textId="77777777" w:rsidR="009E3DB9" w:rsidRDefault="009E3DB9">
      <w:pPr>
        <w:jc w:val="center"/>
        <w:rPr>
          <w:rFonts w:hint="eastAsia"/>
        </w:rPr>
      </w:pPr>
    </w:p>
    <w:p w14:paraId="70E034AF" w14:textId="77777777" w:rsidR="009E3DB9" w:rsidRDefault="009E3DB9">
      <w:pPr>
        <w:jc w:val="center"/>
        <w:rPr>
          <w:rFonts w:hint="eastAsia"/>
        </w:rPr>
      </w:pPr>
    </w:p>
    <w:p w14:paraId="64520520" w14:textId="77777777" w:rsidR="009E3DB9" w:rsidRDefault="009E3DB9">
      <w:pPr>
        <w:jc w:val="center"/>
        <w:rPr>
          <w:rFonts w:hint="eastAsia"/>
        </w:rPr>
      </w:pPr>
    </w:p>
    <w:p w14:paraId="399B77AA" w14:textId="77777777" w:rsidR="009E3DB9" w:rsidRDefault="009E3DB9">
      <w:pPr>
        <w:jc w:val="center"/>
        <w:rPr>
          <w:rFonts w:hint="eastAsia"/>
        </w:rPr>
      </w:pPr>
    </w:p>
    <w:p w14:paraId="1C4A82D6" w14:textId="77777777" w:rsidR="009E3DB9" w:rsidRDefault="009E3DB9">
      <w:pPr>
        <w:jc w:val="center"/>
        <w:rPr>
          <w:rFonts w:hint="eastAsia"/>
        </w:rPr>
      </w:pPr>
    </w:p>
    <w:p w14:paraId="718A098E" w14:textId="77777777" w:rsidR="009E3DB9" w:rsidRDefault="009E3DB9">
      <w:pPr>
        <w:jc w:val="center"/>
        <w:rPr>
          <w:rFonts w:hint="eastAsia"/>
        </w:rPr>
      </w:pPr>
    </w:p>
    <w:p w14:paraId="579D872B" w14:textId="77777777" w:rsidR="009E3DB9" w:rsidRDefault="009E3DB9">
      <w:pPr>
        <w:jc w:val="center"/>
        <w:rPr>
          <w:rFonts w:hint="eastAsia"/>
        </w:rPr>
      </w:pPr>
    </w:p>
    <w:p w14:paraId="51575CC1" w14:textId="77777777" w:rsidR="009E3DB9" w:rsidRDefault="009E3DB9">
      <w:pPr>
        <w:jc w:val="center"/>
        <w:rPr>
          <w:rFonts w:hint="eastAsia"/>
        </w:rPr>
      </w:pPr>
    </w:p>
    <w:p w14:paraId="1F8E33AE" w14:textId="77777777" w:rsidR="009E3DB9" w:rsidRDefault="009E3DB9">
      <w:pPr>
        <w:jc w:val="center"/>
        <w:rPr>
          <w:rFonts w:hint="eastAsia"/>
        </w:rPr>
      </w:pPr>
    </w:p>
    <w:p w14:paraId="2D614C57" w14:textId="77777777" w:rsidR="009E3DB9" w:rsidRDefault="009E3DB9">
      <w:pPr>
        <w:jc w:val="center"/>
        <w:rPr>
          <w:rFonts w:hint="eastAsia"/>
        </w:rPr>
      </w:pPr>
    </w:p>
    <w:p w14:paraId="08BA6CF1" w14:textId="77777777" w:rsidR="009E3DB9" w:rsidRDefault="009E3DB9">
      <w:pPr>
        <w:jc w:val="center"/>
        <w:rPr>
          <w:rFonts w:hint="eastAsia"/>
        </w:rPr>
      </w:pPr>
    </w:p>
    <w:p w14:paraId="72F20A07" w14:textId="77777777" w:rsidR="009E3DB9" w:rsidRDefault="00000000">
      <w:pPr>
        <w:jc w:val="center"/>
        <w:rPr>
          <w:rFonts w:ascii="宋体" w:eastAsia="宋体" w:hAnsi="宋体" w:hint="eastAsia"/>
          <w:sz w:val="28"/>
          <w:szCs w:val="28"/>
        </w:rPr>
      </w:pPr>
      <w:r>
        <w:rPr>
          <w:rFonts w:ascii="宋体" w:eastAsia="宋体" w:hAnsi="宋体" w:hint="eastAsia"/>
          <w:sz w:val="28"/>
          <w:szCs w:val="28"/>
        </w:rPr>
        <w:t xml:space="preserve">团标制定工作组 </w:t>
      </w:r>
    </w:p>
    <w:p w14:paraId="4A779C63" w14:textId="77777777" w:rsidR="009E3DB9" w:rsidRDefault="009E3DB9">
      <w:pPr>
        <w:jc w:val="center"/>
        <w:rPr>
          <w:rFonts w:ascii="宋体" w:eastAsia="宋体" w:hAnsi="宋体" w:hint="eastAsia"/>
          <w:sz w:val="28"/>
          <w:szCs w:val="28"/>
        </w:rPr>
      </w:pPr>
    </w:p>
    <w:p w14:paraId="69B766E4" w14:textId="77777777" w:rsidR="009E3DB9" w:rsidRDefault="00000000">
      <w:pPr>
        <w:jc w:val="center"/>
        <w:rPr>
          <w:rFonts w:ascii="宋体" w:eastAsia="宋体" w:hAnsi="宋体" w:hint="eastAsia"/>
          <w:sz w:val="28"/>
          <w:szCs w:val="28"/>
        </w:rPr>
      </w:pPr>
      <w:r>
        <w:rPr>
          <w:rFonts w:ascii="宋体" w:eastAsia="宋体" w:hAnsi="宋体" w:hint="eastAsia"/>
          <w:sz w:val="28"/>
          <w:szCs w:val="28"/>
        </w:rPr>
        <w:t>二零二五年四月</w:t>
      </w:r>
    </w:p>
    <w:p w14:paraId="3BF32C5E" w14:textId="77777777" w:rsidR="009E3DB9" w:rsidRDefault="009E3DB9">
      <w:pPr>
        <w:jc w:val="center"/>
        <w:rPr>
          <w:rFonts w:ascii="宋体" w:eastAsia="宋体" w:hAnsi="宋体" w:hint="eastAsia"/>
          <w:sz w:val="28"/>
          <w:szCs w:val="28"/>
        </w:rPr>
      </w:pPr>
    </w:p>
    <w:p w14:paraId="7AF9EF6E" w14:textId="77777777" w:rsidR="009E3DB9" w:rsidRDefault="009E3DB9">
      <w:pPr>
        <w:jc w:val="center"/>
        <w:rPr>
          <w:rFonts w:ascii="宋体" w:eastAsia="宋体" w:hAnsi="宋体" w:hint="eastAsia"/>
          <w:sz w:val="28"/>
          <w:szCs w:val="28"/>
        </w:rPr>
      </w:pPr>
    </w:p>
    <w:p w14:paraId="616354A2" w14:textId="77777777" w:rsidR="009E3DB9" w:rsidRDefault="009E3DB9">
      <w:pPr>
        <w:jc w:val="center"/>
        <w:rPr>
          <w:rFonts w:ascii="宋体" w:eastAsia="宋体" w:hAnsi="宋体" w:hint="eastAsia"/>
          <w:sz w:val="28"/>
          <w:szCs w:val="28"/>
        </w:rPr>
      </w:pPr>
    </w:p>
    <w:p w14:paraId="3AB2A67D" w14:textId="77777777" w:rsidR="009E3DB9" w:rsidRDefault="009E3DB9">
      <w:pPr>
        <w:jc w:val="center"/>
        <w:rPr>
          <w:rFonts w:ascii="宋体" w:eastAsia="宋体" w:hAnsi="宋体" w:hint="eastAsia"/>
          <w:sz w:val="28"/>
          <w:szCs w:val="28"/>
        </w:rPr>
      </w:pPr>
    </w:p>
    <w:p w14:paraId="048016BA" w14:textId="77777777" w:rsidR="009E3DB9" w:rsidRDefault="009E3DB9">
      <w:pPr>
        <w:jc w:val="center"/>
        <w:rPr>
          <w:rFonts w:ascii="宋体" w:eastAsia="宋体" w:hAnsi="宋体" w:hint="eastAsia"/>
          <w:sz w:val="28"/>
          <w:szCs w:val="28"/>
        </w:rPr>
      </w:pPr>
    </w:p>
    <w:p w14:paraId="12270B02"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一、工作简况</w:t>
      </w:r>
    </w:p>
    <w:p w14:paraId="13E7C6FB"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（一）任务来源</w:t>
      </w:r>
    </w:p>
    <w:p w14:paraId="5A94A32B" w14:textId="77777777" w:rsidR="009E3DB9" w:rsidRDefault="00000000">
      <w:pPr>
        <w:tabs>
          <w:tab w:val="left" w:pos="4875"/>
        </w:tabs>
        <w:spacing w:line="360" w:lineRule="auto"/>
        <w:ind w:firstLineChars="200" w:firstLine="560"/>
        <w:rPr>
          <w:rFonts w:ascii="宋体" w:eastAsia="宋体" w:hAnsi="宋体" w:hint="eastAsia"/>
          <w:sz w:val="28"/>
          <w:szCs w:val="28"/>
        </w:rPr>
      </w:pPr>
      <w:r>
        <w:rPr>
          <w:rFonts w:ascii="宋体" w:eastAsia="宋体" w:hAnsi="宋体"/>
          <w:sz w:val="28"/>
          <w:szCs w:val="28"/>
        </w:rPr>
        <w:t>为响应市场需求</w:t>
      </w:r>
      <w:r>
        <w:rPr>
          <w:rFonts w:ascii="宋体" w:eastAsia="宋体" w:hAnsi="宋体" w:hint="eastAsia"/>
          <w:sz w:val="28"/>
          <w:szCs w:val="28"/>
        </w:rPr>
        <w:t>和</w:t>
      </w:r>
      <w:r>
        <w:rPr>
          <w:rFonts w:ascii="宋体" w:eastAsia="宋体" w:hAnsi="宋体"/>
          <w:sz w:val="28"/>
          <w:szCs w:val="28"/>
        </w:rPr>
        <w:t>满足市场产品质量提升需要。</w:t>
      </w:r>
      <w:r>
        <w:rPr>
          <w:rFonts w:ascii="宋体" w:eastAsia="宋体" w:hAnsi="宋体" w:hint="eastAsia"/>
          <w:sz w:val="28"/>
          <w:szCs w:val="28"/>
        </w:rPr>
        <w:t>根据《中华人民标准化法》，</w:t>
      </w:r>
      <w:r>
        <w:rPr>
          <w:rFonts w:ascii="宋体" w:eastAsia="宋体" w:hAnsi="宋体"/>
          <w:sz w:val="28"/>
          <w:szCs w:val="28"/>
        </w:rPr>
        <w:t>以及《团体标准管理规定（试行）》相关规定，</w:t>
      </w:r>
      <w:r>
        <w:rPr>
          <w:rFonts w:ascii="宋体" w:eastAsia="宋体" w:hAnsi="宋体" w:hint="eastAsia"/>
          <w:sz w:val="28"/>
          <w:szCs w:val="28"/>
        </w:rPr>
        <w:t>浙江中浩应用工程技术研究院有限公司联合相关单位共同制定</w:t>
      </w:r>
      <w:r>
        <w:rPr>
          <w:rFonts w:ascii="宋体" w:eastAsia="宋体" w:hAnsi="宋体"/>
          <w:sz w:val="28"/>
          <w:szCs w:val="28"/>
        </w:rPr>
        <w:t>《</w:t>
      </w:r>
      <w:r>
        <w:rPr>
          <w:rFonts w:ascii="宋体" w:eastAsia="宋体" w:hAnsi="宋体" w:hint="eastAsia"/>
          <w:sz w:val="28"/>
          <w:szCs w:val="28"/>
        </w:rPr>
        <w:t>市政桥梁结构监测技术规范</w:t>
      </w:r>
      <w:r>
        <w:rPr>
          <w:rFonts w:ascii="宋体" w:eastAsia="宋体" w:hAnsi="宋体"/>
          <w:sz w:val="28"/>
          <w:szCs w:val="28"/>
        </w:rPr>
        <w:t>》</w:t>
      </w:r>
      <w:r>
        <w:rPr>
          <w:rFonts w:ascii="宋体" w:eastAsia="宋体" w:hAnsi="宋体" w:hint="eastAsia"/>
          <w:sz w:val="28"/>
          <w:szCs w:val="28"/>
        </w:rPr>
        <w:t>团体标准。</w:t>
      </w:r>
    </w:p>
    <w:p w14:paraId="42F5D486"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（二）编制</w:t>
      </w:r>
      <w:r>
        <w:rPr>
          <w:rFonts w:ascii="宋体" w:eastAsia="宋体" w:hAnsi="宋体"/>
          <w:b/>
          <w:bCs/>
          <w:sz w:val="28"/>
          <w:szCs w:val="28"/>
        </w:rPr>
        <w:t xml:space="preserve">背景及目的 </w:t>
      </w:r>
    </w:p>
    <w:p w14:paraId="5C7C382D"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市政桥梁结构监测是指通过一系列技术手段和方法，对市政桥梁的结构状况进行全面监测和分析，以识别、评估桥梁的性能表现和可能存在的风险。随着我国城市化进程的加快和基础设施建设的不断完善，市政桥梁不仅是城市基础设施的重要组成部分，更是城市经济、社会和文化活动的重要支撑。然而桥梁结构在长期服役过程中，受环境侵蚀、材料老化和荷载长期效应、疲劳效应与突变效应等因素的耦合作用下,将不可避免的导致结构和系统的损伤累积和抗力衰减，极端情况下引发灾难性的突发事故，将造成重大的人员伤亡和巨大的经济损失，以及带来恶劣的社会危害。为了及时掌握桥梁的性能表现，防止突发性坍塌事故发生，本起草单位提出《市政桥梁结构监测技术规范》团体标准制订计划，采取科学的方法对大桥进行运行安全监测。</w:t>
      </w:r>
    </w:p>
    <w:p w14:paraId="0A335CE9" w14:textId="24586D00"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综上所述，通过制定《市政桥梁结构监测技术规范》团体标准，不仅为范和有效地监测市政桥梁结构的健康提供了科学的指导依据，确保桥梁的安全运营、消除安全隐患和减少资源浪费，还可以满足城市管理有关部门对桥梁的维护决策与支持的需要，提升对其市政桥梁的管养技术。对促进市政工程建设的快速发展和助力新旧动能转换具有巨大的社会经济效益。</w:t>
      </w:r>
    </w:p>
    <w:p w14:paraId="3F8BEF70"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（三）编制依据</w:t>
      </w:r>
    </w:p>
    <w:p w14:paraId="1F638C77"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本标准立足于国家出台的有关市政桥梁结构、市政桥梁结构监测技术的法律法规、政策文件、相关标准，结合起草单位的实际作业和经验，旨在提供一项具有科学导向的市政桥梁结构监测技术规范文件，按GB/T 1.1-2020《标准化工作导则 第1部分：标准化文件的结构和起草规则》的规定而制定。</w:t>
      </w:r>
    </w:p>
    <w:p w14:paraId="7457BA58"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本标准主要参考了以下标准：</w:t>
      </w:r>
    </w:p>
    <w:p w14:paraId="38E6F5FF"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GB 50311 综合布线系统工程设计规范</w:t>
      </w:r>
    </w:p>
    <w:p w14:paraId="18EBC952"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GB 50982-2014 建筑与桥梁结构监测技术规范</w:t>
      </w:r>
    </w:p>
    <w:p w14:paraId="0732BDA8"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CJJ 99 城市桥梁养护技术标准</w:t>
      </w:r>
    </w:p>
    <w:p w14:paraId="6E34CEBA" w14:textId="77777777" w:rsidR="009E3DB9"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w:t>
      </w:r>
      <w:r>
        <w:rPr>
          <w:rFonts w:ascii="宋体" w:eastAsia="宋体" w:hAnsi="宋体"/>
          <w:b/>
          <w:bCs/>
          <w:sz w:val="28"/>
          <w:szCs w:val="28"/>
        </w:rPr>
        <w:t>编制过程</w:t>
      </w:r>
      <w:r>
        <w:rPr>
          <w:rFonts w:ascii="宋体" w:eastAsia="宋体" w:hAnsi="宋体"/>
          <w:sz w:val="28"/>
          <w:szCs w:val="28"/>
        </w:rPr>
        <w:t xml:space="preserve"> </w:t>
      </w:r>
    </w:p>
    <w:p w14:paraId="3B19D753"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1、项目立项阶段</w:t>
      </w:r>
    </w:p>
    <w:p w14:paraId="6966504F"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由浙江中浩应用工程技术研究院有限公司等相关单位的技术人员共同成立了标准起草组，制定了详细的工作方案和实施计划，研究分析市政桥梁结构及施工、市政桥梁结构监测技术实施领域标准制修订情况和行业发展现状，在此基础上结合起草单位的实际作业情况，多次召开内部研讨会议，确定了标准名称。并向中国中小企业协会提交了《市政桥梁结构监测技术规范》团体标准制订申请，完成该项团体标准的立项工作。</w:t>
      </w:r>
    </w:p>
    <w:p w14:paraId="1523D9A4" w14:textId="77777777" w:rsidR="009E3DB9" w:rsidRDefault="00000000">
      <w:pPr>
        <w:numPr>
          <w:ilvl w:val="0"/>
          <w:numId w:val="1"/>
        </w:num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理论研究阶段</w:t>
      </w:r>
    </w:p>
    <w:p w14:paraId="1B61347C"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标准起草组广泛搜集相关标准和国外技术资料，进行了大量的研究分析、资料查证工作，确定了标准的制定原则，结合企业对现有的市政桥梁结构监测技术施工工作的实际，为标准的起草奠定了基础。</w:t>
      </w:r>
    </w:p>
    <w:p w14:paraId="7B272C98"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标准起草组进一步研讨市政桥梁结构监测技术的特点，明确了要求，为标准的具体起草指明方向。</w:t>
      </w:r>
    </w:p>
    <w:p w14:paraId="28E6C239"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3、标准起草阶段</w:t>
      </w:r>
    </w:p>
    <w:p w14:paraId="23ED8252"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标准起草组系统梳理国内外市政桥梁结构监测技术规范及工程案例，结合行业实际需求确定标准框架（涵盖基本规定、施工期监测、运营期监测、运行管理与设备维护等核心内容）；组织专家团队研讨监测系统和监测设备的要求、监测重点要求，通过实验室试验和现场工程来模拟监测系统和设备正常运行监测后，验证优化传感器精度、数据采样频率、预警阈值等参数，检验施工期监测和运营期监测是否正常合理运行监测，并做记录；在研讨和试验的基础，标准起草组编写了标准草案条文，明确监测设备和监测系统、监测阶段（如施工期监测、运营期监测）、监测重点内容（如监测内容、监测方法、监测点布置、监测频次、监测数据分析等内容）；同步征求施工单位、监理单位意见，反复修订完善文本，确保标准的科学性、可操作性和行业适用性，形成了《市政桥梁结构监测技术规范》（标准草案稿）</w:t>
      </w:r>
    </w:p>
    <w:p w14:paraId="567AFA4A"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4、标准征求意见阶段</w:t>
      </w:r>
    </w:p>
    <w:p w14:paraId="46E0D35B"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形成标准草案稿之后，标准起草组召开了多次专家研讨会，从标准框架、标准具体内容等角度广泛征求多方意见，形成《市政桥梁结构监测技术规范》（征求意见稿）及编制说明，并通过线上、线下等渠道，面向工程建设单位、施工企业、监理机构、科研院所等相关方进行广泛征求意见；同时组织专家论证会，重点就监测系统和监测设备的实用性和安全性，施工期监测和运营期监测的合理性、可操作性、科学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市政桥梁结构监测技术规范》（送审稿）。</w:t>
      </w:r>
    </w:p>
    <w:p w14:paraId="3A19282B"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5、专家审核</w:t>
      </w:r>
    </w:p>
    <w:p w14:paraId="7226D8DA"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本标准拟定于2025年6月进行专家审核。</w:t>
      </w:r>
    </w:p>
    <w:p w14:paraId="575A1E3A"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6、发布</w:t>
      </w:r>
    </w:p>
    <w:p w14:paraId="43591D5C" w14:textId="1BA2E395"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本标准拟定于2025年</w:t>
      </w:r>
      <w:r w:rsidR="00E25044">
        <w:rPr>
          <w:rFonts w:ascii="宋体" w:eastAsia="宋体" w:hAnsi="宋体" w:hint="eastAsia"/>
          <w:sz w:val="28"/>
          <w:szCs w:val="28"/>
        </w:rPr>
        <w:t>7</w:t>
      </w:r>
      <w:r>
        <w:rPr>
          <w:rFonts w:ascii="宋体" w:eastAsia="宋体" w:hAnsi="宋体" w:hint="eastAsia"/>
          <w:sz w:val="28"/>
          <w:szCs w:val="28"/>
        </w:rPr>
        <w:t>月发布并实施。</w:t>
      </w:r>
    </w:p>
    <w:p w14:paraId="2FEF9597" w14:textId="77777777" w:rsidR="009E3DB9"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（四）、主要起草单位所做的工作</w:t>
      </w:r>
      <w:r>
        <w:rPr>
          <w:rFonts w:ascii="宋体" w:eastAsia="宋体" w:hAnsi="宋体"/>
          <w:sz w:val="28"/>
          <w:szCs w:val="28"/>
        </w:rPr>
        <w:t xml:space="preserve">  </w:t>
      </w:r>
    </w:p>
    <w:p w14:paraId="47391F22"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（一）主要起草单位</w:t>
      </w:r>
    </w:p>
    <w:p w14:paraId="286EA836"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浙江中浩应用工程技术研究院有限公司、</w:t>
      </w:r>
      <w:r>
        <w:rPr>
          <w:rFonts w:ascii="宋体" w:eastAsia="宋体" w:hAnsi="宋体" w:hint="eastAsia"/>
          <w:color w:val="000000"/>
          <w:sz w:val="28"/>
          <w:szCs w:val="28"/>
        </w:rPr>
        <w:t>扬州弘思百佳科技有限公司、纵坐标（江苏）标准技术服务有限公司</w:t>
      </w:r>
      <w:r>
        <w:rPr>
          <w:rFonts w:ascii="宋体" w:eastAsia="宋体" w:hAnsi="宋体" w:hint="eastAsia"/>
          <w:sz w:val="28"/>
          <w:szCs w:val="28"/>
        </w:rPr>
        <w:t>。</w:t>
      </w:r>
    </w:p>
    <w:p w14:paraId="5A4F5E2D" w14:textId="77777777" w:rsidR="009E3DB9"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（二）工作内容</w:t>
      </w:r>
    </w:p>
    <w:p w14:paraId="46B968C5"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（1）浙江中浩应用工程技术研究院有限公司主要负责标准制定过程的协调工作；负责标准制定工作，资料查询、标准正文及编制说明、标准草案起草、方法验证等工作。</w:t>
      </w:r>
    </w:p>
    <w:p w14:paraId="10011B3C"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color w:val="000000"/>
          <w:sz w:val="28"/>
          <w:szCs w:val="28"/>
        </w:rPr>
        <w:t>扬州弘思百佳科技有限公司、纵坐标（江苏）标准技术服务有限公司</w:t>
      </w:r>
      <w:r>
        <w:rPr>
          <w:rFonts w:ascii="宋体" w:eastAsia="宋体" w:hAnsi="宋体" w:hint="eastAsia"/>
          <w:sz w:val="28"/>
          <w:szCs w:val="28"/>
        </w:rPr>
        <w:t>主要参与资料查询、标准正文草案修改、方法验证等。</w:t>
      </w:r>
    </w:p>
    <w:p w14:paraId="764BEDB7"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标准编制原则及主要内容</w:t>
      </w:r>
    </w:p>
    <w:p w14:paraId="273625C0"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（一）、标准编制原则</w:t>
      </w:r>
    </w:p>
    <w:p w14:paraId="3721EE72"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本标准按照 GB/T 1.1《标准化工作导则 第1部分：标准化文件的结构和起草规则》的规定编写，紧密结合市政桥梁结构监测技术的实用性和安全要求。为使本标准具有先进性、适时性和实用性，且同时满足公开、透明、公平和公正要求，起草小组严格按照以下原则进行工作：</w:t>
      </w:r>
    </w:p>
    <w:p w14:paraId="2D516308"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1、标准的科学性、协调性和一致性；</w:t>
      </w:r>
    </w:p>
    <w:p w14:paraId="6AA24ECA"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2、标准实施中的适用性、规范性和可操作性。</w:t>
      </w:r>
    </w:p>
    <w:p w14:paraId="5A1C2797"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 xml:space="preserve">（二）、标准主要技术内容 </w:t>
      </w:r>
    </w:p>
    <w:p w14:paraId="31295735"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本标准征求意见稿包括7个章节，主要内容如下： </w:t>
      </w:r>
    </w:p>
    <w:p w14:paraId="1A034C8C"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1、范围 </w:t>
      </w:r>
    </w:p>
    <w:p w14:paraId="2C1F09B4"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本文件规定了市政桥梁结构监测的基本规定、施工期监测、运营期监测、运行管理和设备维护。</w:t>
      </w:r>
    </w:p>
    <w:p w14:paraId="1D33C536"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本文件适用于市政桥梁结构的监测。</w:t>
      </w:r>
    </w:p>
    <w:p w14:paraId="04FC6101"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2、规范性引用文件 </w:t>
      </w:r>
    </w:p>
    <w:p w14:paraId="6361352B"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bookmarkStart w:id="0" w:name="OLE_LINK18"/>
      <w:r>
        <w:rPr>
          <w:rFonts w:ascii="宋体" w:eastAsia="宋体" w:hAnsi="宋体" w:hint="eastAsia"/>
          <w:sz w:val="28"/>
          <w:szCs w:val="28"/>
        </w:rPr>
        <w:t>GB 50311 综合布线系统工程设计规范</w:t>
      </w:r>
    </w:p>
    <w:p w14:paraId="752532CC"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GB 50982-2014 建筑与桥梁结构监测技术规范</w:t>
      </w:r>
    </w:p>
    <w:p w14:paraId="26FE947F" w14:textId="77777777" w:rsidR="009E3DB9"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CJJ 99 城市桥梁养护技术标准</w:t>
      </w:r>
    </w:p>
    <w:bookmarkEnd w:id="0"/>
    <w:p w14:paraId="75EF6F76"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3、术语和定义 </w:t>
      </w:r>
    </w:p>
    <w:p w14:paraId="7D93FA20"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对“市政桥梁”、“结构监测”、“施工期监测”、“运营期监测”等术语进行了界定。 </w:t>
      </w:r>
    </w:p>
    <w:p w14:paraId="30EF8BFF"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4、基本规定</w:t>
      </w:r>
    </w:p>
    <w:p w14:paraId="70DA7E8A"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本章节主要对市政桥梁结构监测的基本规定进行了规定。</w:t>
      </w:r>
    </w:p>
    <w:p w14:paraId="09356A39"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5、施工期监测</w:t>
      </w:r>
    </w:p>
    <w:p w14:paraId="6138CA5F"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本章节主要对市政桥梁结构监测的施工期监测进行了规定，包括一般规定、监测内容、监测方法、监测点布置、监测频次、监测数据分析、监测报告等 。</w:t>
      </w:r>
    </w:p>
    <w:p w14:paraId="5AB88B28"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6、运营期监测</w:t>
      </w:r>
    </w:p>
    <w:p w14:paraId="74BF65E7"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本章节主要对市政桥梁结构监测的运营期监测进行了规定，包括一般规定、监测内容、监测方法、监测点布置、监测频次、监测数据分析、结构状态评估、监测报告等。 </w:t>
      </w:r>
    </w:p>
    <w:p w14:paraId="6DB55018" w14:textId="77777777" w:rsidR="009E3DB9"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7、运行管理与设备维护</w:t>
      </w:r>
    </w:p>
    <w:p w14:paraId="5FCE8840"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本章节主要对市政桥梁结构监测的运行管理与设备维护进行了规定，包括运行管理、设备维护等。 </w:t>
      </w:r>
    </w:p>
    <w:p w14:paraId="28DD3A46" w14:textId="77777777" w:rsidR="009E3DB9"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14:paraId="7BFF8E76" w14:textId="77777777" w:rsidR="009E3DB9"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在标准制定过程中，为确保市政桥梁结构监测技术的可靠性和适</w:t>
      </w:r>
      <w:r>
        <w:rPr>
          <w:rFonts w:ascii="宋体" w:eastAsia="宋体" w:hAnsi="宋体" w:hint="eastAsia"/>
          <w:sz w:val="28"/>
          <w:szCs w:val="28"/>
        </w:rPr>
        <w:lastRenderedPageBreak/>
        <w:t>用性，开展了系统的试验验证工作：通过实验室和工程现场试验，重点验证了市政桥梁结构监测技术的监测数据及分析的准确度和可靠性（检验不同桥梁结构的监测数据及分析是否符合实际），为规范中监测内容、监测点布置、监测频次的确定提供了充分依据。</w:t>
      </w:r>
    </w:p>
    <w:p w14:paraId="0C794921" w14:textId="77777777" w:rsidR="009E3DB9"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7A76EFD0"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本标准不涉及专利。</w:t>
      </w:r>
    </w:p>
    <w:p w14:paraId="5F160704" w14:textId="77777777" w:rsidR="009E3DB9"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14:paraId="3E840393" w14:textId="77777777" w:rsidR="009E3DB9" w:rsidRDefault="00000000">
      <w:pPr>
        <w:widowControl/>
        <w:spacing w:line="360" w:lineRule="auto"/>
        <w:ind w:leftChars="-39" w:left="-82" w:firstLineChars="200" w:firstLine="560"/>
        <w:jc w:val="left"/>
        <w:textAlignment w:val="baseline"/>
        <w:rPr>
          <w:rFonts w:ascii="宋体" w:eastAsia="宋体" w:hAnsi="宋体" w:hint="eastAsia"/>
          <w:b/>
          <w:bCs/>
          <w:sz w:val="28"/>
          <w:szCs w:val="28"/>
        </w:rPr>
      </w:pPr>
      <w:r>
        <w:rPr>
          <w:rFonts w:ascii="宋体" w:eastAsia="宋体" w:hAnsi="宋体" w:hint="eastAsia"/>
          <w:color w:val="000000" w:themeColor="text1"/>
          <w:sz w:val="28"/>
          <w:szCs w:val="28"/>
        </w:rPr>
        <w:t>通过本项标准的制定和发布实施，将标准起草单位在该领域的核心技术以标准形式固化并加以实施，市政桥梁结构监测技术不仅通过实时监测桥梁结构状态，能够提前发现潜在问题，避免因突发故障导致的大规模维修或重建，从而显著降低维护成本，保障社会公共安全；还能利用</w:t>
      </w:r>
      <w:r>
        <w:rPr>
          <w:rFonts w:ascii="宋体" w:eastAsia="宋体" w:hAnsi="宋体"/>
          <w:color w:val="000000" w:themeColor="text1"/>
          <w:sz w:val="28"/>
          <w:szCs w:val="28"/>
        </w:rPr>
        <w:t>精准的监测数据为桥梁的维护和加固提供科学依据，确保桥梁在设计寿命内安全运行，甚至延长其使用寿命，减少因桥梁损坏导致的交通中断和经济损失</w:t>
      </w:r>
      <w:r>
        <w:rPr>
          <w:rFonts w:ascii="宋体" w:eastAsia="宋体" w:hAnsi="宋体" w:hint="eastAsia"/>
          <w:color w:val="000000" w:themeColor="text1"/>
          <w:sz w:val="28"/>
          <w:szCs w:val="28"/>
        </w:rPr>
        <w:t>，也进一步避免了不必要的维修和更换，减少因施工导致的环境污染，减少了建筑材料和能源的浪费，符合可持续发展的要求。</w:t>
      </w:r>
    </w:p>
    <w:p w14:paraId="58EDE266"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14:paraId="0842F461"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符合现行相关法律、法规、规章及相关标准，与强制性标准协调一致。</w:t>
      </w:r>
    </w:p>
    <w:p w14:paraId="29536E99"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七、重大分歧意见的处理经过和依据</w:t>
      </w:r>
    </w:p>
    <w:p w14:paraId="5E9CEEA3"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p>
    <w:p w14:paraId="5FF6B117"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八、标准性质的建议说明</w:t>
      </w:r>
    </w:p>
    <w:p w14:paraId="7BA45656" w14:textId="77777777" w:rsidR="009E3DB9"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本标准为团体标准，供社会各界自愿使用。</w:t>
      </w:r>
    </w:p>
    <w:p w14:paraId="66BC6CBC"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九、贯彻标准的要求和措施建议</w:t>
      </w:r>
    </w:p>
    <w:p w14:paraId="4670C11E"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标准发布后，应向相关企业进行宣传、贯彻，推荐此标准。</w:t>
      </w:r>
      <w:r>
        <w:rPr>
          <w:rFonts w:ascii="宋体" w:eastAsia="宋体" w:hAnsi="宋体"/>
          <w:sz w:val="28"/>
          <w:szCs w:val="28"/>
        </w:rPr>
        <w:t>标准编制小组定期</w:t>
      </w:r>
      <w:r>
        <w:rPr>
          <w:rFonts w:ascii="宋体" w:eastAsia="宋体" w:hAnsi="宋体" w:hint="eastAsia"/>
          <w:sz w:val="28"/>
          <w:szCs w:val="28"/>
        </w:rPr>
        <w:t>与相关企业</w:t>
      </w:r>
      <w:r>
        <w:rPr>
          <w:rFonts w:ascii="宋体" w:eastAsia="宋体" w:hAnsi="宋体"/>
          <w:sz w:val="28"/>
          <w:szCs w:val="28"/>
        </w:rPr>
        <w:t>进行交流和征求意见，关注标准的实施效果，注重实施信息和反馈意见的收集、梳理、研究，</w:t>
      </w:r>
      <w:r>
        <w:rPr>
          <w:rFonts w:ascii="宋体" w:eastAsia="宋体" w:hAnsi="宋体" w:hint="eastAsia"/>
          <w:sz w:val="28"/>
          <w:szCs w:val="28"/>
        </w:rPr>
        <w:t>以此促进标准的有效实施</w:t>
      </w:r>
      <w:r>
        <w:rPr>
          <w:rFonts w:ascii="宋体" w:eastAsia="宋体" w:hAnsi="宋体"/>
          <w:sz w:val="28"/>
          <w:szCs w:val="28"/>
        </w:rPr>
        <w:t>，确保标准的适宜性和有效性。</w:t>
      </w:r>
    </w:p>
    <w:p w14:paraId="6AE8BA9B"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十、废止现行相关标准的建议</w:t>
      </w:r>
    </w:p>
    <w:p w14:paraId="02EE84A3"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本标准首次发布。</w:t>
      </w:r>
    </w:p>
    <w:p w14:paraId="5F451718" w14:textId="77777777" w:rsidR="009E3DB9"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十一、其他应予说明的事项</w:t>
      </w:r>
    </w:p>
    <w:p w14:paraId="590FA12E" w14:textId="77777777" w:rsidR="009E3DB9"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p>
    <w:p w14:paraId="5CCE0FC1" w14:textId="77777777" w:rsidR="009E3DB9"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sz w:val="28"/>
          <w:szCs w:val="28"/>
        </w:rPr>
        <w:t xml:space="preserve">  </w:t>
      </w:r>
    </w:p>
    <w:p w14:paraId="683F3AC0" w14:textId="77777777" w:rsidR="009E3DB9"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《市政桥梁结构监测技术规范》起草组</w:t>
      </w:r>
      <w:r>
        <w:rPr>
          <w:rFonts w:ascii="宋体" w:eastAsia="宋体" w:hAnsi="宋体"/>
          <w:sz w:val="28"/>
          <w:szCs w:val="28"/>
        </w:rPr>
        <w:t xml:space="preserve"> </w:t>
      </w:r>
    </w:p>
    <w:p w14:paraId="5488F83D" w14:textId="77777777" w:rsidR="009E3DB9"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二零二五</w:t>
      </w:r>
      <w:r>
        <w:rPr>
          <w:rFonts w:ascii="宋体" w:eastAsia="宋体" w:hAnsi="宋体"/>
          <w:sz w:val="28"/>
          <w:szCs w:val="28"/>
        </w:rPr>
        <w:t>年</w:t>
      </w:r>
      <w:r>
        <w:rPr>
          <w:rFonts w:ascii="宋体" w:eastAsia="宋体" w:hAnsi="宋体" w:hint="eastAsia"/>
          <w:sz w:val="28"/>
          <w:szCs w:val="28"/>
        </w:rPr>
        <w:t>四</w:t>
      </w:r>
      <w:r>
        <w:rPr>
          <w:rFonts w:ascii="宋体" w:eastAsia="宋体" w:hAnsi="宋体"/>
          <w:sz w:val="28"/>
          <w:szCs w:val="28"/>
        </w:rPr>
        <w:t>月</w:t>
      </w:r>
    </w:p>
    <w:p w14:paraId="6BD57F06" w14:textId="77777777" w:rsidR="009E3DB9" w:rsidRDefault="009E3DB9">
      <w:pPr>
        <w:topLinePunct/>
        <w:spacing w:line="360" w:lineRule="auto"/>
        <w:ind w:firstLineChars="200" w:firstLine="560"/>
        <w:jc w:val="right"/>
        <w:rPr>
          <w:rFonts w:ascii="宋体" w:eastAsia="宋体" w:hAnsi="宋体" w:hint="eastAsia"/>
          <w:sz w:val="28"/>
          <w:szCs w:val="28"/>
        </w:rPr>
      </w:pPr>
    </w:p>
    <w:sectPr w:rsidR="009E3DB9">
      <w:type w:val="continuous"/>
      <w:pgSz w:w="11906" w:h="16841"/>
      <w:pgMar w:top="1440" w:right="1800" w:bottom="1440" w:left="180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3C16E5"/>
    <w:multiLevelType w:val="singleLevel"/>
    <w:tmpl w:val="C33C16E5"/>
    <w:lvl w:ilvl="0">
      <w:start w:val="2"/>
      <w:numFmt w:val="decimal"/>
      <w:suff w:val="nothing"/>
      <w:lvlText w:val="%1、"/>
      <w:lvlJc w:val="left"/>
    </w:lvl>
  </w:abstractNum>
  <w:num w:numId="1" w16cid:durableId="124579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29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CE"/>
    <w:rsid w:val="00013CD7"/>
    <w:rsid w:val="0002152D"/>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299"/>
    <w:rsid w:val="00253FA1"/>
    <w:rsid w:val="00276C1B"/>
    <w:rsid w:val="0029410D"/>
    <w:rsid w:val="002A116B"/>
    <w:rsid w:val="002A16BD"/>
    <w:rsid w:val="002C7C84"/>
    <w:rsid w:val="002E34E6"/>
    <w:rsid w:val="002F3F4D"/>
    <w:rsid w:val="00301337"/>
    <w:rsid w:val="003073A8"/>
    <w:rsid w:val="00374298"/>
    <w:rsid w:val="003C4C2B"/>
    <w:rsid w:val="003D6656"/>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75BD6"/>
    <w:rsid w:val="009D3675"/>
    <w:rsid w:val="009D498C"/>
    <w:rsid w:val="009D796E"/>
    <w:rsid w:val="009E3DB9"/>
    <w:rsid w:val="009E7AA9"/>
    <w:rsid w:val="009F62D0"/>
    <w:rsid w:val="00A32DBC"/>
    <w:rsid w:val="00A3749C"/>
    <w:rsid w:val="00A45126"/>
    <w:rsid w:val="00A76277"/>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31123"/>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25044"/>
    <w:rsid w:val="00E50746"/>
    <w:rsid w:val="00E650FA"/>
    <w:rsid w:val="00EA1735"/>
    <w:rsid w:val="00EC3FE9"/>
    <w:rsid w:val="00ED4E5B"/>
    <w:rsid w:val="00F30933"/>
    <w:rsid w:val="00F3637F"/>
    <w:rsid w:val="00F7230A"/>
    <w:rsid w:val="00F724A6"/>
    <w:rsid w:val="00F829FC"/>
    <w:rsid w:val="00F92024"/>
    <w:rsid w:val="00FA1182"/>
    <w:rsid w:val="00FC34D9"/>
    <w:rsid w:val="00FE27EF"/>
    <w:rsid w:val="00FF28A7"/>
    <w:rsid w:val="02D63388"/>
    <w:rsid w:val="036C34DA"/>
    <w:rsid w:val="04536448"/>
    <w:rsid w:val="091B505B"/>
    <w:rsid w:val="09FC30DE"/>
    <w:rsid w:val="0A256191"/>
    <w:rsid w:val="13CE5AEB"/>
    <w:rsid w:val="14EA0703"/>
    <w:rsid w:val="181F6915"/>
    <w:rsid w:val="18954E2A"/>
    <w:rsid w:val="19C37774"/>
    <w:rsid w:val="1B49146C"/>
    <w:rsid w:val="1BD96DDB"/>
    <w:rsid w:val="1BF27E9D"/>
    <w:rsid w:val="1D33076D"/>
    <w:rsid w:val="1DF63C75"/>
    <w:rsid w:val="1E4D585F"/>
    <w:rsid w:val="229121BE"/>
    <w:rsid w:val="237044C9"/>
    <w:rsid w:val="275F0ADD"/>
    <w:rsid w:val="28A864B3"/>
    <w:rsid w:val="29980305"/>
    <w:rsid w:val="29BB5EBE"/>
    <w:rsid w:val="2A1536D4"/>
    <w:rsid w:val="2A1D07DB"/>
    <w:rsid w:val="2D850B71"/>
    <w:rsid w:val="31603DCF"/>
    <w:rsid w:val="36B204FD"/>
    <w:rsid w:val="3902576C"/>
    <w:rsid w:val="3E5527E2"/>
    <w:rsid w:val="3E78202C"/>
    <w:rsid w:val="441F7749"/>
    <w:rsid w:val="44DD0E3B"/>
    <w:rsid w:val="47E26E94"/>
    <w:rsid w:val="4C383886"/>
    <w:rsid w:val="4D381304"/>
    <w:rsid w:val="4F0C13AF"/>
    <w:rsid w:val="4FAA2095"/>
    <w:rsid w:val="52E9027E"/>
    <w:rsid w:val="5402441A"/>
    <w:rsid w:val="554967A4"/>
    <w:rsid w:val="59162E41"/>
    <w:rsid w:val="5A2D2A84"/>
    <w:rsid w:val="60805044"/>
    <w:rsid w:val="63220635"/>
    <w:rsid w:val="65BE0868"/>
    <w:rsid w:val="66DD5E3A"/>
    <w:rsid w:val="68B7181F"/>
    <w:rsid w:val="6B0C5E52"/>
    <w:rsid w:val="6B9B71D6"/>
    <w:rsid w:val="6D7D3037"/>
    <w:rsid w:val="6F40431D"/>
    <w:rsid w:val="6FCD36D6"/>
    <w:rsid w:val="70B825D8"/>
    <w:rsid w:val="70DA254F"/>
    <w:rsid w:val="74E66627"/>
    <w:rsid w:val="78E026CC"/>
    <w:rsid w:val="7A04063C"/>
    <w:rsid w:val="7A453794"/>
    <w:rsid w:val="7BF85F7F"/>
    <w:rsid w:val="7C7E0232"/>
    <w:rsid w:val="7D2C41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24E3B"/>
  <w15:docId w15:val="{43C4700C-0248-47B2-8D9D-46C0E0A3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character" w:styleId="ac">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ad">
    <w:name w:val="标准文件_段"/>
    <w:basedOn w:val="a"/>
    <w:link w:val="Char"/>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Char">
    <w:name w:val="标准文件_段 Char"/>
    <w:basedOn w:val="a0"/>
    <w:link w:val="ad"/>
    <w:qFormat/>
    <w:rPr>
      <w:rFonts w:ascii="宋体" w:eastAsia="宋体" w:hAnsi="Times New Roman" w:cs="宋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1847</Words>
  <Characters>1866</Characters>
  <Application>Microsoft Office Word</Application>
  <DocSecurity>0</DocSecurity>
  <Lines>109</Lines>
  <Paragraphs>84</Paragraphs>
  <ScaleCrop>false</ScaleCrop>
  <Company>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jie wu</cp:lastModifiedBy>
  <cp:revision>2</cp:revision>
  <cp:lastPrinted>2022-05-11T05:51:00Z</cp:lastPrinted>
  <dcterms:created xsi:type="dcterms:W3CDTF">2025-04-30T01:08:00Z</dcterms:created>
  <dcterms:modified xsi:type="dcterms:W3CDTF">2025-04-30T01:08:00Z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2052-12.1.0.20784</vt:lpwstr>
  </property>
  <property fmtid="{D5CDD505-2E9C-101B-9397-08002B2CF9AE}" pid="4" name="ICV">
    <vt:lpwstr>33602F42881A432C96F4A361206C3585_12</vt:lpwstr>
  </property>
</Properties>
</file>