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86285" w14:paraId="3D107448" w14:textId="77777777">
        <w:tc>
          <w:tcPr>
            <w:tcW w:w="509" w:type="dxa"/>
          </w:tcPr>
          <w:p w14:paraId="0FD000C6" w14:textId="77777777" w:rsidR="00B86285"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9BA59B6" w14:textId="77777777" w:rsidR="00B86285" w:rsidRDefault="00B86285">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p>
        </w:tc>
      </w:tr>
      <w:tr w:rsidR="00B86285" w14:paraId="2369CDAA" w14:textId="77777777">
        <w:tc>
          <w:tcPr>
            <w:tcW w:w="509" w:type="dxa"/>
          </w:tcPr>
          <w:p w14:paraId="3B49CDD7" w14:textId="77777777" w:rsidR="00B8628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86285" w14:paraId="271F1A90" w14:textId="77777777">
              <w:trPr>
                <w:trHeight w:hRule="exact" w:val="1021"/>
              </w:trPr>
              <w:tc>
                <w:tcPr>
                  <w:tcW w:w="9242" w:type="dxa"/>
                  <w:vAlign w:val="center"/>
                </w:tcPr>
                <w:p w14:paraId="196A8939" w14:textId="77777777" w:rsidR="00B86285" w:rsidRDefault="00000000" w:rsidP="00AB20F5">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2000E0A0" wp14:editId="5CB62D98">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4000765" wp14:editId="20288C1A">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p>
              </w:tc>
            </w:tr>
          </w:tbl>
          <w:p w14:paraId="6F4ACB65" w14:textId="77777777" w:rsidR="00B86285" w:rsidRDefault="00B86285">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p w14:paraId="2D03C2DC" w14:textId="77777777" w:rsidR="00B86285"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04572C12" w14:textId="77777777" w:rsidR="00B86285" w:rsidRDefault="00000000">
      <w:pPr>
        <w:pStyle w:val="affffffffff2"/>
        <w:framePr w:wrap="auto"/>
      </w:pPr>
      <w:r>
        <w:t>T/</w:t>
      </w:r>
      <w:bookmarkStart w:id="1"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1"/>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1F426038" w14:textId="77777777" w:rsidR="00B86285"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p w14:paraId="5072083A" w14:textId="77777777" w:rsidR="00B86285"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E939630" wp14:editId="0EF599F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1B288A4" w14:textId="77777777" w:rsidR="00B86285" w:rsidRDefault="00B86285">
      <w:pPr>
        <w:pStyle w:val="afffff0"/>
        <w:framePr w:w="9639" w:h="6976" w:hRule="exact" w:hSpace="0" w:vSpace="0" w:wrap="around" w:hAnchor="page" w:y="6408"/>
        <w:jc w:val="center"/>
        <w:rPr>
          <w:rFonts w:ascii="黑体" w:eastAsia="黑体" w:hAnsi="黑体" w:hint="eastAsia"/>
          <w:b w:val="0"/>
          <w:bCs w:val="0"/>
          <w:w w:val="100"/>
        </w:rPr>
      </w:pPr>
    </w:p>
    <w:p w14:paraId="7930C0CF" w14:textId="77777777" w:rsidR="00B86285" w:rsidRDefault="00000000">
      <w:pPr>
        <w:pStyle w:val="affffffffff4"/>
        <w:framePr w:h="6974" w:hRule="exact" w:wrap="around" w:x="1419" w:anchorLock="1"/>
        <w:rPr>
          <w:rFonts w:cs="黑体" w:hint="eastAsia"/>
          <w:spacing w:val="-5"/>
          <w:szCs w:val="52"/>
        </w:rPr>
      </w:pPr>
      <w:r>
        <w:rPr>
          <w:rFonts w:cs="黑体"/>
          <w:spacing w:val="-5"/>
          <w:szCs w:val="52"/>
        </w:rPr>
        <w:t>中小企业服务机构通用能力建设</w:t>
      </w:r>
    </w:p>
    <w:p w14:paraId="5E61BF1B" w14:textId="77777777" w:rsidR="00B86285" w:rsidRDefault="00000000">
      <w:pPr>
        <w:pStyle w:val="affffffffff4"/>
        <w:framePr w:h="6974" w:hRule="exact" w:wrap="around" w:x="1419" w:anchorLock="1"/>
        <w:rPr>
          <w:rFonts w:hint="eastAsia"/>
        </w:rPr>
      </w:pPr>
      <w:r>
        <w:rPr>
          <w:rFonts w:cs="黑体"/>
          <w:spacing w:val="-11"/>
          <w:szCs w:val="52"/>
        </w:rPr>
        <w:t>第</w:t>
      </w:r>
      <w:r>
        <w:rPr>
          <w:rFonts w:cs="黑体"/>
          <w:spacing w:val="-84"/>
          <w:szCs w:val="52"/>
        </w:rPr>
        <w:t xml:space="preserve"> </w:t>
      </w:r>
      <w:r>
        <w:rPr>
          <w:rFonts w:cs="黑体"/>
          <w:spacing w:val="-11"/>
          <w:szCs w:val="52"/>
        </w:rPr>
        <w:t>1</w:t>
      </w:r>
      <w:r>
        <w:rPr>
          <w:rFonts w:cs="黑体"/>
          <w:spacing w:val="-96"/>
          <w:szCs w:val="52"/>
        </w:rPr>
        <w:t xml:space="preserve"> </w:t>
      </w:r>
      <w:r>
        <w:rPr>
          <w:rFonts w:cs="黑体"/>
          <w:spacing w:val="-11"/>
          <w:szCs w:val="52"/>
        </w:rPr>
        <w:t>部分：评价体系</w:t>
      </w:r>
    </w:p>
    <w:p w14:paraId="66ED5D07" w14:textId="77777777" w:rsidR="00B86285" w:rsidRDefault="00B86285">
      <w:pPr>
        <w:framePr w:w="9639" w:h="6974" w:hRule="exact" w:wrap="around" w:vAnchor="page" w:hAnchor="page" w:x="1419" w:y="6408" w:anchorLock="1"/>
        <w:ind w:left="-1418"/>
      </w:pPr>
    </w:p>
    <w:p w14:paraId="3B16B6CD" w14:textId="77777777" w:rsidR="00B86285" w:rsidRDefault="00B86285">
      <w:pPr>
        <w:pStyle w:val="afffffff8"/>
        <w:framePr w:w="9639" w:h="6974" w:hRule="exact" w:wrap="around" w:vAnchor="page" w:hAnchor="page" w:x="1419" w:y="6408" w:anchorLock="1"/>
        <w:textAlignment w:val="bottom"/>
        <w:rPr>
          <w:rFonts w:eastAsia="黑体"/>
          <w:szCs w:val="28"/>
        </w:rPr>
      </w:pPr>
    </w:p>
    <w:p w14:paraId="716FA778" w14:textId="77777777" w:rsidR="00B86285" w:rsidRDefault="00B86285">
      <w:pPr>
        <w:pStyle w:val="afffffff8"/>
        <w:framePr w:w="9639" w:h="6974" w:hRule="exact" w:wrap="around" w:vAnchor="page" w:hAnchor="page" w:x="1419" w:y="6408" w:anchorLock="1"/>
        <w:textAlignment w:val="bottom"/>
        <w:rPr>
          <w:rFonts w:eastAsia="黑体"/>
          <w:szCs w:val="28"/>
        </w:rPr>
      </w:pPr>
    </w:p>
    <w:p w14:paraId="63788DFE" w14:textId="77777777" w:rsidR="00B86285" w:rsidRDefault="00B86285">
      <w:pPr>
        <w:framePr w:w="9639" w:h="6974" w:hRule="exact" w:wrap="around" w:vAnchor="page" w:hAnchor="page" w:x="1419" w:y="6408" w:anchorLock="1"/>
        <w:spacing w:line="760" w:lineRule="exact"/>
        <w:ind w:left="-1418"/>
      </w:pPr>
    </w:p>
    <w:p w14:paraId="22EC3C97" w14:textId="77777777" w:rsidR="00B86285" w:rsidRDefault="00B86285">
      <w:pPr>
        <w:pStyle w:val="afffffff8"/>
        <w:framePr w:w="9639" w:h="6974" w:hRule="exact" w:wrap="around" w:vAnchor="page" w:hAnchor="page" w:x="1419" w:y="6408" w:anchorLock="1"/>
        <w:textAlignment w:val="bottom"/>
        <w:rPr>
          <w:rFonts w:eastAsia="黑体"/>
          <w:szCs w:val="28"/>
        </w:rPr>
      </w:pPr>
    </w:p>
    <w:p w14:paraId="5BDD353C" w14:textId="77777777" w:rsidR="00B86285"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5"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5"/>
    </w:p>
    <w:p w14:paraId="50502A78" w14:textId="77777777" w:rsidR="00B86285"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6"/>
    </w:p>
    <w:p w14:paraId="2E7A181C" w14:textId="77777777" w:rsidR="00B86285"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7"/>
    </w:p>
    <w:bookmarkStart w:id="8" w:name="PLSH_DATE_Y"/>
    <w:p w14:paraId="1CFBADD6" w14:textId="77777777" w:rsidR="00B86285" w:rsidRDefault="00000000">
      <w:pPr>
        <w:pStyle w:val="affffffffff0"/>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发布</w:t>
      </w:r>
    </w:p>
    <w:bookmarkStart w:id="11" w:name="CROT_DATE_Y"/>
    <w:p w14:paraId="7E489F0A" w14:textId="77777777" w:rsidR="00B86285" w:rsidRDefault="00000000">
      <w:pPr>
        <w:pStyle w:val="affffffffff1"/>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实施</w:t>
      </w:r>
    </w:p>
    <w:bookmarkStart w:id="14" w:name="fm"/>
    <w:p w14:paraId="430A3A98" w14:textId="77777777" w:rsidR="00B86285"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4"/>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A76ABB6" w14:textId="77777777" w:rsidR="00B86285" w:rsidRDefault="00000000">
      <w:pPr>
        <w:rPr>
          <w:rFonts w:ascii="宋体" w:hAnsi="宋体" w:hint="eastAsia"/>
          <w:sz w:val="28"/>
          <w:szCs w:val="28"/>
        </w:rPr>
        <w:sectPr w:rsidR="00B8628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F213D9F" wp14:editId="3945FE3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5A664CC" w14:textId="77777777" w:rsidR="00B86285" w:rsidRDefault="00000000">
      <w:pPr>
        <w:pStyle w:val="affffffa"/>
        <w:spacing w:after="360"/>
      </w:pPr>
      <w:bookmarkStart w:id="15" w:name="BookMark1"/>
      <w:r>
        <w:rPr>
          <w:rFonts w:hint="eastAsia"/>
          <w:spacing w:val="320"/>
        </w:rPr>
        <w:lastRenderedPageBreak/>
        <w:t>目</w:t>
      </w:r>
      <w:r>
        <w:rPr>
          <w:rFonts w:hint="eastAsia"/>
        </w:rPr>
        <w:t>次</w:t>
      </w:r>
      <w:r>
        <w:fldChar w:fldCharType="begin"/>
      </w:r>
      <w:r>
        <w:instrText xml:space="preserve"> TOC \o "1-1" \h </w:instrText>
      </w:r>
      <w:r>
        <w:fldChar w:fldCharType="separate"/>
      </w:r>
    </w:p>
    <w:sdt>
      <w:sdtPr>
        <w:rPr>
          <w:rFonts w:ascii="宋体" w:hAnsi="宋体"/>
        </w:rPr>
        <w:id w:val="147465279"/>
        <w15:color w:val="DBDBDB"/>
        <w:docPartObj>
          <w:docPartGallery w:val="Table of Contents"/>
          <w:docPartUnique/>
        </w:docPartObj>
      </w:sdtPr>
      <w:sdtEndPr>
        <w:rPr>
          <w:rFonts w:ascii="Calibri" w:hAnsi="Calibri" w:hint="eastAsia"/>
        </w:rPr>
      </w:sdtEndPr>
      <w:sdtContent>
        <w:p w14:paraId="4B75AD5E" w14:textId="77777777" w:rsidR="00B86285" w:rsidRDefault="00B86285">
          <w:pPr>
            <w:spacing w:line="240" w:lineRule="auto"/>
            <w:jc w:val="center"/>
          </w:pPr>
        </w:p>
        <w:p w14:paraId="7C88BF05" w14:textId="77777777" w:rsidR="00B86285" w:rsidRDefault="00000000">
          <w:pPr>
            <w:pStyle w:val="TOC1"/>
            <w:tabs>
              <w:tab w:val="right" w:leader="dot" w:pos="9354"/>
            </w:tabs>
          </w:pPr>
          <w:r>
            <w:rPr>
              <w:rFonts w:hint="eastAsia"/>
            </w:rPr>
            <w:fldChar w:fldCharType="begin"/>
          </w:r>
          <w:r>
            <w:rPr>
              <w:rFonts w:hint="eastAsia"/>
            </w:rPr>
            <w:instrText xml:space="preserve">TOC \o "1-1" \h \u </w:instrText>
          </w:r>
          <w:r>
            <w:rPr>
              <w:rFonts w:hint="eastAsia"/>
            </w:rPr>
            <w:fldChar w:fldCharType="separate"/>
          </w:r>
          <w:hyperlink w:anchor="_Toc23698" w:history="1">
            <w:r>
              <w:rPr>
                <w:rFonts w:hint="eastAsia"/>
              </w:rPr>
              <w:t>前言</w:t>
            </w:r>
            <w:r>
              <w:tab/>
            </w:r>
            <w:r>
              <w:fldChar w:fldCharType="begin"/>
            </w:r>
            <w:r>
              <w:instrText xml:space="preserve"> PAGEREF _Toc23698 \h </w:instrText>
            </w:r>
            <w:r>
              <w:fldChar w:fldCharType="separate"/>
            </w:r>
            <w:r>
              <w:t>II</w:t>
            </w:r>
            <w:r>
              <w:fldChar w:fldCharType="end"/>
            </w:r>
          </w:hyperlink>
        </w:p>
        <w:p w14:paraId="251514C9" w14:textId="77777777" w:rsidR="00B86285" w:rsidRDefault="00000000">
          <w:pPr>
            <w:pStyle w:val="TOC1"/>
            <w:tabs>
              <w:tab w:val="right" w:leader="dot" w:pos="9354"/>
            </w:tabs>
          </w:pPr>
          <w:hyperlink w:anchor="_Toc7979" w:history="1">
            <w:r>
              <w:rPr>
                <w:rFonts w:ascii="黑体" w:eastAsia="黑体" w:hint="eastAsia"/>
              </w:rPr>
              <w:t xml:space="preserve">1  </w:t>
            </w:r>
            <w:r>
              <w:rPr>
                <w:rFonts w:hint="eastAsia"/>
              </w:rPr>
              <w:t>范围</w:t>
            </w:r>
            <w:r>
              <w:tab/>
            </w:r>
            <w:r>
              <w:fldChar w:fldCharType="begin"/>
            </w:r>
            <w:r>
              <w:instrText xml:space="preserve"> PAGEREF _Toc7979 \h </w:instrText>
            </w:r>
            <w:r>
              <w:fldChar w:fldCharType="separate"/>
            </w:r>
            <w:r>
              <w:t>1</w:t>
            </w:r>
            <w:r>
              <w:fldChar w:fldCharType="end"/>
            </w:r>
          </w:hyperlink>
        </w:p>
        <w:p w14:paraId="34CB2123" w14:textId="77777777" w:rsidR="00B86285" w:rsidRDefault="00000000">
          <w:pPr>
            <w:pStyle w:val="TOC1"/>
            <w:tabs>
              <w:tab w:val="right" w:leader="dot" w:pos="9354"/>
            </w:tabs>
          </w:pPr>
          <w:hyperlink w:anchor="_Toc22215" w:history="1">
            <w:r>
              <w:rPr>
                <w:rFonts w:ascii="黑体" w:eastAsia="黑体" w:hint="eastAsia"/>
              </w:rPr>
              <w:t xml:space="preserve">2  </w:t>
            </w:r>
            <w:r>
              <w:rPr>
                <w:rFonts w:ascii="Times New Roman"/>
              </w:rPr>
              <w:t>规范性引用文件</w:t>
            </w:r>
            <w:r>
              <w:tab/>
            </w:r>
            <w:r>
              <w:fldChar w:fldCharType="begin"/>
            </w:r>
            <w:r>
              <w:instrText xml:space="preserve"> PAGEREF _Toc22215 \h </w:instrText>
            </w:r>
            <w:r>
              <w:fldChar w:fldCharType="separate"/>
            </w:r>
            <w:r>
              <w:t>1</w:t>
            </w:r>
            <w:r>
              <w:fldChar w:fldCharType="end"/>
            </w:r>
          </w:hyperlink>
        </w:p>
        <w:p w14:paraId="6FC30571" w14:textId="77777777" w:rsidR="00B86285" w:rsidRDefault="00000000">
          <w:pPr>
            <w:pStyle w:val="TOC1"/>
            <w:tabs>
              <w:tab w:val="right" w:leader="dot" w:pos="9354"/>
            </w:tabs>
          </w:pPr>
          <w:hyperlink w:anchor="_Toc19566" w:history="1">
            <w:r>
              <w:rPr>
                <w:rFonts w:ascii="黑体" w:eastAsia="黑体" w:hint="eastAsia"/>
              </w:rPr>
              <w:t xml:space="preserve">3  </w:t>
            </w:r>
            <w:r>
              <w:rPr>
                <w:rFonts w:ascii="Times New Roman"/>
              </w:rPr>
              <w:t>术语和定义</w:t>
            </w:r>
            <w:r>
              <w:tab/>
            </w:r>
            <w:r>
              <w:fldChar w:fldCharType="begin"/>
            </w:r>
            <w:r>
              <w:instrText xml:space="preserve"> PAGEREF _Toc19566 \h </w:instrText>
            </w:r>
            <w:r>
              <w:fldChar w:fldCharType="separate"/>
            </w:r>
            <w:r>
              <w:t>1</w:t>
            </w:r>
            <w:r>
              <w:fldChar w:fldCharType="end"/>
            </w:r>
          </w:hyperlink>
        </w:p>
        <w:p w14:paraId="27B4B611" w14:textId="77777777" w:rsidR="00B86285" w:rsidRDefault="00000000">
          <w:pPr>
            <w:pStyle w:val="TOC1"/>
            <w:tabs>
              <w:tab w:val="right" w:leader="dot" w:pos="9354"/>
            </w:tabs>
          </w:pPr>
          <w:hyperlink w:anchor="_Toc1527" w:history="1">
            <w:r>
              <w:rPr>
                <w:rFonts w:ascii="黑体" w:eastAsia="黑体" w:hint="eastAsia"/>
              </w:rPr>
              <w:t xml:space="preserve">4  </w:t>
            </w:r>
            <w:r>
              <w:rPr>
                <w:rFonts w:ascii="Times New Roman"/>
              </w:rPr>
              <w:t>服务机构分类</w:t>
            </w:r>
            <w:r>
              <w:tab/>
            </w:r>
            <w:r>
              <w:fldChar w:fldCharType="begin"/>
            </w:r>
            <w:r>
              <w:instrText xml:space="preserve"> PAGEREF _Toc1527 \h </w:instrText>
            </w:r>
            <w:r>
              <w:fldChar w:fldCharType="separate"/>
            </w:r>
            <w:r>
              <w:t>1</w:t>
            </w:r>
            <w:r>
              <w:fldChar w:fldCharType="end"/>
            </w:r>
          </w:hyperlink>
        </w:p>
        <w:p w14:paraId="5AB960F2" w14:textId="77777777" w:rsidR="00B86285" w:rsidRDefault="00000000">
          <w:pPr>
            <w:pStyle w:val="TOC1"/>
            <w:tabs>
              <w:tab w:val="right" w:leader="dot" w:pos="9354"/>
            </w:tabs>
          </w:pPr>
          <w:hyperlink w:anchor="_Toc31249" w:history="1">
            <w:r>
              <w:rPr>
                <w:rFonts w:ascii="黑体" w:eastAsia="黑体" w:hint="eastAsia"/>
              </w:rPr>
              <w:t xml:space="preserve">5  </w:t>
            </w:r>
            <w:r>
              <w:rPr>
                <w:rFonts w:ascii="Times New Roman"/>
              </w:rPr>
              <w:t>评价准则</w:t>
            </w:r>
            <w:r>
              <w:tab/>
            </w:r>
            <w:r>
              <w:fldChar w:fldCharType="begin"/>
            </w:r>
            <w:r>
              <w:instrText xml:space="preserve"> PAGEREF _Toc31249 \h </w:instrText>
            </w:r>
            <w:r>
              <w:fldChar w:fldCharType="separate"/>
            </w:r>
            <w:r>
              <w:t>4</w:t>
            </w:r>
            <w:r>
              <w:fldChar w:fldCharType="end"/>
            </w:r>
          </w:hyperlink>
        </w:p>
        <w:p w14:paraId="14C91BA7" w14:textId="77777777" w:rsidR="00B86285" w:rsidRDefault="00000000">
          <w:pPr>
            <w:pStyle w:val="TOC1"/>
            <w:tabs>
              <w:tab w:val="right" w:leader="dot" w:pos="9354"/>
            </w:tabs>
          </w:pPr>
          <w:hyperlink w:anchor="_Toc11028" w:history="1">
            <w:r>
              <w:rPr>
                <w:rFonts w:hint="eastAsia"/>
              </w:rPr>
              <w:t>参考文献</w:t>
            </w:r>
            <w:r>
              <w:tab/>
            </w:r>
            <w:r>
              <w:rPr>
                <w:rFonts w:hint="eastAsia"/>
              </w:rPr>
              <w:t>1</w:t>
            </w:r>
          </w:hyperlink>
          <w:r>
            <w:rPr>
              <w:rFonts w:hint="eastAsia"/>
            </w:rPr>
            <w:t>0</w:t>
          </w:r>
        </w:p>
        <w:p w14:paraId="02369330" w14:textId="77777777" w:rsidR="00B86285" w:rsidRDefault="00000000">
          <w:r>
            <w:rPr>
              <w:rFonts w:hint="eastAsia"/>
            </w:rPr>
            <w:fldChar w:fldCharType="end"/>
          </w:r>
        </w:p>
      </w:sdtContent>
    </w:sdt>
    <w:p w14:paraId="02B950CA" w14:textId="77777777" w:rsidR="00B86285" w:rsidRDefault="00000000">
      <w:pPr>
        <w:pStyle w:val="affffffa"/>
        <w:spacing w:after="360"/>
        <w:sectPr w:rsidR="00B86285">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14:paraId="1A5CF947" w14:textId="77777777" w:rsidR="00B86285" w:rsidRDefault="00000000">
      <w:pPr>
        <w:pStyle w:val="a6"/>
        <w:spacing w:before="900" w:after="360"/>
      </w:pPr>
      <w:bookmarkStart w:id="16" w:name="_Toc23698"/>
      <w:bookmarkStart w:id="17" w:name="_Toc196308843"/>
      <w:bookmarkStart w:id="18" w:name="BookMark2"/>
      <w:bookmarkEnd w:id="15"/>
      <w:r>
        <w:rPr>
          <w:rFonts w:hint="eastAsia"/>
          <w:spacing w:val="320"/>
        </w:rPr>
        <w:lastRenderedPageBreak/>
        <w:t>前</w:t>
      </w:r>
      <w:r>
        <w:rPr>
          <w:rFonts w:hint="eastAsia"/>
        </w:rPr>
        <w:t>言</w:t>
      </w:r>
      <w:bookmarkEnd w:id="16"/>
      <w:bookmarkEnd w:id="17"/>
    </w:p>
    <w:p w14:paraId="7BD3E37D" w14:textId="77777777" w:rsidR="00B86285" w:rsidRDefault="00000000">
      <w:pPr>
        <w:pStyle w:val="afffff5"/>
        <w:ind w:firstLine="420"/>
      </w:pPr>
      <w:r>
        <w:rPr>
          <w:rFonts w:hint="eastAsia"/>
        </w:rPr>
        <w:t>本文件按照GB/T 1.1—2020《标准化工作导则  第1部分：标准化文件的结构和起草规则》的规定起草。</w:t>
      </w:r>
    </w:p>
    <w:p w14:paraId="0ACB2EAA" w14:textId="77777777" w:rsidR="00B86285" w:rsidRDefault="00000000">
      <w:pPr>
        <w:pStyle w:val="afffff5"/>
        <w:ind w:firstLine="420"/>
      </w:pPr>
      <w:r>
        <w:rPr>
          <w:rFonts w:hint="eastAsia"/>
        </w:rPr>
        <w:t>请注意本文件的某些内容可能涉及专利。本文件的发布机构不承担识别专利的责任。</w:t>
      </w:r>
    </w:p>
    <w:p w14:paraId="2FC9E196" w14:textId="10D2CF7A" w:rsidR="00B86285" w:rsidRDefault="00000000">
      <w:pPr>
        <w:pStyle w:val="afffff5"/>
        <w:ind w:firstLine="420"/>
      </w:pPr>
      <w:r>
        <w:rPr>
          <w:rFonts w:hint="eastAsia"/>
        </w:rPr>
        <w:t>本文件由中国中小企业协会、德勤企业咨询（上海）有限公司联合提出。</w:t>
      </w:r>
    </w:p>
    <w:p w14:paraId="6EE00950" w14:textId="77777777" w:rsidR="00B86285" w:rsidRDefault="00000000">
      <w:pPr>
        <w:pStyle w:val="afffff5"/>
        <w:ind w:firstLine="420"/>
      </w:pPr>
      <w:r>
        <w:rPr>
          <w:rFonts w:hint="eastAsia"/>
        </w:rPr>
        <w:t>本文件由中国中小企业协会归口。</w:t>
      </w:r>
    </w:p>
    <w:p w14:paraId="23D22964" w14:textId="2DB00520" w:rsidR="00B86285" w:rsidRDefault="00000000">
      <w:pPr>
        <w:pStyle w:val="afffff5"/>
        <w:ind w:firstLine="420"/>
      </w:pPr>
      <w:r>
        <w:rPr>
          <w:rFonts w:hint="eastAsia"/>
        </w:rPr>
        <w:t>本文件起草单位：中国中小企业协会</w:t>
      </w:r>
      <w:r w:rsidR="00AB20F5">
        <w:rPr>
          <w:rFonts w:hint="eastAsia"/>
        </w:rPr>
        <w:t>、</w:t>
      </w:r>
    </w:p>
    <w:p w14:paraId="508AA763" w14:textId="77777777" w:rsidR="00B86285" w:rsidRDefault="00000000">
      <w:pPr>
        <w:pStyle w:val="afffff5"/>
        <w:ind w:firstLine="420"/>
      </w:pPr>
      <w:r>
        <w:rPr>
          <w:rFonts w:hint="eastAsia"/>
        </w:rPr>
        <w:t>本文件主要起草人：</w:t>
      </w:r>
    </w:p>
    <w:p w14:paraId="7244546F" w14:textId="77777777" w:rsidR="00B86285" w:rsidRDefault="00B86285">
      <w:pPr>
        <w:pStyle w:val="afffff5"/>
        <w:ind w:firstLine="420"/>
      </w:pPr>
    </w:p>
    <w:p w14:paraId="42680D80" w14:textId="77777777" w:rsidR="00B86285" w:rsidRDefault="00B86285">
      <w:pPr>
        <w:pStyle w:val="afffff5"/>
        <w:ind w:firstLine="420"/>
        <w:sectPr w:rsidR="00B86285">
          <w:pgSz w:w="11906" w:h="16838"/>
          <w:pgMar w:top="1928" w:right="1134" w:bottom="1134" w:left="1134" w:header="1418" w:footer="1134" w:gutter="284"/>
          <w:pgNumType w:fmt="upperRoman"/>
          <w:cols w:space="425"/>
          <w:formProt w:val="0"/>
          <w:docGrid w:linePitch="312"/>
        </w:sectPr>
      </w:pPr>
    </w:p>
    <w:p w14:paraId="2CDAC5FC" w14:textId="77777777" w:rsidR="00B86285" w:rsidRDefault="00B86285">
      <w:pPr>
        <w:spacing w:line="20" w:lineRule="exact"/>
        <w:jc w:val="center"/>
        <w:rPr>
          <w:rFonts w:ascii="黑体" w:eastAsia="黑体" w:hAnsi="黑体" w:hint="eastAsia"/>
          <w:sz w:val="32"/>
          <w:szCs w:val="32"/>
        </w:rPr>
      </w:pPr>
      <w:bookmarkStart w:id="19" w:name="BookMark4"/>
      <w:bookmarkEnd w:id="18"/>
    </w:p>
    <w:p w14:paraId="5FEA3042" w14:textId="77777777" w:rsidR="00B86285" w:rsidRDefault="00B86285">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B613AF45EA524F80875A76B7385C602B"/>
        </w:placeholder>
      </w:sdtPr>
      <w:sdtContent>
        <w:p w14:paraId="364A3A68" w14:textId="77777777" w:rsidR="00B86285" w:rsidRDefault="00000000">
          <w:pPr>
            <w:pStyle w:val="afffffffff8"/>
            <w:spacing w:beforeLines="100" w:before="240" w:afterLines="220" w:after="528"/>
            <w:rPr>
              <w:rFonts w:hint="eastAsia"/>
            </w:rPr>
          </w:pPr>
          <w:r>
            <w:t>中小企业服务机构通用能力建设</w:t>
          </w:r>
        </w:p>
        <w:p w14:paraId="58AF66DF" w14:textId="77777777" w:rsidR="00B86285" w:rsidRDefault="00000000">
          <w:pPr>
            <w:pStyle w:val="afffffffff8"/>
            <w:spacing w:beforeLines="100" w:before="240" w:afterLines="220" w:after="528"/>
            <w:rPr>
              <w:rFonts w:hint="eastAsia"/>
            </w:rPr>
          </w:pPr>
          <w:r>
            <w:t>第 1 部分：评价体系</w:t>
          </w:r>
        </w:p>
      </w:sdtContent>
    </w:sdt>
    <w:p w14:paraId="5C0A509A" w14:textId="77777777" w:rsidR="00B86285" w:rsidRDefault="00000000">
      <w:pPr>
        <w:pStyle w:val="affc"/>
        <w:spacing w:before="240" w:after="240"/>
      </w:pPr>
      <w:bookmarkStart w:id="21" w:name="_Toc24884211"/>
      <w:bookmarkStart w:id="22" w:name="_Toc17233333"/>
      <w:bookmarkStart w:id="23" w:name="_Toc26986771"/>
      <w:bookmarkStart w:id="24" w:name="_Toc97192964"/>
      <w:bookmarkStart w:id="25" w:name="_Toc7979"/>
      <w:bookmarkStart w:id="26" w:name="_Toc26648465"/>
      <w:bookmarkStart w:id="27" w:name="_Toc24884218"/>
      <w:bookmarkStart w:id="28" w:name="_Toc26986530"/>
      <w:bookmarkStart w:id="29" w:name="_Toc196308844"/>
      <w:bookmarkStart w:id="30" w:name="_Toc26718930"/>
      <w:bookmarkStart w:id="31" w:name="_Toc17233325"/>
      <w:bookmarkEnd w:id="20"/>
      <w:r>
        <w:rPr>
          <w:rFonts w:hint="eastAsia"/>
        </w:rPr>
        <w:t>范围</w:t>
      </w:r>
      <w:bookmarkEnd w:id="21"/>
      <w:bookmarkEnd w:id="22"/>
      <w:bookmarkEnd w:id="23"/>
      <w:bookmarkEnd w:id="24"/>
      <w:bookmarkEnd w:id="25"/>
      <w:bookmarkEnd w:id="26"/>
      <w:bookmarkEnd w:id="27"/>
      <w:bookmarkEnd w:id="28"/>
      <w:bookmarkEnd w:id="29"/>
      <w:bookmarkEnd w:id="30"/>
      <w:bookmarkEnd w:id="31"/>
    </w:p>
    <w:p w14:paraId="12C30AC0" w14:textId="77777777" w:rsidR="00B86285" w:rsidRDefault="00000000">
      <w:pPr>
        <w:pStyle w:val="afffff5"/>
        <w:ind w:firstLine="420"/>
        <w:rPr>
          <w:rFonts w:ascii="Times New Roman"/>
        </w:rPr>
      </w:pPr>
      <w:bookmarkStart w:id="32" w:name="_Toc17233334"/>
      <w:bookmarkStart w:id="33" w:name="_Toc24884219"/>
      <w:bookmarkStart w:id="34" w:name="_Toc26648466"/>
      <w:bookmarkStart w:id="35" w:name="_Toc24884212"/>
      <w:bookmarkStart w:id="36" w:name="_Toc17233326"/>
      <w:r>
        <w:rPr>
          <w:rFonts w:ascii="Times New Roman" w:hint="eastAsia"/>
        </w:rPr>
        <w:t>本文件提供了对于中小企业服务机构的术语和定义、服务机构分类、通用能力评价准则等内容。</w:t>
      </w:r>
    </w:p>
    <w:p w14:paraId="5F802351" w14:textId="77777777" w:rsidR="00B86285" w:rsidRDefault="00000000">
      <w:pPr>
        <w:pStyle w:val="afffff5"/>
        <w:ind w:firstLine="420"/>
        <w:rPr>
          <w:rFonts w:ascii="Times New Roman"/>
        </w:rPr>
      </w:pPr>
      <w:r>
        <w:rPr>
          <w:rFonts w:ascii="Times New Roman" w:hint="eastAsia"/>
        </w:rPr>
        <w:t>本文件中的中小企业服务机构指为中小企业提供满足其生产经营需求、提升发展能力的各类专业服务活动的组织。这些服务可能包括但不限于：信息和政策咨询服务、融资和促进服务、管理咨询服务、人力资源服务、法律服务、技术创新支持服务、软件和信息技术服务、创业孵化与教育培训服务、营销与品牌建设服务等。</w:t>
      </w:r>
    </w:p>
    <w:p w14:paraId="51D7C3C6" w14:textId="77777777" w:rsidR="00B86285" w:rsidRDefault="00000000">
      <w:pPr>
        <w:pStyle w:val="afffff5"/>
        <w:ind w:firstLine="420"/>
        <w:rPr>
          <w:rFonts w:ascii="Times New Roman"/>
        </w:rPr>
      </w:pPr>
      <w:r>
        <w:rPr>
          <w:rFonts w:ascii="Times New Roman" w:hint="eastAsia"/>
        </w:rPr>
        <w:t>本文件适用于中小企业服务机构的通用能力评价。</w:t>
      </w:r>
    </w:p>
    <w:p w14:paraId="5D7E6B9A" w14:textId="77777777" w:rsidR="00B86285" w:rsidRDefault="00B86285">
      <w:pPr>
        <w:pStyle w:val="afffff5"/>
        <w:ind w:firstLine="420"/>
        <w:rPr>
          <w:rFonts w:ascii="Times New Roman"/>
        </w:rPr>
      </w:pPr>
    </w:p>
    <w:p w14:paraId="55F2E9A1" w14:textId="77777777" w:rsidR="00B86285" w:rsidRDefault="00000000">
      <w:pPr>
        <w:pStyle w:val="affc"/>
        <w:spacing w:before="240" w:after="240"/>
        <w:rPr>
          <w:rFonts w:ascii="Times New Roman"/>
        </w:rPr>
      </w:pPr>
      <w:bookmarkStart w:id="37" w:name="_Toc97192965"/>
      <w:bookmarkStart w:id="38" w:name="_Toc26986531"/>
      <w:bookmarkStart w:id="39" w:name="_Toc196308845"/>
      <w:bookmarkStart w:id="40" w:name="_Toc26718931"/>
      <w:bookmarkStart w:id="41" w:name="_Toc22215"/>
      <w:bookmarkStart w:id="42" w:name="_Toc26986772"/>
      <w:r>
        <w:rPr>
          <w:rFonts w:ascii="Times New Roman"/>
        </w:rPr>
        <w:t>规范性引用文件</w:t>
      </w:r>
      <w:bookmarkEnd w:id="32"/>
      <w:bookmarkEnd w:id="33"/>
      <w:bookmarkEnd w:id="34"/>
      <w:bookmarkEnd w:id="35"/>
      <w:bookmarkEnd w:id="36"/>
      <w:bookmarkEnd w:id="37"/>
      <w:bookmarkEnd w:id="38"/>
      <w:bookmarkEnd w:id="39"/>
      <w:bookmarkEnd w:id="40"/>
      <w:bookmarkEnd w:id="41"/>
      <w:bookmarkEnd w:id="42"/>
    </w:p>
    <w:sdt>
      <w:sdtPr>
        <w:rPr>
          <w:rFonts w:ascii="Times New Roman"/>
        </w:rPr>
        <w:id w:val="715848253"/>
        <w:placeholder>
          <w:docPart w:val="A4E2721E69E84639A8113C6D79A389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2F9BAE6" w14:textId="77777777" w:rsidR="00B86285"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83FB99" w14:textId="77777777" w:rsidR="00B86285" w:rsidRDefault="00000000">
      <w:pPr>
        <w:pStyle w:val="afffff5"/>
        <w:ind w:firstLine="420"/>
        <w:rPr>
          <w:rFonts w:ascii="Times New Roman"/>
        </w:rPr>
      </w:pPr>
      <w:r>
        <w:rPr>
          <w:rFonts w:ascii="Times New Roman" w:hint="eastAsia"/>
        </w:rPr>
        <w:t xml:space="preserve">GB/T 4754-2017 </w:t>
      </w:r>
      <w:r>
        <w:rPr>
          <w:rFonts w:ascii="Times New Roman" w:hint="eastAsia"/>
        </w:rPr>
        <w:t>国民经济行业分类</w:t>
      </w:r>
      <w:r>
        <w:rPr>
          <w:rFonts w:ascii="Times New Roman" w:hint="eastAsia"/>
        </w:rPr>
        <w:t xml:space="preserve"> </w:t>
      </w:r>
    </w:p>
    <w:p w14:paraId="5F57E197" w14:textId="77777777" w:rsidR="00B86285" w:rsidRDefault="00000000">
      <w:pPr>
        <w:pStyle w:val="afffff5"/>
        <w:ind w:firstLine="420"/>
        <w:rPr>
          <w:rFonts w:ascii="Times New Roman"/>
        </w:rPr>
      </w:pPr>
      <w:r>
        <w:rPr>
          <w:rFonts w:ascii="Times New Roman" w:hint="eastAsia"/>
        </w:rPr>
        <w:t xml:space="preserve">DB53/T 1117-2022 </w:t>
      </w:r>
      <w:r>
        <w:rPr>
          <w:rFonts w:ascii="Times New Roman" w:hint="eastAsia"/>
        </w:rPr>
        <w:t>中小企业公共服务分类</w:t>
      </w:r>
      <w:r>
        <w:rPr>
          <w:rFonts w:ascii="Times New Roman" w:hint="eastAsia"/>
        </w:rPr>
        <w:t xml:space="preserve"> </w:t>
      </w:r>
    </w:p>
    <w:p w14:paraId="497642DC" w14:textId="77777777" w:rsidR="00B86285" w:rsidRDefault="00000000">
      <w:pPr>
        <w:pStyle w:val="afffff5"/>
        <w:ind w:firstLine="420"/>
        <w:rPr>
          <w:rFonts w:ascii="Times New Roman"/>
        </w:rPr>
      </w:pPr>
      <w:r>
        <w:rPr>
          <w:rFonts w:ascii="Times New Roman" w:hint="eastAsia"/>
        </w:rPr>
        <w:t xml:space="preserve">DB34/T 3727-2020 </w:t>
      </w:r>
      <w:r>
        <w:rPr>
          <w:rFonts w:ascii="Times New Roman" w:hint="eastAsia"/>
        </w:rPr>
        <w:t>中小企业社会化公共服务规范</w:t>
      </w:r>
      <w:r>
        <w:rPr>
          <w:rFonts w:ascii="Times New Roman" w:hint="eastAsia"/>
        </w:rPr>
        <w:t xml:space="preserve"> </w:t>
      </w:r>
    </w:p>
    <w:p w14:paraId="58EFC611" w14:textId="77777777" w:rsidR="00B86285" w:rsidRDefault="00000000">
      <w:pPr>
        <w:pStyle w:val="afffff5"/>
        <w:ind w:firstLine="420"/>
        <w:rPr>
          <w:rFonts w:ascii="Times New Roman"/>
        </w:rPr>
      </w:pPr>
      <w:r>
        <w:rPr>
          <w:rFonts w:ascii="Times New Roman" w:hint="eastAsia"/>
        </w:rPr>
        <w:t>DB34/T 4364</w:t>
      </w:r>
      <w:r>
        <w:rPr>
          <w:rFonts w:ascii="Times New Roman" w:hint="eastAsia"/>
        </w:rPr>
        <w:t>—</w:t>
      </w:r>
      <w:r>
        <w:rPr>
          <w:rFonts w:ascii="Times New Roman" w:hint="eastAsia"/>
        </w:rPr>
        <w:t xml:space="preserve">2023 </w:t>
      </w:r>
      <w:r>
        <w:rPr>
          <w:rFonts w:ascii="Times New Roman" w:hint="eastAsia"/>
        </w:rPr>
        <w:t>中小企业公共服务评价指标体系</w:t>
      </w:r>
    </w:p>
    <w:p w14:paraId="018E5358" w14:textId="77777777" w:rsidR="00B86285" w:rsidRDefault="00B86285">
      <w:pPr>
        <w:pStyle w:val="afffff5"/>
        <w:ind w:firstLine="420"/>
        <w:rPr>
          <w:rFonts w:ascii="Times New Roman"/>
        </w:rPr>
      </w:pPr>
    </w:p>
    <w:p w14:paraId="4C20104A" w14:textId="77777777" w:rsidR="00B86285" w:rsidRDefault="00000000">
      <w:pPr>
        <w:pStyle w:val="affc"/>
        <w:spacing w:before="240" w:after="240"/>
        <w:rPr>
          <w:rFonts w:ascii="Times New Roman"/>
        </w:rPr>
      </w:pPr>
      <w:bookmarkStart w:id="43" w:name="_Toc196308846"/>
      <w:bookmarkStart w:id="44" w:name="_Toc19566"/>
      <w:bookmarkStart w:id="45" w:name="_Toc97192966"/>
      <w:r>
        <w:rPr>
          <w:rFonts w:ascii="Times New Roman"/>
          <w:szCs w:val="21"/>
        </w:rPr>
        <w:t>术语和定义</w:t>
      </w:r>
      <w:bookmarkEnd w:id="43"/>
      <w:bookmarkEnd w:id="44"/>
      <w:bookmarkEnd w:id="45"/>
    </w:p>
    <w:bookmarkStart w:id="46" w:name="_Toc26986532" w:displacedByCustomXml="next"/>
    <w:bookmarkEnd w:id="46" w:displacedByCustomXml="next"/>
    <w:sdt>
      <w:sdtPr>
        <w:rPr>
          <w:rFonts w:ascii="Times New Roman"/>
        </w:rPr>
        <w:id w:val="-1909835108"/>
        <w:placeholder>
          <w:docPart w:val="4FB191ABF8BE41C3BCDC9FC8D18D172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1DBF01" w14:textId="77777777" w:rsidR="00B86285" w:rsidRDefault="00000000">
          <w:pPr>
            <w:pStyle w:val="afffff5"/>
            <w:ind w:firstLine="420"/>
            <w:rPr>
              <w:rFonts w:ascii="Times New Roman"/>
            </w:rPr>
          </w:pPr>
          <w:r>
            <w:rPr>
              <w:rFonts w:ascii="Times New Roman"/>
            </w:rPr>
            <w:t>下列术语和定义适用于本文件。</w:t>
          </w:r>
        </w:p>
      </w:sdtContent>
    </w:sdt>
    <w:p w14:paraId="61353951" w14:textId="77777777" w:rsidR="00B86285" w:rsidRDefault="00000000">
      <w:pPr>
        <w:pStyle w:val="afffffffffff4"/>
        <w:ind w:left="420" w:hangingChars="200" w:hanging="420"/>
        <w:rPr>
          <w:rFonts w:ascii="Times New Roman" w:eastAsia="黑体"/>
        </w:rPr>
      </w:pPr>
      <w:r>
        <w:rPr>
          <w:rFonts w:ascii="Times New Roman" w:eastAsia="黑体"/>
        </w:rPr>
        <w:br/>
      </w:r>
      <w:r>
        <w:rPr>
          <w:rFonts w:ascii="Times New Roman" w:eastAsia="黑体" w:hint="eastAsia"/>
        </w:rPr>
        <w:t>中小企业</w:t>
      </w:r>
      <w:r>
        <w:rPr>
          <w:rFonts w:ascii="Times New Roman" w:eastAsia="黑体" w:hint="eastAsia"/>
        </w:rPr>
        <w:t>Small and Medium-sized Enterprises</w:t>
      </w:r>
    </w:p>
    <w:p w14:paraId="51E4BBDB" w14:textId="77777777" w:rsidR="00B86285" w:rsidRDefault="00000000">
      <w:pPr>
        <w:pStyle w:val="afffff5"/>
        <w:ind w:firstLine="420"/>
        <w:rPr>
          <w:rFonts w:ascii="Times New Roman"/>
        </w:rPr>
      </w:pPr>
      <w:r>
        <w:rPr>
          <w:rFonts w:ascii="Times New Roman" w:hint="eastAsia"/>
        </w:rPr>
        <w:t>符合工业和信息化部、国家统计局、发展改革委、财政部研究制定的《中小企业划型标准规定》工信部联企业〔</w:t>
      </w:r>
      <w:r>
        <w:rPr>
          <w:rFonts w:ascii="Times New Roman" w:hint="eastAsia"/>
        </w:rPr>
        <w:t>2011</w:t>
      </w:r>
      <w:r>
        <w:rPr>
          <w:rFonts w:ascii="Times New Roman" w:hint="eastAsia"/>
        </w:rPr>
        <w:t>〕</w:t>
      </w:r>
      <w:r>
        <w:rPr>
          <w:rFonts w:ascii="Times New Roman" w:hint="eastAsia"/>
        </w:rPr>
        <w:t>300</w:t>
      </w:r>
      <w:r>
        <w:rPr>
          <w:rFonts w:ascii="Times New Roman" w:hint="eastAsia"/>
        </w:rPr>
        <w:t>号规定的中型、小型、微型划分要求，具有独立法人资格的社会经济组织。</w:t>
      </w:r>
    </w:p>
    <w:p w14:paraId="4F079BD2" w14:textId="77777777" w:rsidR="00B86285" w:rsidRDefault="00000000">
      <w:pPr>
        <w:pStyle w:val="afffffffffff4"/>
        <w:ind w:left="420" w:hangingChars="200" w:hanging="420"/>
        <w:rPr>
          <w:rFonts w:ascii="Times New Roman" w:eastAsia="黑体"/>
        </w:rPr>
      </w:pPr>
      <w:r>
        <w:rPr>
          <w:rFonts w:ascii="Times New Roman" w:eastAsia="黑体"/>
        </w:rPr>
        <w:br/>
      </w:r>
      <w:r>
        <w:rPr>
          <w:rFonts w:ascii="Times New Roman" w:eastAsia="黑体" w:hint="eastAsia"/>
        </w:rPr>
        <w:t>中小企业服务机构</w:t>
      </w:r>
      <w:r>
        <w:rPr>
          <w:rFonts w:ascii="Times New Roman" w:eastAsia="黑体" w:hint="eastAsia"/>
        </w:rPr>
        <w:t>Service Agencies for Small and Medium-sized Enterprises</w:t>
      </w:r>
    </w:p>
    <w:p w14:paraId="71F1AA44" w14:textId="77777777" w:rsidR="00B86285" w:rsidRDefault="00000000">
      <w:pPr>
        <w:pStyle w:val="afffff5"/>
        <w:ind w:firstLine="420"/>
        <w:rPr>
          <w:rFonts w:ascii="Times New Roman"/>
        </w:rPr>
      </w:pPr>
      <w:r>
        <w:rPr>
          <w:rFonts w:ascii="Times New Roman" w:hint="eastAsia"/>
        </w:rPr>
        <w:t>为中小企业提供满足其生产经营需求、提升发展能力的各类专业服务活动的组织。这些服务可能包括但不限于：信息和政策咨询服务、融资和促进服务、管理咨询服务、人力资源服务、法律服务、技术创新支持服务、软件和信息技术服务、创业孵化与教育培训服务、营销与品牌建设服务等。</w:t>
      </w:r>
    </w:p>
    <w:p w14:paraId="5F1DF0E1" w14:textId="77777777" w:rsidR="00B86285" w:rsidRDefault="00B86285">
      <w:pPr>
        <w:pStyle w:val="afffffffffff4"/>
        <w:ind w:left="420" w:hangingChars="200" w:hanging="420"/>
        <w:rPr>
          <w:rFonts w:ascii="Times New Roman" w:eastAsia="黑体"/>
        </w:rPr>
      </w:pPr>
    </w:p>
    <w:p w14:paraId="1AAEE373" w14:textId="77777777" w:rsidR="00B86285" w:rsidRDefault="00000000">
      <w:pPr>
        <w:pStyle w:val="afffff5"/>
        <w:ind w:firstLine="420"/>
        <w:rPr>
          <w:rFonts w:ascii="Times New Roman" w:eastAsia="黑体"/>
        </w:rPr>
      </w:pPr>
      <w:r>
        <w:rPr>
          <w:rFonts w:ascii="Times New Roman" w:eastAsia="黑体" w:hint="eastAsia"/>
        </w:rPr>
        <w:t>服务能力</w:t>
      </w:r>
      <w:r>
        <w:rPr>
          <w:rFonts w:ascii="Times New Roman" w:eastAsia="黑体" w:hint="eastAsia"/>
        </w:rPr>
        <w:t>Service Capability</w:t>
      </w:r>
    </w:p>
    <w:p w14:paraId="425861FB" w14:textId="77777777" w:rsidR="00B86285" w:rsidRDefault="00000000">
      <w:pPr>
        <w:pStyle w:val="afffff5"/>
        <w:ind w:firstLine="420"/>
        <w:rPr>
          <w:rFonts w:ascii="Times New Roman" w:eastAsia="黑体"/>
        </w:rPr>
      </w:pPr>
      <w:r>
        <w:rPr>
          <w:rFonts w:hAnsi="宋体" w:cs="宋体" w:hint="eastAsia"/>
        </w:rPr>
        <w:t>服务能力是指一个服务系统提供服务的能力程度，通常被定义为系统的最大产出率。</w:t>
      </w:r>
    </w:p>
    <w:p w14:paraId="53B3C4A8" w14:textId="77777777" w:rsidR="00B86285" w:rsidRDefault="00000000">
      <w:pPr>
        <w:pStyle w:val="afffffffffff4"/>
        <w:ind w:left="420" w:hangingChars="200" w:hanging="420"/>
        <w:rPr>
          <w:rFonts w:ascii="Times New Roman" w:eastAsia="黑体"/>
        </w:rPr>
      </w:pPr>
      <w:r>
        <w:rPr>
          <w:rFonts w:ascii="Times New Roman" w:eastAsia="黑体"/>
        </w:rPr>
        <w:br/>
      </w:r>
      <w:r>
        <w:rPr>
          <w:rFonts w:ascii="Times New Roman" w:eastAsia="黑体" w:hint="eastAsia"/>
        </w:rPr>
        <w:t>通用能力</w:t>
      </w:r>
      <w:r>
        <w:rPr>
          <w:rFonts w:ascii="Times New Roman" w:eastAsia="黑体" w:hint="eastAsia"/>
        </w:rPr>
        <w:t>Universal Capability</w:t>
      </w:r>
    </w:p>
    <w:p w14:paraId="328C3F24" w14:textId="77777777" w:rsidR="00B86285" w:rsidRDefault="00000000">
      <w:pPr>
        <w:pStyle w:val="afffff5"/>
        <w:ind w:firstLine="420"/>
      </w:pPr>
      <w:r>
        <w:rPr>
          <w:rFonts w:hint="eastAsia"/>
        </w:rPr>
        <w:t>通用能力是指那些不特定于某一职业或领域，广泛应用于各种情况和环境中的技能和能力。</w:t>
      </w:r>
    </w:p>
    <w:p w14:paraId="495F2750" w14:textId="77777777" w:rsidR="00B86285" w:rsidRDefault="00000000">
      <w:pPr>
        <w:pStyle w:val="affc"/>
        <w:spacing w:before="240" w:after="240"/>
        <w:rPr>
          <w:rFonts w:ascii="Times New Roman"/>
        </w:rPr>
      </w:pPr>
      <w:bookmarkStart w:id="47" w:name="_Toc1527"/>
      <w:r>
        <w:rPr>
          <w:rFonts w:ascii="Times New Roman"/>
        </w:rPr>
        <w:t>服务机构分类</w:t>
      </w:r>
      <w:bookmarkEnd w:id="47"/>
    </w:p>
    <w:p w14:paraId="6273FCBB" w14:textId="77777777" w:rsidR="00B86285" w:rsidRDefault="00000000">
      <w:pPr>
        <w:pStyle w:val="afffff5"/>
        <w:ind w:firstLine="420"/>
        <w:rPr>
          <w:rFonts w:ascii="Times New Roman"/>
        </w:rPr>
      </w:pPr>
      <w:r>
        <w:rPr>
          <w:rFonts w:ascii="Times New Roman" w:hint="eastAsia"/>
        </w:rPr>
        <w:t>中小企业服务机构按照提供的专业服务活动，可以分为四大类：</w:t>
      </w:r>
      <w:r>
        <w:rPr>
          <w:rFonts w:ascii="Times New Roman" w:hint="eastAsia"/>
        </w:rPr>
        <w:t xml:space="preserve"> </w:t>
      </w:r>
    </w:p>
    <w:p w14:paraId="16B37584" w14:textId="77777777" w:rsidR="00B86285" w:rsidRDefault="00000000">
      <w:pPr>
        <w:pStyle w:val="afffff5"/>
        <w:ind w:firstLine="420"/>
        <w:rPr>
          <w:rFonts w:ascii="Times New Roman"/>
        </w:rPr>
      </w:pPr>
      <w:r>
        <w:rPr>
          <w:rFonts w:ascii="Times New Roman" w:hint="eastAsia"/>
        </w:rPr>
        <w:lastRenderedPageBreak/>
        <w:t>——综合性服务机构；</w:t>
      </w:r>
      <w:r>
        <w:rPr>
          <w:rFonts w:ascii="Times New Roman" w:hint="eastAsia"/>
        </w:rPr>
        <w:t xml:space="preserve"> </w:t>
      </w:r>
    </w:p>
    <w:p w14:paraId="7DB00BC9" w14:textId="77777777" w:rsidR="00B86285" w:rsidRDefault="00000000">
      <w:pPr>
        <w:pStyle w:val="afffff5"/>
        <w:ind w:firstLine="420"/>
        <w:rPr>
          <w:rFonts w:ascii="Times New Roman"/>
        </w:rPr>
      </w:pPr>
      <w:r>
        <w:rPr>
          <w:rFonts w:ascii="Times New Roman" w:hint="eastAsia"/>
        </w:rPr>
        <w:t>——专业类服务机构；</w:t>
      </w:r>
      <w:r>
        <w:rPr>
          <w:rFonts w:ascii="Times New Roman" w:hint="eastAsia"/>
        </w:rPr>
        <w:t xml:space="preserve"> </w:t>
      </w:r>
    </w:p>
    <w:p w14:paraId="65C11F1E" w14:textId="77777777" w:rsidR="00B86285" w:rsidRDefault="00000000">
      <w:pPr>
        <w:pStyle w:val="afffff5"/>
        <w:ind w:firstLine="420"/>
        <w:rPr>
          <w:rFonts w:ascii="Times New Roman"/>
        </w:rPr>
      </w:pPr>
      <w:r>
        <w:rPr>
          <w:rFonts w:ascii="Times New Roman" w:hint="eastAsia"/>
        </w:rPr>
        <w:t>——平台服务机构；</w:t>
      </w:r>
      <w:r>
        <w:rPr>
          <w:rFonts w:ascii="Times New Roman" w:hint="eastAsia"/>
        </w:rPr>
        <w:t xml:space="preserve"> </w:t>
      </w:r>
    </w:p>
    <w:p w14:paraId="3CD3C0E7" w14:textId="77777777" w:rsidR="00B86285" w:rsidRDefault="00000000">
      <w:pPr>
        <w:pStyle w:val="afffff5"/>
        <w:ind w:firstLine="420"/>
        <w:rPr>
          <w:rFonts w:ascii="Times New Roman"/>
        </w:rPr>
      </w:pPr>
      <w:r>
        <w:rPr>
          <w:rFonts w:ascii="Times New Roman" w:hint="eastAsia"/>
        </w:rPr>
        <w:t>——其他服务机构。</w:t>
      </w:r>
      <w:r>
        <w:rPr>
          <w:rFonts w:ascii="Times New Roman" w:hint="eastAsia"/>
        </w:rPr>
        <w:t xml:space="preserve"> </w:t>
      </w:r>
    </w:p>
    <w:p w14:paraId="229C3330" w14:textId="77777777" w:rsidR="00B86285" w:rsidRDefault="00000000">
      <w:pPr>
        <w:pStyle w:val="afffff5"/>
        <w:ind w:firstLine="420"/>
        <w:rPr>
          <w:rFonts w:ascii="Times New Roman"/>
        </w:rPr>
      </w:pPr>
      <w:r>
        <w:rPr>
          <w:rFonts w:ascii="Times New Roman" w:hint="eastAsia"/>
        </w:rPr>
        <w:t>其中，</w:t>
      </w:r>
      <w:r>
        <w:rPr>
          <w:rFonts w:ascii="Times New Roman" w:hint="eastAsia"/>
        </w:rPr>
        <w:t xml:space="preserve"> </w:t>
      </w:r>
    </w:p>
    <w:p w14:paraId="5D648709" w14:textId="77777777" w:rsidR="00B86285" w:rsidRDefault="00000000">
      <w:pPr>
        <w:pStyle w:val="afffff5"/>
        <w:ind w:firstLine="420"/>
        <w:rPr>
          <w:rFonts w:ascii="Times New Roman"/>
        </w:rPr>
      </w:pPr>
      <w:r>
        <w:rPr>
          <w:rFonts w:ascii="Times New Roman"/>
        </w:rPr>
        <w:t>a</w:t>
      </w:r>
      <w:r>
        <w:rPr>
          <w:rFonts w:ascii="Times New Roman" w:hint="eastAsia"/>
        </w:rPr>
        <w:t>）综合性服务机构：为中小企业提供两类及两类以上专业服务活动的机构。</w:t>
      </w:r>
      <w:r>
        <w:rPr>
          <w:rFonts w:ascii="Times New Roman" w:hint="eastAsia"/>
        </w:rPr>
        <w:t xml:space="preserve"> </w:t>
      </w:r>
    </w:p>
    <w:p w14:paraId="749D52DC" w14:textId="77777777" w:rsidR="00B86285" w:rsidRDefault="00000000">
      <w:pPr>
        <w:pStyle w:val="afffff5"/>
        <w:ind w:firstLine="420"/>
        <w:rPr>
          <w:rFonts w:ascii="Times New Roman"/>
        </w:rPr>
      </w:pPr>
      <w:r>
        <w:rPr>
          <w:rFonts w:ascii="Times New Roman"/>
        </w:rPr>
        <w:t>b</w:t>
      </w:r>
      <w:r>
        <w:rPr>
          <w:rFonts w:ascii="Times New Roman" w:hint="eastAsia"/>
        </w:rPr>
        <w:t>）专业类服务机构：为中小企业提供专业性服务的机构，包括信息与政策服务，投融资服务，管理咨询服务，数字化、信息化、技术创新服务，创业孵化与教育培训服务、员工福利保障服务等。</w:t>
      </w:r>
      <w:r>
        <w:rPr>
          <w:rFonts w:ascii="Times New Roman" w:hint="eastAsia"/>
        </w:rPr>
        <w:t xml:space="preserve"> </w:t>
      </w:r>
    </w:p>
    <w:p w14:paraId="5280C605" w14:textId="77777777" w:rsidR="00B86285" w:rsidRDefault="00000000">
      <w:pPr>
        <w:pStyle w:val="afffff5"/>
        <w:ind w:firstLine="420"/>
        <w:rPr>
          <w:rFonts w:ascii="Times New Roman"/>
        </w:rPr>
      </w:pPr>
      <w:r>
        <w:rPr>
          <w:rFonts w:ascii="Times New Roman"/>
        </w:rPr>
        <w:t>c</w:t>
      </w:r>
      <w:r>
        <w:rPr>
          <w:rFonts w:ascii="Times New Roman" w:hint="eastAsia"/>
        </w:rPr>
        <w:t>）平台类服务机构：指通过互联网技术，为中小企业之间提供交易、交流、分享等服务的公司。</w:t>
      </w:r>
      <w:r>
        <w:rPr>
          <w:rFonts w:ascii="Times New Roman" w:hint="eastAsia"/>
        </w:rPr>
        <w:t xml:space="preserve"> </w:t>
      </w:r>
    </w:p>
    <w:p w14:paraId="313990A6" w14:textId="77777777" w:rsidR="00B86285" w:rsidRDefault="00000000">
      <w:pPr>
        <w:pStyle w:val="afffff5"/>
        <w:ind w:firstLine="420"/>
        <w:rPr>
          <w:rFonts w:ascii="Times New Roman"/>
        </w:rPr>
      </w:pPr>
      <w:r>
        <w:rPr>
          <w:rFonts w:ascii="Times New Roman"/>
        </w:rPr>
        <w:t>d</w:t>
      </w:r>
      <w:r>
        <w:rPr>
          <w:rFonts w:ascii="Times New Roman" w:hint="eastAsia"/>
        </w:rPr>
        <w:t>）其他服务机构：指不包含在上述分类中的其他服务机构。</w:t>
      </w:r>
    </w:p>
    <w:p w14:paraId="086EFA30" w14:textId="77777777" w:rsidR="00B86285" w:rsidRDefault="00000000">
      <w:pPr>
        <w:widowControl/>
        <w:jc w:val="center"/>
      </w:pPr>
      <w:r>
        <w:rPr>
          <w:rFonts w:ascii="黑体" w:eastAsia="黑体" w:hAnsi="黑体" w:cs="黑体" w:hint="eastAsia"/>
          <w:color w:val="000000"/>
          <w:kern w:val="0"/>
          <w:lang w:bidi="ar"/>
        </w:rPr>
        <w:t>表1 中小企业服务机构分类及服务内容</w:t>
      </w:r>
    </w:p>
    <w:tbl>
      <w:tblPr>
        <w:tblStyle w:val="TableNormal"/>
        <w:tblW w:w="93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1"/>
        <w:gridCol w:w="1068"/>
        <w:gridCol w:w="1038"/>
        <w:gridCol w:w="2467"/>
        <w:gridCol w:w="4325"/>
      </w:tblGrid>
      <w:tr w:rsidR="00B86285" w14:paraId="7E249EFF" w14:textId="77777777">
        <w:trPr>
          <w:trHeight w:val="714"/>
        </w:trPr>
        <w:tc>
          <w:tcPr>
            <w:tcW w:w="431" w:type="dxa"/>
            <w:tcBorders>
              <w:tl2br w:val="nil"/>
              <w:tr2bl w:val="nil"/>
            </w:tcBorders>
            <w:textDirection w:val="tbRlV"/>
            <w:vAlign w:val="center"/>
          </w:tcPr>
          <w:p w14:paraId="2480BAA9" w14:textId="77777777" w:rsidR="00B86285" w:rsidRDefault="00000000">
            <w:pPr>
              <w:pStyle w:val="afffff5"/>
              <w:ind w:firstLineChars="100" w:firstLine="180"/>
              <w:jc w:val="center"/>
              <w:rPr>
                <w:rFonts w:hAnsi="宋体" w:cs="宋体" w:hint="eastAsia"/>
                <w:sz w:val="18"/>
                <w:szCs w:val="18"/>
              </w:rPr>
            </w:pPr>
            <w:r>
              <w:rPr>
                <w:rFonts w:hAnsi="宋体" w:cs="宋体" w:hint="eastAsia"/>
                <w:sz w:val="18"/>
                <w:szCs w:val="18"/>
              </w:rPr>
              <w:t>序 号</w:t>
            </w:r>
          </w:p>
        </w:tc>
        <w:tc>
          <w:tcPr>
            <w:tcW w:w="1068" w:type="dxa"/>
            <w:tcBorders>
              <w:tl2br w:val="nil"/>
              <w:tr2bl w:val="nil"/>
            </w:tcBorders>
            <w:vAlign w:val="center"/>
          </w:tcPr>
          <w:p w14:paraId="7985BA36"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一级分类</w:t>
            </w:r>
          </w:p>
        </w:tc>
        <w:tc>
          <w:tcPr>
            <w:tcW w:w="1038" w:type="dxa"/>
            <w:tcBorders>
              <w:tl2br w:val="nil"/>
              <w:tr2bl w:val="nil"/>
            </w:tcBorders>
            <w:vAlign w:val="center"/>
          </w:tcPr>
          <w:p w14:paraId="1A459B23"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二级分类</w:t>
            </w:r>
          </w:p>
        </w:tc>
        <w:tc>
          <w:tcPr>
            <w:tcW w:w="2467" w:type="dxa"/>
            <w:tcBorders>
              <w:tl2br w:val="nil"/>
              <w:tr2bl w:val="nil"/>
            </w:tcBorders>
            <w:vAlign w:val="center"/>
          </w:tcPr>
          <w:p w14:paraId="7B5D4861"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三级分类</w:t>
            </w:r>
          </w:p>
        </w:tc>
        <w:tc>
          <w:tcPr>
            <w:tcW w:w="4325" w:type="dxa"/>
            <w:tcBorders>
              <w:tl2br w:val="nil"/>
              <w:tr2bl w:val="nil"/>
            </w:tcBorders>
            <w:vAlign w:val="center"/>
          </w:tcPr>
          <w:p w14:paraId="44AEBA0F" w14:textId="77777777" w:rsidR="00B86285" w:rsidRDefault="00000000">
            <w:pPr>
              <w:pStyle w:val="afffff5"/>
              <w:ind w:leftChars="100" w:left="210" w:firstLineChars="0" w:firstLine="0"/>
              <w:jc w:val="center"/>
              <w:rPr>
                <w:rFonts w:hAnsi="宋体" w:cs="宋体" w:hint="eastAsia"/>
                <w:sz w:val="18"/>
                <w:szCs w:val="18"/>
              </w:rPr>
            </w:pPr>
            <w:r>
              <w:rPr>
                <w:rFonts w:hAnsi="宋体" w:cs="宋体" w:hint="eastAsia"/>
                <w:sz w:val="18"/>
                <w:szCs w:val="18"/>
              </w:rPr>
              <w:t>服务内容说明</w:t>
            </w:r>
          </w:p>
        </w:tc>
      </w:tr>
      <w:tr w:rsidR="00B86285" w14:paraId="71FF57D2" w14:textId="77777777">
        <w:trPr>
          <w:trHeight w:val="940"/>
        </w:trPr>
        <w:tc>
          <w:tcPr>
            <w:tcW w:w="431" w:type="dxa"/>
            <w:tcBorders>
              <w:tl2br w:val="nil"/>
              <w:tr2bl w:val="nil"/>
            </w:tcBorders>
            <w:vAlign w:val="center"/>
          </w:tcPr>
          <w:p w14:paraId="5DF49CC3"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1</w:t>
            </w:r>
          </w:p>
        </w:tc>
        <w:tc>
          <w:tcPr>
            <w:tcW w:w="1068" w:type="dxa"/>
            <w:tcBorders>
              <w:tl2br w:val="nil"/>
              <w:tr2bl w:val="nil"/>
            </w:tcBorders>
            <w:vAlign w:val="center"/>
          </w:tcPr>
          <w:p w14:paraId="0C2ED60F"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综合性服务机构</w:t>
            </w:r>
          </w:p>
        </w:tc>
        <w:tc>
          <w:tcPr>
            <w:tcW w:w="1038" w:type="dxa"/>
            <w:tcBorders>
              <w:tl2br w:val="nil"/>
              <w:tr2bl w:val="nil"/>
            </w:tcBorders>
            <w:vAlign w:val="center"/>
          </w:tcPr>
          <w:p w14:paraId="7BD6C288"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综合性服务机构</w:t>
            </w:r>
          </w:p>
        </w:tc>
        <w:tc>
          <w:tcPr>
            <w:tcW w:w="2467" w:type="dxa"/>
            <w:tcBorders>
              <w:tl2br w:val="nil"/>
              <w:tr2bl w:val="nil"/>
            </w:tcBorders>
            <w:vAlign w:val="center"/>
          </w:tcPr>
          <w:p w14:paraId="78F1C760"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综合性服务机构</w:t>
            </w:r>
          </w:p>
        </w:tc>
        <w:tc>
          <w:tcPr>
            <w:tcW w:w="4325" w:type="dxa"/>
            <w:tcBorders>
              <w:tl2br w:val="nil"/>
              <w:tr2bl w:val="nil"/>
            </w:tcBorders>
            <w:vAlign w:val="center"/>
          </w:tcPr>
          <w:p w14:paraId="6E7AA456"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为中小企业提供信息与政策服务、投融资服务、管理咨询服务等两类及两类以上的专业服务活动。</w:t>
            </w:r>
          </w:p>
        </w:tc>
      </w:tr>
      <w:tr w:rsidR="00B86285" w14:paraId="36A053D8" w14:textId="77777777">
        <w:trPr>
          <w:trHeight w:val="940"/>
        </w:trPr>
        <w:tc>
          <w:tcPr>
            <w:tcW w:w="431" w:type="dxa"/>
            <w:vMerge w:val="restart"/>
            <w:tcBorders>
              <w:tl2br w:val="nil"/>
              <w:tr2bl w:val="nil"/>
            </w:tcBorders>
            <w:vAlign w:val="center"/>
          </w:tcPr>
          <w:p w14:paraId="6BD918BC"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2</w:t>
            </w:r>
          </w:p>
        </w:tc>
        <w:tc>
          <w:tcPr>
            <w:tcW w:w="1068" w:type="dxa"/>
            <w:vMerge w:val="restart"/>
            <w:tcBorders>
              <w:tl2br w:val="nil"/>
              <w:tr2bl w:val="nil"/>
            </w:tcBorders>
            <w:vAlign w:val="center"/>
          </w:tcPr>
          <w:p w14:paraId="0296D179"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专业类服务机构</w:t>
            </w:r>
          </w:p>
        </w:tc>
        <w:tc>
          <w:tcPr>
            <w:tcW w:w="1038" w:type="dxa"/>
            <w:vMerge w:val="restart"/>
            <w:tcBorders>
              <w:tl2br w:val="nil"/>
              <w:tr2bl w:val="nil"/>
            </w:tcBorders>
            <w:vAlign w:val="center"/>
          </w:tcPr>
          <w:p w14:paraId="6EEEB518"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信息与政策服务机构</w:t>
            </w:r>
          </w:p>
        </w:tc>
        <w:tc>
          <w:tcPr>
            <w:tcW w:w="2467" w:type="dxa"/>
            <w:tcBorders>
              <w:tl2br w:val="nil"/>
              <w:tr2bl w:val="nil"/>
            </w:tcBorders>
            <w:vAlign w:val="center"/>
          </w:tcPr>
          <w:p w14:paraId="56A64504"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政策研究与咨询机构</w:t>
            </w:r>
          </w:p>
        </w:tc>
        <w:tc>
          <w:tcPr>
            <w:tcW w:w="4325" w:type="dxa"/>
            <w:tcBorders>
              <w:tl2br w:val="nil"/>
              <w:tr2bl w:val="nil"/>
            </w:tcBorders>
            <w:vAlign w:val="center"/>
          </w:tcPr>
          <w:p w14:paraId="43B29F91"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从事政策分析、政策建议和决策咨询的研究型服务机构，为企业提供政策解读、前瞻性研究及实施建议。</w:t>
            </w:r>
          </w:p>
        </w:tc>
      </w:tr>
      <w:tr w:rsidR="00B86285" w14:paraId="61320C91" w14:textId="77777777">
        <w:trPr>
          <w:trHeight w:val="940"/>
        </w:trPr>
        <w:tc>
          <w:tcPr>
            <w:tcW w:w="431" w:type="dxa"/>
            <w:vMerge/>
            <w:tcBorders>
              <w:tl2br w:val="nil"/>
              <w:tr2bl w:val="nil"/>
            </w:tcBorders>
            <w:vAlign w:val="center"/>
          </w:tcPr>
          <w:p w14:paraId="3FBD5AF6"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5E5772DF"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5BDEB73E"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0A28A463"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市场信息与商务情报机构</w:t>
            </w:r>
          </w:p>
        </w:tc>
        <w:tc>
          <w:tcPr>
            <w:tcW w:w="4325" w:type="dxa"/>
            <w:tcBorders>
              <w:tl2br w:val="nil"/>
              <w:tr2bl w:val="nil"/>
            </w:tcBorders>
            <w:vAlign w:val="center"/>
          </w:tcPr>
          <w:p w14:paraId="54371BCB"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提供市场、科技、行业、经济等领域信息的收集、整理、检索和分析服务，帮助企业了解竞争对手情报和应对市场环境变化。</w:t>
            </w:r>
          </w:p>
        </w:tc>
      </w:tr>
      <w:tr w:rsidR="00B86285" w14:paraId="22B29A5F" w14:textId="77777777">
        <w:trPr>
          <w:trHeight w:val="523"/>
        </w:trPr>
        <w:tc>
          <w:tcPr>
            <w:tcW w:w="431" w:type="dxa"/>
            <w:vMerge/>
            <w:tcBorders>
              <w:tl2br w:val="nil"/>
              <w:tr2bl w:val="nil"/>
            </w:tcBorders>
            <w:vAlign w:val="center"/>
          </w:tcPr>
          <w:p w14:paraId="5818FE00"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51D53258"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7AF94CD5"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490572AD"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数据统计与分析机构</w:t>
            </w:r>
          </w:p>
        </w:tc>
        <w:tc>
          <w:tcPr>
            <w:tcW w:w="4325" w:type="dxa"/>
            <w:tcBorders>
              <w:tl2br w:val="nil"/>
              <w:tr2bl w:val="nil"/>
            </w:tcBorders>
            <w:vAlign w:val="center"/>
          </w:tcPr>
          <w:p w14:paraId="710D34E1"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收集、统计、分析宏观经济运行数据和行业数据，为企业决策制定提供数据支撑和数据服务。</w:t>
            </w:r>
          </w:p>
        </w:tc>
      </w:tr>
      <w:tr w:rsidR="00B86285" w14:paraId="248F1F1D" w14:textId="77777777">
        <w:trPr>
          <w:trHeight w:val="628"/>
        </w:trPr>
        <w:tc>
          <w:tcPr>
            <w:tcW w:w="431" w:type="dxa"/>
            <w:vMerge/>
            <w:tcBorders>
              <w:tl2br w:val="nil"/>
              <w:tr2bl w:val="nil"/>
            </w:tcBorders>
            <w:vAlign w:val="center"/>
          </w:tcPr>
          <w:p w14:paraId="38D8E117"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733FFA22" w14:textId="77777777" w:rsidR="00B86285" w:rsidRDefault="00B86285">
            <w:pPr>
              <w:pStyle w:val="afffff5"/>
              <w:ind w:firstLineChars="0" w:firstLine="0"/>
              <w:jc w:val="center"/>
              <w:rPr>
                <w:rFonts w:hAnsi="宋体" w:cs="宋体" w:hint="eastAsia"/>
                <w:sz w:val="18"/>
                <w:szCs w:val="18"/>
              </w:rPr>
            </w:pPr>
          </w:p>
        </w:tc>
        <w:tc>
          <w:tcPr>
            <w:tcW w:w="1038" w:type="dxa"/>
            <w:vMerge w:val="restart"/>
            <w:tcBorders>
              <w:tl2br w:val="nil"/>
              <w:tr2bl w:val="nil"/>
            </w:tcBorders>
            <w:vAlign w:val="center"/>
          </w:tcPr>
          <w:p w14:paraId="786BCED4"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投融资服务机构</w:t>
            </w:r>
          </w:p>
        </w:tc>
        <w:tc>
          <w:tcPr>
            <w:tcW w:w="2467" w:type="dxa"/>
            <w:tcBorders>
              <w:tl2br w:val="nil"/>
              <w:tr2bl w:val="nil"/>
            </w:tcBorders>
            <w:vAlign w:val="center"/>
          </w:tcPr>
          <w:p w14:paraId="5AEA8B2F"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银行</w:t>
            </w:r>
          </w:p>
        </w:tc>
        <w:tc>
          <w:tcPr>
            <w:tcW w:w="4325" w:type="dxa"/>
            <w:tcBorders>
              <w:tl2br w:val="nil"/>
              <w:tr2bl w:val="nil"/>
            </w:tcBorders>
            <w:vAlign w:val="center"/>
          </w:tcPr>
          <w:p w14:paraId="72EA60C3"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包括国有银行、股份制银行、地方商业银行等，通过贷款、票据贴现、保函等多种金融工具为中小企业提供信贷支持。</w:t>
            </w:r>
          </w:p>
        </w:tc>
      </w:tr>
      <w:tr w:rsidR="00B86285" w14:paraId="6F035955" w14:textId="77777777">
        <w:trPr>
          <w:trHeight w:val="3607"/>
        </w:trPr>
        <w:tc>
          <w:tcPr>
            <w:tcW w:w="431" w:type="dxa"/>
            <w:vMerge/>
            <w:tcBorders>
              <w:tl2br w:val="nil"/>
              <w:tr2bl w:val="nil"/>
            </w:tcBorders>
            <w:vAlign w:val="center"/>
          </w:tcPr>
          <w:p w14:paraId="21A96232"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7A28D6A7"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0BBFB13E"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53FF52A4"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非银行金融服务机构</w:t>
            </w:r>
          </w:p>
        </w:tc>
        <w:tc>
          <w:tcPr>
            <w:tcW w:w="4325" w:type="dxa"/>
            <w:tcBorders>
              <w:tl2br w:val="nil"/>
              <w:tr2bl w:val="nil"/>
            </w:tcBorders>
            <w:vAlign w:val="center"/>
          </w:tcPr>
          <w:p w14:paraId="0512437C"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融资租赁公司：通过设备租赁、售后回租等方式为中小企业提供融资服务，尤其对于生产设备购置需求较大的企业提供资金支持。</w:t>
            </w:r>
          </w:p>
          <w:p w14:paraId="28B3A0B9"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商业保理公司：以企业应收账款为基础，提供贸易融资、应收账款管理及催收等服务，改善企业的现金流状况。</w:t>
            </w:r>
          </w:p>
          <w:p w14:paraId="0E29A749"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互联网金融平台：运用金融科技手段，如P2P网贷平台、众筹平台等，为中小企业提供新型融资渠道。</w:t>
            </w:r>
          </w:p>
        </w:tc>
      </w:tr>
      <w:tr w:rsidR="00B86285" w14:paraId="4E51947B" w14:textId="77777777">
        <w:trPr>
          <w:trHeight w:val="628"/>
        </w:trPr>
        <w:tc>
          <w:tcPr>
            <w:tcW w:w="431" w:type="dxa"/>
            <w:vMerge/>
            <w:tcBorders>
              <w:tl2br w:val="nil"/>
              <w:tr2bl w:val="nil"/>
            </w:tcBorders>
            <w:vAlign w:val="center"/>
          </w:tcPr>
          <w:p w14:paraId="6E870C76"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4DF5EB00"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6E453AA3"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70E75EAC"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投资机构</w:t>
            </w:r>
          </w:p>
        </w:tc>
        <w:tc>
          <w:tcPr>
            <w:tcW w:w="4325" w:type="dxa"/>
            <w:tcBorders>
              <w:tl2br w:val="nil"/>
              <w:tr2bl w:val="nil"/>
            </w:tcBorders>
            <w:vAlign w:val="center"/>
          </w:tcPr>
          <w:p w14:paraId="7727D635"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包括天使投资机构、风险投资公司（VC）、私募股权投资公司（PE）等，直接对企业进行股权投资，帮助企业筹集发展资金。</w:t>
            </w:r>
          </w:p>
        </w:tc>
      </w:tr>
      <w:tr w:rsidR="00B86285" w14:paraId="605240D7" w14:textId="77777777">
        <w:trPr>
          <w:trHeight w:val="1252"/>
        </w:trPr>
        <w:tc>
          <w:tcPr>
            <w:tcW w:w="431" w:type="dxa"/>
            <w:vMerge/>
            <w:tcBorders>
              <w:tl2br w:val="nil"/>
              <w:tr2bl w:val="nil"/>
            </w:tcBorders>
            <w:vAlign w:val="center"/>
          </w:tcPr>
          <w:p w14:paraId="2ABA1BCF"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40C9A7F8"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133DB1C8"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40DA1395"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融资担保机构</w:t>
            </w:r>
          </w:p>
        </w:tc>
        <w:tc>
          <w:tcPr>
            <w:tcW w:w="4325" w:type="dxa"/>
            <w:tcBorders>
              <w:tl2br w:val="nil"/>
              <w:tr2bl w:val="nil"/>
            </w:tcBorders>
            <w:vAlign w:val="center"/>
          </w:tcPr>
          <w:p w14:paraId="092E1160"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小额贷款公司：专注为小微企业提供短期小额信贷服务，解决其短期周转资金需求。</w:t>
            </w:r>
          </w:p>
          <w:p w14:paraId="475D45F9"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融资担保公司：为中小企业贷款提供信用担保，降低银行放贷风险，提高中小企业融资可能性。</w:t>
            </w:r>
          </w:p>
        </w:tc>
      </w:tr>
      <w:tr w:rsidR="00B86285" w14:paraId="40137C22" w14:textId="77777777">
        <w:trPr>
          <w:trHeight w:val="2189"/>
        </w:trPr>
        <w:tc>
          <w:tcPr>
            <w:tcW w:w="431" w:type="dxa"/>
            <w:vMerge/>
            <w:tcBorders>
              <w:tl2br w:val="nil"/>
              <w:tr2bl w:val="nil"/>
            </w:tcBorders>
            <w:vAlign w:val="center"/>
          </w:tcPr>
          <w:p w14:paraId="4E8E5AB6"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463AD374"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59CEF317"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73508D0C"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投融资咨询服务机构</w:t>
            </w:r>
          </w:p>
        </w:tc>
        <w:tc>
          <w:tcPr>
            <w:tcW w:w="4325" w:type="dxa"/>
            <w:tcBorders>
              <w:tl2br w:val="nil"/>
              <w:tr2bl w:val="nil"/>
            </w:tcBorders>
            <w:vAlign w:val="center"/>
          </w:tcPr>
          <w:p w14:paraId="74400170"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投资咨询机构：提供融资策略咨询、融资方案设计、尽职调查、项目包装、路演推介等服务，帮助企业准备和落实融资计划。</w:t>
            </w:r>
          </w:p>
          <w:p w14:paraId="56841E19"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资产管理公司：通过资产整合、重组、证券化等方式，帮助中小企业盘活存量资产，实现资产变现和再融资。</w:t>
            </w:r>
          </w:p>
          <w:p w14:paraId="25837B07"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投融资顾问服务：为企业提供从融资前的诊断、规划，到融资过程中的谈判、对接，再到融资后的管理、退出等一系列全流程服务。</w:t>
            </w:r>
          </w:p>
        </w:tc>
      </w:tr>
      <w:tr w:rsidR="00B86285" w14:paraId="04B54AC5" w14:textId="77777777">
        <w:trPr>
          <w:trHeight w:val="940"/>
        </w:trPr>
        <w:tc>
          <w:tcPr>
            <w:tcW w:w="431" w:type="dxa"/>
            <w:vMerge/>
            <w:tcBorders>
              <w:tl2br w:val="nil"/>
              <w:tr2bl w:val="nil"/>
            </w:tcBorders>
            <w:vAlign w:val="center"/>
          </w:tcPr>
          <w:p w14:paraId="468DEDDB"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4DEACBAA"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4394222F"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24F02E5B"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资本市场服务机构</w:t>
            </w:r>
          </w:p>
        </w:tc>
        <w:tc>
          <w:tcPr>
            <w:tcW w:w="4325" w:type="dxa"/>
            <w:tcBorders>
              <w:tl2br w:val="nil"/>
              <w:tr2bl w:val="nil"/>
            </w:tcBorders>
            <w:vAlign w:val="center"/>
          </w:tcPr>
          <w:p w14:paraId="2D2F2543"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包括券商、保荐机构等，为符合条件的中小企业提供上市辅导、股票发行承销等服务，帮助企业在主板、创业板、科创板、新三板等不同层次资本市场进行直接融资。</w:t>
            </w:r>
          </w:p>
        </w:tc>
      </w:tr>
      <w:tr w:rsidR="00B86285" w14:paraId="5F2237F9" w14:textId="77777777">
        <w:trPr>
          <w:trHeight w:val="943"/>
        </w:trPr>
        <w:tc>
          <w:tcPr>
            <w:tcW w:w="431" w:type="dxa"/>
            <w:vMerge/>
            <w:tcBorders>
              <w:tl2br w:val="nil"/>
              <w:tr2bl w:val="nil"/>
            </w:tcBorders>
            <w:vAlign w:val="center"/>
          </w:tcPr>
          <w:p w14:paraId="3A02095C"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7B2DE530" w14:textId="77777777" w:rsidR="00B86285" w:rsidRDefault="00B86285">
            <w:pPr>
              <w:pStyle w:val="afffff5"/>
              <w:ind w:firstLineChars="0" w:firstLine="0"/>
              <w:jc w:val="center"/>
              <w:rPr>
                <w:rFonts w:hAnsi="宋体" w:cs="宋体" w:hint="eastAsia"/>
                <w:sz w:val="18"/>
                <w:szCs w:val="18"/>
              </w:rPr>
            </w:pPr>
          </w:p>
        </w:tc>
        <w:tc>
          <w:tcPr>
            <w:tcW w:w="1038" w:type="dxa"/>
            <w:vMerge w:val="restart"/>
            <w:tcBorders>
              <w:tl2br w:val="nil"/>
              <w:tr2bl w:val="nil"/>
            </w:tcBorders>
            <w:vAlign w:val="center"/>
          </w:tcPr>
          <w:p w14:paraId="2ABE4951" w14:textId="77777777" w:rsidR="00B86285" w:rsidRDefault="00B86285">
            <w:pPr>
              <w:pStyle w:val="afffff5"/>
              <w:ind w:firstLineChars="0" w:firstLine="0"/>
              <w:jc w:val="center"/>
              <w:rPr>
                <w:rFonts w:hAnsi="宋体" w:cs="宋体" w:hint="eastAsia"/>
                <w:sz w:val="18"/>
                <w:szCs w:val="18"/>
              </w:rPr>
            </w:pPr>
          </w:p>
          <w:p w14:paraId="610F6B09"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管理咨询服务机构</w:t>
            </w:r>
          </w:p>
        </w:tc>
        <w:tc>
          <w:tcPr>
            <w:tcW w:w="2467" w:type="dxa"/>
            <w:tcBorders>
              <w:tl2br w:val="nil"/>
              <w:tr2bl w:val="nil"/>
            </w:tcBorders>
            <w:vAlign w:val="center"/>
          </w:tcPr>
          <w:p w14:paraId="278A2478"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战略规</w:t>
            </w:r>
          </w:p>
          <w:p w14:paraId="79A5CE28"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划咨询服务机构</w:t>
            </w:r>
          </w:p>
        </w:tc>
        <w:tc>
          <w:tcPr>
            <w:tcW w:w="4325" w:type="dxa"/>
            <w:tcBorders>
              <w:tl2br w:val="nil"/>
              <w:tr2bl w:val="nil"/>
            </w:tcBorders>
            <w:vAlign w:val="center"/>
          </w:tcPr>
          <w:p w14:paraId="68E2C812"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协助企业明确长远发展目标、发展方向，制定阶段性战略计划，优化业务布局。</w:t>
            </w:r>
          </w:p>
        </w:tc>
      </w:tr>
      <w:tr w:rsidR="00B86285" w14:paraId="5701FD22" w14:textId="77777777">
        <w:trPr>
          <w:trHeight w:val="940"/>
        </w:trPr>
        <w:tc>
          <w:tcPr>
            <w:tcW w:w="431" w:type="dxa"/>
            <w:vMerge/>
            <w:tcBorders>
              <w:tl2br w:val="nil"/>
              <w:tr2bl w:val="nil"/>
            </w:tcBorders>
            <w:vAlign w:val="center"/>
          </w:tcPr>
          <w:p w14:paraId="3ECA38B4"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6EEE24C9"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4106133A"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211C7A9A"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人力资源服务机构</w:t>
            </w:r>
          </w:p>
        </w:tc>
        <w:tc>
          <w:tcPr>
            <w:tcW w:w="4325" w:type="dxa"/>
            <w:tcBorders>
              <w:tl2br w:val="nil"/>
              <w:tr2bl w:val="nil"/>
            </w:tcBorders>
            <w:vAlign w:val="center"/>
          </w:tcPr>
          <w:p w14:paraId="5C983A50"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帮助中小企业构建合理的组织结构，制定人力资源发展规划，包括招聘与选拔、绩效考核、薪酬福利制度设计、员工培训与发展、激励机制创建、劳动关系咨询等。</w:t>
            </w:r>
          </w:p>
        </w:tc>
      </w:tr>
      <w:tr w:rsidR="00B86285" w14:paraId="5A951CF1" w14:textId="77777777">
        <w:trPr>
          <w:trHeight w:val="940"/>
        </w:trPr>
        <w:tc>
          <w:tcPr>
            <w:tcW w:w="431" w:type="dxa"/>
            <w:vMerge/>
            <w:tcBorders>
              <w:tl2br w:val="nil"/>
              <w:tr2bl w:val="nil"/>
            </w:tcBorders>
            <w:vAlign w:val="center"/>
          </w:tcPr>
          <w:p w14:paraId="0258D4AD"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24E3A3BA"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4C0CD6DC"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239BA0EC"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法律服务机构</w:t>
            </w:r>
          </w:p>
        </w:tc>
        <w:tc>
          <w:tcPr>
            <w:tcW w:w="4325" w:type="dxa"/>
            <w:tcBorders>
              <w:tl2br w:val="nil"/>
              <w:tr2bl w:val="nil"/>
            </w:tcBorders>
            <w:vAlign w:val="center"/>
          </w:tcPr>
          <w:p w14:paraId="24793FE6"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针对行业特性和法律法规要求，帮助企业建立完善的合规管理体系，为企业提供法律顾问、合同审核、合规性审查、商标专利申请等服务。</w:t>
            </w:r>
          </w:p>
        </w:tc>
      </w:tr>
      <w:tr w:rsidR="00B86285" w14:paraId="771145C3" w14:textId="77777777">
        <w:trPr>
          <w:trHeight w:val="628"/>
        </w:trPr>
        <w:tc>
          <w:tcPr>
            <w:tcW w:w="431" w:type="dxa"/>
            <w:vMerge/>
            <w:tcBorders>
              <w:tl2br w:val="nil"/>
              <w:tr2bl w:val="nil"/>
            </w:tcBorders>
            <w:vAlign w:val="center"/>
          </w:tcPr>
          <w:p w14:paraId="258420D8"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58ECC965"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0EF71A1C"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38B165A9"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生产运营管理机构</w:t>
            </w:r>
          </w:p>
        </w:tc>
        <w:tc>
          <w:tcPr>
            <w:tcW w:w="4325" w:type="dxa"/>
            <w:tcBorders>
              <w:tl2br w:val="nil"/>
              <w:tr2bl w:val="nil"/>
            </w:tcBorders>
            <w:vAlign w:val="center"/>
          </w:tcPr>
          <w:p w14:paraId="0895D4CC"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对企业内部生产采购、物流等流程进行全面审查，提出流程改进方案，帮助企业提高工作效率和盈利水平。</w:t>
            </w:r>
          </w:p>
        </w:tc>
      </w:tr>
      <w:tr w:rsidR="00B86285" w14:paraId="0E4C61A2" w14:textId="77777777">
        <w:trPr>
          <w:trHeight w:val="940"/>
        </w:trPr>
        <w:tc>
          <w:tcPr>
            <w:tcW w:w="431" w:type="dxa"/>
            <w:vMerge/>
            <w:tcBorders>
              <w:tl2br w:val="nil"/>
              <w:tr2bl w:val="nil"/>
            </w:tcBorders>
            <w:vAlign w:val="center"/>
          </w:tcPr>
          <w:p w14:paraId="6CAE37C2"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729DF94C"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3171C123"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740B1E2C"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质量管理与认证咨询</w:t>
            </w:r>
          </w:p>
        </w:tc>
        <w:tc>
          <w:tcPr>
            <w:tcW w:w="4325" w:type="dxa"/>
            <w:tcBorders>
              <w:tl2br w:val="nil"/>
              <w:tr2bl w:val="nil"/>
            </w:tcBorders>
            <w:vAlign w:val="center"/>
          </w:tcPr>
          <w:p w14:paraId="6991829B"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为企业提供ISO系列标准认证辅导、行业或产品特定的质量标准咨询服务等，帮助中小企业取得ISO9001、ISO14001等管理体系认证，提升管理水平和产品质量。</w:t>
            </w:r>
          </w:p>
        </w:tc>
      </w:tr>
      <w:tr w:rsidR="00B86285" w14:paraId="7396B21D" w14:textId="77777777">
        <w:trPr>
          <w:trHeight w:val="941"/>
        </w:trPr>
        <w:tc>
          <w:tcPr>
            <w:tcW w:w="431" w:type="dxa"/>
            <w:vMerge/>
            <w:tcBorders>
              <w:tl2br w:val="nil"/>
              <w:tr2bl w:val="nil"/>
            </w:tcBorders>
            <w:vAlign w:val="center"/>
          </w:tcPr>
          <w:p w14:paraId="234A37DB"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714D8248"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458BE710"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232C21AA"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营销与品牌建设服务机构</w:t>
            </w:r>
          </w:p>
        </w:tc>
        <w:tc>
          <w:tcPr>
            <w:tcW w:w="4325" w:type="dxa"/>
            <w:tcBorders>
              <w:tl2br w:val="nil"/>
              <w:tr2bl w:val="nil"/>
            </w:tcBorders>
            <w:vAlign w:val="center"/>
          </w:tcPr>
          <w:p w14:paraId="6F1429DB"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包括市场营销策划服务、广告宣传、公关活动策划、会议会展活动机构等，帮助企业提升品牌价值和影响力。</w:t>
            </w:r>
          </w:p>
        </w:tc>
      </w:tr>
      <w:tr w:rsidR="00B86285" w14:paraId="44A53244" w14:textId="77777777">
        <w:trPr>
          <w:trHeight w:val="943"/>
        </w:trPr>
        <w:tc>
          <w:tcPr>
            <w:tcW w:w="431" w:type="dxa"/>
            <w:vMerge/>
            <w:tcBorders>
              <w:tl2br w:val="nil"/>
              <w:tr2bl w:val="nil"/>
            </w:tcBorders>
            <w:vAlign w:val="center"/>
          </w:tcPr>
          <w:p w14:paraId="773BF09A"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518A3DB4" w14:textId="77777777" w:rsidR="00B86285" w:rsidRDefault="00B86285">
            <w:pPr>
              <w:pStyle w:val="afffff5"/>
              <w:ind w:firstLineChars="0" w:firstLine="0"/>
              <w:jc w:val="center"/>
              <w:rPr>
                <w:rFonts w:hAnsi="宋体" w:cs="宋体" w:hint="eastAsia"/>
                <w:sz w:val="18"/>
                <w:szCs w:val="18"/>
              </w:rPr>
            </w:pPr>
          </w:p>
        </w:tc>
        <w:tc>
          <w:tcPr>
            <w:tcW w:w="1038" w:type="dxa"/>
            <w:vMerge w:val="restart"/>
            <w:tcBorders>
              <w:tl2br w:val="nil"/>
              <w:tr2bl w:val="nil"/>
            </w:tcBorders>
            <w:vAlign w:val="center"/>
          </w:tcPr>
          <w:p w14:paraId="3F6E02AD"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数字化、信息化、技术创新服务机构</w:t>
            </w:r>
          </w:p>
        </w:tc>
        <w:tc>
          <w:tcPr>
            <w:tcW w:w="2467" w:type="dxa"/>
            <w:tcBorders>
              <w:tl2br w:val="nil"/>
              <w:tr2bl w:val="nil"/>
            </w:tcBorders>
            <w:vAlign w:val="center"/>
          </w:tcPr>
          <w:p w14:paraId="7A6969FB"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技术研发支持服务机构</w:t>
            </w:r>
          </w:p>
        </w:tc>
        <w:tc>
          <w:tcPr>
            <w:tcW w:w="4325" w:type="dxa"/>
            <w:tcBorders>
              <w:tl2br w:val="nil"/>
              <w:tr2bl w:val="nil"/>
            </w:tcBorders>
            <w:vAlign w:val="center"/>
          </w:tcPr>
          <w:p w14:paraId="3913B8CC"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为企业提供技术咨询与评估、技术研发外包、科技成果转化等服务，协助企业进行技术研发、产品升级、专利申请、知识产权保护等。</w:t>
            </w:r>
          </w:p>
        </w:tc>
      </w:tr>
      <w:tr w:rsidR="00B86285" w14:paraId="2149F687" w14:textId="77777777">
        <w:trPr>
          <w:trHeight w:val="633"/>
        </w:trPr>
        <w:tc>
          <w:tcPr>
            <w:tcW w:w="431" w:type="dxa"/>
            <w:vMerge/>
            <w:tcBorders>
              <w:tl2br w:val="nil"/>
              <w:tr2bl w:val="nil"/>
            </w:tcBorders>
            <w:vAlign w:val="center"/>
          </w:tcPr>
          <w:p w14:paraId="10863179"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0724AF79"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256C777F"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4D310200"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信息化基础设施服务机构</w:t>
            </w:r>
          </w:p>
        </w:tc>
        <w:tc>
          <w:tcPr>
            <w:tcW w:w="4325" w:type="dxa"/>
            <w:tcBorders>
              <w:tl2br w:val="nil"/>
              <w:tr2bl w:val="nil"/>
            </w:tcBorders>
            <w:vAlign w:val="center"/>
          </w:tcPr>
          <w:p w14:paraId="6C26A30C"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为企业提供网络布设、服务器托管、云服务等信息化基础设施建设服务，并根据中小企业需求开发定制化软件系统，进行信息化系统的集成与维护。</w:t>
            </w:r>
          </w:p>
        </w:tc>
      </w:tr>
      <w:tr w:rsidR="00B86285" w14:paraId="490E0957" w14:textId="77777777">
        <w:trPr>
          <w:trHeight w:val="2587"/>
        </w:trPr>
        <w:tc>
          <w:tcPr>
            <w:tcW w:w="431" w:type="dxa"/>
            <w:vMerge/>
            <w:tcBorders>
              <w:tl2br w:val="nil"/>
              <w:tr2bl w:val="nil"/>
            </w:tcBorders>
            <w:vAlign w:val="center"/>
          </w:tcPr>
          <w:p w14:paraId="2D835390"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22298FD5"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2F7FB406"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512A1542"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信息化应用服务机构</w:t>
            </w:r>
          </w:p>
        </w:tc>
        <w:tc>
          <w:tcPr>
            <w:tcW w:w="4325" w:type="dxa"/>
            <w:tcBorders>
              <w:tl2br w:val="nil"/>
              <w:tr2bl w:val="nil"/>
            </w:tcBorders>
            <w:vAlign w:val="center"/>
          </w:tcPr>
          <w:p w14:paraId="567E5EF7"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为企业提供企业资源计划（ERP）系统、客户关系管理（CRM）系统、生产制造执行系统（MES）等系统部署，包括软件开发、系统集成、云计算、大数据分析等相关技术服务，指导企业利用信息化技术实现业务流程数字化。</w:t>
            </w:r>
          </w:p>
        </w:tc>
      </w:tr>
      <w:tr w:rsidR="00B86285" w14:paraId="692FCD65" w14:textId="77777777">
        <w:trPr>
          <w:trHeight w:val="940"/>
        </w:trPr>
        <w:tc>
          <w:tcPr>
            <w:tcW w:w="431" w:type="dxa"/>
            <w:vMerge/>
            <w:tcBorders>
              <w:tl2br w:val="nil"/>
              <w:tr2bl w:val="nil"/>
            </w:tcBorders>
            <w:vAlign w:val="center"/>
          </w:tcPr>
          <w:p w14:paraId="3A891FC1"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3993FE17" w14:textId="77777777" w:rsidR="00B86285" w:rsidRDefault="00B86285">
            <w:pPr>
              <w:pStyle w:val="afffff5"/>
              <w:ind w:firstLineChars="0" w:firstLine="0"/>
              <w:jc w:val="center"/>
              <w:rPr>
                <w:rFonts w:hAnsi="宋体" w:cs="宋体" w:hint="eastAsia"/>
                <w:sz w:val="18"/>
                <w:szCs w:val="18"/>
              </w:rPr>
            </w:pPr>
          </w:p>
        </w:tc>
        <w:tc>
          <w:tcPr>
            <w:tcW w:w="1038" w:type="dxa"/>
            <w:vMerge w:val="restart"/>
            <w:tcBorders>
              <w:tl2br w:val="nil"/>
              <w:tr2bl w:val="nil"/>
            </w:tcBorders>
            <w:vAlign w:val="center"/>
          </w:tcPr>
          <w:p w14:paraId="7D877D10"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创业孵化与教育培训服务机构</w:t>
            </w:r>
          </w:p>
        </w:tc>
        <w:tc>
          <w:tcPr>
            <w:tcW w:w="2467" w:type="dxa"/>
            <w:tcBorders>
              <w:tl2br w:val="nil"/>
              <w:tr2bl w:val="nil"/>
            </w:tcBorders>
            <w:vAlign w:val="center"/>
          </w:tcPr>
          <w:p w14:paraId="51D5BE4E"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创业指导与孵化服务机构</w:t>
            </w:r>
          </w:p>
        </w:tc>
        <w:tc>
          <w:tcPr>
            <w:tcW w:w="4325" w:type="dxa"/>
            <w:tcBorders>
              <w:tl2br w:val="nil"/>
              <w:tr2bl w:val="nil"/>
            </w:tcBorders>
            <w:vAlign w:val="center"/>
          </w:tcPr>
          <w:p w14:paraId="0FF29AF8"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为初创企业提供办公场地、创业指导、创业培训、项目申报、项目运营等服务。</w:t>
            </w:r>
          </w:p>
        </w:tc>
      </w:tr>
      <w:tr w:rsidR="00B86285" w14:paraId="75EB92E9" w14:textId="77777777">
        <w:trPr>
          <w:trHeight w:val="628"/>
        </w:trPr>
        <w:tc>
          <w:tcPr>
            <w:tcW w:w="431" w:type="dxa"/>
            <w:vMerge/>
            <w:tcBorders>
              <w:tl2br w:val="nil"/>
              <w:tr2bl w:val="nil"/>
            </w:tcBorders>
            <w:vAlign w:val="center"/>
          </w:tcPr>
          <w:p w14:paraId="69E78976"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729151AD"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4BF74392"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67E81D44"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企业管理培训机构</w:t>
            </w:r>
          </w:p>
        </w:tc>
        <w:tc>
          <w:tcPr>
            <w:tcW w:w="4325" w:type="dxa"/>
            <w:tcBorders>
              <w:tl2br w:val="nil"/>
              <w:tr2bl w:val="nil"/>
            </w:tcBorders>
            <w:vAlign w:val="center"/>
          </w:tcPr>
          <w:p w14:paraId="4EB7A2C1"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组织举办各类管理课程、研讨会、专题讲座等活动，提升企业管理者和员工能力。</w:t>
            </w:r>
          </w:p>
        </w:tc>
      </w:tr>
      <w:tr w:rsidR="00B86285" w14:paraId="03754C34" w14:textId="77777777">
        <w:trPr>
          <w:trHeight w:val="629"/>
        </w:trPr>
        <w:tc>
          <w:tcPr>
            <w:tcW w:w="431" w:type="dxa"/>
            <w:vMerge/>
            <w:tcBorders>
              <w:tl2br w:val="nil"/>
              <w:tr2bl w:val="nil"/>
            </w:tcBorders>
            <w:vAlign w:val="center"/>
          </w:tcPr>
          <w:p w14:paraId="696FFBD0"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081C4E7B" w14:textId="77777777" w:rsidR="00B86285" w:rsidRDefault="00B86285">
            <w:pPr>
              <w:pStyle w:val="afffff5"/>
              <w:ind w:firstLineChars="0" w:firstLine="0"/>
              <w:jc w:val="center"/>
              <w:rPr>
                <w:rFonts w:hAnsi="宋体" w:cs="宋体" w:hint="eastAsia"/>
                <w:sz w:val="18"/>
                <w:szCs w:val="18"/>
              </w:rPr>
            </w:pPr>
          </w:p>
        </w:tc>
        <w:tc>
          <w:tcPr>
            <w:tcW w:w="1038" w:type="dxa"/>
            <w:vMerge w:val="restart"/>
            <w:tcBorders>
              <w:tl2br w:val="nil"/>
              <w:tr2bl w:val="nil"/>
            </w:tcBorders>
            <w:vAlign w:val="center"/>
          </w:tcPr>
          <w:p w14:paraId="40FB7816"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员工福利保障服务机构</w:t>
            </w:r>
          </w:p>
        </w:tc>
        <w:tc>
          <w:tcPr>
            <w:tcW w:w="2467" w:type="dxa"/>
            <w:tcBorders>
              <w:tl2br w:val="nil"/>
              <w:tr2bl w:val="nil"/>
            </w:tcBorders>
            <w:vAlign w:val="center"/>
          </w:tcPr>
          <w:p w14:paraId="0A3AAEB3"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商业保险服务机构</w:t>
            </w:r>
          </w:p>
        </w:tc>
        <w:tc>
          <w:tcPr>
            <w:tcW w:w="4325" w:type="dxa"/>
            <w:tcBorders>
              <w:tl2br w:val="nil"/>
              <w:tr2bl w:val="nil"/>
            </w:tcBorders>
            <w:vAlign w:val="center"/>
          </w:tcPr>
          <w:p w14:paraId="084CC02E"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为企业员工提供商业医疗保险、定制保险计划等服务。</w:t>
            </w:r>
          </w:p>
        </w:tc>
      </w:tr>
      <w:tr w:rsidR="00B86285" w14:paraId="7DEA6C16" w14:textId="77777777">
        <w:trPr>
          <w:trHeight w:val="943"/>
        </w:trPr>
        <w:tc>
          <w:tcPr>
            <w:tcW w:w="431" w:type="dxa"/>
            <w:vMerge/>
            <w:tcBorders>
              <w:tl2br w:val="nil"/>
              <w:tr2bl w:val="nil"/>
            </w:tcBorders>
            <w:vAlign w:val="center"/>
          </w:tcPr>
          <w:p w14:paraId="45F90FCD"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7EE00C0D"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743B5418"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231602D9"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员工健康管理服务机构</w:t>
            </w:r>
          </w:p>
        </w:tc>
        <w:tc>
          <w:tcPr>
            <w:tcW w:w="4325" w:type="dxa"/>
            <w:tcBorders>
              <w:tl2br w:val="nil"/>
              <w:tr2bl w:val="nil"/>
            </w:tcBorders>
            <w:vAlign w:val="center"/>
          </w:tcPr>
          <w:p w14:paraId="1E78087D"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为企业员工提供在线诊疗、健康管理、健康科普与培训、数字化健康管理工具等服务。</w:t>
            </w:r>
          </w:p>
        </w:tc>
      </w:tr>
      <w:tr w:rsidR="00B86285" w14:paraId="0E33C72D" w14:textId="77777777">
        <w:trPr>
          <w:trHeight w:val="940"/>
        </w:trPr>
        <w:tc>
          <w:tcPr>
            <w:tcW w:w="431" w:type="dxa"/>
            <w:vMerge w:val="restart"/>
            <w:tcBorders>
              <w:tl2br w:val="nil"/>
              <w:tr2bl w:val="nil"/>
            </w:tcBorders>
            <w:vAlign w:val="center"/>
          </w:tcPr>
          <w:p w14:paraId="25418F8A"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3</w:t>
            </w:r>
          </w:p>
        </w:tc>
        <w:tc>
          <w:tcPr>
            <w:tcW w:w="1068" w:type="dxa"/>
            <w:vMerge w:val="restart"/>
            <w:tcBorders>
              <w:tl2br w:val="nil"/>
              <w:tr2bl w:val="nil"/>
            </w:tcBorders>
            <w:vAlign w:val="center"/>
          </w:tcPr>
          <w:p w14:paraId="5F2C6B3C" w14:textId="77777777" w:rsidR="00B86285" w:rsidRDefault="00B86285">
            <w:pPr>
              <w:pStyle w:val="afffff5"/>
              <w:ind w:firstLineChars="0" w:firstLine="0"/>
              <w:jc w:val="center"/>
              <w:rPr>
                <w:rFonts w:hAnsi="宋体" w:cs="宋体" w:hint="eastAsia"/>
                <w:sz w:val="18"/>
                <w:szCs w:val="18"/>
              </w:rPr>
            </w:pPr>
          </w:p>
          <w:p w14:paraId="461ACF4A"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平台类服务机构</w:t>
            </w:r>
          </w:p>
        </w:tc>
        <w:tc>
          <w:tcPr>
            <w:tcW w:w="1038" w:type="dxa"/>
            <w:vMerge w:val="restart"/>
            <w:tcBorders>
              <w:tl2br w:val="nil"/>
              <w:tr2bl w:val="nil"/>
            </w:tcBorders>
            <w:vAlign w:val="center"/>
          </w:tcPr>
          <w:p w14:paraId="0D8F1258"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在线交易类服务机构</w:t>
            </w:r>
          </w:p>
        </w:tc>
        <w:tc>
          <w:tcPr>
            <w:tcW w:w="2467" w:type="dxa"/>
            <w:tcBorders>
              <w:tl2br w:val="nil"/>
              <w:tr2bl w:val="nil"/>
            </w:tcBorders>
            <w:vAlign w:val="center"/>
          </w:tcPr>
          <w:p w14:paraId="44BF5FE2"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政府采购与招投标平台</w:t>
            </w:r>
          </w:p>
        </w:tc>
        <w:tc>
          <w:tcPr>
            <w:tcW w:w="4325" w:type="dxa"/>
            <w:tcBorders>
              <w:tl2br w:val="nil"/>
              <w:tr2bl w:val="nil"/>
            </w:tcBorders>
            <w:vAlign w:val="center"/>
          </w:tcPr>
          <w:p w14:paraId="7CCE377E"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专注于政府与企业间合作，为中小企业提供参与政府项目投标的信息与渠道。</w:t>
            </w:r>
          </w:p>
        </w:tc>
      </w:tr>
      <w:tr w:rsidR="00B86285" w14:paraId="5652F01E" w14:textId="77777777">
        <w:trPr>
          <w:trHeight w:val="628"/>
        </w:trPr>
        <w:tc>
          <w:tcPr>
            <w:tcW w:w="431" w:type="dxa"/>
            <w:vMerge/>
            <w:tcBorders>
              <w:tl2br w:val="nil"/>
              <w:tr2bl w:val="nil"/>
            </w:tcBorders>
            <w:vAlign w:val="center"/>
          </w:tcPr>
          <w:p w14:paraId="736CBA20"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2D2D40FB"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3C22B1A1"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1A053C2A"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B2B交易平台</w:t>
            </w:r>
          </w:p>
        </w:tc>
        <w:tc>
          <w:tcPr>
            <w:tcW w:w="4325" w:type="dxa"/>
            <w:tcBorders>
              <w:tl2br w:val="nil"/>
              <w:tr2bl w:val="nil"/>
            </w:tcBorders>
            <w:vAlign w:val="center"/>
          </w:tcPr>
          <w:p w14:paraId="55E1E675"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专注于企业间的在线交易，帮助中小企业展示产品、寻找供应商或采购商，进行询价、报价、订单管理和物流跟踪等交易活动。</w:t>
            </w:r>
          </w:p>
        </w:tc>
      </w:tr>
      <w:tr w:rsidR="00B86285" w14:paraId="09ADCEC4" w14:textId="77777777">
        <w:trPr>
          <w:trHeight w:val="628"/>
        </w:trPr>
        <w:tc>
          <w:tcPr>
            <w:tcW w:w="431" w:type="dxa"/>
            <w:vMerge/>
            <w:tcBorders>
              <w:tl2br w:val="nil"/>
              <w:tr2bl w:val="nil"/>
            </w:tcBorders>
            <w:vAlign w:val="center"/>
          </w:tcPr>
          <w:p w14:paraId="46D29207"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1738FC4C"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0033BCB7"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5BDB686F"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行业垂直平台</w:t>
            </w:r>
          </w:p>
        </w:tc>
        <w:tc>
          <w:tcPr>
            <w:tcW w:w="4325" w:type="dxa"/>
            <w:tcBorders>
              <w:tl2br w:val="nil"/>
              <w:tr2bl w:val="nil"/>
            </w:tcBorders>
            <w:vAlign w:val="center"/>
          </w:tcPr>
          <w:p w14:paraId="0B424DC2"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特定行业内的交易平台，提供更专业的市场信息、供求匹配和行业特定服务。</w:t>
            </w:r>
          </w:p>
        </w:tc>
      </w:tr>
      <w:tr w:rsidR="00B86285" w14:paraId="5FCF4EAA" w14:textId="77777777">
        <w:trPr>
          <w:trHeight w:val="629"/>
        </w:trPr>
        <w:tc>
          <w:tcPr>
            <w:tcW w:w="431" w:type="dxa"/>
            <w:vMerge/>
            <w:tcBorders>
              <w:tl2br w:val="nil"/>
              <w:tr2bl w:val="nil"/>
            </w:tcBorders>
            <w:vAlign w:val="center"/>
          </w:tcPr>
          <w:p w14:paraId="6BE1ED06"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554EE562"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4EC2B126"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1E12E2C3"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跨境电商平台</w:t>
            </w:r>
          </w:p>
        </w:tc>
        <w:tc>
          <w:tcPr>
            <w:tcW w:w="4325" w:type="dxa"/>
            <w:tcBorders>
              <w:tl2br w:val="nil"/>
              <w:tr2bl w:val="nil"/>
            </w:tcBorders>
            <w:vAlign w:val="center"/>
          </w:tcPr>
          <w:p w14:paraId="55921227"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为中小企业提供跨境商品销售与采购服务，促进国际贸易交流。</w:t>
            </w:r>
          </w:p>
        </w:tc>
      </w:tr>
      <w:tr w:rsidR="00B86285" w14:paraId="640A6AE6" w14:textId="77777777">
        <w:trPr>
          <w:trHeight w:val="628"/>
        </w:trPr>
        <w:tc>
          <w:tcPr>
            <w:tcW w:w="431" w:type="dxa"/>
            <w:vMerge/>
            <w:tcBorders>
              <w:tl2br w:val="nil"/>
              <w:tr2bl w:val="nil"/>
            </w:tcBorders>
            <w:vAlign w:val="center"/>
          </w:tcPr>
          <w:p w14:paraId="2F09AA33"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20D32339" w14:textId="77777777" w:rsidR="00B86285" w:rsidRDefault="00B86285">
            <w:pPr>
              <w:pStyle w:val="afffff5"/>
              <w:ind w:firstLineChars="0" w:firstLine="0"/>
              <w:jc w:val="center"/>
              <w:rPr>
                <w:rFonts w:hAnsi="宋体" w:cs="宋体" w:hint="eastAsia"/>
                <w:sz w:val="18"/>
                <w:szCs w:val="18"/>
              </w:rPr>
            </w:pPr>
          </w:p>
        </w:tc>
        <w:tc>
          <w:tcPr>
            <w:tcW w:w="1038" w:type="dxa"/>
            <w:vMerge w:val="restart"/>
            <w:tcBorders>
              <w:tl2br w:val="nil"/>
              <w:tr2bl w:val="nil"/>
            </w:tcBorders>
            <w:vAlign w:val="center"/>
          </w:tcPr>
          <w:p w14:paraId="5EFAFA20"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社交商务类服务机构</w:t>
            </w:r>
          </w:p>
        </w:tc>
        <w:tc>
          <w:tcPr>
            <w:tcW w:w="2467" w:type="dxa"/>
            <w:tcBorders>
              <w:tl2br w:val="nil"/>
              <w:tr2bl w:val="nil"/>
            </w:tcBorders>
            <w:vAlign w:val="center"/>
          </w:tcPr>
          <w:p w14:paraId="5D5A9536"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社交商务平台</w:t>
            </w:r>
          </w:p>
        </w:tc>
        <w:tc>
          <w:tcPr>
            <w:tcW w:w="4325" w:type="dxa"/>
            <w:tcBorders>
              <w:tl2br w:val="nil"/>
              <w:tr2bl w:val="nil"/>
            </w:tcBorders>
            <w:vAlign w:val="center"/>
          </w:tcPr>
          <w:p w14:paraId="771B0E8F"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结合社交媒体特性的商务平台，为中小企业提供商业联系、经验分享、设立讨论组或论坛等。</w:t>
            </w:r>
          </w:p>
        </w:tc>
      </w:tr>
      <w:tr w:rsidR="00B86285" w14:paraId="4990D238" w14:textId="77777777">
        <w:trPr>
          <w:trHeight w:val="631"/>
        </w:trPr>
        <w:tc>
          <w:tcPr>
            <w:tcW w:w="431" w:type="dxa"/>
            <w:vMerge/>
            <w:tcBorders>
              <w:tl2br w:val="nil"/>
              <w:tr2bl w:val="nil"/>
            </w:tcBorders>
            <w:vAlign w:val="center"/>
          </w:tcPr>
          <w:p w14:paraId="7EB3E992" w14:textId="77777777" w:rsidR="00B86285" w:rsidRDefault="00B86285">
            <w:pPr>
              <w:pStyle w:val="afffff5"/>
              <w:ind w:firstLineChars="0" w:firstLine="0"/>
              <w:jc w:val="center"/>
              <w:rPr>
                <w:rFonts w:hAnsi="宋体" w:cs="宋体" w:hint="eastAsia"/>
                <w:sz w:val="18"/>
                <w:szCs w:val="18"/>
              </w:rPr>
            </w:pPr>
          </w:p>
        </w:tc>
        <w:tc>
          <w:tcPr>
            <w:tcW w:w="1068" w:type="dxa"/>
            <w:vMerge/>
            <w:tcBorders>
              <w:tl2br w:val="nil"/>
              <w:tr2bl w:val="nil"/>
            </w:tcBorders>
            <w:vAlign w:val="center"/>
          </w:tcPr>
          <w:p w14:paraId="57147515" w14:textId="77777777" w:rsidR="00B86285" w:rsidRDefault="00B86285">
            <w:pPr>
              <w:pStyle w:val="afffff5"/>
              <w:ind w:firstLineChars="0" w:firstLine="0"/>
              <w:jc w:val="center"/>
              <w:rPr>
                <w:rFonts w:hAnsi="宋体" w:cs="宋体" w:hint="eastAsia"/>
                <w:sz w:val="18"/>
                <w:szCs w:val="18"/>
              </w:rPr>
            </w:pPr>
          </w:p>
        </w:tc>
        <w:tc>
          <w:tcPr>
            <w:tcW w:w="1038" w:type="dxa"/>
            <w:vMerge/>
            <w:tcBorders>
              <w:tl2br w:val="nil"/>
              <w:tr2bl w:val="nil"/>
            </w:tcBorders>
            <w:vAlign w:val="center"/>
          </w:tcPr>
          <w:p w14:paraId="46DC87F6" w14:textId="77777777" w:rsidR="00B86285" w:rsidRDefault="00B86285">
            <w:pPr>
              <w:pStyle w:val="afffff5"/>
              <w:ind w:firstLineChars="0" w:firstLine="0"/>
              <w:jc w:val="center"/>
              <w:rPr>
                <w:rFonts w:hAnsi="宋体" w:cs="宋体" w:hint="eastAsia"/>
                <w:sz w:val="18"/>
                <w:szCs w:val="18"/>
              </w:rPr>
            </w:pPr>
          </w:p>
        </w:tc>
        <w:tc>
          <w:tcPr>
            <w:tcW w:w="2467" w:type="dxa"/>
            <w:tcBorders>
              <w:tl2br w:val="nil"/>
              <w:tr2bl w:val="nil"/>
            </w:tcBorders>
            <w:vAlign w:val="center"/>
          </w:tcPr>
          <w:p w14:paraId="1558C056"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会展会议平台</w:t>
            </w:r>
          </w:p>
        </w:tc>
        <w:tc>
          <w:tcPr>
            <w:tcW w:w="4325" w:type="dxa"/>
            <w:tcBorders>
              <w:tl2br w:val="nil"/>
              <w:tr2bl w:val="nil"/>
            </w:tcBorders>
            <w:vAlign w:val="center"/>
          </w:tcPr>
          <w:p w14:paraId="08D7602A"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以线上会展、虚拟展示平台等形式，为中小企业提供产品展示、参加行业会议、网络研讨会等服务，促进同行交流与合作。</w:t>
            </w:r>
          </w:p>
        </w:tc>
      </w:tr>
      <w:tr w:rsidR="00B86285" w14:paraId="3B5A98B4" w14:textId="77777777">
        <w:trPr>
          <w:trHeight w:val="633"/>
        </w:trPr>
        <w:tc>
          <w:tcPr>
            <w:tcW w:w="431" w:type="dxa"/>
            <w:tcBorders>
              <w:tl2br w:val="nil"/>
              <w:tr2bl w:val="nil"/>
            </w:tcBorders>
            <w:vAlign w:val="center"/>
          </w:tcPr>
          <w:p w14:paraId="53DD9991"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4</w:t>
            </w:r>
          </w:p>
        </w:tc>
        <w:tc>
          <w:tcPr>
            <w:tcW w:w="1068" w:type="dxa"/>
            <w:tcBorders>
              <w:tl2br w:val="nil"/>
              <w:tr2bl w:val="nil"/>
            </w:tcBorders>
            <w:vAlign w:val="center"/>
          </w:tcPr>
          <w:p w14:paraId="775926BD"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其他咨询机构</w:t>
            </w:r>
          </w:p>
        </w:tc>
        <w:tc>
          <w:tcPr>
            <w:tcW w:w="1038" w:type="dxa"/>
            <w:tcBorders>
              <w:tl2br w:val="nil"/>
              <w:tr2bl w:val="nil"/>
            </w:tcBorders>
            <w:vAlign w:val="center"/>
          </w:tcPr>
          <w:p w14:paraId="32302369"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其他咨询机构</w:t>
            </w:r>
          </w:p>
        </w:tc>
        <w:tc>
          <w:tcPr>
            <w:tcW w:w="2467" w:type="dxa"/>
            <w:tcBorders>
              <w:tl2br w:val="nil"/>
              <w:tr2bl w:val="nil"/>
            </w:tcBorders>
            <w:vAlign w:val="center"/>
          </w:tcPr>
          <w:p w14:paraId="7BCB4BA2" w14:textId="77777777" w:rsidR="00B86285" w:rsidRDefault="00000000">
            <w:pPr>
              <w:pStyle w:val="afffff5"/>
              <w:ind w:firstLineChars="0" w:firstLine="0"/>
              <w:jc w:val="center"/>
              <w:rPr>
                <w:rFonts w:hAnsi="宋体" w:cs="宋体" w:hint="eastAsia"/>
                <w:sz w:val="18"/>
                <w:szCs w:val="18"/>
              </w:rPr>
            </w:pPr>
            <w:r>
              <w:rPr>
                <w:rFonts w:hAnsi="宋体" w:cs="宋体" w:hint="eastAsia"/>
                <w:sz w:val="18"/>
                <w:szCs w:val="18"/>
              </w:rPr>
              <w:t>其他咨询机构</w:t>
            </w:r>
          </w:p>
        </w:tc>
        <w:tc>
          <w:tcPr>
            <w:tcW w:w="4325" w:type="dxa"/>
            <w:tcBorders>
              <w:tl2br w:val="nil"/>
              <w:tr2bl w:val="nil"/>
            </w:tcBorders>
            <w:vAlign w:val="center"/>
          </w:tcPr>
          <w:p w14:paraId="4121738C" w14:textId="77777777" w:rsidR="00B86285" w:rsidRDefault="00000000">
            <w:pPr>
              <w:pStyle w:val="afffff5"/>
              <w:ind w:leftChars="100" w:left="210" w:firstLineChars="0" w:firstLine="0"/>
              <w:rPr>
                <w:rFonts w:hAnsi="宋体" w:cs="宋体" w:hint="eastAsia"/>
                <w:sz w:val="18"/>
                <w:szCs w:val="18"/>
              </w:rPr>
            </w:pPr>
            <w:r>
              <w:rPr>
                <w:rFonts w:hAnsi="宋体" w:cs="宋体" w:hint="eastAsia"/>
                <w:sz w:val="18"/>
                <w:szCs w:val="18"/>
              </w:rPr>
              <w:t>提供不包含在上述专业服务活动的其他服务内容。</w:t>
            </w:r>
          </w:p>
        </w:tc>
      </w:tr>
    </w:tbl>
    <w:p w14:paraId="1DA0F8E0" w14:textId="77777777" w:rsidR="00B86285" w:rsidRDefault="00B86285">
      <w:pPr>
        <w:pStyle w:val="afffff5"/>
        <w:ind w:firstLineChars="0" w:firstLine="0"/>
        <w:rPr>
          <w:rFonts w:ascii="Times New Roman"/>
        </w:rPr>
      </w:pPr>
    </w:p>
    <w:p w14:paraId="437867CA" w14:textId="77777777" w:rsidR="00B86285" w:rsidRDefault="00000000">
      <w:pPr>
        <w:pStyle w:val="affc"/>
        <w:spacing w:before="240" w:after="240"/>
        <w:rPr>
          <w:rFonts w:ascii="Times New Roman"/>
        </w:rPr>
      </w:pPr>
      <w:bookmarkStart w:id="48" w:name="_Toc31249"/>
      <w:r>
        <w:rPr>
          <w:rFonts w:ascii="Times New Roman"/>
        </w:rPr>
        <w:t>评价准则</w:t>
      </w:r>
      <w:bookmarkEnd w:id="48"/>
    </w:p>
    <w:p w14:paraId="7D3295FB" w14:textId="77777777" w:rsidR="00B86285" w:rsidRDefault="00000000">
      <w:pPr>
        <w:pStyle w:val="affd"/>
        <w:spacing w:before="120" w:after="120"/>
        <w:rPr>
          <w:rFonts w:ascii="Times New Roman"/>
        </w:rPr>
      </w:pPr>
      <w:r>
        <w:rPr>
          <w:rFonts w:hint="eastAsia"/>
        </w:rPr>
        <w:t>机构基础能力</w:t>
      </w:r>
    </w:p>
    <w:p w14:paraId="18B0CA14" w14:textId="77777777" w:rsidR="00B86285" w:rsidRDefault="00000000">
      <w:pPr>
        <w:pStyle w:val="affe"/>
        <w:spacing w:before="120" w:after="120"/>
      </w:pPr>
      <w:r>
        <w:rPr>
          <w:rFonts w:hint="eastAsia"/>
        </w:rPr>
        <w:t>概述</w:t>
      </w:r>
    </w:p>
    <w:p w14:paraId="51451989" w14:textId="77777777" w:rsidR="00B86285" w:rsidRDefault="00000000">
      <w:pPr>
        <w:pStyle w:val="afffff5"/>
        <w:ind w:firstLine="420"/>
      </w:pPr>
      <w:r>
        <w:rPr>
          <w:rFonts w:hint="eastAsia"/>
        </w:rPr>
        <w:t>机构基础能力指服务机构提供服务所必备的最基础能力，包括客户、人员、资金、设施等基本要素。</w:t>
      </w:r>
    </w:p>
    <w:p w14:paraId="62F1866B" w14:textId="77777777" w:rsidR="00B86285" w:rsidRDefault="00000000">
      <w:pPr>
        <w:pStyle w:val="affe"/>
        <w:spacing w:before="120" w:after="120"/>
      </w:pPr>
      <w:r>
        <w:t>服务客户范围</w:t>
      </w:r>
    </w:p>
    <w:p w14:paraId="66BE950E" w14:textId="77777777" w:rsidR="00B86285" w:rsidRDefault="00000000">
      <w:pPr>
        <w:pStyle w:val="afffff5"/>
        <w:ind w:firstLine="420"/>
      </w:pPr>
      <w:r>
        <w:rPr>
          <w:rFonts w:hint="eastAsia"/>
        </w:rPr>
        <w:t xml:space="preserve">服务客户范围指的是企业或服务提供者所能服务和覆盖的客户群体。涵盖以下几个方面： </w:t>
      </w:r>
    </w:p>
    <w:p w14:paraId="3869204A" w14:textId="77777777" w:rsidR="00B86285" w:rsidRDefault="00000000">
      <w:pPr>
        <w:pStyle w:val="afffff5"/>
        <w:ind w:firstLine="420"/>
      </w:pPr>
      <w:r>
        <w:rPr>
          <w:rFonts w:hint="eastAsia"/>
        </w:rPr>
        <w:t>a）地理区域：服务客户范围可以按照地理位置界定，如服务于全国市场、本地市场，或针对特定的城市、省份、国家和地区提供服务。</w:t>
      </w:r>
    </w:p>
    <w:p w14:paraId="3408876F" w14:textId="77777777" w:rsidR="00B86285" w:rsidRDefault="00000000">
      <w:pPr>
        <w:pStyle w:val="afffff5"/>
        <w:ind w:firstLine="420"/>
      </w:pPr>
      <w:r>
        <w:rPr>
          <w:rFonts w:hint="eastAsia"/>
        </w:rPr>
        <w:t>b）行业领域：服务客户范围也可以按照行业或领域划分，比如金融行业的咨询服务可能专为银行业、保险业或证券业提供服务，而IT服务公司可能专注于为医疗、教育、制造等行业提供技术支持。</w:t>
      </w:r>
    </w:p>
    <w:p w14:paraId="46406AEA" w14:textId="77777777" w:rsidR="00B86285" w:rsidRDefault="00000000">
      <w:pPr>
        <w:pStyle w:val="affe"/>
        <w:spacing w:before="120" w:after="120"/>
      </w:pPr>
      <w:r>
        <w:t>服务客户数量</w:t>
      </w:r>
    </w:p>
    <w:p w14:paraId="305278B0" w14:textId="77777777" w:rsidR="00B86285" w:rsidRDefault="00000000">
      <w:pPr>
        <w:pStyle w:val="afffff5"/>
        <w:ind w:firstLine="420"/>
      </w:pPr>
      <w:r>
        <w:rPr>
          <w:rFonts w:hint="eastAsia"/>
        </w:rPr>
        <w:t>服务客户数量是指在一定时间段内，服务机构服务过的中小企业总量，即接收并为其提供了某种产品或服务的实际客户个数。这个数值通常作为评估企业业务规模、市场份额、客户忠诚度以及服务效率等多方面表现的关键指标之一。</w:t>
      </w:r>
    </w:p>
    <w:p w14:paraId="66ECBE11" w14:textId="77777777" w:rsidR="00B86285" w:rsidRDefault="00000000">
      <w:pPr>
        <w:pStyle w:val="affe"/>
        <w:spacing w:before="120" w:after="120"/>
      </w:pPr>
      <w:r>
        <w:lastRenderedPageBreak/>
        <w:t>人员规模</w:t>
      </w:r>
    </w:p>
    <w:p w14:paraId="234492FB" w14:textId="77777777" w:rsidR="00B86285" w:rsidRDefault="00000000">
      <w:pPr>
        <w:pStyle w:val="afffff5"/>
        <w:ind w:firstLine="420"/>
      </w:pPr>
      <w:r>
        <w:rPr>
          <w:rFonts w:hint="eastAsia"/>
        </w:rPr>
        <w:t>人员规模指服务机构的人员总数，包括正式人员和非正式人员。</w:t>
      </w:r>
    </w:p>
    <w:p w14:paraId="18C763E1" w14:textId="77777777" w:rsidR="00B86285" w:rsidRDefault="00000000">
      <w:pPr>
        <w:pStyle w:val="affe"/>
        <w:spacing w:before="120" w:after="120"/>
      </w:pPr>
      <w:r>
        <w:t>营收状况</w:t>
      </w:r>
    </w:p>
    <w:p w14:paraId="344F6729" w14:textId="77777777" w:rsidR="00B86285" w:rsidRDefault="00000000">
      <w:pPr>
        <w:pStyle w:val="afffff5"/>
        <w:ind w:firstLine="420"/>
      </w:pPr>
      <w:r>
        <w:rPr>
          <w:rFonts w:hint="eastAsia"/>
        </w:rPr>
        <w:t xml:space="preserve">营收状况指服务机构在面临市场环境变化、业务发展需求以及抵御财务风险时，能够有效调动和使用财务资源，以维持企业正常运营、偿付债务、投资发展以及实现战略目标的情况。涵盖以下几个方面： </w:t>
      </w:r>
    </w:p>
    <w:p w14:paraId="6535611D" w14:textId="77777777" w:rsidR="00B86285" w:rsidRDefault="00000000">
      <w:pPr>
        <w:pStyle w:val="afffff5"/>
        <w:ind w:firstLine="420"/>
      </w:pPr>
      <w:r>
        <w:rPr>
          <w:rFonts w:hint="eastAsia"/>
        </w:rPr>
        <w:t xml:space="preserve">a）资产流动性保障：拥有足够的流动资产以保证日常运营的资金需求，以应付短期债务和突发性支出。 </w:t>
      </w:r>
    </w:p>
    <w:p w14:paraId="4BDB91D7" w14:textId="77777777" w:rsidR="00B86285" w:rsidRDefault="00000000">
      <w:pPr>
        <w:pStyle w:val="afffff5"/>
        <w:ind w:firstLine="420"/>
      </w:pPr>
      <w:r>
        <w:rPr>
          <w:rFonts w:hint="eastAsia"/>
        </w:rPr>
        <w:t xml:space="preserve">b）现金流管理：具有有效管理经营活动、投资活动和筹资活动产生的现金流的能力，保证资金链的持续稳定，防止现金流断裂风险。 </w:t>
      </w:r>
    </w:p>
    <w:p w14:paraId="4176CC0F" w14:textId="77777777" w:rsidR="00B86285" w:rsidRDefault="00000000">
      <w:pPr>
        <w:pStyle w:val="afffff5"/>
        <w:ind w:firstLine="420"/>
      </w:pPr>
      <w:r>
        <w:rPr>
          <w:rFonts w:hint="eastAsia"/>
        </w:rPr>
        <w:t>c）长期发展资金储备：除了满足短期资金需求外，还要考虑长远发展，储备用于研发、扩张、并购等战略性投资的资金。</w:t>
      </w:r>
    </w:p>
    <w:p w14:paraId="057F24F5" w14:textId="77777777" w:rsidR="00B86285" w:rsidRDefault="00000000">
      <w:pPr>
        <w:pStyle w:val="affe"/>
        <w:spacing w:before="120" w:after="120"/>
      </w:pPr>
      <w:r>
        <w:t>服务年限</w:t>
      </w:r>
    </w:p>
    <w:p w14:paraId="79B985BF" w14:textId="77777777" w:rsidR="00B86285" w:rsidRDefault="00000000">
      <w:pPr>
        <w:pStyle w:val="afffff5"/>
        <w:ind w:firstLine="420"/>
      </w:pPr>
      <w:r>
        <w:rPr>
          <w:rFonts w:hint="eastAsia"/>
        </w:rPr>
        <w:t>服务年限指是中小企业服务机构从成立开始到现在的持续运营时间，反映了该机构在市场上的经验和稳定性。</w:t>
      </w:r>
    </w:p>
    <w:p w14:paraId="5D4CD9CF" w14:textId="77777777" w:rsidR="00B86285" w:rsidRDefault="00000000">
      <w:pPr>
        <w:pStyle w:val="affe"/>
        <w:spacing w:before="120" w:after="120"/>
      </w:pPr>
      <w:r>
        <w:t>基础设施保障</w:t>
      </w:r>
    </w:p>
    <w:p w14:paraId="684CC9EA" w14:textId="77777777" w:rsidR="00B86285" w:rsidRDefault="00000000">
      <w:pPr>
        <w:pStyle w:val="afffff5"/>
        <w:ind w:firstLine="420"/>
      </w:pPr>
      <w:r>
        <w:rPr>
          <w:rFonts w:hint="eastAsia"/>
        </w:rPr>
        <w:t xml:space="preserve">基础设施保障能力指服务机构所属设施（包括但不限于建筑、设备、系统、场地等）处于完好可用状态，以支持其日常运行、任务执行、业务拓展以及应对突发事件的能力。涵盖以下几个方面： </w:t>
      </w:r>
    </w:p>
    <w:p w14:paraId="64EB0F8A" w14:textId="77777777" w:rsidR="00B86285" w:rsidRDefault="00000000">
      <w:pPr>
        <w:pStyle w:val="afffff5"/>
        <w:ind w:firstLine="420"/>
      </w:pPr>
      <w:r>
        <w:rPr>
          <w:rFonts w:hint="eastAsia"/>
        </w:rPr>
        <w:t xml:space="preserve">a）技术支撑与平台建设：采用先进的信息技术手段，如CRM系统、智能客服、在线服务平台等，提高服务效率，缩短响应时间。 </w:t>
      </w:r>
    </w:p>
    <w:p w14:paraId="28C012CD" w14:textId="77777777" w:rsidR="00B86285" w:rsidRDefault="00000000">
      <w:pPr>
        <w:pStyle w:val="afffff5"/>
        <w:ind w:firstLine="420"/>
      </w:pPr>
      <w:r>
        <w:rPr>
          <w:rFonts w:hint="eastAsia"/>
        </w:rPr>
        <w:t>b）设施维护管理：对设施进行定期检查、保养和维修，确保设施始终处于良好的运行状态，降低因设施故障造成的停机损失。</w:t>
      </w:r>
    </w:p>
    <w:p w14:paraId="6B9E0B00" w14:textId="77777777" w:rsidR="00B86285" w:rsidRDefault="00000000">
      <w:pPr>
        <w:pStyle w:val="affffffffe"/>
        <w:rPr>
          <w:rFonts w:ascii="Times New Roman"/>
        </w:rPr>
      </w:pPr>
      <w:r>
        <w:rPr>
          <w:rFonts w:ascii="黑体" w:eastAsia="黑体" w:hAnsi="黑体" w:cs="黑体" w:hint="eastAsia"/>
        </w:rPr>
        <w:t>需求分析与沟通能力</w:t>
      </w:r>
    </w:p>
    <w:p w14:paraId="2918F89C" w14:textId="77777777" w:rsidR="00B86285" w:rsidRDefault="00000000">
      <w:pPr>
        <w:pStyle w:val="affe"/>
        <w:spacing w:before="120" w:after="120"/>
      </w:pPr>
      <w:r>
        <w:t>概述</w:t>
      </w:r>
    </w:p>
    <w:p w14:paraId="3E064B05" w14:textId="77777777" w:rsidR="00B86285" w:rsidRDefault="00000000">
      <w:pPr>
        <w:pStyle w:val="afffff5"/>
        <w:ind w:firstLine="420"/>
      </w:pPr>
      <w:r>
        <w:rPr>
          <w:rFonts w:hint="eastAsia"/>
        </w:rPr>
        <w:t>需求分析与沟通能力是指与服务对象及相关方进行有效沟通，获取信息或诉求的能力，提炼出服务对象及相关方的价值或利益需求，为后续提供专业服务活动提供依据</w:t>
      </w:r>
    </w:p>
    <w:p w14:paraId="1278CA33" w14:textId="77777777" w:rsidR="00B86285" w:rsidRDefault="00000000">
      <w:pPr>
        <w:pStyle w:val="affe"/>
        <w:spacing w:before="120" w:after="120"/>
      </w:pPr>
      <w:r>
        <w:t>需求响应能力</w:t>
      </w:r>
    </w:p>
    <w:p w14:paraId="3EF1AFAA" w14:textId="77777777" w:rsidR="00B86285" w:rsidRDefault="00000000">
      <w:pPr>
        <w:pStyle w:val="afffff5"/>
        <w:ind w:firstLine="420"/>
      </w:pPr>
      <w:r>
        <w:rPr>
          <w:rFonts w:hint="eastAsia"/>
        </w:rPr>
        <w:t>需求响应能力指服务机构针对客户提出的各种需求或问题，能够迅速、准确、有效地进行反馈、处理和满足的能力。这种能力贯穿从接到客户需求信号开始，到提供相应服务解决方案，再到实际执行和服务跟踪的全过程。涵盖以下几个方面：</w:t>
      </w:r>
    </w:p>
    <w:p w14:paraId="58ECDBE2" w14:textId="77777777" w:rsidR="00B86285" w:rsidRDefault="00000000">
      <w:pPr>
        <w:pStyle w:val="afffff5"/>
        <w:ind w:firstLine="420"/>
      </w:pPr>
      <w:r>
        <w:rPr>
          <w:rFonts w:hint="eastAsia"/>
        </w:rPr>
        <w:t xml:space="preserve">a)响应速度：服务机构在接到客户需求后做出反应的时间，如解答疑问、安排服务人员、解决问题等。 </w:t>
      </w:r>
    </w:p>
    <w:p w14:paraId="11BC3FC0" w14:textId="77777777" w:rsidR="00B86285" w:rsidRDefault="00000000">
      <w:pPr>
        <w:pStyle w:val="afffff5"/>
        <w:ind w:firstLine="420"/>
      </w:pPr>
      <w:r>
        <w:rPr>
          <w:rFonts w:hint="eastAsia"/>
        </w:rPr>
        <w:t xml:space="preserve">b)响应准确性：所提供的服务是否能够精确匹配客户的需求，解决面临的实际问题，确保提供的解决方案有效可靠。 </w:t>
      </w:r>
    </w:p>
    <w:p w14:paraId="7DE669A2" w14:textId="77777777" w:rsidR="00B86285" w:rsidRDefault="00000000">
      <w:pPr>
        <w:pStyle w:val="afffff5"/>
        <w:ind w:firstLine="420"/>
      </w:pPr>
      <w:r>
        <w:rPr>
          <w:rFonts w:hint="eastAsia"/>
        </w:rPr>
        <w:t>c)适应性与灵活性：面对不同的客户、复杂多变的需求场景以及紧急情况时，服务机构能否迅速调整策略和服务模式以满足个性化需求。</w:t>
      </w:r>
    </w:p>
    <w:p w14:paraId="0B6F7799" w14:textId="77777777" w:rsidR="00B86285" w:rsidRDefault="00000000">
      <w:pPr>
        <w:pStyle w:val="affe"/>
        <w:spacing w:before="120" w:after="120"/>
      </w:pPr>
      <w:r>
        <w:t>服务沟通能力</w:t>
      </w:r>
    </w:p>
    <w:p w14:paraId="4E4BD2EA" w14:textId="77777777" w:rsidR="00B86285" w:rsidRDefault="00000000">
      <w:pPr>
        <w:pStyle w:val="afffff5"/>
        <w:ind w:firstLine="420"/>
      </w:pPr>
      <w:r>
        <w:rPr>
          <w:rFonts w:hint="eastAsia"/>
        </w:rPr>
        <w:t xml:space="preserve">服务沟通能力指服务机构内部的团队与中小企业的沟通能力，包括是否能够高效协作、快速响应中小企业的需求，以及是否能够与中小企业建立良好的沟通机制，确保服务的高效传递。涵盖以下几个方面： </w:t>
      </w:r>
    </w:p>
    <w:p w14:paraId="4DE74CE6" w14:textId="77777777" w:rsidR="00B86285" w:rsidRDefault="00000000">
      <w:pPr>
        <w:pStyle w:val="afffff5"/>
        <w:ind w:firstLine="420"/>
      </w:pPr>
      <w:r>
        <w:t>a</w:t>
      </w:r>
      <w:r>
        <w:rPr>
          <w:rFonts w:hint="eastAsia"/>
        </w:rPr>
        <w:t xml:space="preserve">）问题理解能力：当客户遇到问题时，服务机构能迅速理解问题实质，提出解决方案，并指导或协助客户解决问题。 </w:t>
      </w:r>
    </w:p>
    <w:p w14:paraId="3D7DF0FE" w14:textId="77777777" w:rsidR="00B86285" w:rsidRDefault="00000000">
      <w:pPr>
        <w:pStyle w:val="afffff5"/>
        <w:ind w:firstLine="420"/>
      </w:pPr>
      <w:r>
        <w:t>b</w:t>
      </w:r>
      <w:r>
        <w:rPr>
          <w:rFonts w:hint="eastAsia"/>
        </w:rPr>
        <w:t xml:space="preserve">）冲突管理：在沟通过程中，若出现意见不合或矛盾冲突，服务机构具备平息纠纷、化解矛盾的能力，妥善处理不满，保持服务的专业性和公正性。 </w:t>
      </w:r>
    </w:p>
    <w:p w14:paraId="23930728" w14:textId="77777777" w:rsidR="00B86285" w:rsidRDefault="00000000">
      <w:pPr>
        <w:pStyle w:val="afffff5"/>
        <w:ind w:firstLine="420"/>
      </w:pPr>
      <w:r>
        <w:lastRenderedPageBreak/>
        <w:t>c</w:t>
      </w:r>
      <w:r>
        <w:rPr>
          <w:rFonts w:hint="eastAsia"/>
        </w:rPr>
        <w:t xml:space="preserve">）信息反馈与确认：在沟通过程中，主动反馈服务进展，对关键信息进行确认，确保双方对服务内容的理解一致，减少后续可能出现的问题。 </w:t>
      </w:r>
    </w:p>
    <w:p w14:paraId="5A865CED" w14:textId="77777777" w:rsidR="00B86285" w:rsidRDefault="00000000">
      <w:pPr>
        <w:pStyle w:val="afffff5"/>
        <w:ind w:firstLine="420"/>
      </w:pPr>
      <w:r>
        <w:t>d</w:t>
      </w:r>
      <w:r>
        <w:rPr>
          <w:rFonts w:hint="eastAsia"/>
        </w:rPr>
        <w:t>）建立信任关系：通过专业、诚恳、贴心的沟通方式，逐步建立起客户对服务机构的信任，为长期的合作和良好口碑打下基础。</w:t>
      </w:r>
    </w:p>
    <w:p w14:paraId="6FA7D04E" w14:textId="77777777" w:rsidR="00B86285" w:rsidRDefault="00000000">
      <w:pPr>
        <w:pStyle w:val="affd"/>
        <w:spacing w:before="120" w:after="120"/>
      </w:pPr>
      <w:r>
        <w:t>服务执行能力</w:t>
      </w:r>
    </w:p>
    <w:p w14:paraId="13EF22DF" w14:textId="77777777" w:rsidR="00B86285" w:rsidRDefault="00000000">
      <w:pPr>
        <w:pStyle w:val="affe"/>
        <w:spacing w:before="120" w:after="120"/>
      </w:pPr>
      <w:r>
        <w:rPr>
          <w:rFonts w:hint="eastAsia"/>
        </w:rPr>
        <w:t>概述</w:t>
      </w:r>
    </w:p>
    <w:p w14:paraId="58197317" w14:textId="77777777" w:rsidR="00B86285" w:rsidRDefault="00000000">
      <w:pPr>
        <w:pStyle w:val="afffff5"/>
        <w:ind w:firstLine="420"/>
      </w:pPr>
      <w:r>
        <w:rPr>
          <w:rFonts w:hint="eastAsia"/>
        </w:rPr>
        <w:t>服务执行能力指服务机构实施服务流程、达到预设服务标准，并最终满足中小企业的多样化需求的能力。</w:t>
      </w:r>
    </w:p>
    <w:p w14:paraId="63612E64" w14:textId="77777777" w:rsidR="00B86285" w:rsidRDefault="00000000">
      <w:pPr>
        <w:pStyle w:val="affe"/>
        <w:spacing w:before="120" w:after="120"/>
      </w:pPr>
      <w:r>
        <w:t>资源集聚能力</w:t>
      </w:r>
    </w:p>
    <w:p w14:paraId="223DA7E5" w14:textId="77777777" w:rsidR="00B86285" w:rsidRDefault="00000000">
      <w:pPr>
        <w:pStyle w:val="afffff5"/>
        <w:ind w:firstLine="420"/>
      </w:pPr>
      <w:r>
        <w:rPr>
          <w:rFonts w:hint="eastAsia"/>
        </w:rPr>
        <w:t xml:space="preserve">资源聚集能力指服务机构在合理利用内部资源和外部合作伙伴方面的能力，包括其是否能够有效地整合政府、市场、社会等多方面的资源，为中小企业提供全方位的服务支持。涵盖以下几个方面： </w:t>
      </w:r>
    </w:p>
    <w:p w14:paraId="325EAF72" w14:textId="77777777" w:rsidR="00B86285" w:rsidRDefault="00000000">
      <w:pPr>
        <w:pStyle w:val="afffff5"/>
        <w:ind w:firstLine="420"/>
      </w:pPr>
      <w:r>
        <w:rPr>
          <w:rFonts w:hint="eastAsia"/>
        </w:rPr>
        <w:t xml:space="preserve">a）资源识别与获取：识别并找到对自身目标有帮助的各种资源，包括物质资源、人力资源、信息资源、社会资本等。 </w:t>
      </w:r>
    </w:p>
    <w:p w14:paraId="757D652E" w14:textId="77777777" w:rsidR="00B86285" w:rsidRDefault="00000000">
      <w:pPr>
        <w:pStyle w:val="afffff5"/>
        <w:ind w:firstLine="420"/>
      </w:pPr>
      <w:r>
        <w:rPr>
          <w:rFonts w:hint="eastAsia"/>
        </w:rPr>
        <w:t xml:space="preserve">b）资源整合与配置：将获取的资源按照最优的方式进行组合和配置，使其发挥最大的效用,包括将内部资源进行有效的组织和管理，也包括通过合作、联盟、并购等方式将外部资源融入自身系统。 </w:t>
      </w:r>
    </w:p>
    <w:p w14:paraId="669F7B76" w14:textId="77777777" w:rsidR="00B86285" w:rsidRDefault="00000000">
      <w:pPr>
        <w:pStyle w:val="afffff5"/>
        <w:ind w:firstLine="420"/>
      </w:pPr>
      <w:r>
        <w:rPr>
          <w:rFonts w:hint="eastAsia"/>
        </w:rPr>
        <w:t>c）协同效应：通过资源的有效聚集，实现各部分资源之间的互补和协同，产生更大的经济效益和社会效益。</w:t>
      </w:r>
    </w:p>
    <w:p w14:paraId="0F50517C" w14:textId="77777777" w:rsidR="00B86285" w:rsidRDefault="00000000">
      <w:pPr>
        <w:pStyle w:val="affe"/>
        <w:spacing w:before="120" w:after="120"/>
      </w:pPr>
      <w:r>
        <w:t>人员专业能力</w:t>
      </w:r>
    </w:p>
    <w:p w14:paraId="1752BFF1" w14:textId="77777777" w:rsidR="00B86285" w:rsidRDefault="00000000">
      <w:pPr>
        <w:pStyle w:val="afffff5"/>
        <w:ind w:firstLine="420"/>
      </w:pPr>
      <w:r>
        <w:rPr>
          <w:rFonts w:hint="eastAsia"/>
        </w:rPr>
        <w:t xml:space="preserve">人员专业能力指服务机构的专业团队具备的专业知识和技术能力，包括其对中小企业发展的了解程度、行业发展趋势的把握能力，以及针对中小企业的具体需求提供专业解决方案的能力。涵盖以下几个方面： </w:t>
      </w:r>
    </w:p>
    <w:p w14:paraId="5C9A3560" w14:textId="77777777" w:rsidR="00B86285" w:rsidRDefault="00000000">
      <w:pPr>
        <w:pStyle w:val="afffff5"/>
        <w:ind w:firstLine="420"/>
      </w:pPr>
      <w:r>
        <w:rPr>
          <w:rFonts w:hint="eastAsia"/>
        </w:rPr>
        <w:t>a）专业知识与技能：指专业团队人员对该行业或岗位所必需的基础理论知识、专业技术知识以及行业最新发展的了解和掌握程度。</w:t>
      </w:r>
    </w:p>
    <w:p w14:paraId="22FE7FE4" w14:textId="77777777" w:rsidR="00B86285" w:rsidRDefault="00000000">
      <w:pPr>
        <w:pStyle w:val="afffff5"/>
        <w:ind w:firstLine="420"/>
      </w:pPr>
      <w:r>
        <w:rPr>
          <w:rFonts w:hint="eastAsia"/>
        </w:rPr>
        <w:t xml:space="preserve">b）专业判断与决策能力：能够根据专业知识和实践经验，对工作中遇到的问题进行科学合理的分析判断，并作出科学的决策，包括风险预测、问题解决、方案设计等。 </w:t>
      </w:r>
    </w:p>
    <w:p w14:paraId="187D0368" w14:textId="77777777" w:rsidR="00B86285" w:rsidRDefault="00000000">
      <w:pPr>
        <w:pStyle w:val="afffff5"/>
        <w:ind w:firstLine="420"/>
      </w:pPr>
      <w:r>
        <w:rPr>
          <w:rFonts w:hint="eastAsia"/>
        </w:rPr>
        <w:t xml:space="preserve">c）职业道德与职业操守：专业团队人员在职场活动中遵循的行为准则和道德规范，包括诚实守信、公平公正、尊重知识产权、保守秘密等，具备良好的职业道德和社会责任感。 </w:t>
      </w:r>
    </w:p>
    <w:p w14:paraId="0EF85B64" w14:textId="77777777" w:rsidR="00B86285" w:rsidRDefault="00000000">
      <w:pPr>
        <w:pStyle w:val="afffff5"/>
        <w:ind w:firstLine="420"/>
      </w:pPr>
      <w:r>
        <w:rPr>
          <w:rFonts w:hint="eastAsia"/>
        </w:rPr>
        <w:t xml:space="preserve">d）团队协作与人际交往能力：具备良好的团队协作精神和人际关系处理能力，能够有效地沟通、协调，与同事、上级、下属及客户建立良好的合作关系。 </w:t>
      </w:r>
    </w:p>
    <w:p w14:paraId="68D6BE0D" w14:textId="77777777" w:rsidR="00B86285" w:rsidRDefault="00000000">
      <w:pPr>
        <w:pStyle w:val="afffff5"/>
        <w:ind w:firstLine="420"/>
      </w:pPr>
      <w:r>
        <w:rPr>
          <w:rFonts w:hint="eastAsia"/>
        </w:rPr>
        <w:t>e）学习与创新能力：在不断变化的工作环境中，保持敏锐的学习意识，不断提升自我，追求技术创新和管理创新，以适应行业发展和变革需求。</w:t>
      </w:r>
    </w:p>
    <w:p w14:paraId="1145F7CE" w14:textId="77777777" w:rsidR="00B86285" w:rsidRDefault="00000000">
      <w:pPr>
        <w:pStyle w:val="affe"/>
        <w:spacing w:before="120" w:after="120"/>
      </w:pPr>
      <w:r>
        <w:t>执行实施能力</w:t>
      </w:r>
    </w:p>
    <w:p w14:paraId="44404FB6" w14:textId="77777777" w:rsidR="00B86285" w:rsidRDefault="00000000">
      <w:pPr>
        <w:pStyle w:val="afffff5"/>
        <w:ind w:firstLine="420"/>
      </w:pPr>
      <w:r>
        <w:rPr>
          <w:rFonts w:hint="eastAsia"/>
        </w:rPr>
        <w:t xml:space="preserve">执行实施能力是指服务机构按照约定的服务条款、标准和要求，在一定期限内准确、完整、及时地履行合同义务，满足客户期望的服务品质的能力。涵盖以下几个方面： </w:t>
      </w:r>
    </w:p>
    <w:p w14:paraId="723EC398" w14:textId="77777777" w:rsidR="00B86285" w:rsidRDefault="00000000">
      <w:pPr>
        <w:pStyle w:val="afffff5"/>
        <w:ind w:firstLine="420"/>
      </w:pPr>
      <w:r>
        <w:rPr>
          <w:rFonts w:hint="eastAsia"/>
        </w:rPr>
        <w:t xml:space="preserve">a）合同或协议履行：服务机构应严格按照与客户签订的服务合同或协议内容执行，包括但不限于服务范围、服务质量、服务周期、服务费用等内容。 </w:t>
      </w:r>
    </w:p>
    <w:p w14:paraId="6CE28D2F" w14:textId="77777777" w:rsidR="00B86285" w:rsidRDefault="00000000">
      <w:pPr>
        <w:pStyle w:val="afffff5"/>
        <w:ind w:firstLine="420"/>
      </w:pPr>
      <w:r>
        <w:rPr>
          <w:rFonts w:hint="eastAsia"/>
        </w:rPr>
        <w:t xml:space="preserve">b）准时交付：服务机构需确保在约定时间内完成服务项目，按时交付服务成果，满足客户在时间上的要求。 </w:t>
      </w:r>
    </w:p>
    <w:p w14:paraId="4A4F44BA" w14:textId="77777777" w:rsidR="00B86285" w:rsidRDefault="00000000">
      <w:pPr>
        <w:pStyle w:val="afffff5"/>
        <w:ind w:firstLine="420"/>
      </w:pPr>
      <w:r>
        <w:rPr>
          <w:rFonts w:hint="eastAsia"/>
        </w:rPr>
        <w:t xml:space="preserve">c）质量保证：提供高品质的服务，满足或超过客户的预期，通过内部质量管理流程确保服务输出的质量稳定和一致。 </w:t>
      </w:r>
    </w:p>
    <w:p w14:paraId="5E0C68C3" w14:textId="77777777" w:rsidR="00B86285" w:rsidRDefault="00000000">
      <w:pPr>
        <w:pStyle w:val="afffff5"/>
        <w:ind w:firstLine="420"/>
      </w:pPr>
      <w:r>
        <w:rPr>
          <w:rFonts w:hint="eastAsia"/>
        </w:rPr>
        <w:t>d）应急处理与风险管理：在服务执行过程中，遇到问题或不可预见的风险时，具备快速响应和妥善处理的能力，以最小化影响并继续履行服务承诺。</w:t>
      </w:r>
    </w:p>
    <w:p w14:paraId="1D1BEED6" w14:textId="77777777" w:rsidR="00B86285" w:rsidRDefault="00000000">
      <w:pPr>
        <w:pStyle w:val="affd"/>
        <w:spacing w:before="120" w:after="120"/>
      </w:pPr>
      <w:r>
        <w:t>服务规范能力</w:t>
      </w:r>
    </w:p>
    <w:p w14:paraId="53A65418" w14:textId="77777777" w:rsidR="00B86285" w:rsidRDefault="00000000">
      <w:pPr>
        <w:pStyle w:val="affe"/>
        <w:spacing w:before="120" w:after="120"/>
      </w:pPr>
      <w:r>
        <w:rPr>
          <w:rFonts w:hint="eastAsia"/>
        </w:rPr>
        <w:t>概述</w:t>
      </w:r>
    </w:p>
    <w:p w14:paraId="2EF4FA15" w14:textId="77777777" w:rsidR="00B86285" w:rsidRDefault="00000000">
      <w:pPr>
        <w:pStyle w:val="afffff5"/>
        <w:ind w:firstLine="420"/>
      </w:pPr>
      <w:r>
        <w:rPr>
          <w:rFonts w:hint="eastAsia"/>
        </w:rPr>
        <w:lastRenderedPageBreak/>
        <w:t>服务规范能力指服务机构所提供的服务规范化、标准化、专业化的综合能力，包括工作流程是否高效、合理，确保考察机构是否具备相关领域的专业资质和认证等。</w:t>
      </w:r>
    </w:p>
    <w:p w14:paraId="072AB78C" w14:textId="77777777" w:rsidR="00B86285" w:rsidRDefault="00000000">
      <w:pPr>
        <w:pStyle w:val="affe"/>
        <w:spacing w:before="120" w:after="120"/>
      </w:pPr>
      <w:r>
        <w:t>政策合规能力</w:t>
      </w:r>
    </w:p>
    <w:p w14:paraId="0CD02704" w14:textId="77777777" w:rsidR="00B86285" w:rsidRDefault="00000000">
      <w:pPr>
        <w:pStyle w:val="afffff5"/>
        <w:ind w:firstLine="420"/>
      </w:pPr>
      <w:r>
        <w:rPr>
          <w:rFonts w:hint="eastAsia"/>
        </w:rPr>
        <w:t xml:space="preserve">政策合规能力是指服务机构在提供服务的过程中，严格遵守并践行相关法律法规、行业规定、监管要求以及内部政策的能力。涵盖以下几个方面： </w:t>
      </w:r>
    </w:p>
    <w:p w14:paraId="28757DED" w14:textId="77777777" w:rsidR="00B86285" w:rsidRDefault="00000000">
      <w:pPr>
        <w:pStyle w:val="afffff5"/>
        <w:ind w:firstLine="420"/>
      </w:pPr>
      <w:r>
        <w:rPr>
          <w:rFonts w:hint="eastAsia"/>
        </w:rPr>
        <w:t xml:space="preserve">a）法规知识与理解力：熟悉和理解适用的相关法律法规，包括但不限于消费者权益保护法、数据保护法、行业监管条例等，确保服务内容、方式、流程完全符合法律规定。 </w:t>
      </w:r>
    </w:p>
    <w:p w14:paraId="3E6CACCA" w14:textId="77777777" w:rsidR="00B86285" w:rsidRDefault="00000000">
      <w:pPr>
        <w:pStyle w:val="afffff5"/>
        <w:ind w:firstLine="420"/>
      </w:pPr>
      <w:r>
        <w:rPr>
          <w:rFonts w:hint="eastAsia"/>
        </w:rPr>
        <w:t>b）适应政策变动：随着政策环境的改变，服务机构具有快速响应和适应政策调整的能力，确保服务模式和业务操作始终保持在合法合规的状态。</w:t>
      </w:r>
    </w:p>
    <w:p w14:paraId="6A2D83FE" w14:textId="77777777" w:rsidR="00B86285" w:rsidRDefault="00000000">
      <w:pPr>
        <w:pStyle w:val="affe"/>
        <w:spacing w:before="120" w:after="120"/>
      </w:pPr>
      <w:r>
        <w:t>制度建设能力</w:t>
      </w:r>
    </w:p>
    <w:p w14:paraId="6F2D9378" w14:textId="77777777" w:rsidR="00B86285" w:rsidRDefault="00000000">
      <w:pPr>
        <w:pStyle w:val="afffff5"/>
        <w:ind w:firstLine="420"/>
      </w:pPr>
      <w:r>
        <w:rPr>
          <w:rFonts w:hint="eastAsia"/>
        </w:rPr>
        <w:t xml:space="preserve">制度建设能力指服务机构在管理过程中构建、完善和执行内部规章制度体系的能力，涉及到机构从战略层面到日常运营多个维度的规范化管理。涵盖以下几个方面： </w:t>
      </w:r>
    </w:p>
    <w:p w14:paraId="427F4786" w14:textId="77777777" w:rsidR="00B86285" w:rsidRDefault="00000000">
      <w:pPr>
        <w:pStyle w:val="afffff5"/>
        <w:ind w:firstLine="420"/>
      </w:pPr>
      <w:r>
        <w:rPr>
          <w:rFonts w:hint="eastAsia"/>
        </w:rPr>
        <w:t xml:space="preserve">a）制度设计能力：根据国家法律法规、行业规范以及自身的发展战略和目标，制定符合实际情况且具有前瞻性的内部管理制度,覆盖机构治理、组织架构、业务流程、人力资源、财务管理、生产运营、技术研发、市场营销、企业文化、社会责任等方面。 </w:t>
      </w:r>
    </w:p>
    <w:p w14:paraId="27E7ACEF" w14:textId="77777777" w:rsidR="00B86285" w:rsidRDefault="00000000">
      <w:pPr>
        <w:pStyle w:val="afffff5"/>
        <w:ind w:firstLine="420"/>
      </w:pPr>
      <w:r>
        <w:rPr>
          <w:rFonts w:hint="eastAsia"/>
        </w:rPr>
        <w:t>b）制度执行能力：制定的规章制度能被有效执行，具备健全的执行机制、监督机制和考核机制。</w:t>
      </w:r>
    </w:p>
    <w:p w14:paraId="7DE20AB6" w14:textId="77777777" w:rsidR="00B86285" w:rsidRDefault="00000000">
      <w:pPr>
        <w:pStyle w:val="afffff5"/>
        <w:ind w:firstLine="420"/>
      </w:pPr>
      <w:r>
        <w:rPr>
          <w:rFonts w:hint="eastAsia"/>
        </w:rPr>
        <w:t xml:space="preserve">c）制度修订与完善能力：随着外部环境、内部条件以及战略目标的变化，定期审查和适时修订现有制度的能力，确保制度与时俱进，适应新的管理要求。 </w:t>
      </w:r>
    </w:p>
    <w:p w14:paraId="63C1E9AB" w14:textId="77777777" w:rsidR="00B86285" w:rsidRDefault="00000000">
      <w:pPr>
        <w:pStyle w:val="afffff5"/>
        <w:ind w:firstLine="420"/>
      </w:pPr>
      <w:r>
        <w:rPr>
          <w:rFonts w:hint="eastAsia"/>
        </w:rPr>
        <w:t>d）制度与战略协同能力：制度建设与长期战略目标相结合，通过制度创新推动战略实施，实现可持续发展。</w:t>
      </w:r>
    </w:p>
    <w:p w14:paraId="212E2136" w14:textId="77777777" w:rsidR="00B86285" w:rsidRDefault="00000000">
      <w:pPr>
        <w:pStyle w:val="affe"/>
        <w:spacing w:before="120" w:after="120"/>
      </w:pPr>
      <w:r>
        <w:t>流程规范化能力</w:t>
      </w:r>
    </w:p>
    <w:p w14:paraId="01BCD12A" w14:textId="77777777" w:rsidR="00B86285" w:rsidRDefault="00000000">
      <w:pPr>
        <w:pStyle w:val="afffff5"/>
        <w:ind w:firstLine="420"/>
      </w:pPr>
      <w:r>
        <w:rPr>
          <w:rFonts w:hint="eastAsia"/>
        </w:rPr>
        <w:t xml:space="preserve">流程规范化能力是指将服务提供过程中的步骤、环节、任务以及责任等按照一定的逻辑顺序和标准要求进行系统化设计和标准化操作的过程。涵盖以下几个方面： </w:t>
      </w:r>
    </w:p>
    <w:p w14:paraId="43B0E2BE" w14:textId="77777777" w:rsidR="00B86285" w:rsidRDefault="00000000">
      <w:pPr>
        <w:pStyle w:val="afffff5"/>
        <w:ind w:firstLine="420"/>
      </w:pPr>
      <w:r>
        <w:rPr>
          <w:rFonts w:hint="eastAsia"/>
        </w:rPr>
        <w:t xml:space="preserve">a）流程设计标准化：根据服务性质和客户需求，设计出明确、合理的流程，包括服务的起始阶段、服务阶段和结束阶段。 </w:t>
      </w:r>
    </w:p>
    <w:p w14:paraId="73F76C7D" w14:textId="77777777" w:rsidR="00B86285" w:rsidRDefault="00000000">
      <w:pPr>
        <w:pStyle w:val="afffff5"/>
        <w:ind w:firstLine="420"/>
      </w:pPr>
      <w:r>
        <w:rPr>
          <w:rFonts w:hint="eastAsia"/>
        </w:rPr>
        <w:t xml:space="preserve">b）操作程序规范化：每一环节都有明确的操作指南、标准和要求，确保服务团队人员都按照同一套标准进行服务。 </w:t>
      </w:r>
    </w:p>
    <w:p w14:paraId="7609E39B" w14:textId="77777777" w:rsidR="00B86285" w:rsidRDefault="00000000">
      <w:pPr>
        <w:pStyle w:val="afffff5"/>
        <w:ind w:firstLine="420"/>
      </w:pPr>
      <w:r>
        <w:rPr>
          <w:rFonts w:hint="eastAsia"/>
        </w:rPr>
        <w:t>c）服务质量可控性：通过流程规范化，更好地控制服务过程，减少错误和遗漏，提高服务质量的稳定性和可靠性，同时便于对服务过程进行监控和评估。</w:t>
      </w:r>
    </w:p>
    <w:p w14:paraId="746D963C" w14:textId="77777777" w:rsidR="00B86285" w:rsidRDefault="00000000">
      <w:pPr>
        <w:pStyle w:val="affd"/>
        <w:spacing w:before="120" w:after="120"/>
      </w:pPr>
      <w:r>
        <w:t>持续发展能力</w:t>
      </w:r>
    </w:p>
    <w:p w14:paraId="2B296F6A" w14:textId="77777777" w:rsidR="00B86285" w:rsidRDefault="00000000">
      <w:pPr>
        <w:pStyle w:val="affe"/>
        <w:spacing w:before="120" w:after="120"/>
      </w:pPr>
      <w:r>
        <w:t>概述</w:t>
      </w:r>
    </w:p>
    <w:p w14:paraId="6FA3F379" w14:textId="77777777" w:rsidR="00B86285" w:rsidRDefault="00000000">
      <w:pPr>
        <w:pStyle w:val="afffff5"/>
        <w:ind w:firstLine="420"/>
      </w:pPr>
      <w:r>
        <w:rPr>
          <w:rFonts w:hint="eastAsia"/>
        </w:rPr>
        <w:t>持续发展能力指服务机构在面临不断变化的内外部环境时，能够保持其服务的长期稳定提供，并实现持续改进、扩展服务范围、提高服务质量、提升品牌影响力和市场竞争力，以及适应未来挑战的能力。</w:t>
      </w:r>
    </w:p>
    <w:p w14:paraId="7FC04B1C" w14:textId="77777777" w:rsidR="00B86285" w:rsidRDefault="00000000">
      <w:pPr>
        <w:pStyle w:val="affe"/>
        <w:spacing w:before="120" w:after="120"/>
      </w:pPr>
      <w:r>
        <w:t>服务创新能力</w:t>
      </w:r>
    </w:p>
    <w:p w14:paraId="0F0E6F94" w14:textId="77777777" w:rsidR="00B86285" w:rsidRDefault="00000000">
      <w:pPr>
        <w:pStyle w:val="afffff5"/>
        <w:ind w:firstLine="420"/>
      </w:pPr>
      <w:r>
        <w:rPr>
          <w:rFonts w:hint="eastAsia"/>
        </w:rPr>
        <w:t xml:space="preserve">服务创新能力指服务机构在创新方面的表现，包括是否积极探索新的服务模式、是否能够有效运用新技术提高服务水平等。涵盖以下几个方面： </w:t>
      </w:r>
    </w:p>
    <w:p w14:paraId="37DB44BA" w14:textId="77777777" w:rsidR="00B86285" w:rsidRDefault="00000000">
      <w:pPr>
        <w:pStyle w:val="afffff5"/>
        <w:ind w:firstLine="420"/>
      </w:pPr>
      <w:r>
        <w:t>a</w:t>
      </w:r>
      <w:r>
        <w:rPr>
          <w:rFonts w:hint="eastAsia"/>
        </w:rPr>
        <w:t xml:space="preserve">）服务流程创新：通过改进和重塑服务流程，提高服务效率，减少不必要的环节，提升客户体验，如自助服务、线上线下融合服务等。 </w:t>
      </w:r>
    </w:p>
    <w:p w14:paraId="71E863BE" w14:textId="77777777" w:rsidR="00B86285" w:rsidRDefault="00000000">
      <w:pPr>
        <w:pStyle w:val="afffff5"/>
        <w:ind w:firstLine="420"/>
      </w:pPr>
      <w:r>
        <w:t>b</w:t>
      </w:r>
      <w:r>
        <w:rPr>
          <w:rFonts w:hint="eastAsia"/>
        </w:rPr>
        <w:t>）商业模式创新：改变传统的盈利模式和价值链构造，创造新的价值增长点。</w:t>
      </w:r>
    </w:p>
    <w:p w14:paraId="7B47577F" w14:textId="77777777" w:rsidR="00B86285" w:rsidRDefault="00000000">
      <w:pPr>
        <w:pStyle w:val="affe"/>
        <w:spacing w:before="120" w:after="120"/>
      </w:pPr>
      <w:r>
        <w:t>数字化能力</w:t>
      </w:r>
    </w:p>
    <w:p w14:paraId="7AF49D7E" w14:textId="77777777" w:rsidR="00B86285" w:rsidRDefault="00000000">
      <w:pPr>
        <w:pStyle w:val="afffff5"/>
        <w:ind w:firstLine="420"/>
      </w:pPr>
      <w:r>
        <w:rPr>
          <w:rFonts w:hint="eastAsia"/>
        </w:rPr>
        <w:t xml:space="preserve">数字化能力指服务机构在利用信息技术提升运营效率和通过数字化手段进行业务转型及创新的能力。涵盖以下几个方面： </w:t>
      </w:r>
    </w:p>
    <w:p w14:paraId="154ADC71" w14:textId="77777777" w:rsidR="00B86285" w:rsidRDefault="00000000">
      <w:pPr>
        <w:pStyle w:val="afffff5"/>
        <w:ind w:firstLine="420"/>
      </w:pPr>
      <w:r>
        <w:rPr>
          <w:rFonts w:hint="eastAsia"/>
        </w:rPr>
        <w:lastRenderedPageBreak/>
        <w:t xml:space="preserve">a）数据资产的管理与应用：收集、存储、分析和利用海量数据，挖掘数据价值，辅助决策和优化运营。 </w:t>
      </w:r>
    </w:p>
    <w:p w14:paraId="73F7A3A7" w14:textId="77777777" w:rsidR="00B86285" w:rsidRDefault="00000000">
      <w:pPr>
        <w:pStyle w:val="afffff5"/>
        <w:ind w:firstLine="420"/>
      </w:pPr>
      <w:r>
        <w:rPr>
          <w:rFonts w:hint="eastAsia"/>
        </w:rPr>
        <w:t xml:space="preserve">b）数字化营销与客户体验：通过网络营销、社交媒体、个性化推荐等手段提升客户体验，精准推送信息和服务。 </w:t>
      </w:r>
    </w:p>
    <w:p w14:paraId="7E4E3E3E" w14:textId="77777777" w:rsidR="00B86285" w:rsidRDefault="00000000">
      <w:pPr>
        <w:pStyle w:val="afffff5"/>
        <w:ind w:firstLine="420"/>
      </w:pPr>
      <w:r>
        <w:rPr>
          <w:rFonts w:hint="eastAsia"/>
        </w:rPr>
        <w:t xml:space="preserve">c）数字化运营：通过搭建数字化平台，实现远程办公、线上交易、跨界合作等全新运营模式。 </w:t>
      </w:r>
    </w:p>
    <w:p w14:paraId="1AB6C50A" w14:textId="77777777" w:rsidR="00B86285" w:rsidRDefault="00000000">
      <w:pPr>
        <w:pStyle w:val="afffff5"/>
        <w:ind w:firstLine="420"/>
      </w:pPr>
      <w:r>
        <w:rPr>
          <w:rFonts w:hint="eastAsia"/>
        </w:rPr>
        <w:t>d）智能化运营与决策：利用AI等技术实现智能预测、智能诊断、智能调度等功能，提升运营效率和决策精度。</w:t>
      </w:r>
    </w:p>
    <w:p w14:paraId="70B1D57D" w14:textId="77777777" w:rsidR="00B86285" w:rsidRDefault="00000000">
      <w:pPr>
        <w:pStyle w:val="affe"/>
        <w:spacing w:before="120" w:after="120"/>
      </w:pPr>
      <w:r>
        <w:t>优化改进能力</w:t>
      </w:r>
    </w:p>
    <w:p w14:paraId="715819D6" w14:textId="77777777" w:rsidR="00B86285" w:rsidRDefault="00000000">
      <w:pPr>
        <w:pStyle w:val="afffff5"/>
        <w:ind w:firstLine="420"/>
      </w:pPr>
      <w:r>
        <w:rPr>
          <w:rFonts w:hint="eastAsia"/>
        </w:rPr>
        <w:t>优化改进能力指服务机构通过科学的方法和手段对存在的不足、问题或瓶颈，进行分析、研究和改进，以提高效率、降低成本、提升质量、增强竞争力的能力。涵盖以下几个方面：</w:t>
      </w:r>
    </w:p>
    <w:p w14:paraId="5BE429A4" w14:textId="77777777" w:rsidR="00B86285" w:rsidRDefault="00000000">
      <w:pPr>
        <w:pStyle w:val="afffff5"/>
        <w:ind w:firstLine="420"/>
      </w:pPr>
      <w:r>
        <w:rPr>
          <w:rFonts w:hint="eastAsia"/>
        </w:rPr>
        <w:t xml:space="preserve">a）问题识别与分析：观察、识别和深入了解服务中存在的问题、短板或改进空间，通过数据分析、问题梳理等方式，准确把握改进的重点。 </w:t>
      </w:r>
    </w:p>
    <w:p w14:paraId="5B1E5F01" w14:textId="77777777" w:rsidR="00B86285" w:rsidRDefault="00000000">
      <w:pPr>
        <w:pStyle w:val="afffff5"/>
        <w:ind w:firstLine="420"/>
      </w:pPr>
      <w:r>
        <w:rPr>
          <w:rFonts w:hint="eastAsia"/>
        </w:rPr>
        <w:t xml:space="preserve">b）持续改进与学习：建立改进效果的评估体系，实时监测改进进程，持续改进的闭环机制。 </w:t>
      </w:r>
    </w:p>
    <w:p w14:paraId="372F8ED1" w14:textId="77777777" w:rsidR="00B86285" w:rsidRDefault="00000000">
      <w:pPr>
        <w:pStyle w:val="afffff5"/>
        <w:ind w:firstLine="420"/>
      </w:pPr>
      <w:r>
        <w:rPr>
          <w:rFonts w:hint="eastAsia"/>
        </w:rPr>
        <w:t>c）适应变化与应变：面对市场、技术、客户需求等外部环境的变化，快速调整和优化改进策略，确保改进措施始终与内外部环境的变化保持一致。</w:t>
      </w:r>
    </w:p>
    <w:p w14:paraId="3686BF85" w14:textId="77777777" w:rsidR="00B86285" w:rsidRDefault="00000000">
      <w:pPr>
        <w:pStyle w:val="affe"/>
        <w:spacing w:before="120" w:after="120"/>
      </w:pPr>
      <w:r>
        <w:t>团队建设能力</w:t>
      </w:r>
    </w:p>
    <w:p w14:paraId="6A6E11C1" w14:textId="77777777" w:rsidR="00B86285" w:rsidRDefault="00000000">
      <w:pPr>
        <w:pStyle w:val="afffff5"/>
        <w:ind w:firstLine="420"/>
      </w:pPr>
      <w:r>
        <w:rPr>
          <w:rFonts w:hint="eastAsia"/>
        </w:rPr>
        <w:t xml:space="preserve">团队建设能力指服务机构提升团队整体绩效和协作效率的能力。涵盖以下几个方面： </w:t>
      </w:r>
    </w:p>
    <w:p w14:paraId="1BABFB0C" w14:textId="77777777" w:rsidR="00B86285" w:rsidRDefault="00000000">
      <w:pPr>
        <w:pStyle w:val="afffff5"/>
        <w:ind w:firstLine="420"/>
      </w:pPr>
      <w:r>
        <w:rPr>
          <w:rFonts w:hint="eastAsia"/>
        </w:rPr>
        <w:t xml:space="preserve">a）团队组建：根据服务目标和任务需求，选拔合适的人才加入团队，并合理配置团队成员的角色和职责。 </w:t>
      </w:r>
    </w:p>
    <w:p w14:paraId="2FCABE59" w14:textId="77777777" w:rsidR="00B86285" w:rsidRDefault="00000000">
      <w:pPr>
        <w:pStyle w:val="afffff5"/>
        <w:ind w:firstLine="420"/>
      </w:pPr>
      <w:r>
        <w:rPr>
          <w:rFonts w:hint="eastAsia"/>
        </w:rPr>
        <w:t xml:space="preserve">b）沟通与协调：建立开放、透明的沟通渠道，鼓励团队成员之间的信息共享和有效沟通，解决团队内部冲突，提高团队协作的默契度。 </w:t>
      </w:r>
    </w:p>
    <w:p w14:paraId="0FF51EA6" w14:textId="77777777" w:rsidR="00B86285" w:rsidRDefault="00000000">
      <w:pPr>
        <w:pStyle w:val="afffff5"/>
        <w:ind w:firstLine="420"/>
      </w:pPr>
      <w:r>
        <w:rPr>
          <w:rFonts w:hint="eastAsia"/>
        </w:rPr>
        <w:t>c）能力培养与发展：提供充足的培训和发展机会，帮助团队成员提升专业技能和个人素质，促进团队整体能力的持续提升。</w:t>
      </w:r>
    </w:p>
    <w:p w14:paraId="49A57044" w14:textId="77777777" w:rsidR="00B86285" w:rsidRDefault="00000000">
      <w:pPr>
        <w:pStyle w:val="affd"/>
        <w:spacing w:before="120" w:after="120"/>
      </w:pPr>
      <w:r>
        <w:t>服务效果与影响力</w:t>
      </w:r>
    </w:p>
    <w:p w14:paraId="6AD0AFC0" w14:textId="77777777" w:rsidR="00B86285" w:rsidRDefault="00000000">
      <w:pPr>
        <w:pStyle w:val="affe"/>
        <w:spacing w:before="120" w:after="120"/>
      </w:pPr>
      <w:r>
        <w:t>概述</w:t>
      </w:r>
    </w:p>
    <w:p w14:paraId="62F34ACA" w14:textId="77777777" w:rsidR="00B86285" w:rsidRDefault="00000000">
      <w:pPr>
        <w:pStyle w:val="afffff5"/>
        <w:ind w:firstLine="420"/>
      </w:pPr>
      <w:r>
        <w:rPr>
          <w:rFonts w:hint="eastAsia"/>
        </w:rPr>
        <w:t>服务效果与影响力指服务机构在促进中小企业发展方面的实际效果，包括是否有效推动中小企业新旧动能转换、是否支持引导中小型企业向“专精特新”方向发展等。</w:t>
      </w:r>
    </w:p>
    <w:p w14:paraId="2A8912E8" w14:textId="77777777" w:rsidR="00B86285" w:rsidRDefault="00000000">
      <w:pPr>
        <w:pStyle w:val="affe"/>
        <w:spacing w:before="120" w:after="120"/>
      </w:pPr>
      <w:r>
        <w:t>客户满意度</w:t>
      </w:r>
    </w:p>
    <w:p w14:paraId="67A71ADB" w14:textId="77777777" w:rsidR="00B86285" w:rsidRDefault="00000000">
      <w:pPr>
        <w:pStyle w:val="afffff5"/>
        <w:ind w:firstLine="420"/>
      </w:pPr>
      <w:r>
        <w:rPr>
          <w:rFonts w:hint="eastAsia"/>
        </w:rPr>
        <w:t>客户满意度是衡量中小企业对其购买的产品、接受的服务或体验的整体感受与期望之间相符程度的主观指标，包括服务咨询、服务执行、技术支持、问题解决效率等方面。</w:t>
      </w:r>
    </w:p>
    <w:p w14:paraId="10BE35D4" w14:textId="77777777" w:rsidR="00B86285" w:rsidRDefault="00000000">
      <w:pPr>
        <w:pStyle w:val="affe"/>
        <w:spacing w:before="120" w:after="120"/>
      </w:pPr>
      <w:r>
        <w:t>服务价值收益</w:t>
      </w:r>
    </w:p>
    <w:p w14:paraId="6C23B990" w14:textId="77777777" w:rsidR="00B86285" w:rsidRDefault="00000000">
      <w:pPr>
        <w:pStyle w:val="afffff5"/>
        <w:ind w:firstLine="420"/>
      </w:pPr>
      <w:r>
        <w:rPr>
          <w:rFonts w:hint="eastAsia"/>
        </w:rPr>
        <w:t>服务价值收益指服务机构为企业提供服务带来的企业可持续发展收益方面的能力，包括其是否能够关注中小企业的长远发展，为中小企业提供可持续性的解决方案，以及是否能够在服务过程中注重社会责任履行、环保贡献、文化价值体现等非物质性方面。</w:t>
      </w:r>
    </w:p>
    <w:p w14:paraId="3192C851" w14:textId="77777777" w:rsidR="00B86285" w:rsidRDefault="00000000">
      <w:pPr>
        <w:pStyle w:val="affe"/>
        <w:spacing w:before="120" w:after="120"/>
      </w:pPr>
      <w:r>
        <w:t>机构荣誉</w:t>
      </w:r>
    </w:p>
    <w:p w14:paraId="671BA0C4" w14:textId="77777777" w:rsidR="00B86285" w:rsidRDefault="00000000">
      <w:pPr>
        <w:pStyle w:val="afffff5"/>
        <w:ind w:firstLine="420"/>
      </w:pPr>
      <w:r>
        <w:rPr>
          <w:rFonts w:hint="eastAsia"/>
        </w:rPr>
        <w:t>机构荣誉指服务机构在社会上获得的荣誉和奖励，包括其在推动中小企业发展、支持中小企业创新创业等方面的贡献，以及其在社会上的声誉和形象。</w:t>
      </w:r>
    </w:p>
    <w:p w14:paraId="29F37B23" w14:textId="77777777" w:rsidR="00B86285" w:rsidRDefault="00B86285">
      <w:pPr>
        <w:pStyle w:val="afffff5"/>
        <w:ind w:firstLineChars="0" w:firstLine="0"/>
      </w:pPr>
    </w:p>
    <w:p w14:paraId="7CC7B1D2" w14:textId="77777777" w:rsidR="00B86285" w:rsidRDefault="00B86285">
      <w:pPr>
        <w:pStyle w:val="afffff5"/>
        <w:ind w:firstLine="420"/>
        <w:sectPr w:rsidR="00B86285">
          <w:pgSz w:w="11906" w:h="16838"/>
          <w:pgMar w:top="1928" w:right="1134" w:bottom="1134" w:left="1134" w:header="1418" w:footer="1134" w:gutter="284"/>
          <w:pgNumType w:start="1"/>
          <w:cols w:space="425"/>
          <w:formProt w:val="0"/>
          <w:docGrid w:linePitch="312"/>
        </w:sectPr>
      </w:pPr>
    </w:p>
    <w:p w14:paraId="13FDC9C4" w14:textId="77777777" w:rsidR="00B86285" w:rsidRDefault="00B86285">
      <w:pPr>
        <w:pStyle w:val="af8"/>
        <w:rPr>
          <w:rFonts w:hint="eastAsia"/>
          <w:vanish w:val="0"/>
        </w:rPr>
      </w:pPr>
      <w:bookmarkStart w:id="49" w:name="BookMark5"/>
      <w:bookmarkEnd w:id="19"/>
    </w:p>
    <w:p w14:paraId="0A321D14" w14:textId="77777777" w:rsidR="00B86285" w:rsidRDefault="00B86285">
      <w:pPr>
        <w:pStyle w:val="afe"/>
        <w:rPr>
          <w:vanish w:val="0"/>
        </w:rPr>
      </w:pPr>
    </w:p>
    <w:p w14:paraId="3F923692" w14:textId="77777777" w:rsidR="00B86285" w:rsidRDefault="00000000">
      <w:pPr>
        <w:pStyle w:val="aff"/>
        <w:numPr>
          <w:ilvl w:val="1"/>
          <w:numId w:val="0"/>
        </w:numPr>
        <w:spacing w:before="120" w:after="120"/>
        <w:outlineLvl w:val="0"/>
      </w:pPr>
      <w:bookmarkStart w:id="50" w:name="_Toc11028"/>
      <w:r>
        <w:rPr>
          <w:rFonts w:hint="eastAsia"/>
          <w:spacing w:val="100"/>
        </w:rPr>
        <w:t>参考文献</w:t>
      </w:r>
      <w:bookmarkEnd w:id="50"/>
    </w:p>
    <w:p w14:paraId="6744629E" w14:textId="77777777" w:rsidR="00B86285" w:rsidRDefault="00000000">
      <w:pPr>
        <w:widowControl/>
        <w:jc w:val="left"/>
      </w:pPr>
      <w:r>
        <w:rPr>
          <w:rFonts w:ascii="黑体" w:eastAsia="黑体" w:hAnsi="宋体" w:cs="黑体"/>
          <w:color w:val="000000"/>
          <w:kern w:val="0"/>
          <w:lang w:bidi="ar"/>
        </w:rPr>
        <w:t xml:space="preserve">[1]GB/T 4754-2017 国民经济行业分类 </w:t>
      </w:r>
    </w:p>
    <w:p w14:paraId="45883099" w14:textId="77777777" w:rsidR="00B86285" w:rsidRDefault="00000000">
      <w:pPr>
        <w:widowControl/>
        <w:jc w:val="left"/>
      </w:pPr>
      <w:r>
        <w:rPr>
          <w:rFonts w:ascii="黑体" w:eastAsia="黑体" w:hAnsi="宋体" w:cs="黑体" w:hint="eastAsia"/>
          <w:color w:val="000000"/>
          <w:kern w:val="0"/>
          <w:lang w:bidi="ar"/>
        </w:rPr>
        <w:t xml:space="preserve">[2]DB53/T 1117-2022 中小企业公共服务分类 </w:t>
      </w:r>
    </w:p>
    <w:p w14:paraId="14BD3853" w14:textId="77777777" w:rsidR="00B86285" w:rsidRDefault="00000000">
      <w:pPr>
        <w:widowControl/>
        <w:jc w:val="left"/>
      </w:pPr>
      <w:r>
        <w:rPr>
          <w:rFonts w:ascii="黑体" w:eastAsia="黑体" w:hAnsi="宋体" w:cs="黑体" w:hint="eastAsia"/>
          <w:color w:val="000000"/>
          <w:kern w:val="0"/>
          <w:lang w:bidi="ar"/>
        </w:rPr>
        <w:t xml:space="preserve">[3]DB34/T 3727-2020 中小企业社会化公共服务规范 </w:t>
      </w:r>
    </w:p>
    <w:p w14:paraId="3A267A5B" w14:textId="77777777" w:rsidR="00B86285" w:rsidRDefault="00000000">
      <w:pPr>
        <w:widowControl/>
        <w:jc w:val="left"/>
      </w:pPr>
      <w:r>
        <w:rPr>
          <w:rFonts w:ascii="黑体" w:eastAsia="黑体" w:hAnsi="宋体" w:cs="黑体" w:hint="eastAsia"/>
          <w:color w:val="000000"/>
          <w:kern w:val="0"/>
          <w:lang w:bidi="ar"/>
        </w:rPr>
        <w:t xml:space="preserve">[4]T/TMAC 009.F-2019 科技服务机构评价导则 </w:t>
      </w:r>
    </w:p>
    <w:p w14:paraId="7130C35B" w14:textId="77777777" w:rsidR="00B86285" w:rsidRDefault="00000000">
      <w:pPr>
        <w:widowControl/>
        <w:jc w:val="left"/>
      </w:pPr>
      <w:r>
        <w:rPr>
          <w:rFonts w:ascii="黑体" w:eastAsia="黑体" w:hAnsi="宋体" w:cs="黑体" w:hint="eastAsia"/>
          <w:color w:val="000000"/>
          <w:kern w:val="0"/>
          <w:lang w:bidi="ar"/>
        </w:rPr>
        <w:t xml:space="preserve">[5]T/BCA 01-2019 信用服务机构分类 </w:t>
      </w:r>
    </w:p>
    <w:p w14:paraId="76C37324" w14:textId="77777777" w:rsidR="00B86285" w:rsidRDefault="00000000">
      <w:pPr>
        <w:widowControl/>
        <w:jc w:val="left"/>
      </w:pPr>
      <w:r>
        <w:rPr>
          <w:rFonts w:ascii="黑体" w:eastAsia="黑体" w:hAnsi="宋体" w:cs="黑体" w:hint="eastAsia"/>
          <w:color w:val="000000"/>
          <w:kern w:val="0"/>
          <w:lang w:bidi="ar"/>
        </w:rPr>
        <w:t xml:space="preserve">[6] T/TMAC 009.F-2019 科技服务机构评价导则 </w:t>
      </w:r>
    </w:p>
    <w:p w14:paraId="43251A4C" w14:textId="77777777" w:rsidR="00B86285" w:rsidRDefault="00000000">
      <w:pPr>
        <w:widowControl/>
        <w:jc w:val="left"/>
      </w:pPr>
      <w:r>
        <w:rPr>
          <w:rFonts w:ascii="黑体" w:eastAsia="黑体" w:hAnsi="宋体" w:cs="黑体" w:hint="eastAsia"/>
          <w:color w:val="000000"/>
          <w:kern w:val="0"/>
          <w:lang w:bidi="ar"/>
        </w:rPr>
        <w:t xml:space="preserve">[7] DB34/T 4364—2023 中小企业公共服务评价指标体系 </w:t>
      </w:r>
    </w:p>
    <w:p w14:paraId="016EB6F2" w14:textId="77777777" w:rsidR="00B86285" w:rsidRDefault="00000000">
      <w:pPr>
        <w:widowControl/>
        <w:jc w:val="left"/>
      </w:pPr>
      <w:r>
        <w:rPr>
          <w:rFonts w:ascii="黑体" w:eastAsia="黑体" w:hAnsi="宋体" w:cs="黑体" w:hint="eastAsia"/>
          <w:color w:val="000000"/>
          <w:kern w:val="0"/>
          <w:lang w:bidi="ar"/>
        </w:rPr>
        <w:t>[8] DB 43/T 2736-2023 公共资源交易服务能力评价</w:t>
      </w:r>
    </w:p>
    <w:p w14:paraId="0F6D1385" w14:textId="77777777" w:rsidR="00B86285" w:rsidRDefault="00B86285">
      <w:pPr>
        <w:pStyle w:val="afffff5"/>
        <w:ind w:firstLine="420"/>
      </w:pPr>
    </w:p>
    <w:p w14:paraId="6692923B" w14:textId="77777777" w:rsidR="00B86285" w:rsidRDefault="00000000">
      <w:pPr>
        <w:pStyle w:val="afffff5"/>
        <w:ind w:firstLineChars="0" w:firstLine="0"/>
        <w:jc w:val="center"/>
      </w:pPr>
      <w:bookmarkStart w:id="51" w:name="BookMark8"/>
      <w:bookmarkEnd w:id="49"/>
      <w:r>
        <w:rPr>
          <w:noProof/>
        </w:rPr>
        <w:drawing>
          <wp:inline distT="0" distB="0" distL="0" distR="0" wp14:anchorId="4D373F34" wp14:editId="5B808DF3">
            <wp:extent cx="1485900" cy="317500"/>
            <wp:effectExtent l="0" t="0" r="0" b="6350"/>
            <wp:docPr id="1267416443" name="图片 3"/>
            <wp:cNvGraphicFramePr/>
            <a:graphic xmlns:a="http://schemas.openxmlformats.org/drawingml/2006/main">
              <a:graphicData uri="http://schemas.openxmlformats.org/drawingml/2006/picture">
                <pic:pic xmlns:pic="http://schemas.openxmlformats.org/drawingml/2006/picture">
                  <pic:nvPicPr>
                    <pic:cNvPr id="126741644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1"/>
    </w:p>
    <w:sectPr w:rsidR="00B8628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ED04" w14:textId="77777777" w:rsidR="00922FEC" w:rsidRDefault="00922FEC">
      <w:pPr>
        <w:spacing w:line="240" w:lineRule="auto"/>
      </w:pPr>
      <w:r>
        <w:separator/>
      </w:r>
    </w:p>
  </w:endnote>
  <w:endnote w:type="continuationSeparator" w:id="0">
    <w:p w14:paraId="190A495A" w14:textId="77777777" w:rsidR="00922FEC" w:rsidRDefault="00922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5895" w14:textId="77777777" w:rsidR="00B86285"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D34F" w14:textId="77777777" w:rsidR="00B86285" w:rsidRDefault="00B86285">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597B" w14:textId="77777777" w:rsidR="00B86285" w:rsidRDefault="00B8628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0FA6" w14:textId="77777777" w:rsidR="00B86285"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6A3E" w14:textId="77777777" w:rsidR="00922FEC" w:rsidRDefault="00922FEC">
      <w:pPr>
        <w:spacing w:line="240" w:lineRule="auto"/>
      </w:pPr>
      <w:r>
        <w:separator/>
      </w:r>
    </w:p>
  </w:footnote>
  <w:footnote w:type="continuationSeparator" w:id="0">
    <w:p w14:paraId="30FB70C5" w14:textId="77777777" w:rsidR="00922FEC" w:rsidRDefault="00922F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0FEA" w14:textId="77777777" w:rsidR="00B86285" w:rsidRDefault="00B86285">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1F81" w14:textId="77777777" w:rsidR="00B86285"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5D05" w14:textId="77777777" w:rsidR="00B86285" w:rsidRDefault="00B8628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87AA" w14:textId="77777777" w:rsidR="00B86285"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1919" w14:textId="6E4524F0" w:rsidR="00B86285" w:rsidRDefault="00000000">
    <w:pPr>
      <w:pStyle w:val="afffffa"/>
      <w:rPr>
        <w:rFonts w:hint="eastAsia"/>
      </w:rPr>
    </w:pPr>
    <w:r>
      <w:fldChar w:fldCharType="begin"/>
    </w:r>
    <w:r>
      <w:instrText xml:space="preserve"> STYLEREF  标准文件_文件编号  \* MERGEFORMAT </w:instrText>
    </w:r>
    <w:r>
      <w:fldChar w:fldCharType="separate"/>
    </w:r>
    <w:r w:rsidR="00AB20F5">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65860529">
    <w:abstractNumId w:val="0"/>
  </w:num>
  <w:num w:numId="2" w16cid:durableId="913930548">
    <w:abstractNumId w:val="27"/>
  </w:num>
  <w:num w:numId="3" w16cid:durableId="1457942461">
    <w:abstractNumId w:val="5"/>
  </w:num>
  <w:num w:numId="4" w16cid:durableId="563872698">
    <w:abstractNumId w:val="23"/>
  </w:num>
  <w:num w:numId="5" w16cid:durableId="1665548228">
    <w:abstractNumId w:val="18"/>
  </w:num>
  <w:num w:numId="6" w16cid:durableId="183709964">
    <w:abstractNumId w:val="13"/>
  </w:num>
  <w:num w:numId="7" w16cid:durableId="523786871">
    <w:abstractNumId w:val="8"/>
  </w:num>
  <w:num w:numId="8" w16cid:durableId="916942930">
    <w:abstractNumId w:val="3"/>
  </w:num>
  <w:num w:numId="9" w16cid:durableId="2052220001">
    <w:abstractNumId w:val="9"/>
  </w:num>
  <w:num w:numId="10" w16cid:durableId="1429422884">
    <w:abstractNumId w:val="16"/>
  </w:num>
  <w:num w:numId="11" w16cid:durableId="1578589082">
    <w:abstractNumId w:val="25"/>
  </w:num>
  <w:num w:numId="12" w16cid:durableId="348336771">
    <w:abstractNumId w:val="11"/>
  </w:num>
  <w:num w:numId="13" w16cid:durableId="204341986">
    <w:abstractNumId w:val="12"/>
  </w:num>
  <w:num w:numId="14" w16cid:durableId="1763062525">
    <w:abstractNumId w:val="7"/>
  </w:num>
  <w:num w:numId="15" w16cid:durableId="1462379394">
    <w:abstractNumId w:val="19"/>
  </w:num>
  <w:num w:numId="16" w16cid:durableId="1997874741">
    <w:abstractNumId w:val="21"/>
  </w:num>
  <w:num w:numId="17" w16cid:durableId="1835758263">
    <w:abstractNumId w:val="17"/>
  </w:num>
  <w:num w:numId="18" w16cid:durableId="1273443352">
    <w:abstractNumId w:val="29"/>
  </w:num>
  <w:num w:numId="19" w16cid:durableId="154953955">
    <w:abstractNumId w:val="15"/>
  </w:num>
  <w:num w:numId="20" w16cid:durableId="699747892">
    <w:abstractNumId w:val="1"/>
  </w:num>
  <w:num w:numId="21" w16cid:durableId="407849844">
    <w:abstractNumId w:val="10"/>
  </w:num>
  <w:num w:numId="22" w16cid:durableId="713037987">
    <w:abstractNumId w:val="30"/>
  </w:num>
  <w:num w:numId="23" w16cid:durableId="1900629173">
    <w:abstractNumId w:val="20"/>
  </w:num>
  <w:num w:numId="24" w16cid:durableId="1978685961">
    <w:abstractNumId w:val="6"/>
  </w:num>
  <w:num w:numId="25" w16cid:durableId="1494957200">
    <w:abstractNumId w:val="26"/>
  </w:num>
  <w:num w:numId="26" w16cid:durableId="1427580757">
    <w:abstractNumId w:val="28"/>
  </w:num>
  <w:num w:numId="27" w16cid:durableId="1200971207">
    <w:abstractNumId w:val="2"/>
  </w:num>
  <w:num w:numId="28" w16cid:durableId="1725911237">
    <w:abstractNumId w:val="4"/>
  </w:num>
  <w:num w:numId="29" w16cid:durableId="2065981053">
    <w:abstractNumId w:val="14"/>
  </w:num>
  <w:num w:numId="30" w16cid:durableId="269095421">
    <w:abstractNumId w:val="24"/>
  </w:num>
  <w:num w:numId="31" w16cid:durableId="11708760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0E"/>
    <w:rsid w:val="0000040A"/>
    <w:rsid w:val="00000A94"/>
    <w:rsid w:val="00000EEF"/>
    <w:rsid w:val="00001972"/>
    <w:rsid w:val="00001D9A"/>
    <w:rsid w:val="00007B3A"/>
    <w:rsid w:val="000107E0"/>
    <w:rsid w:val="00011FDE"/>
    <w:rsid w:val="00012FFD"/>
    <w:rsid w:val="00014162"/>
    <w:rsid w:val="00014340"/>
    <w:rsid w:val="00016A9C"/>
    <w:rsid w:val="00022184"/>
    <w:rsid w:val="00022762"/>
    <w:rsid w:val="00022823"/>
    <w:rsid w:val="000238E0"/>
    <w:rsid w:val="000246FF"/>
    <w:rsid w:val="000249DB"/>
    <w:rsid w:val="0002595E"/>
    <w:rsid w:val="000303C3"/>
    <w:rsid w:val="000331D3"/>
    <w:rsid w:val="000346A5"/>
    <w:rsid w:val="000357C9"/>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7F"/>
    <w:rsid w:val="000B1592"/>
    <w:rsid w:val="000B1FF2"/>
    <w:rsid w:val="000B3CDA"/>
    <w:rsid w:val="000B6A0B"/>
    <w:rsid w:val="000C0F6C"/>
    <w:rsid w:val="000C11DB"/>
    <w:rsid w:val="000C1492"/>
    <w:rsid w:val="000C2FBD"/>
    <w:rsid w:val="000C308A"/>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3733"/>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73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959"/>
    <w:rsid w:val="00202AA4"/>
    <w:rsid w:val="002031F7"/>
    <w:rsid w:val="002040E6"/>
    <w:rsid w:val="0020527B"/>
    <w:rsid w:val="00205F2C"/>
    <w:rsid w:val="00210676"/>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141"/>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632"/>
    <w:rsid w:val="0030441D"/>
    <w:rsid w:val="00306063"/>
    <w:rsid w:val="00313B85"/>
    <w:rsid w:val="00317988"/>
    <w:rsid w:val="003221B4"/>
    <w:rsid w:val="0032258D"/>
    <w:rsid w:val="00322844"/>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96B"/>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531"/>
    <w:rsid w:val="003B09AD"/>
    <w:rsid w:val="003B1F18"/>
    <w:rsid w:val="003B5BF0"/>
    <w:rsid w:val="003B60BF"/>
    <w:rsid w:val="003B6BE3"/>
    <w:rsid w:val="003C010C"/>
    <w:rsid w:val="003C0A6C"/>
    <w:rsid w:val="003C14F8"/>
    <w:rsid w:val="003C2B93"/>
    <w:rsid w:val="003C5850"/>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1AC2"/>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920"/>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6A7"/>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7F7"/>
    <w:rsid w:val="0053692B"/>
    <w:rsid w:val="00541853"/>
    <w:rsid w:val="00543BDA"/>
    <w:rsid w:val="005441CC"/>
    <w:rsid w:val="00546078"/>
    <w:rsid w:val="005479DA"/>
    <w:rsid w:val="00547BCC"/>
    <w:rsid w:val="0055013B"/>
    <w:rsid w:val="00551F6F"/>
    <w:rsid w:val="00555044"/>
    <w:rsid w:val="00561475"/>
    <w:rsid w:val="00562308"/>
    <w:rsid w:val="0056487B"/>
    <w:rsid w:val="00564FB9"/>
    <w:rsid w:val="00573D9E"/>
    <w:rsid w:val="00577622"/>
    <w:rsid w:val="00580185"/>
    <w:rsid w:val="005801E3"/>
    <w:rsid w:val="00581802"/>
    <w:rsid w:val="005836A8"/>
    <w:rsid w:val="0058409C"/>
    <w:rsid w:val="00584262"/>
    <w:rsid w:val="00586630"/>
    <w:rsid w:val="00587ADD"/>
    <w:rsid w:val="00593A49"/>
    <w:rsid w:val="00596160"/>
    <w:rsid w:val="005964D8"/>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7FC"/>
    <w:rsid w:val="005F284E"/>
    <w:rsid w:val="006015CE"/>
    <w:rsid w:val="00604784"/>
    <w:rsid w:val="00606419"/>
    <w:rsid w:val="00607D29"/>
    <w:rsid w:val="00612952"/>
    <w:rsid w:val="00614CC1"/>
    <w:rsid w:val="00615A9D"/>
    <w:rsid w:val="00617387"/>
    <w:rsid w:val="00617DA3"/>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4D4"/>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CC3"/>
    <w:rsid w:val="006971F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45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6D7"/>
    <w:rsid w:val="00765C43"/>
    <w:rsid w:val="00765EFB"/>
    <w:rsid w:val="00766DF8"/>
    <w:rsid w:val="007671CA"/>
    <w:rsid w:val="00767C61"/>
    <w:rsid w:val="0077008A"/>
    <w:rsid w:val="007702A5"/>
    <w:rsid w:val="00773C1F"/>
    <w:rsid w:val="00774DA4"/>
    <w:rsid w:val="00776599"/>
    <w:rsid w:val="0078114B"/>
    <w:rsid w:val="00781DD2"/>
    <w:rsid w:val="00783ECF"/>
    <w:rsid w:val="0078413A"/>
    <w:rsid w:val="007959E8"/>
    <w:rsid w:val="00795E9C"/>
    <w:rsid w:val="007A0521"/>
    <w:rsid w:val="007A2E12"/>
    <w:rsid w:val="007A3403"/>
    <w:rsid w:val="007A3475"/>
    <w:rsid w:val="007A41C8"/>
    <w:rsid w:val="007A54CE"/>
    <w:rsid w:val="007A5D3A"/>
    <w:rsid w:val="007A6FD9"/>
    <w:rsid w:val="007A7FFA"/>
    <w:rsid w:val="007B04EB"/>
    <w:rsid w:val="007B0D4F"/>
    <w:rsid w:val="007B3249"/>
    <w:rsid w:val="007B5A3D"/>
    <w:rsid w:val="007B5B95"/>
    <w:rsid w:val="007B6032"/>
    <w:rsid w:val="007B68EA"/>
    <w:rsid w:val="007B7453"/>
    <w:rsid w:val="007C2D89"/>
    <w:rsid w:val="007C4593"/>
    <w:rsid w:val="007C5309"/>
    <w:rsid w:val="007C6069"/>
    <w:rsid w:val="007D047A"/>
    <w:rsid w:val="007D06C4"/>
    <w:rsid w:val="007D1352"/>
    <w:rsid w:val="007D2508"/>
    <w:rsid w:val="007D346A"/>
    <w:rsid w:val="007D6518"/>
    <w:rsid w:val="007D76BD"/>
    <w:rsid w:val="007E0BF1"/>
    <w:rsid w:val="007F04F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2FF"/>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4E"/>
    <w:rsid w:val="00914CA7"/>
    <w:rsid w:val="00915C3E"/>
    <w:rsid w:val="009161A8"/>
    <w:rsid w:val="009162BE"/>
    <w:rsid w:val="00922FEC"/>
    <w:rsid w:val="009245AE"/>
    <w:rsid w:val="009245F5"/>
    <w:rsid w:val="009249EC"/>
    <w:rsid w:val="009273B3"/>
    <w:rsid w:val="009305B5"/>
    <w:rsid w:val="009378DD"/>
    <w:rsid w:val="009429D5"/>
    <w:rsid w:val="00942BF1"/>
    <w:rsid w:val="00942D08"/>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AAC"/>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D73"/>
    <w:rsid w:val="00A41C79"/>
    <w:rsid w:val="00A41CB5"/>
    <w:rsid w:val="00A42CDF"/>
    <w:rsid w:val="00A4452E"/>
    <w:rsid w:val="00A4472C"/>
    <w:rsid w:val="00A44E69"/>
    <w:rsid w:val="00A45C67"/>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0F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3C87"/>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285"/>
    <w:rsid w:val="00B86677"/>
    <w:rsid w:val="00B87131"/>
    <w:rsid w:val="00B939B1"/>
    <w:rsid w:val="00B96D40"/>
    <w:rsid w:val="00B97386"/>
    <w:rsid w:val="00B97762"/>
    <w:rsid w:val="00BA263B"/>
    <w:rsid w:val="00BA42B2"/>
    <w:rsid w:val="00BA58D4"/>
    <w:rsid w:val="00BA5B9E"/>
    <w:rsid w:val="00BA7C9A"/>
    <w:rsid w:val="00BB16A0"/>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9ED"/>
    <w:rsid w:val="00C21540"/>
    <w:rsid w:val="00C21906"/>
    <w:rsid w:val="00C21BFA"/>
    <w:rsid w:val="00C24C8D"/>
    <w:rsid w:val="00C25FE2"/>
    <w:rsid w:val="00C2601B"/>
    <w:rsid w:val="00C26B53"/>
    <w:rsid w:val="00C279B2"/>
    <w:rsid w:val="00C33E50"/>
    <w:rsid w:val="00C34C20"/>
    <w:rsid w:val="00C35A3E"/>
    <w:rsid w:val="00C42130"/>
    <w:rsid w:val="00C423A4"/>
    <w:rsid w:val="00C423E3"/>
    <w:rsid w:val="00C424E5"/>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44F"/>
    <w:rsid w:val="00C9614A"/>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D44"/>
    <w:rsid w:val="00CC6E4E"/>
    <w:rsid w:val="00CC6FE8"/>
    <w:rsid w:val="00CC7202"/>
    <w:rsid w:val="00CD2808"/>
    <w:rsid w:val="00CD28BF"/>
    <w:rsid w:val="00CD2DD8"/>
    <w:rsid w:val="00CD4092"/>
    <w:rsid w:val="00CD4A20"/>
    <w:rsid w:val="00CD50A1"/>
    <w:rsid w:val="00CD519E"/>
    <w:rsid w:val="00CE0C4F"/>
    <w:rsid w:val="00CE30EA"/>
    <w:rsid w:val="00CE43A9"/>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7CC2"/>
    <w:rsid w:val="00D4162B"/>
    <w:rsid w:val="00D4514F"/>
    <w:rsid w:val="00D451E2"/>
    <w:rsid w:val="00D45E89"/>
    <w:rsid w:val="00D45E8D"/>
    <w:rsid w:val="00D464F5"/>
    <w:rsid w:val="00D466AE"/>
    <w:rsid w:val="00D4734F"/>
    <w:rsid w:val="00D51BF3"/>
    <w:rsid w:val="00D5680E"/>
    <w:rsid w:val="00D575E6"/>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598B"/>
    <w:rsid w:val="00E502C1"/>
    <w:rsid w:val="00E502DD"/>
    <w:rsid w:val="00E50D3A"/>
    <w:rsid w:val="00E51387"/>
    <w:rsid w:val="00E51E68"/>
    <w:rsid w:val="00E52245"/>
    <w:rsid w:val="00E52EFD"/>
    <w:rsid w:val="00E5408A"/>
    <w:rsid w:val="00E56800"/>
    <w:rsid w:val="00E60C63"/>
    <w:rsid w:val="00E62FF9"/>
    <w:rsid w:val="00E635D6"/>
    <w:rsid w:val="00E639BC"/>
    <w:rsid w:val="00E664CC"/>
    <w:rsid w:val="00E66DDD"/>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1B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4803"/>
    <w:rsid w:val="00F420D5"/>
    <w:rsid w:val="00F451EA"/>
    <w:rsid w:val="00F45447"/>
    <w:rsid w:val="00F456C6"/>
    <w:rsid w:val="00F4577B"/>
    <w:rsid w:val="00F46496"/>
    <w:rsid w:val="00F46FFC"/>
    <w:rsid w:val="00F474D0"/>
    <w:rsid w:val="00F50179"/>
    <w:rsid w:val="00F515EE"/>
    <w:rsid w:val="00F53CCC"/>
    <w:rsid w:val="00F55783"/>
    <w:rsid w:val="00F56511"/>
    <w:rsid w:val="00F6194E"/>
    <w:rsid w:val="00F623AC"/>
    <w:rsid w:val="00F6412A"/>
    <w:rsid w:val="00F649A7"/>
    <w:rsid w:val="00F65893"/>
    <w:rsid w:val="00F66A4A"/>
    <w:rsid w:val="00F71E22"/>
    <w:rsid w:val="00F72142"/>
    <w:rsid w:val="00F72AE7"/>
    <w:rsid w:val="00F833BA"/>
    <w:rsid w:val="00F84FD0"/>
    <w:rsid w:val="00F859A8"/>
    <w:rsid w:val="00F86D87"/>
    <w:rsid w:val="00F905ED"/>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A67FC3"/>
    <w:rsid w:val="03B409DD"/>
    <w:rsid w:val="044D472A"/>
    <w:rsid w:val="0A0F415D"/>
    <w:rsid w:val="1019789C"/>
    <w:rsid w:val="15A01306"/>
    <w:rsid w:val="170B516B"/>
    <w:rsid w:val="17616208"/>
    <w:rsid w:val="18DF722B"/>
    <w:rsid w:val="19D44A10"/>
    <w:rsid w:val="1D092EDD"/>
    <w:rsid w:val="24677C1A"/>
    <w:rsid w:val="247072C7"/>
    <w:rsid w:val="277E019D"/>
    <w:rsid w:val="28940C5A"/>
    <w:rsid w:val="29BD673E"/>
    <w:rsid w:val="2F690CF8"/>
    <w:rsid w:val="31776982"/>
    <w:rsid w:val="32250412"/>
    <w:rsid w:val="32934C49"/>
    <w:rsid w:val="33217895"/>
    <w:rsid w:val="33E55575"/>
    <w:rsid w:val="36034CE4"/>
    <w:rsid w:val="36E763F9"/>
    <w:rsid w:val="3842206C"/>
    <w:rsid w:val="38C32995"/>
    <w:rsid w:val="3A70282C"/>
    <w:rsid w:val="3E4F46F3"/>
    <w:rsid w:val="3F1C369B"/>
    <w:rsid w:val="44B95D89"/>
    <w:rsid w:val="4BBC17AA"/>
    <w:rsid w:val="4C910E89"/>
    <w:rsid w:val="50132F70"/>
    <w:rsid w:val="51096274"/>
    <w:rsid w:val="513D36B6"/>
    <w:rsid w:val="531E2D4A"/>
    <w:rsid w:val="546C67EB"/>
    <w:rsid w:val="546E1396"/>
    <w:rsid w:val="5B3220CE"/>
    <w:rsid w:val="5EE5404C"/>
    <w:rsid w:val="63A66B70"/>
    <w:rsid w:val="75D858A2"/>
    <w:rsid w:val="79146314"/>
    <w:rsid w:val="791F50D1"/>
    <w:rsid w:val="795E5C05"/>
    <w:rsid w:val="7E0E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CC9B83"/>
  <w15:docId w15:val="{ECAB6EE1-297B-43C3-841C-26AECD45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TableText">
    <w:name w:val="Table Text"/>
    <w:basedOn w:val="afff5"/>
    <w:semiHidden/>
    <w:qFormat/>
    <w:rPr>
      <w:rFonts w:ascii="宋体" w:hAnsi="宋体" w:cs="宋体"/>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3AF45EA524F80875A76B7385C602B"/>
        <w:category>
          <w:name w:val="常规"/>
          <w:gallery w:val="placeholder"/>
        </w:category>
        <w:types>
          <w:type w:val="bbPlcHdr"/>
        </w:types>
        <w:behaviors>
          <w:behavior w:val="content"/>
        </w:behaviors>
        <w:guid w:val="{5983AB8E-AF85-4DAC-A46B-CCCF5F867CF7}"/>
      </w:docPartPr>
      <w:docPartBody>
        <w:p w:rsidR="004210D8" w:rsidRDefault="00000000">
          <w:pPr>
            <w:pStyle w:val="B613AF45EA524F80875A76B7385C602B"/>
            <w:rPr>
              <w:rFonts w:hint="eastAsia"/>
            </w:rPr>
          </w:pPr>
          <w:r>
            <w:rPr>
              <w:rStyle w:val="a3"/>
              <w:rFonts w:hint="eastAsia"/>
            </w:rPr>
            <w:t>单击或点击此处输入文字。</w:t>
          </w:r>
        </w:p>
      </w:docPartBody>
    </w:docPart>
    <w:docPart>
      <w:docPartPr>
        <w:name w:val="A4E2721E69E84639A8113C6D79A38979"/>
        <w:category>
          <w:name w:val="常规"/>
          <w:gallery w:val="placeholder"/>
        </w:category>
        <w:types>
          <w:type w:val="bbPlcHdr"/>
        </w:types>
        <w:behaviors>
          <w:behavior w:val="content"/>
        </w:behaviors>
        <w:guid w:val="{2D149F28-CF62-43F4-92FE-21773D1DC40D}"/>
      </w:docPartPr>
      <w:docPartBody>
        <w:p w:rsidR="004210D8" w:rsidRDefault="00000000">
          <w:pPr>
            <w:pStyle w:val="A4E2721E69E84639A8113C6D79A38979"/>
            <w:rPr>
              <w:rFonts w:hint="eastAsia"/>
            </w:rPr>
          </w:pPr>
          <w:r>
            <w:rPr>
              <w:rStyle w:val="a3"/>
              <w:rFonts w:hint="eastAsia"/>
            </w:rPr>
            <w:t>选择一项。</w:t>
          </w:r>
        </w:p>
      </w:docPartBody>
    </w:docPart>
    <w:docPart>
      <w:docPartPr>
        <w:name w:val="4FB191ABF8BE41C3BCDC9FC8D18D1728"/>
        <w:category>
          <w:name w:val="常规"/>
          <w:gallery w:val="placeholder"/>
        </w:category>
        <w:types>
          <w:type w:val="bbPlcHdr"/>
        </w:types>
        <w:behaviors>
          <w:behavior w:val="content"/>
        </w:behaviors>
        <w:guid w:val="{44A9F33F-B7E7-4F69-BC8E-8199D7ADC7D6}"/>
      </w:docPartPr>
      <w:docPartBody>
        <w:p w:rsidR="004210D8" w:rsidRDefault="00000000">
          <w:pPr>
            <w:pStyle w:val="4FB191ABF8BE41C3BCDC9FC8D18D1728"/>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F47" w:rsidRDefault="00B73F47">
      <w:pPr>
        <w:spacing w:line="240" w:lineRule="auto"/>
        <w:rPr>
          <w:rFonts w:hint="eastAsia"/>
        </w:rPr>
      </w:pPr>
      <w:r>
        <w:separator/>
      </w:r>
    </w:p>
  </w:endnote>
  <w:endnote w:type="continuationSeparator" w:id="0">
    <w:p w:rsidR="00B73F47" w:rsidRDefault="00B73F47">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F47" w:rsidRDefault="00B73F47">
      <w:pPr>
        <w:spacing w:after="0"/>
        <w:rPr>
          <w:rFonts w:hint="eastAsia"/>
        </w:rPr>
      </w:pPr>
      <w:r>
        <w:separator/>
      </w:r>
    </w:p>
  </w:footnote>
  <w:footnote w:type="continuationSeparator" w:id="0">
    <w:p w:rsidR="00B73F47" w:rsidRDefault="00B73F47">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3A"/>
    <w:rsid w:val="00123733"/>
    <w:rsid w:val="00231A3A"/>
    <w:rsid w:val="002400EB"/>
    <w:rsid w:val="002570AB"/>
    <w:rsid w:val="004210D8"/>
    <w:rsid w:val="004E16A7"/>
    <w:rsid w:val="006E0453"/>
    <w:rsid w:val="0073082F"/>
    <w:rsid w:val="008D0977"/>
    <w:rsid w:val="00A40D73"/>
    <w:rsid w:val="00B73F47"/>
    <w:rsid w:val="00BF69DF"/>
    <w:rsid w:val="00D1027B"/>
    <w:rsid w:val="00F6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613AF45EA524F80875A76B7385C602B">
    <w:name w:val="B613AF45EA524F80875A76B7385C602B"/>
    <w:qFormat/>
    <w:pPr>
      <w:widowControl w:val="0"/>
      <w:spacing w:after="160" w:line="278" w:lineRule="auto"/>
    </w:pPr>
    <w:rPr>
      <w:kern w:val="2"/>
      <w:sz w:val="22"/>
      <w:szCs w:val="24"/>
      <w14:ligatures w14:val="standardContextual"/>
    </w:rPr>
  </w:style>
  <w:style w:type="paragraph" w:customStyle="1" w:styleId="A4E2721E69E84639A8113C6D79A38979">
    <w:name w:val="A4E2721E69E84639A8113C6D79A38979"/>
    <w:qFormat/>
    <w:pPr>
      <w:widowControl w:val="0"/>
      <w:spacing w:after="160" w:line="278" w:lineRule="auto"/>
    </w:pPr>
    <w:rPr>
      <w:kern w:val="2"/>
      <w:sz w:val="22"/>
      <w:szCs w:val="24"/>
      <w14:ligatures w14:val="standardContextual"/>
    </w:rPr>
  </w:style>
  <w:style w:type="paragraph" w:customStyle="1" w:styleId="4FB191ABF8BE41C3BCDC9FC8D18D1728">
    <w:name w:val="4FB191ABF8BE41C3BCDC9FC8D18D1728"/>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TotalTime>
  <Pages>12</Pages>
  <Words>4705</Words>
  <Characters>5129</Characters>
  <Application>Microsoft Office Word</Application>
  <DocSecurity>0</DocSecurity>
  <Lines>366</Lines>
  <Paragraphs>378</Paragraphs>
  <ScaleCrop>false</ScaleCrop>
  <Company>PCMI</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2</cp:revision>
  <cp:lastPrinted>2021-02-02T08:22:00Z</cp:lastPrinted>
  <dcterms:created xsi:type="dcterms:W3CDTF">2025-05-12T08:43:00Z</dcterms:created>
  <dcterms:modified xsi:type="dcterms:W3CDTF">2025-05-12T08:43:00Z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eyJoZGlkIjoiMDA1OGI0MmJhMDVlMjlkZTZmOTIwOGMxNjliMzNiZGQiLCJ1c2VySWQiOiI4NjIyODg5MjIifQ==</vt:lpwstr>
  </property>
  <property fmtid="{D5CDD505-2E9C-101B-9397-08002B2CF9AE}" pid="15" name="KSOProductBuildVer">
    <vt:lpwstr>2052-12.1.0.21171</vt:lpwstr>
  </property>
  <property fmtid="{D5CDD505-2E9C-101B-9397-08002B2CF9AE}" pid="16" name="ICV">
    <vt:lpwstr>42EB1FA2A978446D8B99E25E3A97CB42_12</vt:lpwstr>
  </property>
</Properties>
</file>