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2AE89">
      <w:pPr>
        <w:jc w:val="center"/>
      </w:pPr>
    </w:p>
    <w:p w14:paraId="0E9E6FD3">
      <w:pPr>
        <w:jc w:val="center"/>
      </w:pPr>
    </w:p>
    <w:p w14:paraId="6F34B203">
      <w:pPr>
        <w:jc w:val="center"/>
      </w:pPr>
    </w:p>
    <w:p w14:paraId="539E1E6A">
      <w:pPr>
        <w:jc w:val="center"/>
      </w:pPr>
    </w:p>
    <w:p w14:paraId="7401B620">
      <w:pPr>
        <w:jc w:val="center"/>
      </w:pPr>
    </w:p>
    <w:p w14:paraId="00B4DFDE">
      <w:pPr>
        <w:jc w:val="center"/>
      </w:pPr>
    </w:p>
    <w:p w14:paraId="35FCED0A">
      <w:pPr>
        <w:jc w:val="center"/>
      </w:pPr>
    </w:p>
    <w:p w14:paraId="431E649D">
      <w:pPr>
        <w:jc w:val="center"/>
      </w:pPr>
    </w:p>
    <w:p w14:paraId="0006A106">
      <w:pPr>
        <w:jc w:val="center"/>
      </w:pPr>
    </w:p>
    <w:p w14:paraId="195C0952">
      <w:pPr>
        <w:jc w:val="center"/>
      </w:pPr>
    </w:p>
    <w:p w14:paraId="7ADE53B9">
      <w:pPr>
        <w:jc w:val="center"/>
      </w:pPr>
    </w:p>
    <w:p w14:paraId="3E3ECBE6">
      <w:pPr>
        <w:jc w:val="center"/>
      </w:pPr>
    </w:p>
    <w:p w14:paraId="0A21095B">
      <w:pPr>
        <w:jc w:val="center"/>
      </w:pPr>
    </w:p>
    <w:p w14:paraId="30709085">
      <w:pPr>
        <w:jc w:val="center"/>
        <w:rPr>
          <w:rFonts w:ascii="迷你简小标宋" w:hAnsi="宋体" w:eastAsia="迷你简小标宋"/>
          <w:w w:val="90"/>
          <w:sz w:val="44"/>
          <w:szCs w:val="44"/>
        </w:rPr>
      </w:pPr>
      <w:r>
        <w:rPr>
          <w:rFonts w:hint="eastAsia" w:ascii="迷你简小标宋" w:hAnsi="宋体" w:eastAsia="迷你简小标宋"/>
          <w:w w:val="90"/>
          <w:sz w:val="44"/>
          <w:szCs w:val="44"/>
        </w:rPr>
        <w:t>《</w:t>
      </w:r>
      <w:r>
        <w:rPr>
          <w:rFonts w:hint="eastAsia" w:ascii="迷你简小标宋" w:hAnsi="宋体" w:eastAsia="迷你简小标宋"/>
          <w:w w:val="90"/>
          <w:sz w:val="44"/>
          <w:szCs w:val="44"/>
          <w:lang w:val="en-US" w:eastAsia="zh-CN"/>
        </w:rPr>
        <w:t>物联电能计量箱</w:t>
      </w:r>
      <w:r>
        <w:rPr>
          <w:rFonts w:hint="eastAsia" w:ascii="迷你简小标宋" w:hAnsi="宋体" w:eastAsia="迷你简小标宋"/>
          <w:w w:val="90"/>
          <w:sz w:val="44"/>
          <w:szCs w:val="44"/>
        </w:rPr>
        <w:t>》</w:t>
      </w:r>
    </w:p>
    <w:p w14:paraId="69651B73">
      <w:pPr>
        <w:jc w:val="center"/>
        <w:rPr>
          <w:rFonts w:ascii="迷你简小标宋" w:hAnsi="宋体" w:eastAsia="迷你简小标宋"/>
          <w:sz w:val="44"/>
          <w:szCs w:val="44"/>
        </w:rPr>
      </w:pPr>
    </w:p>
    <w:p w14:paraId="66DB0283">
      <w:pPr>
        <w:jc w:val="center"/>
        <w:rPr>
          <w:rFonts w:ascii="迷你简小标宋" w:hAnsi="宋体" w:eastAsia="迷你简小标宋"/>
          <w:sz w:val="44"/>
          <w:szCs w:val="44"/>
        </w:rPr>
      </w:pPr>
      <w:r>
        <w:rPr>
          <w:rFonts w:hint="eastAsia" w:ascii="迷你简小标宋" w:hAnsi="宋体" w:eastAsia="迷你简小标宋"/>
          <w:sz w:val="44"/>
          <w:szCs w:val="44"/>
        </w:rPr>
        <w:t>编制说明</w:t>
      </w:r>
    </w:p>
    <w:p w14:paraId="7AFC3F77">
      <w:pPr>
        <w:jc w:val="center"/>
      </w:pPr>
    </w:p>
    <w:p w14:paraId="3A1BBD4E">
      <w:pPr>
        <w:jc w:val="center"/>
      </w:pPr>
    </w:p>
    <w:p w14:paraId="553A2397">
      <w:pPr>
        <w:jc w:val="center"/>
      </w:pPr>
    </w:p>
    <w:p w14:paraId="327431EC">
      <w:pPr>
        <w:jc w:val="center"/>
      </w:pPr>
    </w:p>
    <w:p w14:paraId="2EABEAF3">
      <w:pPr>
        <w:jc w:val="center"/>
      </w:pPr>
    </w:p>
    <w:p w14:paraId="1461394E">
      <w:pPr>
        <w:jc w:val="center"/>
      </w:pPr>
    </w:p>
    <w:p w14:paraId="70E034AF">
      <w:pPr>
        <w:jc w:val="center"/>
      </w:pPr>
    </w:p>
    <w:p w14:paraId="64520520">
      <w:pPr>
        <w:jc w:val="center"/>
      </w:pPr>
    </w:p>
    <w:p w14:paraId="399B77AA">
      <w:pPr>
        <w:jc w:val="center"/>
      </w:pPr>
    </w:p>
    <w:p w14:paraId="1C4A82D6">
      <w:pPr>
        <w:jc w:val="center"/>
      </w:pPr>
    </w:p>
    <w:p w14:paraId="718A098E">
      <w:pPr>
        <w:jc w:val="center"/>
      </w:pPr>
    </w:p>
    <w:p w14:paraId="579D872B">
      <w:pPr>
        <w:jc w:val="center"/>
      </w:pPr>
    </w:p>
    <w:p w14:paraId="51575CC1">
      <w:pPr>
        <w:jc w:val="center"/>
      </w:pPr>
    </w:p>
    <w:p w14:paraId="1F8E33AE">
      <w:pPr>
        <w:jc w:val="center"/>
      </w:pPr>
    </w:p>
    <w:p w14:paraId="2D614C57">
      <w:pPr>
        <w:jc w:val="center"/>
      </w:pPr>
    </w:p>
    <w:p w14:paraId="08BA6CF1">
      <w:pPr>
        <w:jc w:val="center"/>
      </w:pPr>
    </w:p>
    <w:p w14:paraId="72F20A07">
      <w:pPr>
        <w:jc w:val="center"/>
        <w:rPr>
          <w:rFonts w:ascii="宋体" w:hAnsi="宋体" w:eastAsia="宋体"/>
          <w:sz w:val="28"/>
          <w:szCs w:val="28"/>
        </w:rPr>
      </w:pPr>
      <w:r>
        <w:rPr>
          <w:rFonts w:hint="eastAsia" w:ascii="宋体" w:hAnsi="宋体" w:eastAsia="宋体"/>
          <w:sz w:val="28"/>
          <w:szCs w:val="28"/>
        </w:rPr>
        <w:t xml:space="preserve">团标制定工作组 </w:t>
      </w:r>
    </w:p>
    <w:p w14:paraId="4A779C63">
      <w:pPr>
        <w:jc w:val="center"/>
        <w:rPr>
          <w:rFonts w:ascii="宋体" w:hAnsi="宋体" w:eastAsia="宋体"/>
          <w:sz w:val="28"/>
          <w:szCs w:val="28"/>
        </w:rPr>
      </w:pPr>
    </w:p>
    <w:p w14:paraId="69B766E4">
      <w:pPr>
        <w:jc w:val="center"/>
        <w:rPr>
          <w:rFonts w:ascii="宋体" w:hAnsi="宋体" w:eastAsia="宋体"/>
          <w:sz w:val="28"/>
          <w:szCs w:val="28"/>
        </w:rPr>
      </w:pPr>
      <w:r>
        <w:rPr>
          <w:rFonts w:hint="eastAsia" w:ascii="宋体" w:hAnsi="宋体" w:eastAsia="宋体"/>
          <w:sz w:val="28"/>
          <w:szCs w:val="28"/>
        </w:rPr>
        <w:t>二零二</w:t>
      </w:r>
      <w:r>
        <w:rPr>
          <w:rFonts w:hint="eastAsia" w:ascii="宋体" w:hAnsi="宋体" w:eastAsia="宋体"/>
          <w:sz w:val="28"/>
          <w:szCs w:val="28"/>
          <w:lang w:val="en-US" w:eastAsia="zh-CN"/>
        </w:rPr>
        <w:t>五</w:t>
      </w:r>
      <w:r>
        <w:rPr>
          <w:rFonts w:hint="eastAsia" w:ascii="宋体" w:hAnsi="宋体" w:eastAsia="宋体"/>
          <w:sz w:val="28"/>
          <w:szCs w:val="28"/>
        </w:rPr>
        <w:t>年</w:t>
      </w:r>
      <w:r>
        <w:rPr>
          <w:rFonts w:hint="eastAsia" w:ascii="宋体" w:hAnsi="宋体" w:eastAsia="宋体"/>
          <w:sz w:val="28"/>
          <w:szCs w:val="28"/>
          <w:lang w:val="en-US" w:eastAsia="zh-CN"/>
        </w:rPr>
        <w:t>四</w:t>
      </w:r>
      <w:r>
        <w:rPr>
          <w:rFonts w:hint="eastAsia" w:ascii="宋体" w:hAnsi="宋体" w:eastAsia="宋体"/>
          <w:sz w:val="28"/>
          <w:szCs w:val="28"/>
        </w:rPr>
        <w:t>月</w:t>
      </w:r>
    </w:p>
    <w:p w14:paraId="3BF32C5E">
      <w:pPr>
        <w:jc w:val="center"/>
        <w:rPr>
          <w:rFonts w:ascii="宋体" w:hAnsi="宋体" w:eastAsia="宋体"/>
          <w:sz w:val="28"/>
          <w:szCs w:val="28"/>
        </w:rPr>
      </w:pPr>
    </w:p>
    <w:p w14:paraId="7AF9EF6E">
      <w:pPr>
        <w:jc w:val="center"/>
        <w:rPr>
          <w:rFonts w:ascii="宋体" w:hAnsi="宋体" w:eastAsia="宋体"/>
          <w:sz w:val="28"/>
          <w:szCs w:val="28"/>
        </w:rPr>
      </w:pPr>
    </w:p>
    <w:p w14:paraId="616354A2">
      <w:pPr>
        <w:jc w:val="center"/>
        <w:rPr>
          <w:rFonts w:ascii="宋体" w:hAnsi="宋体" w:eastAsia="宋体"/>
          <w:sz w:val="28"/>
          <w:szCs w:val="28"/>
        </w:rPr>
      </w:pPr>
    </w:p>
    <w:p w14:paraId="70875990">
      <w:pPr>
        <w:jc w:val="center"/>
        <w:rPr>
          <w:rFonts w:ascii="宋体" w:hAnsi="宋体" w:eastAsia="宋体"/>
          <w:sz w:val="28"/>
          <w:szCs w:val="28"/>
        </w:rPr>
      </w:pPr>
    </w:p>
    <w:p w14:paraId="44B6B4BD">
      <w:pPr>
        <w:jc w:val="center"/>
        <w:rPr>
          <w:rFonts w:ascii="宋体" w:hAnsi="宋体" w:eastAsia="宋体"/>
          <w:sz w:val="28"/>
          <w:szCs w:val="28"/>
        </w:rPr>
      </w:pPr>
    </w:p>
    <w:p w14:paraId="3AB2A67D">
      <w:pPr>
        <w:jc w:val="center"/>
        <w:rPr>
          <w:rFonts w:ascii="宋体" w:hAnsi="宋体" w:eastAsia="宋体"/>
          <w:sz w:val="28"/>
          <w:szCs w:val="28"/>
        </w:rPr>
      </w:pPr>
    </w:p>
    <w:p w14:paraId="7D1A3655">
      <w:pPr>
        <w:pStyle w:val="2"/>
        <w:widowControl/>
        <w:spacing w:line="360" w:lineRule="auto"/>
        <w:ind w:left="0"/>
        <w:jc w:val="both"/>
        <w:rPr>
          <w:rFonts w:hint="eastAsia" w:ascii="宋体" w:hAnsi="宋体" w:eastAsia="宋体" w:cs="宋体"/>
          <w:b/>
          <w:bCs/>
          <w:sz w:val="28"/>
          <w:szCs w:val="28"/>
        </w:rPr>
      </w:pPr>
      <w:r>
        <w:rPr>
          <w:rFonts w:hint="eastAsia" w:ascii="宋体" w:hAnsi="宋体" w:eastAsia="宋体" w:cs="宋体"/>
          <w:b/>
          <w:bCs/>
          <w:sz w:val="28"/>
          <w:szCs w:val="28"/>
        </w:rPr>
        <w:t>一、工作简况</w:t>
      </w:r>
    </w:p>
    <w:p w14:paraId="5B2AA26D">
      <w:pPr>
        <w:keepNext w:val="0"/>
        <w:keepLines w:val="0"/>
        <w:widowControl w:val="0"/>
        <w:suppressLineNumbers w:val="0"/>
        <w:autoSpaceDE w:val="0"/>
        <w:autoSpaceDN w:val="0"/>
        <w:spacing w:before="0" w:beforeAutospacing="0" w:after="0" w:afterAutospacing="0" w:line="360" w:lineRule="auto"/>
        <w:ind w:left="0" w:right="0"/>
        <w:jc w:val="both"/>
        <w:rPr>
          <w:rFonts w:hint="eastAsia" w:ascii="宋体" w:hAnsi="宋体" w:eastAsia="宋体" w:cs="宋体"/>
          <w:b/>
          <w:bCs w:val="0"/>
          <w:sz w:val="28"/>
          <w:szCs w:val="28"/>
        </w:rPr>
      </w:pPr>
      <w:r>
        <w:rPr>
          <w:rFonts w:hint="eastAsia" w:ascii="宋体" w:hAnsi="宋体" w:eastAsia="宋体" w:cs="宋体"/>
          <w:b/>
          <w:bCs w:val="0"/>
          <w:kern w:val="0"/>
          <w:sz w:val="28"/>
          <w:szCs w:val="28"/>
          <w:lang w:val="en-US" w:eastAsia="zh-CN" w:bidi="ar"/>
        </w:rPr>
        <w:t>（一）任务来源</w:t>
      </w:r>
    </w:p>
    <w:p w14:paraId="72B5AD8B">
      <w:pPr>
        <w:keepNext w:val="0"/>
        <w:keepLines w:val="0"/>
        <w:widowControl w:val="0"/>
        <w:suppressLineNumbers w:val="0"/>
        <w:autoSpaceDE w:val="0"/>
        <w:autoSpaceDN w:val="0"/>
        <w:spacing w:before="0" w:beforeAutospacing="0" w:after="0" w:afterAutospacing="0" w:line="360" w:lineRule="auto"/>
        <w:ind w:left="0" w:right="0" w:firstLine="560" w:firstLineChars="200"/>
        <w:jc w:val="both"/>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根据2020年全国标准化工作要点，大力推动实施标准化战略，持续深化标准化工作改革，加强标准体系建设，提升引领高质量发展的能力。依据《中华人民标准化法》，以及《团体标准管理规定》相关规定，中国中小企业协会决定立项并联合浙江鲁高电力科技有限公司等相关单位共同制定《物联电能计量箱》团体标准。于2025年04月10日，中国中小企业协会发布了《物联电能计量箱》团体标准立项通知，正式立项。为响应市场需求，需要制定完善的物联电能计量箱，满足市场对具备物联功能的电能计量箱的要求。</w:t>
      </w:r>
    </w:p>
    <w:p w14:paraId="69634EDD">
      <w:pPr>
        <w:pStyle w:val="2"/>
        <w:widowControl/>
        <w:spacing w:line="360" w:lineRule="auto"/>
        <w:ind w:left="0"/>
        <w:jc w:val="both"/>
        <w:rPr>
          <w:rFonts w:hint="eastAsia" w:ascii="宋体" w:hAnsi="宋体" w:eastAsia="宋体" w:cs="宋体"/>
          <w:b/>
          <w:bCs/>
          <w:sz w:val="28"/>
          <w:szCs w:val="28"/>
        </w:rPr>
      </w:pPr>
      <w:r>
        <w:rPr>
          <w:rFonts w:hint="eastAsia" w:ascii="宋体" w:hAnsi="宋体" w:eastAsia="宋体" w:cs="宋体"/>
          <w:b/>
          <w:bCs/>
          <w:sz w:val="28"/>
          <w:szCs w:val="28"/>
        </w:rPr>
        <w:t>（二）编制背景及目的</w:t>
      </w:r>
    </w:p>
    <w:p w14:paraId="43355424">
      <w:pPr>
        <w:keepNext w:val="0"/>
        <w:keepLines w:val="0"/>
        <w:widowControl w:val="0"/>
        <w:suppressLineNumbers w:val="0"/>
        <w:autoSpaceDE w:val="0"/>
        <w:autoSpaceDN w:val="0"/>
        <w:spacing w:before="0" w:beforeAutospacing="0" w:after="0" w:afterAutospacing="0" w:line="360" w:lineRule="auto"/>
        <w:ind w:left="0" w:right="0" w:firstLine="560" w:firstLineChars="200"/>
        <w:jc w:val="both"/>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随着“双碳”目标推进，国家电网提出构建以新能源为主体的新型电力系统，要求计量设备从 “单一计量”向“全域感知”转型。传统电能计量箱仅具备基础电能采集功能，无法满足智能电网对数据实时性、交互性的需求。物联网技术（如NB-IoT、5G）的普及，使计量箱具备边缘计算、远程控制、环境监测等新功能。但市场上产品功能差异显著：部分企业仅实现基础数据采集，而头部企业已推出支持拓扑识别、线损分析的智能型产品，标准的缺失导致设备兼容性差。</w:t>
      </w:r>
    </w:p>
    <w:p w14:paraId="0E5CB9B6">
      <w:pPr>
        <w:keepNext w:val="0"/>
        <w:keepLines w:val="0"/>
        <w:widowControl w:val="0"/>
        <w:suppressLineNumbers w:val="0"/>
        <w:autoSpaceDE w:val="0"/>
        <w:autoSpaceDN w:val="0"/>
        <w:spacing w:before="0" w:beforeAutospacing="0" w:after="0" w:afterAutospacing="0" w:line="360" w:lineRule="auto"/>
        <w:ind w:left="0" w:right="0" w:firstLine="560" w:firstLineChars="200"/>
        <w:jc w:val="both"/>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《物联电能计量箱》团体标准编制旨在构建技术规范体系，明确计量单元、通信模块等核心功能模块及数据采集精度、通信协议等关键指标，</w:t>
      </w:r>
    </w:p>
    <w:p w14:paraId="11BE270D">
      <w:pPr>
        <w:keepNext w:val="0"/>
        <w:keepLines w:val="0"/>
        <w:widowControl w:val="0"/>
        <w:suppressLineNumbers w:val="0"/>
        <w:autoSpaceDE w:val="0"/>
        <w:autoSpaceDN w:val="0"/>
        <w:spacing w:before="0" w:beforeAutospacing="0" w:after="0" w:afterAutospacing="0" w:line="360" w:lineRule="auto"/>
        <w:ind w:left="0" w:right="0"/>
        <w:jc w:val="both"/>
        <w:rPr>
          <w:rFonts w:hint="eastAsia" w:ascii="宋体" w:hAnsi="宋体" w:eastAsia="宋体" w:cs="宋体"/>
          <w:sz w:val="28"/>
          <w:szCs w:val="28"/>
        </w:rPr>
      </w:pPr>
      <w:r>
        <w:rPr>
          <w:rFonts w:hint="eastAsia" w:ascii="宋体" w:hAnsi="宋体" w:eastAsia="宋体" w:cs="宋体"/>
          <w:b/>
          <w:bCs w:val="0"/>
          <w:kern w:val="0"/>
          <w:sz w:val="28"/>
          <w:szCs w:val="28"/>
          <w:lang w:val="en-US" w:eastAsia="zh-CN" w:bidi="ar"/>
        </w:rPr>
        <w:t>（三）编制过程</w:t>
      </w:r>
    </w:p>
    <w:p w14:paraId="4FA603F6">
      <w:pPr>
        <w:pStyle w:val="3"/>
        <w:widowControl/>
        <w:spacing w:before="0" w:beforeAutospacing="1" w:after="0" w:afterAutospacing="1" w:line="360" w:lineRule="auto"/>
        <w:ind w:left="0" w:right="0" w:firstLine="560" w:firstLineChars="200"/>
        <w:jc w:val="both"/>
        <w:rPr>
          <w:rFonts w:hint="eastAsia" w:ascii="宋体" w:hAnsi="宋体" w:eastAsia="宋体" w:cs="宋体"/>
          <w:sz w:val="28"/>
          <w:szCs w:val="28"/>
        </w:rPr>
      </w:pPr>
      <w:r>
        <w:rPr>
          <w:rFonts w:hint="eastAsia" w:ascii="宋体" w:hAnsi="宋体" w:eastAsia="宋体" w:cs="宋体"/>
          <w:sz w:val="28"/>
          <w:szCs w:val="28"/>
        </w:rPr>
        <w:t>1、项目立项阶段</w:t>
      </w:r>
    </w:p>
    <w:p w14:paraId="2F52FD20">
      <w:pPr>
        <w:pStyle w:val="3"/>
        <w:widowControl/>
        <w:spacing w:before="0" w:beforeAutospacing="1" w:after="0" w:afterAutospacing="1" w:line="360" w:lineRule="auto"/>
        <w:ind w:left="0" w:right="0" w:firstLine="559"/>
        <w:jc w:val="both"/>
        <w:rPr>
          <w:rFonts w:hint="eastAsia" w:ascii="宋体" w:hAnsi="宋体" w:eastAsia="宋体" w:cs="宋体"/>
          <w:sz w:val="28"/>
          <w:szCs w:val="28"/>
        </w:rPr>
      </w:pPr>
      <w:r>
        <w:rPr>
          <w:rFonts w:hint="eastAsia" w:ascii="宋体" w:hAnsi="宋体" w:eastAsia="宋体" w:cs="宋体"/>
          <w:spacing w:val="-3"/>
          <w:sz w:val="28"/>
          <w:szCs w:val="28"/>
        </w:rPr>
        <w:t>目前，</w:t>
      </w:r>
      <w:r>
        <w:rPr>
          <w:rFonts w:hint="eastAsia" w:cs="宋体"/>
          <w:spacing w:val="-3"/>
          <w:sz w:val="28"/>
          <w:szCs w:val="28"/>
          <w:lang w:val="en-US" w:eastAsia="zh-CN"/>
        </w:rPr>
        <w:t>现有的国家标准</w:t>
      </w:r>
      <w:r>
        <w:rPr>
          <w:rFonts w:hint="eastAsia" w:ascii="宋体" w:hAnsi="宋体" w:eastAsia="宋体" w:cs="宋体"/>
          <w:spacing w:val="-3"/>
          <w:sz w:val="28"/>
          <w:szCs w:val="28"/>
        </w:rPr>
        <w:t>GB/T 16934</w:t>
      </w:r>
      <w:r>
        <w:rPr>
          <w:rFonts w:hint="eastAsia" w:cs="宋体"/>
          <w:spacing w:val="-3"/>
          <w:sz w:val="28"/>
          <w:szCs w:val="28"/>
          <w:lang w:eastAsia="zh-CN"/>
        </w:rPr>
        <w:t>—</w:t>
      </w:r>
      <w:r>
        <w:rPr>
          <w:rFonts w:hint="eastAsia" w:ascii="宋体" w:hAnsi="宋体" w:eastAsia="宋体" w:cs="宋体"/>
          <w:spacing w:val="-3"/>
          <w:sz w:val="28"/>
          <w:szCs w:val="28"/>
        </w:rPr>
        <w:t>2013《电能计量柜》主要规范传统设备，未涵盖物联网功能（如数据加密、远程升级）。</w:t>
      </w:r>
      <w:r>
        <w:rPr>
          <w:rFonts w:hint="eastAsia" w:cs="宋体"/>
          <w:spacing w:val="-3"/>
          <w:sz w:val="28"/>
          <w:szCs w:val="28"/>
          <w:lang w:val="en-US" w:eastAsia="zh-CN"/>
        </w:rPr>
        <w:t>相关的行业标准</w:t>
      </w:r>
      <w:r>
        <w:rPr>
          <w:rFonts w:hint="eastAsia" w:ascii="宋体" w:hAnsi="宋体" w:eastAsia="宋体" w:cs="宋体"/>
          <w:spacing w:val="-3"/>
          <w:sz w:val="28"/>
          <w:szCs w:val="28"/>
        </w:rPr>
        <w:t>DL/T</w:t>
      </w:r>
      <w:r>
        <w:rPr>
          <w:rFonts w:hint="eastAsia" w:cs="宋体"/>
          <w:spacing w:val="-3"/>
          <w:sz w:val="28"/>
          <w:szCs w:val="28"/>
          <w:lang w:val="en-US" w:eastAsia="zh-CN"/>
        </w:rPr>
        <w:t xml:space="preserve"> </w:t>
      </w:r>
      <w:r>
        <w:rPr>
          <w:rFonts w:hint="eastAsia" w:ascii="宋体" w:hAnsi="宋体" w:eastAsia="宋体" w:cs="宋体"/>
          <w:spacing w:val="-3"/>
          <w:sz w:val="28"/>
          <w:szCs w:val="28"/>
        </w:rPr>
        <w:t>645</w:t>
      </w:r>
      <w:r>
        <w:rPr>
          <w:rFonts w:hint="eastAsia" w:cs="宋体"/>
          <w:spacing w:val="-3"/>
          <w:sz w:val="28"/>
          <w:szCs w:val="28"/>
          <w:lang w:eastAsia="zh-CN"/>
        </w:rPr>
        <w:t>—</w:t>
      </w:r>
      <w:r>
        <w:rPr>
          <w:rFonts w:hint="eastAsia" w:ascii="宋体" w:hAnsi="宋体" w:eastAsia="宋体" w:cs="宋体"/>
          <w:spacing w:val="-3"/>
          <w:sz w:val="28"/>
          <w:szCs w:val="28"/>
        </w:rPr>
        <w:t>2007《多功能电能表通信协议》等聚焦单一环节，缺乏系统性要求。针对物联电能计量箱智能化水平参差不齐、功能设计差异显著、缺乏统一技术标准支撑等问题，开展基于物联电能计量箱功能架构与性能指标的技术评估方法研究，建立一套契合智能电网发展需求、覆盖全生命周期、兼具技术前瞻性与工程可操作性的设计标准，为制造企业提供物联电能计量箱的研发设计依据，引导行业规范化生产与规模化应用。</w:t>
      </w:r>
    </w:p>
    <w:p w14:paraId="00F458C5">
      <w:pPr>
        <w:pStyle w:val="3"/>
        <w:widowControl/>
        <w:spacing w:before="0" w:beforeAutospacing="1" w:after="0" w:afterAutospacing="1" w:line="360" w:lineRule="auto"/>
        <w:ind w:left="0" w:right="0" w:firstLine="559"/>
        <w:jc w:val="both"/>
        <w:rPr>
          <w:rFonts w:hint="eastAsia" w:ascii="宋体" w:hAnsi="宋体" w:eastAsia="宋体" w:cs="宋体"/>
          <w:sz w:val="28"/>
          <w:szCs w:val="28"/>
        </w:rPr>
      </w:pPr>
      <w:r>
        <w:rPr>
          <w:rFonts w:hint="eastAsia" w:ascii="宋体" w:hAnsi="宋体" w:eastAsia="宋体" w:cs="宋体"/>
          <w:sz w:val="28"/>
          <w:szCs w:val="28"/>
        </w:rPr>
        <w:t>鉴于以上原因，标准起草组参考了</w:t>
      </w:r>
      <w:r>
        <w:rPr>
          <w:rFonts w:hint="eastAsia" w:cs="宋体"/>
          <w:sz w:val="28"/>
          <w:szCs w:val="28"/>
          <w:lang w:eastAsia="zh-CN"/>
        </w:rPr>
        <w:t>浙江鲁高电力科技有限公司</w:t>
      </w:r>
      <w:r>
        <w:rPr>
          <w:rFonts w:hint="eastAsia" w:ascii="宋体" w:hAnsi="宋体" w:eastAsia="宋体" w:cs="宋体"/>
          <w:sz w:val="28"/>
          <w:szCs w:val="28"/>
        </w:rPr>
        <w:t>的</w:t>
      </w:r>
      <w:r>
        <w:rPr>
          <w:rFonts w:hint="eastAsia" w:cs="宋体"/>
          <w:sz w:val="28"/>
          <w:szCs w:val="28"/>
          <w:lang w:val="en-US" w:eastAsia="zh-CN"/>
        </w:rPr>
        <w:t>物联电能计量箱</w:t>
      </w:r>
      <w:r>
        <w:rPr>
          <w:rFonts w:hint="eastAsia" w:ascii="宋体" w:hAnsi="宋体" w:eastAsia="宋体" w:cs="宋体"/>
          <w:sz w:val="28"/>
          <w:szCs w:val="28"/>
        </w:rPr>
        <w:t>的</w:t>
      </w:r>
      <w:r>
        <w:rPr>
          <w:rFonts w:hint="eastAsia" w:cs="宋体"/>
          <w:sz w:val="28"/>
          <w:szCs w:val="28"/>
          <w:lang w:val="en-US" w:eastAsia="zh-CN"/>
        </w:rPr>
        <w:t>产品</w:t>
      </w:r>
      <w:r>
        <w:rPr>
          <w:rFonts w:hint="eastAsia" w:ascii="宋体" w:hAnsi="宋体" w:eastAsia="宋体" w:cs="宋体"/>
          <w:sz w:val="28"/>
          <w:szCs w:val="28"/>
        </w:rPr>
        <w:t>提出立项。</w:t>
      </w:r>
    </w:p>
    <w:p w14:paraId="1ADF89F3">
      <w:pPr>
        <w:pStyle w:val="3"/>
        <w:widowControl/>
        <w:spacing w:before="0" w:beforeAutospacing="1" w:after="0" w:afterAutospacing="1" w:line="360" w:lineRule="auto"/>
        <w:ind w:left="567" w:right="0"/>
        <w:jc w:val="both"/>
        <w:rPr>
          <w:rFonts w:hint="eastAsia" w:ascii="宋体" w:hAnsi="宋体" w:eastAsia="宋体" w:cs="宋体"/>
          <w:sz w:val="28"/>
          <w:szCs w:val="28"/>
        </w:rPr>
      </w:pPr>
      <w:r>
        <w:rPr>
          <w:rFonts w:hint="eastAsia" w:ascii="宋体" w:hAnsi="宋体" w:eastAsia="宋体" w:cs="宋体"/>
          <w:sz w:val="28"/>
          <w:szCs w:val="28"/>
        </w:rPr>
        <w:t>2、理论研究阶段</w:t>
      </w:r>
    </w:p>
    <w:p w14:paraId="5F906392">
      <w:pPr>
        <w:pStyle w:val="3"/>
        <w:widowControl/>
        <w:spacing w:before="0" w:beforeAutospacing="1" w:after="0" w:afterAutospacing="1" w:line="360" w:lineRule="auto"/>
        <w:ind w:left="0" w:right="0" w:firstLine="559"/>
        <w:jc w:val="both"/>
        <w:rPr>
          <w:rFonts w:hint="eastAsia" w:ascii="宋体" w:hAnsi="宋体" w:eastAsia="宋体" w:cs="宋体"/>
          <w:sz w:val="28"/>
          <w:szCs w:val="28"/>
        </w:rPr>
      </w:pPr>
      <w:r>
        <w:rPr>
          <w:rFonts w:hint="eastAsia" w:ascii="宋体" w:hAnsi="宋体" w:eastAsia="宋体" w:cs="宋体"/>
          <w:spacing w:val="-3"/>
          <w:sz w:val="28"/>
          <w:szCs w:val="28"/>
        </w:rPr>
        <w:t>标准起草组成立伊始就</w:t>
      </w:r>
      <w:r>
        <w:rPr>
          <w:rFonts w:hint="eastAsia" w:cs="宋体"/>
          <w:spacing w:val="-3"/>
          <w:sz w:val="28"/>
          <w:szCs w:val="28"/>
          <w:lang w:val="en-US" w:eastAsia="zh-CN"/>
        </w:rPr>
        <w:t>物联电能计量箱</w:t>
      </w:r>
      <w:r>
        <w:rPr>
          <w:rFonts w:hint="eastAsia" w:ascii="宋体" w:hAnsi="宋体" w:eastAsia="宋体" w:cs="宋体"/>
          <w:spacing w:val="-3"/>
          <w:sz w:val="28"/>
          <w:szCs w:val="28"/>
        </w:rPr>
        <w:t>现状进行了深入的调查研</w:t>
      </w:r>
      <w:r>
        <w:rPr>
          <w:rFonts w:hint="eastAsia" w:ascii="宋体" w:hAnsi="宋体" w:eastAsia="宋体" w:cs="宋体"/>
          <w:spacing w:val="-4"/>
          <w:sz w:val="28"/>
          <w:szCs w:val="28"/>
        </w:rPr>
        <w:t>究，同时广泛搜集相关标准和国外技术资料，进行了大量的研究分析、资料查证工作，确定了标准的制定原则，结合现有</w:t>
      </w:r>
      <w:r>
        <w:rPr>
          <w:rFonts w:hint="eastAsia" w:cs="宋体"/>
          <w:spacing w:val="-3"/>
          <w:sz w:val="28"/>
          <w:szCs w:val="28"/>
          <w:lang w:val="en-US" w:eastAsia="zh-CN"/>
        </w:rPr>
        <w:t>物联电能计量箱</w:t>
      </w:r>
      <w:r>
        <w:rPr>
          <w:rFonts w:hint="eastAsia" w:ascii="宋体" w:hAnsi="宋体" w:eastAsia="宋体" w:cs="宋体"/>
          <w:spacing w:val="-3"/>
          <w:sz w:val="28"/>
          <w:szCs w:val="28"/>
        </w:rPr>
        <w:t>实际应用经验，为标准的起草奠定了基础。</w:t>
      </w:r>
    </w:p>
    <w:p w14:paraId="41FF4565">
      <w:pPr>
        <w:pStyle w:val="3"/>
        <w:widowControl/>
        <w:spacing w:before="0" w:beforeAutospacing="1" w:after="0" w:afterAutospacing="1" w:line="360" w:lineRule="auto"/>
        <w:ind w:left="0" w:right="0" w:firstLine="559"/>
        <w:jc w:val="both"/>
        <w:rPr>
          <w:rFonts w:hint="eastAsia" w:ascii="宋体" w:hAnsi="宋体" w:eastAsia="宋体" w:cs="宋体"/>
          <w:sz w:val="28"/>
          <w:szCs w:val="28"/>
        </w:rPr>
      </w:pPr>
      <w:r>
        <w:rPr>
          <w:rFonts w:hint="eastAsia" w:ascii="宋体" w:hAnsi="宋体" w:eastAsia="宋体" w:cs="宋体"/>
          <w:sz w:val="28"/>
          <w:szCs w:val="28"/>
        </w:rPr>
        <w:t>标准起草组进一步研究了</w:t>
      </w:r>
      <w:r>
        <w:rPr>
          <w:rFonts w:hint="eastAsia" w:cs="宋体"/>
          <w:spacing w:val="-3"/>
          <w:sz w:val="28"/>
          <w:szCs w:val="28"/>
          <w:lang w:val="en-US" w:eastAsia="zh-CN"/>
        </w:rPr>
        <w:t>物联电能计量箱</w:t>
      </w:r>
      <w:r>
        <w:rPr>
          <w:rFonts w:hint="eastAsia" w:ascii="宋体" w:hAnsi="宋体" w:eastAsia="宋体" w:cs="宋体"/>
          <w:sz w:val="28"/>
          <w:szCs w:val="28"/>
        </w:rPr>
        <w:t>的技术与管理，明确了</w:t>
      </w:r>
      <w:r>
        <w:rPr>
          <w:rFonts w:hint="eastAsia" w:cs="宋体"/>
          <w:sz w:val="28"/>
          <w:szCs w:val="28"/>
          <w:lang w:val="en-US" w:eastAsia="zh-CN"/>
        </w:rPr>
        <w:t>技术要求</w:t>
      </w:r>
      <w:r>
        <w:rPr>
          <w:rFonts w:hint="eastAsia" w:ascii="宋体" w:hAnsi="宋体" w:eastAsia="宋体" w:cs="宋体"/>
          <w:sz w:val="28"/>
          <w:szCs w:val="28"/>
        </w:rPr>
        <w:t>，为标准的具体起草指明方向。</w:t>
      </w:r>
    </w:p>
    <w:p w14:paraId="79460FAC">
      <w:pPr>
        <w:pStyle w:val="3"/>
        <w:widowControl/>
        <w:spacing w:before="0" w:beforeAutospacing="1" w:after="0" w:afterAutospacing="1" w:line="360" w:lineRule="auto"/>
        <w:ind w:left="567" w:right="0"/>
        <w:jc w:val="both"/>
        <w:rPr>
          <w:rFonts w:hint="eastAsia" w:ascii="宋体" w:hAnsi="宋体" w:eastAsia="宋体" w:cs="宋体"/>
          <w:sz w:val="28"/>
          <w:szCs w:val="28"/>
        </w:rPr>
      </w:pPr>
      <w:r>
        <w:rPr>
          <w:rFonts w:hint="eastAsia" w:ascii="宋体" w:hAnsi="宋体" w:eastAsia="宋体" w:cs="宋体"/>
          <w:sz w:val="28"/>
          <w:szCs w:val="28"/>
        </w:rPr>
        <w:t>3、标准起草阶段</w:t>
      </w:r>
    </w:p>
    <w:p w14:paraId="11AE4D99">
      <w:pPr>
        <w:pStyle w:val="3"/>
        <w:widowControl/>
        <w:spacing w:before="0" w:beforeAutospacing="1" w:after="0" w:afterAutospacing="1" w:line="360" w:lineRule="auto"/>
        <w:ind w:left="0" w:right="0" w:firstLine="559"/>
        <w:jc w:val="both"/>
        <w:rPr>
          <w:rFonts w:hint="eastAsia" w:ascii="宋体" w:hAnsi="宋体" w:eastAsia="宋体" w:cs="宋体"/>
          <w:spacing w:val="-3"/>
          <w:sz w:val="28"/>
          <w:szCs w:val="28"/>
        </w:rPr>
      </w:pPr>
      <w:r>
        <w:rPr>
          <w:rFonts w:hint="eastAsia" w:ascii="宋体" w:hAnsi="宋体" w:eastAsia="宋体" w:cs="宋体"/>
          <w:sz w:val="28"/>
          <w:szCs w:val="28"/>
        </w:rPr>
        <w:t>在理论研究基础上，起草组在标准编制过程中充分借鉴已有的理论研究和实践成果，基于</w:t>
      </w:r>
      <w:r>
        <w:rPr>
          <w:rFonts w:hint="eastAsia" w:cs="宋体"/>
          <w:sz w:val="28"/>
          <w:szCs w:val="28"/>
          <w:lang w:eastAsia="zh-CN"/>
        </w:rPr>
        <w:t>我国基本国情</w:t>
      </w:r>
      <w:r>
        <w:rPr>
          <w:rFonts w:hint="eastAsia" w:ascii="宋体" w:hAnsi="宋体" w:eastAsia="宋体" w:cs="宋体"/>
          <w:sz w:val="28"/>
          <w:szCs w:val="28"/>
        </w:rPr>
        <w:t>，经过数次修改，形成了</w:t>
      </w:r>
      <w:r>
        <w:rPr>
          <w:rFonts w:hint="eastAsia" w:ascii="宋体" w:hAnsi="宋体" w:eastAsia="宋体" w:cs="宋体"/>
          <w:spacing w:val="-3"/>
          <w:sz w:val="28"/>
          <w:szCs w:val="28"/>
        </w:rPr>
        <w:t>《</w:t>
      </w:r>
      <w:r>
        <w:rPr>
          <w:rFonts w:hint="eastAsia" w:cs="宋体"/>
          <w:color w:val="000000"/>
          <w:sz w:val="28"/>
          <w:szCs w:val="28"/>
          <w:lang w:eastAsia="zh-CN"/>
        </w:rPr>
        <w:t>物联电能计量箱</w:t>
      </w:r>
      <w:r>
        <w:rPr>
          <w:rFonts w:hint="eastAsia" w:ascii="宋体" w:hAnsi="宋体" w:eastAsia="宋体" w:cs="宋体"/>
          <w:spacing w:val="-3"/>
          <w:sz w:val="28"/>
          <w:szCs w:val="28"/>
        </w:rPr>
        <w:t>》标准草案稿。</w:t>
      </w:r>
    </w:p>
    <w:p w14:paraId="741E8CD4">
      <w:pPr>
        <w:pStyle w:val="3"/>
        <w:widowControl/>
        <w:spacing w:before="0" w:beforeAutospacing="1" w:after="0" w:afterAutospacing="1" w:line="360" w:lineRule="auto"/>
        <w:ind w:left="0" w:right="0" w:firstLine="559"/>
        <w:jc w:val="both"/>
        <w:rPr>
          <w:rFonts w:hint="eastAsia" w:ascii="宋体" w:hAnsi="宋体" w:eastAsia="宋体" w:cs="宋体"/>
          <w:sz w:val="28"/>
          <w:szCs w:val="28"/>
        </w:rPr>
      </w:pPr>
      <w:r>
        <w:rPr>
          <w:rFonts w:hint="eastAsia" w:ascii="宋体" w:hAnsi="宋体" w:eastAsia="宋体" w:cs="宋体"/>
          <w:spacing w:val="-3"/>
          <w:sz w:val="28"/>
          <w:szCs w:val="28"/>
        </w:rPr>
        <w:t>4、标准征求意见阶段</w:t>
      </w:r>
    </w:p>
    <w:p w14:paraId="046AEBE3">
      <w:pPr>
        <w:pStyle w:val="3"/>
        <w:widowControl/>
        <w:spacing w:before="0" w:beforeAutospacing="1" w:after="0" w:afterAutospacing="1" w:line="360" w:lineRule="auto"/>
        <w:ind w:left="0" w:right="0" w:firstLine="559"/>
        <w:jc w:val="both"/>
        <w:rPr>
          <w:rFonts w:hint="eastAsia" w:ascii="宋体" w:hAnsi="宋体" w:eastAsia="宋体" w:cs="宋体"/>
          <w:sz w:val="28"/>
          <w:szCs w:val="28"/>
        </w:rPr>
      </w:pPr>
      <w:r>
        <w:rPr>
          <w:rFonts w:hint="eastAsia" w:ascii="宋体" w:hAnsi="宋体" w:eastAsia="宋体" w:cs="宋体"/>
          <w:spacing w:val="-3"/>
          <w:sz w:val="28"/>
          <w:szCs w:val="28"/>
        </w:rPr>
        <w:t>形成标准草案稿之后，起草组召开了多次专家研讨会，从标准框架、标准起草等角度广泛征求多方意见，从理论完善和实践应用方面提升标准的适用性和实用性。经过理论研究和方法验证，明确</w:t>
      </w:r>
      <w:r>
        <w:rPr>
          <w:rFonts w:hint="eastAsia" w:ascii="宋体" w:hAnsi="宋体" w:eastAsia="宋体" w:cs="宋体"/>
          <w:spacing w:val="-9"/>
          <w:sz w:val="28"/>
          <w:szCs w:val="28"/>
        </w:rPr>
        <w:t>和规范</w:t>
      </w:r>
      <w:r>
        <w:rPr>
          <w:rFonts w:hint="eastAsia" w:cs="宋体"/>
          <w:color w:val="000000"/>
          <w:sz w:val="28"/>
          <w:szCs w:val="28"/>
          <w:lang w:val="en-US" w:eastAsia="zh-CN"/>
        </w:rPr>
        <w:t>物联电能计量箱相关</w:t>
      </w:r>
      <w:r>
        <w:rPr>
          <w:rFonts w:hint="eastAsia" w:ascii="宋体" w:hAnsi="宋体" w:eastAsia="宋体" w:cs="宋体"/>
          <w:color w:val="000000"/>
          <w:sz w:val="28"/>
          <w:szCs w:val="28"/>
        </w:rPr>
        <w:t>技术</w:t>
      </w:r>
      <w:r>
        <w:rPr>
          <w:rFonts w:hint="eastAsia" w:cs="宋体"/>
          <w:color w:val="000000"/>
          <w:sz w:val="28"/>
          <w:szCs w:val="28"/>
          <w:lang w:val="en-US" w:eastAsia="zh-CN"/>
        </w:rPr>
        <w:t>要求</w:t>
      </w:r>
      <w:r>
        <w:rPr>
          <w:rFonts w:hint="eastAsia" w:ascii="宋体" w:hAnsi="宋体" w:eastAsia="宋体" w:cs="宋体"/>
          <w:spacing w:val="-9"/>
          <w:sz w:val="28"/>
          <w:szCs w:val="28"/>
        </w:rPr>
        <w:t>。起草组形成了《</w:t>
      </w:r>
      <w:r>
        <w:rPr>
          <w:rFonts w:hint="eastAsia" w:cs="宋体"/>
          <w:color w:val="000000"/>
          <w:sz w:val="28"/>
          <w:szCs w:val="28"/>
          <w:lang w:eastAsia="zh-CN"/>
        </w:rPr>
        <w:t>物联电能计量箱</w:t>
      </w:r>
      <w:r>
        <w:rPr>
          <w:rFonts w:hint="eastAsia" w:ascii="宋体" w:hAnsi="宋体" w:eastAsia="宋体" w:cs="宋体"/>
          <w:spacing w:val="-9"/>
          <w:sz w:val="28"/>
          <w:szCs w:val="28"/>
        </w:rPr>
        <w:t>》</w:t>
      </w:r>
      <w:r>
        <w:rPr>
          <w:rFonts w:hint="eastAsia" w:ascii="宋体" w:hAnsi="宋体" w:eastAsia="宋体" w:cs="宋体"/>
          <w:sz w:val="28"/>
          <w:szCs w:val="28"/>
        </w:rPr>
        <w:t>（征求</w:t>
      </w:r>
      <w:r>
        <w:rPr>
          <w:rFonts w:hint="eastAsia" w:ascii="宋体" w:hAnsi="宋体" w:eastAsia="宋体" w:cs="宋体"/>
          <w:spacing w:val="-1"/>
          <w:sz w:val="28"/>
          <w:szCs w:val="28"/>
        </w:rPr>
        <w:t>意见稿</w:t>
      </w:r>
      <w:r>
        <w:rPr>
          <w:rFonts w:hint="eastAsia" w:ascii="宋体" w:hAnsi="宋体" w:eastAsia="宋体" w:cs="宋体"/>
          <w:spacing w:val="-140"/>
          <w:sz w:val="28"/>
          <w:szCs w:val="28"/>
        </w:rPr>
        <w:t>）</w:t>
      </w:r>
      <w:r>
        <w:rPr>
          <w:rFonts w:hint="eastAsia" w:ascii="宋体" w:hAnsi="宋体" w:eastAsia="宋体" w:cs="宋体"/>
          <w:spacing w:val="-3"/>
          <w:sz w:val="28"/>
          <w:szCs w:val="28"/>
        </w:rPr>
        <w:t>。</w:t>
      </w:r>
    </w:p>
    <w:p w14:paraId="210806FA">
      <w:pPr>
        <w:pStyle w:val="3"/>
        <w:widowControl/>
        <w:spacing w:before="0" w:beforeAutospacing="1" w:after="0" w:afterAutospacing="1" w:line="360" w:lineRule="auto"/>
        <w:ind w:left="567" w:right="0"/>
        <w:jc w:val="both"/>
        <w:rPr>
          <w:rFonts w:hint="eastAsia" w:ascii="宋体" w:hAnsi="宋体" w:eastAsia="宋体" w:cs="宋体"/>
          <w:sz w:val="28"/>
          <w:szCs w:val="28"/>
        </w:rPr>
      </w:pPr>
      <w:r>
        <w:rPr>
          <w:rFonts w:hint="eastAsia" w:ascii="宋体" w:hAnsi="宋体" w:eastAsia="宋体" w:cs="宋体"/>
          <w:sz w:val="28"/>
          <w:szCs w:val="28"/>
        </w:rPr>
        <w:t>5、专家审核阶段</w:t>
      </w:r>
    </w:p>
    <w:p w14:paraId="74227F67">
      <w:pPr>
        <w:pStyle w:val="3"/>
        <w:widowControl/>
        <w:spacing w:before="0" w:beforeAutospacing="1" w:after="0" w:afterAutospacing="1" w:line="360" w:lineRule="auto"/>
        <w:ind w:left="0" w:right="0" w:firstLine="559"/>
        <w:jc w:val="both"/>
        <w:rPr>
          <w:rFonts w:hint="eastAsia" w:ascii="宋体" w:hAnsi="宋体" w:eastAsia="宋体" w:cs="宋体"/>
          <w:spacing w:val="-3"/>
          <w:sz w:val="28"/>
          <w:szCs w:val="28"/>
        </w:rPr>
      </w:pPr>
      <w:r>
        <w:rPr>
          <w:rFonts w:hint="eastAsia" w:ascii="宋体" w:hAnsi="宋体" w:eastAsia="宋体" w:cs="宋体"/>
          <w:spacing w:val="-3"/>
          <w:sz w:val="28"/>
          <w:szCs w:val="28"/>
        </w:rPr>
        <w:t>拟定于202</w:t>
      </w:r>
      <w:r>
        <w:rPr>
          <w:rFonts w:hint="eastAsia" w:cs="宋体"/>
          <w:spacing w:val="-3"/>
          <w:sz w:val="28"/>
          <w:szCs w:val="28"/>
          <w:lang w:val="en-US" w:eastAsia="zh-CN"/>
        </w:rPr>
        <w:t>5</w:t>
      </w:r>
      <w:r>
        <w:rPr>
          <w:rFonts w:hint="eastAsia" w:ascii="宋体" w:hAnsi="宋体" w:eastAsia="宋体" w:cs="宋体"/>
          <w:spacing w:val="-3"/>
          <w:sz w:val="28"/>
          <w:szCs w:val="28"/>
        </w:rPr>
        <w:t>年0</w:t>
      </w:r>
      <w:r>
        <w:rPr>
          <w:rFonts w:hint="eastAsia" w:cs="宋体"/>
          <w:spacing w:val="-3"/>
          <w:sz w:val="28"/>
          <w:szCs w:val="28"/>
          <w:lang w:val="en-US" w:eastAsia="zh-CN"/>
        </w:rPr>
        <w:t>5</w:t>
      </w:r>
      <w:r>
        <w:rPr>
          <w:rFonts w:hint="eastAsia" w:ascii="宋体" w:hAnsi="宋体" w:eastAsia="宋体" w:cs="宋体"/>
          <w:spacing w:val="-3"/>
          <w:sz w:val="28"/>
          <w:szCs w:val="28"/>
        </w:rPr>
        <w:t>月召集专家审核标准，汇总专家审核意见之后，修改标准并发布。</w:t>
      </w:r>
    </w:p>
    <w:p w14:paraId="6A999090">
      <w:pPr>
        <w:pStyle w:val="2"/>
        <w:widowControl/>
        <w:spacing w:line="360" w:lineRule="auto"/>
        <w:ind w:left="0"/>
        <w:jc w:val="both"/>
        <w:rPr>
          <w:rFonts w:hint="eastAsia" w:ascii="宋体" w:hAnsi="宋体" w:eastAsia="宋体" w:cs="宋体"/>
          <w:b w:val="0"/>
          <w:bCs/>
          <w:sz w:val="28"/>
          <w:szCs w:val="28"/>
        </w:rPr>
      </w:pPr>
      <w:r>
        <w:rPr>
          <w:rFonts w:hint="eastAsia" w:ascii="宋体" w:hAnsi="宋体" w:eastAsia="宋体" w:cs="宋体"/>
          <w:b/>
          <w:bCs/>
          <w:sz w:val="28"/>
          <w:szCs w:val="28"/>
        </w:rPr>
        <w:t>（四）主要起草单位及起草人所做的工作</w:t>
      </w:r>
    </w:p>
    <w:p w14:paraId="438F8AEC">
      <w:pPr>
        <w:pStyle w:val="3"/>
        <w:widowControl/>
        <w:spacing w:before="0" w:beforeAutospacing="1" w:after="0" w:afterAutospacing="1" w:line="360" w:lineRule="auto"/>
        <w:ind w:left="0" w:right="0" w:firstLine="559"/>
        <w:jc w:val="both"/>
        <w:rPr>
          <w:rFonts w:hint="eastAsia" w:ascii="宋体" w:hAnsi="宋体" w:eastAsia="宋体" w:cs="宋体"/>
          <w:spacing w:val="-3"/>
          <w:sz w:val="28"/>
          <w:szCs w:val="28"/>
        </w:rPr>
      </w:pPr>
      <w:r>
        <w:rPr>
          <w:rFonts w:hint="eastAsia" w:ascii="宋体" w:hAnsi="宋体" w:eastAsia="宋体" w:cs="宋体"/>
          <w:spacing w:val="-3"/>
          <w:sz w:val="28"/>
          <w:szCs w:val="28"/>
        </w:rPr>
        <w:t>主要起草单位：</w:t>
      </w:r>
      <w:r>
        <w:rPr>
          <w:rFonts w:hint="eastAsia" w:ascii="宋体" w:hAnsi="宋体" w:eastAsia="宋体" w:cs="宋体"/>
          <w:spacing w:val="-3"/>
          <w:sz w:val="28"/>
          <w:szCs w:val="28"/>
          <w:lang w:eastAsia="zh-CN"/>
        </w:rPr>
        <w:t>浙江鲁高电力科技有限公司</w:t>
      </w:r>
      <w:r>
        <w:rPr>
          <w:rFonts w:hint="eastAsia" w:ascii="宋体" w:hAnsi="宋体" w:eastAsia="宋体" w:cs="宋体"/>
          <w:spacing w:val="-3"/>
          <w:sz w:val="28"/>
          <w:szCs w:val="28"/>
        </w:rPr>
        <w:t>等多家单位的专家成立了规范起草小组，开展标准的编制工作。经工作组的不懈努力，在202</w:t>
      </w:r>
      <w:r>
        <w:rPr>
          <w:rFonts w:hint="eastAsia" w:cs="宋体"/>
          <w:spacing w:val="-3"/>
          <w:sz w:val="28"/>
          <w:szCs w:val="28"/>
          <w:lang w:val="en-US" w:eastAsia="zh-CN"/>
        </w:rPr>
        <w:t>5</w:t>
      </w:r>
      <w:r>
        <w:rPr>
          <w:rFonts w:hint="eastAsia" w:ascii="宋体" w:hAnsi="宋体" w:eastAsia="宋体" w:cs="宋体"/>
          <w:spacing w:val="-3"/>
          <w:sz w:val="28"/>
          <w:szCs w:val="28"/>
        </w:rPr>
        <w:t>年0</w:t>
      </w:r>
      <w:r>
        <w:rPr>
          <w:rFonts w:hint="eastAsia" w:ascii="宋体" w:hAnsi="宋体" w:eastAsia="宋体" w:cs="宋体"/>
          <w:spacing w:val="-3"/>
          <w:sz w:val="28"/>
          <w:szCs w:val="28"/>
          <w:lang w:val="en-US" w:eastAsia="zh-CN"/>
        </w:rPr>
        <w:t>4</w:t>
      </w:r>
      <w:r>
        <w:rPr>
          <w:rFonts w:hint="eastAsia" w:ascii="宋体" w:hAnsi="宋体" w:eastAsia="宋体" w:cs="宋体"/>
          <w:spacing w:val="-3"/>
          <w:sz w:val="28"/>
          <w:szCs w:val="28"/>
        </w:rPr>
        <w:t>月，完成了标准征求意见稿的编写工作。</w:t>
      </w:r>
    </w:p>
    <w:p w14:paraId="20B83F1E">
      <w:pPr>
        <w:pStyle w:val="3"/>
        <w:widowControl/>
        <w:spacing w:before="0" w:beforeAutospacing="1" w:after="0" w:afterAutospacing="1" w:line="360" w:lineRule="auto"/>
        <w:ind w:left="567" w:right="0"/>
        <w:jc w:val="both"/>
        <w:rPr>
          <w:rFonts w:hint="eastAsia" w:ascii="宋体" w:hAnsi="宋体" w:eastAsia="宋体" w:cs="宋体"/>
          <w:sz w:val="28"/>
          <w:szCs w:val="28"/>
        </w:rPr>
      </w:pPr>
      <w:r>
        <w:rPr>
          <w:rFonts w:hint="eastAsia" w:ascii="宋体" w:hAnsi="宋体" w:eastAsia="宋体" w:cs="宋体"/>
          <w:sz w:val="28"/>
          <w:szCs w:val="28"/>
        </w:rPr>
        <w:t>2、广泛收集相关资料。</w:t>
      </w:r>
    </w:p>
    <w:p w14:paraId="70BB5943">
      <w:pPr>
        <w:pStyle w:val="3"/>
        <w:widowControl/>
        <w:spacing w:before="0" w:beforeAutospacing="1" w:after="0" w:afterAutospacing="1" w:line="360" w:lineRule="auto"/>
        <w:ind w:left="0" w:right="0" w:firstLine="559"/>
        <w:jc w:val="both"/>
        <w:rPr>
          <w:rFonts w:hint="eastAsia" w:ascii="宋体" w:hAnsi="宋体" w:eastAsia="宋体" w:cs="宋体"/>
          <w:spacing w:val="-3"/>
          <w:sz w:val="28"/>
          <w:szCs w:val="28"/>
        </w:rPr>
      </w:pPr>
      <w:r>
        <w:rPr>
          <w:rFonts w:hint="eastAsia" w:ascii="宋体" w:hAnsi="宋体" w:eastAsia="宋体" w:cs="宋体"/>
          <w:spacing w:val="-3"/>
          <w:sz w:val="28"/>
          <w:szCs w:val="28"/>
        </w:rPr>
        <w:t>在广泛调研、查阅和研究国际标准、国家标准、行业标准的基础之上，形成本标准征求意见稿。本标准的制定引用的标准如下：</w:t>
      </w:r>
    </w:p>
    <w:p w14:paraId="6D319C01">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right="0" w:firstLine="561"/>
        <w:jc w:val="both"/>
        <w:textAlignment w:val="auto"/>
        <w:rPr>
          <w:rFonts w:hint="eastAsia" w:ascii="宋体" w:hAnsi="宋体" w:eastAsia="宋体" w:cs="宋体"/>
          <w:spacing w:val="-3"/>
          <w:sz w:val="28"/>
          <w:szCs w:val="28"/>
        </w:rPr>
      </w:pPr>
      <w:r>
        <w:rPr>
          <w:rFonts w:hint="eastAsia" w:ascii="宋体" w:hAnsi="宋体" w:eastAsia="宋体" w:cs="宋体"/>
          <w:spacing w:val="-3"/>
          <w:sz w:val="28"/>
          <w:szCs w:val="28"/>
        </w:rPr>
        <w:t>GB/T 191  包装储运图示标志</w:t>
      </w:r>
    </w:p>
    <w:p w14:paraId="37B27581">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right="0" w:firstLine="561"/>
        <w:jc w:val="both"/>
        <w:textAlignment w:val="auto"/>
        <w:rPr>
          <w:rFonts w:hint="eastAsia" w:ascii="宋体" w:hAnsi="宋体" w:eastAsia="宋体" w:cs="宋体"/>
          <w:spacing w:val="-3"/>
          <w:sz w:val="28"/>
          <w:szCs w:val="28"/>
        </w:rPr>
      </w:pPr>
      <w:r>
        <w:rPr>
          <w:rFonts w:hint="eastAsia" w:ascii="宋体" w:hAnsi="宋体" w:eastAsia="宋体" w:cs="宋体"/>
          <w:spacing w:val="-3"/>
          <w:sz w:val="28"/>
          <w:szCs w:val="28"/>
        </w:rPr>
        <w:t>GB/T 1043.1  塑料 简支梁冲击性能的测定 第1部分：非仪器化冲击试验</w:t>
      </w:r>
    </w:p>
    <w:p w14:paraId="223E2C02">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right="0" w:firstLine="561"/>
        <w:jc w:val="both"/>
        <w:textAlignment w:val="auto"/>
        <w:rPr>
          <w:rFonts w:hint="eastAsia" w:ascii="宋体" w:hAnsi="宋体" w:eastAsia="宋体" w:cs="宋体"/>
          <w:spacing w:val="-3"/>
          <w:sz w:val="28"/>
          <w:szCs w:val="28"/>
        </w:rPr>
      </w:pPr>
      <w:r>
        <w:rPr>
          <w:rFonts w:hint="eastAsia" w:ascii="宋体" w:hAnsi="宋体" w:eastAsia="宋体" w:cs="宋体"/>
          <w:spacing w:val="-3"/>
          <w:sz w:val="28"/>
          <w:szCs w:val="28"/>
        </w:rPr>
        <w:t>GB/T 2408—2021  塑料 燃烧性能的测定 水平法和垂直法</w:t>
      </w:r>
    </w:p>
    <w:p w14:paraId="3057CB84">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right="0" w:firstLine="561"/>
        <w:jc w:val="both"/>
        <w:textAlignment w:val="auto"/>
        <w:rPr>
          <w:rFonts w:hint="eastAsia" w:ascii="宋体" w:hAnsi="宋体" w:eastAsia="宋体" w:cs="宋体"/>
          <w:spacing w:val="-3"/>
          <w:sz w:val="28"/>
          <w:szCs w:val="28"/>
        </w:rPr>
      </w:pPr>
      <w:r>
        <w:rPr>
          <w:rFonts w:hint="eastAsia" w:ascii="宋体" w:hAnsi="宋体" w:eastAsia="宋体" w:cs="宋体"/>
          <w:spacing w:val="-3"/>
          <w:sz w:val="28"/>
          <w:szCs w:val="28"/>
        </w:rPr>
        <w:t>GB/T 2423.2  电工电子产品环境试验 第2部分：试验方法 试验B：高温</w:t>
      </w:r>
    </w:p>
    <w:p w14:paraId="393288FB">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right="0" w:firstLine="561"/>
        <w:jc w:val="both"/>
        <w:textAlignment w:val="auto"/>
        <w:rPr>
          <w:rFonts w:hint="eastAsia" w:ascii="宋体" w:hAnsi="宋体" w:eastAsia="宋体" w:cs="宋体"/>
          <w:spacing w:val="-3"/>
          <w:sz w:val="28"/>
          <w:szCs w:val="28"/>
        </w:rPr>
      </w:pPr>
      <w:r>
        <w:rPr>
          <w:rFonts w:hint="eastAsia" w:ascii="宋体" w:hAnsi="宋体" w:eastAsia="宋体" w:cs="宋体"/>
          <w:spacing w:val="-3"/>
          <w:sz w:val="28"/>
          <w:szCs w:val="28"/>
        </w:rPr>
        <w:t>GB/T 4208—2017  外壳防护等级（IP代码）</w:t>
      </w:r>
    </w:p>
    <w:p w14:paraId="262A6F94">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right="0" w:firstLine="561"/>
        <w:jc w:val="both"/>
        <w:textAlignment w:val="auto"/>
        <w:rPr>
          <w:rFonts w:hint="eastAsia" w:ascii="宋体" w:hAnsi="宋体" w:eastAsia="宋体" w:cs="宋体"/>
          <w:spacing w:val="-3"/>
          <w:sz w:val="28"/>
          <w:szCs w:val="28"/>
        </w:rPr>
      </w:pPr>
      <w:r>
        <w:rPr>
          <w:rFonts w:hint="eastAsia" w:ascii="宋体" w:hAnsi="宋体" w:eastAsia="宋体" w:cs="宋体"/>
          <w:spacing w:val="-3"/>
          <w:sz w:val="28"/>
          <w:szCs w:val="28"/>
        </w:rPr>
        <w:t>GB/T 5169.21  电工电子产品着火危险试验 第21部分：非正常热 球压试验方法</w:t>
      </w:r>
    </w:p>
    <w:p w14:paraId="714CAA7C">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right="0" w:firstLine="561"/>
        <w:jc w:val="both"/>
        <w:textAlignment w:val="auto"/>
        <w:rPr>
          <w:rFonts w:hint="eastAsia" w:ascii="宋体" w:hAnsi="宋体" w:eastAsia="宋体" w:cs="宋体"/>
          <w:spacing w:val="-3"/>
          <w:sz w:val="28"/>
          <w:szCs w:val="28"/>
        </w:rPr>
      </w:pPr>
      <w:r>
        <w:rPr>
          <w:rFonts w:hint="eastAsia" w:ascii="宋体" w:hAnsi="宋体" w:eastAsia="宋体" w:cs="宋体"/>
          <w:spacing w:val="-3"/>
          <w:sz w:val="28"/>
          <w:szCs w:val="28"/>
        </w:rPr>
        <w:t>GB/T 7251.1—2023  低压成套开关设备和控制设备 第1部分：总则</w:t>
      </w:r>
    </w:p>
    <w:p w14:paraId="1D44497B">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right="0" w:firstLine="561"/>
        <w:jc w:val="both"/>
        <w:textAlignment w:val="auto"/>
        <w:rPr>
          <w:rFonts w:hint="eastAsia" w:ascii="宋体" w:hAnsi="宋体" w:eastAsia="宋体" w:cs="宋体"/>
          <w:spacing w:val="-3"/>
          <w:sz w:val="28"/>
          <w:szCs w:val="28"/>
        </w:rPr>
      </w:pPr>
      <w:r>
        <w:rPr>
          <w:rFonts w:hint="eastAsia" w:ascii="宋体" w:hAnsi="宋体" w:eastAsia="宋体" w:cs="宋体"/>
          <w:spacing w:val="-3"/>
          <w:sz w:val="28"/>
          <w:szCs w:val="28"/>
        </w:rPr>
        <w:t>GB/T 7251.5—2017  低压成套开关设备和控制设备 第5部分：公用电网电力配电成套设备</w:t>
      </w:r>
    </w:p>
    <w:p w14:paraId="74C0F5B8">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right="0" w:firstLine="561"/>
        <w:jc w:val="both"/>
        <w:textAlignment w:val="auto"/>
        <w:rPr>
          <w:rFonts w:hint="eastAsia" w:ascii="宋体" w:hAnsi="宋体" w:eastAsia="宋体" w:cs="宋体"/>
          <w:spacing w:val="-3"/>
          <w:sz w:val="28"/>
          <w:szCs w:val="28"/>
        </w:rPr>
      </w:pPr>
      <w:r>
        <w:rPr>
          <w:rFonts w:hint="eastAsia" w:ascii="宋体" w:hAnsi="宋体" w:eastAsia="宋体" w:cs="宋体"/>
          <w:spacing w:val="-3"/>
          <w:sz w:val="28"/>
          <w:szCs w:val="28"/>
        </w:rPr>
        <w:t>GB/T 9286  色漆和清漆 划格试验</w:t>
      </w:r>
    </w:p>
    <w:p w14:paraId="0059C629">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right="0" w:firstLine="561"/>
        <w:jc w:val="both"/>
        <w:textAlignment w:val="auto"/>
        <w:rPr>
          <w:rFonts w:hint="eastAsia" w:ascii="宋体" w:hAnsi="宋体" w:eastAsia="宋体" w:cs="宋体"/>
          <w:spacing w:val="-3"/>
          <w:sz w:val="28"/>
          <w:szCs w:val="28"/>
        </w:rPr>
      </w:pPr>
      <w:r>
        <w:rPr>
          <w:rFonts w:hint="eastAsia" w:ascii="宋体" w:hAnsi="宋体" w:eastAsia="宋体" w:cs="宋体"/>
          <w:spacing w:val="-3"/>
          <w:sz w:val="28"/>
          <w:szCs w:val="28"/>
        </w:rPr>
        <w:t>GB/T 9341  塑料 弯曲性能的测定</w:t>
      </w:r>
    </w:p>
    <w:p w14:paraId="5F1EFDE9">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right="0" w:firstLine="561"/>
        <w:jc w:val="both"/>
        <w:textAlignment w:val="auto"/>
        <w:rPr>
          <w:rFonts w:hint="eastAsia" w:ascii="宋体" w:hAnsi="宋体" w:eastAsia="宋体" w:cs="宋体"/>
          <w:spacing w:val="-3"/>
          <w:sz w:val="28"/>
          <w:szCs w:val="28"/>
        </w:rPr>
      </w:pPr>
      <w:r>
        <w:rPr>
          <w:rFonts w:hint="eastAsia" w:ascii="宋体" w:hAnsi="宋体" w:eastAsia="宋体" w:cs="宋体"/>
          <w:spacing w:val="-3"/>
          <w:sz w:val="28"/>
          <w:szCs w:val="28"/>
        </w:rPr>
        <w:t>GB/T 10963.1  电气附件 家用及类似场所用过电流保护断路器 第1部分：用于交流的断路器</w:t>
      </w:r>
    </w:p>
    <w:p w14:paraId="6D4A6F9F">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right="0" w:firstLine="561"/>
        <w:jc w:val="both"/>
        <w:textAlignment w:val="auto"/>
        <w:rPr>
          <w:rFonts w:hint="eastAsia" w:ascii="宋体" w:hAnsi="宋体" w:eastAsia="宋体" w:cs="宋体"/>
          <w:spacing w:val="-3"/>
          <w:sz w:val="28"/>
          <w:szCs w:val="28"/>
        </w:rPr>
      </w:pPr>
      <w:r>
        <w:rPr>
          <w:rFonts w:hint="eastAsia" w:ascii="宋体" w:hAnsi="宋体" w:eastAsia="宋体" w:cs="宋体"/>
          <w:spacing w:val="-3"/>
          <w:sz w:val="28"/>
          <w:szCs w:val="28"/>
        </w:rPr>
        <w:t>GB/T 13384  机电产品包装通用技术条件</w:t>
      </w:r>
    </w:p>
    <w:p w14:paraId="1CBCB928">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right="0" w:firstLine="561"/>
        <w:jc w:val="both"/>
        <w:textAlignment w:val="auto"/>
        <w:rPr>
          <w:rFonts w:hint="eastAsia" w:ascii="宋体" w:hAnsi="宋体" w:eastAsia="宋体" w:cs="宋体"/>
          <w:spacing w:val="-3"/>
          <w:sz w:val="28"/>
          <w:szCs w:val="28"/>
        </w:rPr>
      </w:pPr>
      <w:r>
        <w:rPr>
          <w:rFonts w:hint="eastAsia" w:ascii="宋体" w:hAnsi="宋体" w:eastAsia="宋体" w:cs="宋体"/>
          <w:spacing w:val="-3"/>
          <w:sz w:val="28"/>
          <w:szCs w:val="28"/>
        </w:rPr>
        <w:t>GB/T 14048.2  低压开关设备和控制设备 第2部分：断路器</w:t>
      </w:r>
    </w:p>
    <w:p w14:paraId="2B9A2E85">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right="0" w:firstLine="561"/>
        <w:jc w:val="both"/>
        <w:textAlignment w:val="auto"/>
        <w:rPr>
          <w:rFonts w:hint="eastAsia" w:ascii="宋体" w:hAnsi="宋体" w:eastAsia="宋体" w:cs="宋体"/>
          <w:spacing w:val="-3"/>
          <w:sz w:val="28"/>
          <w:szCs w:val="28"/>
        </w:rPr>
      </w:pPr>
      <w:r>
        <w:rPr>
          <w:rFonts w:hint="eastAsia" w:ascii="宋体" w:hAnsi="宋体" w:eastAsia="宋体" w:cs="宋体"/>
          <w:spacing w:val="-3"/>
          <w:sz w:val="28"/>
          <w:szCs w:val="28"/>
        </w:rPr>
        <w:t>GB/T 14048.3  低压开关设备和控制设备 第3部分：开关、隔离器、隔离开关及熔断器组合电器</w:t>
      </w:r>
    </w:p>
    <w:p w14:paraId="1A4EFB38">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right="0" w:firstLine="561"/>
        <w:jc w:val="both"/>
        <w:textAlignment w:val="auto"/>
        <w:rPr>
          <w:rFonts w:hint="eastAsia" w:ascii="宋体" w:hAnsi="宋体" w:eastAsia="宋体" w:cs="宋体"/>
          <w:spacing w:val="-3"/>
          <w:sz w:val="28"/>
          <w:szCs w:val="28"/>
        </w:rPr>
      </w:pPr>
      <w:r>
        <w:rPr>
          <w:rFonts w:hint="eastAsia" w:ascii="宋体" w:hAnsi="宋体" w:eastAsia="宋体" w:cs="宋体"/>
          <w:spacing w:val="-3"/>
          <w:sz w:val="28"/>
          <w:szCs w:val="28"/>
        </w:rPr>
        <w:t>GB/T 16917.1  家用和类似用途的带过电流保护的剩余电流动作断路器（RCBO） 第1部分：一般规则</w:t>
      </w:r>
    </w:p>
    <w:p w14:paraId="55B71F45">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right="0" w:firstLine="561"/>
        <w:jc w:val="both"/>
        <w:textAlignment w:val="auto"/>
        <w:rPr>
          <w:rFonts w:hint="eastAsia" w:ascii="宋体" w:hAnsi="宋体" w:eastAsia="宋体" w:cs="宋体"/>
          <w:spacing w:val="-3"/>
          <w:sz w:val="28"/>
          <w:szCs w:val="28"/>
        </w:rPr>
      </w:pPr>
      <w:bookmarkStart w:id="0" w:name="OLE_LINK16"/>
      <w:r>
        <w:rPr>
          <w:rFonts w:hint="eastAsia" w:ascii="宋体" w:hAnsi="宋体" w:eastAsia="宋体" w:cs="宋体"/>
          <w:spacing w:val="-3"/>
          <w:sz w:val="28"/>
          <w:szCs w:val="28"/>
        </w:rPr>
        <w:t>GB/T 18663.1—2008</w:t>
      </w:r>
      <w:bookmarkEnd w:id="0"/>
      <w:r>
        <w:rPr>
          <w:rFonts w:hint="eastAsia" w:ascii="宋体" w:hAnsi="宋体" w:eastAsia="宋体" w:cs="宋体"/>
          <w:spacing w:val="-3"/>
          <w:sz w:val="28"/>
          <w:szCs w:val="28"/>
        </w:rPr>
        <w:t xml:space="preserve">  电子设备机械结构 公制系列和英制系列的试验 第1部分：机柜、机架、插箱和机箱的气候、机械试验及安全要求</w:t>
      </w:r>
    </w:p>
    <w:p w14:paraId="16960C80">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right="0" w:firstLine="561"/>
        <w:jc w:val="both"/>
        <w:textAlignment w:val="auto"/>
        <w:rPr>
          <w:rFonts w:hint="eastAsia" w:ascii="宋体" w:hAnsi="宋体" w:eastAsia="宋体" w:cs="宋体"/>
          <w:spacing w:val="-3"/>
          <w:sz w:val="28"/>
          <w:szCs w:val="28"/>
        </w:rPr>
      </w:pPr>
      <w:r>
        <w:rPr>
          <w:rFonts w:hint="eastAsia" w:ascii="宋体" w:hAnsi="宋体" w:eastAsia="宋体" w:cs="宋体"/>
          <w:spacing w:val="-3"/>
          <w:sz w:val="28"/>
          <w:szCs w:val="28"/>
        </w:rPr>
        <w:t>GB/T 20138-2023  电器设备外壳对外界机械碰撞的防护等级（IK代码）</w:t>
      </w:r>
    </w:p>
    <w:p w14:paraId="23309209">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right="0" w:firstLine="561"/>
        <w:jc w:val="both"/>
        <w:textAlignment w:val="auto"/>
        <w:rPr>
          <w:rFonts w:hint="eastAsia" w:ascii="宋体" w:hAnsi="宋体" w:eastAsia="宋体" w:cs="宋体"/>
          <w:spacing w:val="-3"/>
          <w:sz w:val="28"/>
          <w:szCs w:val="28"/>
        </w:rPr>
      </w:pPr>
      <w:r>
        <w:rPr>
          <w:rFonts w:hint="eastAsia" w:ascii="宋体" w:hAnsi="宋体" w:eastAsia="宋体" w:cs="宋体"/>
          <w:spacing w:val="-3"/>
          <w:sz w:val="28"/>
          <w:szCs w:val="28"/>
        </w:rPr>
        <w:t>GB/T 20641-2014  低压成套开关设备和控制设备 空壳体的一般要求</w:t>
      </w:r>
    </w:p>
    <w:p w14:paraId="2B11BDF2">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right="0" w:firstLine="561"/>
        <w:jc w:val="both"/>
        <w:textAlignment w:val="auto"/>
        <w:rPr>
          <w:rFonts w:hint="eastAsia" w:ascii="宋体" w:hAnsi="宋体" w:eastAsia="宋体" w:cs="宋体"/>
          <w:spacing w:val="-3"/>
          <w:sz w:val="28"/>
          <w:szCs w:val="28"/>
        </w:rPr>
      </w:pPr>
      <w:r>
        <w:rPr>
          <w:rFonts w:hint="eastAsia" w:ascii="宋体" w:hAnsi="宋体" w:eastAsia="宋体" w:cs="宋体"/>
          <w:spacing w:val="-3"/>
          <w:sz w:val="28"/>
          <w:szCs w:val="28"/>
        </w:rPr>
        <w:t>GB/T 20645—2021  特殊环境条件 高原用低压电器技术要求</w:t>
      </w:r>
    </w:p>
    <w:p w14:paraId="14E0AEDA">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right="0" w:firstLine="561"/>
        <w:jc w:val="both"/>
        <w:textAlignment w:val="auto"/>
        <w:rPr>
          <w:rFonts w:hint="eastAsia" w:ascii="宋体" w:hAnsi="宋体" w:eastAsia="宋体" w:cs="宋体"/>
          <w:spacing w:val="-3"/>
          <w:sz w:val="28"/>
          <w:szCs w:val="28"/>
        </w:rPr>
      </w:pPr>
      <w:r>
        <w:rPr>
          <w:rFonts w:hint="eastAsia" w:ascii="宋体" w:hAnsi="宋体" w:eastAsia="宋体" w:cs="宋体"/>
          <w:spacing w:val="-3"/>
          <w:sz w:val="28"/>
          <w:szCs w:val="28"/>
        </w:rPr>
        <w:t>GB/T 20840.3—2013  互感器 第3部分：电磁式电压互感器的补充技术要求</w:t>
      </w:r>
    </w:p>
    <w:p w14:paraId="30F616B9">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right="0" w:firstLine="561"/>
        <w:jc w:val="both"/>
        <w:textAlignment w:val="auto"/>
        <w:rPr>
          <w:rFonts w:hint="eastAsia" w:ascii="宋体" w:hAnsi="宋体" w:eastAsia="宋体" w:cs="宋体"/>
          <w:spacing w:val="-3"/>
          <w:sz w:val="28"/>
          <w:szCs w:val="28"/>
        </w:rPr>
      </w:pPr>
      <w:r>
        <w:rPr>
          <w:rFonts w:hint="eastAsia" w:ascii="宋体" w:hAnsi="宋体" w:eastAsia="宋体" w:cs="宋体"/>
          <w:spacing w:val="-3"/>
          <w:sz w:val="28"/>
          <w:szCs w:val="28"/>
        </w:rPr>
        <w:t>GB/T 20878—2024  不锈钢 牌号及化学成分</w:t>
      </w:r>
    </w:p>
    <w:p w14:paraId="7800D8C6">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right="0" w:firstLine="561"/>
        <w:jc w:val="both"/>
        <w:textAlignment w:val="auto"/>
        <w:rPr>
          <w:rFonts w:hint="eastAsia" w:ascii="宋体" w:hAnsi="宋体" w:eastAsia="宋体" w:cs="宋体"/>
          <w:spacing w:val="-3"/>
          <w:sz w:val="28"/>
          <w:szCs w:val="28"/>
        </w:rPr>
      </w:pPr>
      <w:r>
        <w:rPr>
          <w:rFonts w:hint="eastAsia" w:ascii="宋体" w:hAnsi="宋体" w:eastAsia="宋体" w:cs="宋体"/>
          <w:spacing w:val="-3"/>
          <w:sz w:val="28"/>
          <w:szCs w:val="28"/>
        </w:rPr>
        <w:t>GB/T 43918—2024  交流标准电能表</w:t>
      </w:r>
    </w:p>
    <w:p w14:paraId="5BACD97A">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right="0" w:firstLine="561"/>
        <w:jc w:val="both"/>
        <w:textAlignment w:val="auto"/>
        <w:rPr>
          <w:rFonts w:hint="eastAsia" w:ascii="宋体" w:hAnsi="宋体" w:eastAsia="宋体" w:cs="宋体"/>
          <w:spacing w:val="-3"/>
          <w:sz w:val="28"/>
          <w:szCs w:val="28"/>
        </w:rPr>
      </w:pPr>
      <w:r>
        <w:rPr>
          <w:rFonts w:hint="eastAsia" w:ascii="宋体" w:hAnsi="宋体" w:eastAsia="宋体" w:cs="宋体"/>
          <w:spacing w:val="-3"/>
          <w:sz w:val="28"/>
          <w:szCs w:val="28"/>
        </w:rPr>
        <w:t>DL/T 1745—2017  低压电能计量箱技术条件</w:t>
      </w:r>
    </w:p>
    <w:p w14:paraId="37A19ACA">
      <w:pPr>
        <w:pStyle w:val="2"/>
        <w:widowControl/>
        <w:spacing w:line="360" w:lineRule="auto"/>
        <w:ind w:left="0"/>
        <w:jc w:val="both"/>
        <w:rPr>
          <w:rFonts w:hint="eastAsia" w:ascii="宋体" w:hAnsi="宋体" w:eastAsia="宋体" w:cs="宋体"/>
          <w:b/>
          <w:bCs/>
          <w:sz w:val="28"/>
          <w:szCs w:val="28"/>
        </w:rPr>
      </w:pPr>
      <w:r>
        <w:rPr>
          <w:rFonts w:hint="eastAsia" w:ascii="宋体" w:hAnsi="宋体" w:eastAsia="宋体" w:cs="宋体"/>
          <w:b/>
          <w:bCs/>
          <w:sz w:val="28"/>
          <w:szCs w:val="28"/>
        </w:rPr>
        <w:t xml:space="preserve">二、 标准编制原则和主要内容 </w:t>
      </w:r>
    </w:p>
    <w:p w14:paraId="27A1A63A">
      <w:pPr>
        <w:keepNext w:val="0"/>
        <w:keepLines w:val="0"/>
        <w:widowControl w:val="0"/>
        <w:suppressLineNumbers w:val="0"/>
        <w:autoSpaceDE w:val="0"/>
        <w:autoSpaceDN w:val="0"/>
        <w:spacing w:before="0" w:beforeAutospacing="0" w:after="0" w:afterAutospacing="0" w:line="360" w:lineRule="auto"/>
        <w:ind w:left="0" w:right="0"/>
        <w:jc w:val="both"/>
        <w:rPr>
          <w:rFonts w:hint="eastAsia" w:ascii="宋体" w:hAnsi="宋体" w:eastAsia="宋体" w:cs="宋体"/>
          <w:b/>
          <w:bCs w:val="0"/>
          <w:sz w:val="28"/>
          <w:szCs w:val="28"/>
        </w:rPr>
      </w:pPr>
      <w:r>
        <w:rPr>
          <w:rFonts w:hint="eastAsia" w:ascii="宋体" w:hAnsi="宋体" w:eastAsia="宋体" w:cs="宋体"/>
          <w:b/>
          <w:bCs w:val="0"/>
          <w:kern w:val="0"/>
          <w:sz w:val="28"/>
          <w:szCs w:val="28"/>
          <w:lang w:val="en-US" w:eastAsia="zh-CN" w:bidi="ar"/>
        </w:rPr>
        <w:t xml:space="preserve">（一）标准制定原则 </w:t>
      </w:r>
    </w:p>
    <w:p w14:paraId="628E3DAC">
      <w:pPr>
        <w:pStyle w:val="3"/>
        <w:widowControl/>
        <w:spacing w:before="0" w:beforeAutospacing="1" w:after="0" w:afterAutospacing="1" w:line="360" w:lineRule="auto"/>
        <w:ind w:left="0" w:right="0" w:firstLine="559"/>
        <w:jc w:val="both"/>
        <w:rPr>
          <w:rFonts w:hint="eastAsia" w:ascii="宋体" w:hAnsi="宋体" w:eastAsia="宋体" w:cs="宋体"/>
          <w:sz w:val="28"/>
          <w:szCs w:val="28"/>
        </w:rPr>
      </w:pPr>
      <w:r>
        <w:rPr>
          <w:rFonts w:hint="eastAsia" w:ascii="宋体" w:hAnsi="宋体" w:eastAsia="宋体" w:cs="宋体"/>
          <w:sz w:val="28"/>
          <w:szCs w:val="28"/>
        </w:rPr>
        <w:t>本标准依据相关行业标准，标准编制遵循“前瞻性、实用性、统一性、规范性”的原则，注重标准的可操作性，严格按照GB/T 1.1最新版本的要求进行编写。</w:t>
      </w:r>
    </w:p>
    <w:p w14:paraId="1EEB63FB">
      <w:pPr>
        <w:pStyle w:val="2"/>
        <w:widowControl/>
        <w:spacing w:line="360" w:lineRule="auto"/>
        <w:ind w:left="0"/>
        <w:jc w:val="both"/>
        <w:rPr>
          <w:rFonts w:hint="eastAsia" w:ascii="宋体" w:hAnsi="宋体" w:eastAsia="宋体" w:cs="宋体"/>
          <w:b w:val="0"/>
          <w:bCs/>
          <w:sz w:val="28"/>
          <w:szCs w:val="28"/>
        </w:rPr>
      </w:pPr>
      <w:r>
        <w:rPr>
          <w:rFonts w:hint="eastAsia" w:ascii="宋体" w:hAnsi="宋体" w:eastAsia="宋体" w:cs="宋体"/>
          <w:b/>
          <w:bCs/>
          <w:sz w:val="28"/>
          <w:szCs w:val="28"/>
        </w:rPr>
        <w:t>（二） 标准主要技术内容</w:t>
      </w:r>
    </w:p>
    <w:p w14:paraId="1F2A7692">
      <w:pPr>
        <w:pStyle w:val="3"/>
        <w:widowControl/>
        <w:spacing w:before="0" w:beforeAutospacing="1" w:after="0" w:afterAutospacing="1" w:line="360" w:lineRule="auto"/>
        <w:ind w:left="0" w:right="0" w:firstLine="432" w:firstLineChars="150"/>
        <w:jc w:val="both"/>
        <w:rPr>
          <w:rFonts w:hint="eastAsia" w:ascii="宋体" w:hAnsi="宋体" w:eastAsia="宋体" w:cs="宋体"/>
          <w:spacing w:val="3"/>
          <w:sz w:val="28"/>
          <w:szCs w:val="28"/>
        </w:rPr>
      </w:pPr>
      <w:r>
        <w:rPr>
          <w:rFonts w:hint="eastAsia" w:ascii="宋体" w:hAnsi="宋体" w:eastAsia="宋体" w:cs="宋体"/>
          <w:spacing w:val="4"/>
          <w:sz w:val="28"/>
          <w:szCs w:val="28"/>
        </w:rPr>
        <w:t>本标准征求意见稿包括</w:t>
      </w:r>
      <w:r>
        <w:rPr>
          <w:rFonts w:hint="eastAsia" w:cs="宋体"/>
          <w:spacing w:val="4"/>
          <w:sz w:val="28"/>
          <w:szCs w:val="28"/>
          <w:lang w:val="en-US" w:eastAsia="zh-CN"/>
        </w:rPr>
        <w:t>10</w:t>
      </w:r>
      <w:r>
        <w:rPr>
          <w:rFonts w:hint="eastAsia" w:ascii="宋体" w:hAnsi="宋体" w:eastAsia="宋体" w:cs="宋体"/>
          <w:spacing w:val="3"/>
          <w:sz w:val="28"/>
          <w:szCs w:val="28"/>
        </w:rPr>
        <w:t>个部分，主要内容如下：</w:t>
      </w:r>
    </w:p>
    <w:p w14:paraId="1949C75A">
      <w:pPr>
        <w:pStyle w:val="3"/>
        <w:widowControl/>
        <w:spacing w:before="0" w:beforeAutospacing="1" w:after="0" w:afterAutospacing="1" w:line="360" w:lineRule="auto"/>
        <w:ind w:left="0" w:right="0" w:firstLine="429" w:firstLineChars="150"/>
        <w:jc w:val="both"/>
        <w:rPr>
          <w:rFonts w:hint="eastAsia" w:ascii="宋体" w:hAnsi="宋体" w:eastAsia="宋体" w:cs="宋体"/>
          <w:sz w:val="28"/>
          <w:szCs w:val="28"/>
        </w:rPr>
      </w:pPr>
      <w:r>
        <w:rPr>
          <w:rFonts w:hint="eastAsia" w:ascii="宋体" w:hAnsi="宋体" w:eastAsia="宋体" w:cs="宋体"/>
          <w:spacing w:val="3"/>
          <w:sz w:val="28"/>
          <w:szCs w:val="28"/>
        </w:rPr>
        <w:t>1</w:t>
      </w:r>
      <w:r>
        <w:rPr>
          <w:rFonts w:hint="eastAsia" w:ascii="宋体" w:hAnsi="宋体" w:eastAsia="宋体" w:cs="宋体"/>
          <w:sz w:val="28"/>
          <w:szCs w:val="28"/>
        </w:rPr>
        <w:t>、范围</w:t>
      </w:r>
    </w:p>
    <w:p w14:paraId="2AC80330">
      <w:pPr>
        <w:keepNext w:val="0"/>
        <w:keepLines w:val="0"/>
        <w:widowControl w:val="0"/>
        <w:suppressLineNumbers w:val="0"/>
        <w:autoSpaceDE w:val="0"/>
        <w:autoSpaceDN w:val="0"/>
        <w:spacing w:before="0" w:beforeAutospacing="0" w:after="0" w:afterAutospacing="0" w:line="360" w:lineRule="auto"/>
        <w:ind w:left="0" w:right="0"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本文件规定了物联电能计量箱（简称“计量箱”）的基本要求、使用条件、原材料和零部件、技术要求、试验方法、检验规则和包装、贮存、运输。</w:t>
      </w:r>
    </w:p>
    <w:p w14:paraId="66B05D07">
      <w:pPr>
        <w:keepNext w:val="0"/>
        <w:keepLines w:val="0"/>
        <w:widowControl w:val="0"/>
        <w:suppressLineNumbers w:val="0"/>
        <w:autoSpaceDE w:val="0"/>
        <w:autoSpaceDN w:val="0"/>
        <w:spacing w:before="0" w:beforeAutospacing="0" w:after="0" w:afterAutospacing="0" w:line="360" w:lineRule="auto"/>
        <w:ind w:left="0" w:right="0" w:firstLine="560" w:firstLineChars="20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本文件适用于具备物联通信功能，额定电压不超过400 V的户内型金属计量箱的设计、制造、检测和验收。</w:t>
      </w:r>
    </w:p>
    <w:p w14:paraId="67262357">
      <w:pPr>
        <w:pStyle w:val="3"/>
        <w:widowControl/>
        <w:spacing w:before="0" w:beforeAutospacing="1" w:after="0" w:afterAutospacing="1" w:line="360" w:lineRule="auto"/>
        <w:ind w:left="0" w:right="0" w:firstLine="420" w:firstLineChars="150"/>
        <w:jc w:val="both"/>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pacing w:val="-3"/>
          <w:sz w:val="28"/>
          <w:szCs w:val="28"/>
        </w:rPr>
        <w:t>、规范性引用文件</w:t>
      </w:r>
    </w:p>
    <w:p w14:paraId="5DDF0988">
      <w:pPr>
        <w:pStyle w:val="3"/>
        <w:widowControl/>
        <w:spacing w:before="0" w:beforeAutospacing="1" w:after="0" w:afterAutospacing="1" w:line="360" w:lineRule="auto"/>
        <w:ind w:left="0" w:right="0" w:firstLine="959" w:firstLineChars="350"/>
        <w:jc w:val="both"/>
        <w:rPr>
          <w:rFonts w:hint="eastAsia" w:ascii="宋体" w:hAnsi="宋体" w:eastAsia="宋体" w:cs="宋体"/>
          <w:spacing w:val="134"/>
          <w:sz w:val="28"/>
          <w:szCs w:val="28"/>
        </w:rPr>
      </w:pPr>
      <w:r>
        <w:rPr>
          <w:rFonts w:hint="eastAsia" w:ascii="宋体" w:hAnsi="宋体" w:eastAsia="宋体" w:cs="宋体"/>
          <w:spacing w:val="-3"/>
          <w:sz w:val="28"/>
          <w:szCs w:val="28"/>
        </w:rPr>
        <w:t>列出了本文件引用的标准文件。</w:t>
      </w:r>
    </w:p>
    <w:p w14:paraId="116D8D2F">
      <w:pPr>
        <w:pStyle w:val="3"/>
        <w:widowControl/>
        <w:spacing w:before="0" w:beforeAutospacing="1" w:after="0" w:afterAutospacing="1" w:line="360" w:lineRule="auto"/>
        <w:ind w:left="0" w:right="0" w:firstLine="420" w:firstLineChars="150"/>
        <w:jc w:val="both"/>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pacing w:val="-3"/>
          <w:sz w:val="28"/>
          <w:szCs w:val="28"/>
        </w:rPr>
        <w:t>、术语和定义</w:t>
      </w:r>
    </w:p>
    <w:p w14:paraId="4DC8A508">
      <w:pPr>
        <w:pStyle w:val="17"/>
        <w:keepNext w:val="0"/>
        <w:keepLines w:val="0"/>
        <w:widowControl/>
        <w:suppressLineNumbers w:val="0"/>
        <w:autoSpaceDE w:val="0"/>
        <w:autoSpaceDN w:val="0"/>
        <w:spacing w:line="360" w:lineRule="auto"/>
        <w:ind w:left="0" w:firstLine="959" w:firstLineChars="350"/>
        <w:rPr>
          <w:rFonts w:hint="eastAsia" w:ascii="宋体" w:hAnsi="宋体" w:eastAsia="宋体" w:cs="宋体"/>
          <w:spacing w:val="-3"/>
          <w:sz w:val="28"/>
          <w:szCs w:val="28"/>
        </w:rPr>
      </w:pPr>
      <w:r>
        <w:rPr>
          <w:rFonts w:hint="eastAsia" w:ascii="宋体" w:hAnsi="宋体" w:eastAsia="宋体" w:cs="宋体"/>
          <w:spacing w:val="-3"/>
          <w:sz w:val="28"/>
          <w:szCs w:val="28"/>
        </w:rPr>
        <w:t>DL/T 1745—2017</w:t>
      </w:r>
      <w:sdt>
        <w:sdtPr>
          <w:rPr>
            <w:rFonts w:hint="eastAsia" w:ascii="宋体" w:hAnsi="宋体" w:eastAsia="宋体" w:cs="宋体"/>
            <w:spacing w:val="-3"/>
            <w:sz w:val="28"/>
            <w:szCs w:val="28"/>
          </w:rPr>
          <w:id w:val="147458945"/>
          <w:placeholder>
            <w:docPart w:val="{4b3a0c00-1e5f-4f61-98a0-9783dc7c2e4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ascii="宋体" w:hAnsi="宋体" w:eastAsia="宋体" w:cs="宋体"/>
            <w:spacing w:val="-3"/>
            <w:sz w:val="28"/>
            <w:szCs w:val="28"/>
          </w:rPr>
        </w:sdtEndPr>
        <w:sdtContent>
          <w:r>
            <w:rPr>
              <w:rFonts w:hint="eastAsia" w:ascii="宋体" w:hAnsi="宋体" w:eastAsia="宋体" w:cs="宋体"/>
              <w:spacing w:val="-3"/>
              <w:sz w:val="28"/>
              <w:szCs w:val="28"/>
              <w:lang w:val="en-US" w:eastAsia="zh-CN"/>
            </w:rPr>
            <w:t>界定的术语和定义适用于本文件。</w:t>
          </w:r>
        </w:sdtContent>
      </w:sdt>
    </w:p>
    <w:p w14:paraId="6EAEF121">
      <w:pPr>
        <w:pStyle w:val="3"/>
        <w:widowControl/>
        <w:spacing w:before="0" w:beforeAutospacing="1" w:after="0" w:afterAutospacing="1" w:line="360" w:lineRule="auto"/>
        <w:ind w:left="0" w:right="0" w:firstLine="420" w:firstLineChars="150"/>
        <w:jc w:val="both"/>
        <w:rPr>
          <w:rFonts w:hint="default" w:ascii="宋体" w:hAnsi="宋体" w:eastAsia="宋体" w:cs="宋体"/>
          <w:sz w:val="28"/>
          <w:szCs w:val="28"/>
          <w:lang w:val="en-US" w:eastAsia="zh-CN"/>
        </w:rPr>
      </w:pPr>
      <w:r>
        <w:rPr>
          <w:rFonts w:hint="eastAsia" w:ascii="宋体" w:hAnsi="宋体" w:eastAsia="宋体" w:cs="宋体"/>
          <w:sz w:val="28"/>
          <w:szCs w:val="28"/>
        </w:rPr>
        <w:t>4</w:t>
      </w:r>
      <w:r>
        <w:rPr>
          <w:rFonts w:hint="eastAsia" w:ascii="宋体" w:hAnsi="宋体" w:eastAsia="宋体" w:cs="宋体"/>
          <w:spacing w:val="-2"/>
          <w:sz w:val="28"/>
          <w:szCs w:val="28"/>
        </w:rPr>
        <w:t>、</w:t>
      </w:r>
      <w:r>
        <w:rPr>
          <w:rFonts w:hint="eastAsia" w:cs="宋体"/>
          <w:spacing w:val="-2"/>
          <w:sz w:val="28"/>
          <w:szCs w:val="28"/>
          <w:lang w:val="en-US" w:eastAsia="zh-CN"/>
        </w:rPr>
        <w:t>基本要求</w:t>
      </w:r>
    </w:p>
    <w:p w14:paraId="6576C654">
      <w:pPr>
        <w:pStyle w:val="3"/>
        <w:widowControl/>
        <w:spacing w:before="0" w:beforeAutospacing="1" w:after="0" w:afterAutospacing="1" w:line="360" w:lineRule="auto"/>
        <w:ind w:left="0" w:right="0" w:firstLine="959" w:firstLineChars="350"/>
        <w:jc w:val="both"/>
        <w:rPr>
          <w:rFonts w:hint="default" w:ascii="宋体" w:hAnsi="宋体" w:eastAsia="宋体" w:cs="宋体"/>
          <w:spacing w:val="-3"/>
          <w:sz w:val="28"/>
          <w:szCs w:val="28"/>
          <w:lang w:val="en-US" w:eastAsia="zh-CN"/>
        </w:rPr>
      </w:pPr>
      <w:r>
        <w:rPr>
          <w:rFonts w:hint="eastAsia" w:ascii="宋体" w:hAnsi="宋体" w:eastAsia="宋体" w:cs="宋体"/>
          <w:spacing w:val="-3"/>
          <w:sz w:val="28"/>
          <w:szCs w:val="28"/>
        </w:rPr>
        <w:t>本章节主要规定了</w:t>
      </w:r>
      <w:r>
        <w:rPr>
          <w:rFonts w:hint="eastAsia" w:cs="宋体"/>
          <w:spacing w:val="-3"/>
          <w:sz w:val="28"/>
          <w:szCs w:val="28"/>
          <w:lang w:val="en-US" w:eastAsia="zh-CN"/>
        </w:rPr>
        <w:t>物联电能计量箱的分类、型式、规格和基本参数。</w:t>
      </w:r>
    </w:p>
    <w:p w14:paraId="14D612A4">
      <w:pPr>
        <w:pStyle w:val="3"/>
        <w:widowControl/>
        <w:spacing w:before="0" w:beforeAutospacing="1" w:after="0" w:afterAutospacing="1" w:line="360" w:lineRule="auto"/>
        <w:ind w:left="426" w:right="0"/>
        <w:jc w:val="both"/>
        <w:rPr>
          <w:rFonts w:hint="default" w:ascii="宋体" w:hAnsi="宋体" w:eastAsia="宋体" w:cs="宋体"/>
          <w:sz w:val="28"/>
          <w:szCs w:val="28"/>
          <w:lang w:val="en-US" w:eastAsia="zh-CN"/>
        </w:rPr>
      </w:pPr>
      <w:r>
        <w:rPr>
          <w:rFonts w:hint="eastAsia" w:ascii="宋体" w:hAnsi="宋体" w:eastAsia="宋体" w:cs="宋体"/>
          <w:sz w:val="28"/>
          <w:szCs w:val="28"/>
        </w:rPr>
        <w:t>5</w:t>
      </w:r>
      <w:r>
        <w:rPr>
          <w:rFonts w:hint="eastAsia" w:ascii="宋体" w:hAnsi="宋体" w:eastAsia="宋体" w:cs="宋体"/>
          <w:spacing w:val="-3"/>
          <w:sz w:val="28"/>
          <w:szCs w:val="28"/>
        </w:rPr>
        <w:t>、</w:t>
      </w:r>
      <w:r>
        <w:rPr>
          <w:rFonts w:hint="eastAsia" w:cs="宋体"/>
          <w:spacing w:val="-3"/>
          <w:sz w:val="28"/>
          <w:szCs w:val="28"/>
          <w:lang w:val="en-US" w:eastAsia="zh-CN"/>
        </w:rPr>
        <w:t>使用条件</w:t>
      </w:r>
    </w:p>
    <w:p w14:paraId="4C7591D2">
      <w:pPr>
        <w:pStyle w:val="3"/>
        <w:widowControl/>
        <w:spacing w:before="0" w:beforeAutospacing="1" w:after="0" w:afterAutospacing="1" w:line="360" w:lineRule="auto"/>
        <w:ind w:left="405" w:leftChars="193" w:right="0" w:firstLine="426"/>
        <w:jc w:val="both"/>
        <w:rPr>
          <w:rFonts w:hint="default" w:ascii="宋体" w:hAnsi="宋体" w:eastAsia="宋体" w:cs="宋体"/>
          <w:sz w:val="28"/>
          <w:szCs w:val="28"/>
          <w:lang w:val="en-US" w:eastAsia="zh-CN"/>
        </w:rPr>
      </w:pPr>
      <w:r>
        <w:rPr>
          <w:rFonts w:hint="eastAsia" w:ascii="宋体" w:hAnsi="宋体" w:eastAsia="宋体" w:cs="宋体"/>
          <w:sz w:val="28"/>
          <w:szCs w:val="28"/>
        </w:rPr>
        <w:t>本章节</w:t>
      </w:r>
      <w:r>
        <w:rPr>
          <w:rFonts w:hint="eastAsia" w:cs="宋体"/>
          <w:sz w:val="28"/>
          <w:szCs w:val="28"/>
          <w:lang w:val="en-US" w:eastAsia="zh-CN"/>
        </w:rPr>
        <w:t>规定了物联电能计量箱的使用条件，包括空气温度、相对湿度、污染等级和海拔。</w:t>
      </w:r>
    </w:p>
    <w:p w14:paraId="1FC72F3F">
      <w:pPr>
        <w:pStyle w:val="3"/>
        <w:widowControl/>
        <w:spacing w:before="0" w:beforeAutospacing="1" w:after="0" w:afterAutospacing="1" w:line="360" w:lineRule="auto"/>
        <w:ind w:left="426" w:right="0"/>
        <w:jc w:val="both"/>
        <w:rPr>
          <w:rFonts w:hint="default" w:ascii="宋体" w:hAnsi="宋体" w:eastAsia="宋体" w:cs="宋体"/>
          <w:sz w:val="28"/>
          <w:szCs w:val="28"/>
          <w:lang w:val="en-US" w:eastAsia="zh-CN"/>
        </w:rPr>
      </w:pPr>
      <w:r>
        <w:rPr>
          <w:rFonts w:hint="eastAsia" w:ascii="宋体" w:hAnsi="宋体" w:eastAsia="宋体" w:cs="宋体"/>
          <w:sz w:val="28"/>
          <w:szCs w:val="28"/>
        </w:rPr>
        <w:t>6、</w:t>
      </w:r>
      <w:r>
        <w:rPr>
          <w:rFonts w:hint="eastAsia" w:cs="宋体"/>
          <w:sz w:val="28"/>
          <w:szCs w:val="28"/>
          <w:lang w:val="en-US" w:eastAsia="zh-CN"/>
        </w:rPr>
        <w:t>原材料和零部件</w:t>
      </w:r>
    </w:p>
    <w:p w14:paraId="7D998A3E">
      <w:pPr>
        <w:pStyle w:val="3"/>
        <w:widowControl/>
        <w:spacing w:before="0" w:beforeAutospacing="1" w:after="0" w:afterAutospacing="1" w:line="360" w:lineRule="auto"/>
        <w:ind w:left="405" w:leftChars="193" w:right="0" w:firstLine="426"/>
        <w:jc w:val="both"/>
        <w:rPr>
          <w:rFonts w:hint="default" w:ascii="宋体" w:hAnsi="宋体" w:eastAsia="宋体" w:cs="宋体"/>
          <w:sz w:val="28"/>
          <w:szCs w:val="28"/>
          <w:lang w:val="en-US" w:eastAsia="zh-CN"/>
        </w:rPr>
      </w:pPr>
      <w:r>
        <w:rPr>
          <w:rFonts w:hint="eastAsia" w:ascii="宋体" w:hAnsi="宋体" w:eastAsia="宋体" w:cs="宋体"/>
          <w:sz w:val="28"/>
          <w:szCs w:val="28"/>
        </w:rPr>
        <w:t>本章节主要规定了</w:t>
      </w:r>
      <w:r>
        <w:rPr>
          <w:rFonts w:hint="eastAsia" w:cs="宋体"/>
          <w:sz w:val="28"/>
          <w:szCs w:val="28"/>
          <w:lang w:val="en-US" w:eastAsia="zh-CN"/>
        </w:rPr>
        <w:t>物联电能计量箱的原材料和零部件要求。</w:t>
      </w:r>
    </w:p>
    <w:p w14:paraId="4B8008ED">
      <w:pPr>
        <w:pStyle w:val="3"/>
        <w:widowControl/>
        <w:numPr>
          <w:ilvl w:val="0"/>
          <w:numId w:val="2"/>
        </w:numPr>
        <w:spacing w:before="0" w:beforeAutospacing="1" w:after="0" w:afterAutospacing="1" w:line="360" w:lineRule="auto"/>
        <w:ind w:left="160" w:leftChars="0" w:right="0" w:firstLine="280" w:firstLineChars="0"/>
        <w:jc w:val="both"/>
        <w:rPr>
          <w:rFonts w:hint="eastAsia" w:ascii="宋体" w:hAnsi="宋体" w:eastAsia="宋体" w:cs="宋体"/>
          <w:sz w:val="28"/>
          <w:szCs w:val="28"/>
        </w:rPr>
      </w:pPr>
      <w:r>
        <w:rPr>
          <w:rFonts w:hint="eastAsia" w:cs="宋体"/>
          <w:sz w:val="28"/>
          <w:szCs w:val="28"/>
          <w:lang w:val="en-US" w:eastAsia="zh-CN"/>
        </w:rPr>
        <w:t>技术要求</w:t>
      </w:r>
    </w:p>
    <w:p w14:paraId="0AA01A32">
      <w:pPr>
        <w:pStyle w:val="3"/>
        <w:keepNext w:val="0"/>
        <w:keepLines w:val="0"/>
        <w:widowControl w:val="0"/>
        <w:suppressLineNumbers w:val="0"/>
        <w:autoSpaceDE w:val="0"/>
        <w:autoSpaceDN w:val="0"/>
        <w:spacing w:before="0" w:beforeAutospacing="1" w:after="0" w:afterAutospacing="1" w:line="360" w:lineRule="auto"/>
        <w:ind w:left="403" w:leftChars="192" w:right="0" w:firstLine="490" w:firstLineChars="175"/>
        <w:jc w:val="both"/>
        <w:rPr>
          <w:rFonts w:hint="eastAsia" w:ascii="宋体" w:hAnsi="宋体" w:eastAsia="宋体" w:cs="宋体"/>
          <w:sz w:val="28"/>
          <w:szCs w:val="28"/>
        </w:rPr>
      </w:pPr>
      <w:r>
        <w:rPr>
          <w:rFonts w:hint="eastAsia" w:ascii="宋体" w:hAnsi="宋体" w:eastAsia="宋体" w:cs="宋体"/>
          <w:sz w:val="28"/>
          <w:szCs w:val="28"/>
        </w:rPr>
        <w:t>本章节规定了</w:t>
      </w:r>
      <w:r>
        <w:rPr>
          <w:rFonts w:hint="eastAsia" w:cs="宋体"/>
          <w:sz w:val="28"/>
          <w:szCs w:val="28"/>
          <w:lang w:val="en-US" w:eastAsia="zh-CN"/>
        </w:rPr>
        <w:t>物联电能计量箱的外观质量、结构尺寸、绝缘材料性能、机械性能、理化性能、电气性能、温升限值、计量互感器与电能表准确度等级的配合、防窃电和功能要求</w:t>
      </w:r>
      <w:r>
        <w:rPr>
          <w:rFonts w:hint="eastAsia" w:ascii="宋体" w:hAnsi="宋体" w:eastAsia="宋体" w:cs="宋体"/>
          <w:sz w:val="28"/>
          <w:szCs w:val="28"/>
        </w:rPr>
        <w:t>。</w:t>
      </w:r>
    </w:p>
    <w:p w14:paraId="239BF5A7">
      <w:pPr>
        <w:pStyle w:val="3"/>
        <w:widowControl/>
        <w:spacing w:before="0" w:beforeAutospacing="1" w:after="0" w:afterAutospacing="1" w:line="360" w:lineRule="auto"/>
        <w:ind w:left="426" w:right="0"/>
        <w:jc w:val="both"/>
        <w:rPr>
          <w:rFonts w:hint="default" w:ascii="宋体" w:hAnsi="宋体" w:eastAsia="宋体" w:cs="宋体"/>
          <w:sz w:val="28"/>
          <w:szCs w:val="28"/>
          <w:lang w:val="en-US" w:eastAsia="zh-CN"/>
        </w:rPr>
      </w:pPr>
      <w:r>
        <w:rPr>
          <w:rFonts w:hint="eastAsia" w:cs="宋体"/>
          <w:sz w:val="28"/>
          <w:szCs w:val="28"/>
          <w:lang w:val="en-US" w:eastAsia="zh-CN"/>
        </w:rPr>
        <w:t>试验方法</w:t>
      </w:r>
    </w:p>
    <w:p w14:paraId="45E83187">
      <w:pPr>
        <w:pStyle w:val="3"/>
        <w:widowControl/>
        <w:spacing w:before="0" w:beforeAutospacing="1" w:after="0" w:afterAutospacing="1" w:line="360" w:lineRule="auto"/>
        <w:ind w:left="405" w:leftChars="193" w:right="0" w:firstLine="426"/>
        <w:jc w:val="both"/>
        <w:rPr>
          <w:rFonts w:hint="default" w:ascii="宋体" w:hAnsi="宋体" w:eastAsia="宋体" w:cs="宋体"/>
          <w:sz w:val="28"/>
          <w:szCs w:val="28"/>
          <w:lang w:val="en-US" w:eastAsia="zh-CN"/>
        </w:rPr>
      </w:pPr>
      <w:r>
        <w:rPr>
          <w:rFonts w:hint="eastAsia" w:ascii="宋体" w:hAnsi="宋体" w:eastAsia="宋体" w:cs="宋体"/>
          <w:sz w:val="28"/>
          <w:szCs w:val="28"/>
        </w:rPr>
        <w:t>本章节主要规定了</w:t>
      </w:r>
      <w:r>
        <w:rPr>
          <w:rFonts w:hint="eastAsia" w:cs="宋体"/>
          <w:sz w:val="28"/>
          <w:szCs w:val="28"/>
          <w:lang w:val="en-US" w:eastAsia="zh-CN"/>
        </w:rPr>
        <w:t>模块化防窃电能计量箱的技术要求指标的相关试验方法。</w:t>
      </w:r>
    </w:p>
    <w:p w14:paraId="74262BA3">
      <w:pPr>
        <w:pStyle w:val="3"/>
        <w:widowControl/>
        <w:numPr>
          <w:ilvl w:val="0"/>
          <w:numId w:val="2"/>
        </w:numPr>
        <w:spacing w:before="0" w:beforeAutospacing="1" w:after="0" w:afterAutospacing="1" w:line="360" w:lineRule="auto"/>
        <w:ind w:left="160" w:leftChars="0" w:right="0" w:firstLine="280" w:firstLineChars="0"/>
        <w:jc w:val="both"/>
        <w:rPr>
          <w:rFonts w:hint="eastAsia" w:ascii="宋体" w:hAnsi="宋体" w:eastAsia="宋体" w:cs="宋体"/>
          <w:sz w:val="28"/>
          <w:szCs w:val="28"/>
        </w:rPr>
      </w:pPr>
      <w:r>
        <w:rPr>
          <w:rFonts w:hint="eastAsia" w:cs="宋体"/>
          <w:sz w:val="28"/>
          <w:szCs w:val="28"/>
          <w:lang w:val="en-US" w:eastAsia="zh-CN"/>
        </w:rPr>
        <w:t>检验规则</w:t>
      </w:r>
    </w:p>
    <w:p w14:paraId="7BEF7D30">
      <w:pPr>
        <w:pStyle w:val="3"/>
        <w:keepNext w:val="0"/>
        <w:keepLines w:val="0"/>
        <w:widowControl w:val="0"/>
        <w:suppressLineNumbers w:val="0"/>
        <w:autoSpaceDE w:val="0"/>
        <w:autoSpaceDN w:val="0"/>
        <w:spacing w:before="0" w:beforeAutospacing="1" w:after="0" w:afterAutospacing="1" w:line="360" w:lineRule="auto"/>
        <w:ind w:left="403" w:leftChars="192" w:right="0" w:firstLine="490" w:firstLineChars="175"/>
        <w:jc w:val="both"/>
        <w:rPr>
          <w:rFonts w:hint="eastAsia" w:ascii="宋体" w:hAnsi="宋体" w:eastAsia="宋体" w:cs="宋体"/>
          <w:sz w:val="28"/>
          <w:szCs w:val="28"/>
        </w:rPr>
      </w:pPr>
      <w:r>
        <w:rPr>
          <w:rFonts w:hint="eastAsia" w:ascii="宋体" w:hAnsi="宋体" w:eastAsia="宋体" w:cs="宋体"/>
          <w:sz w:val="28"/>
          <w:szCs w:val="28"/>
        </w:rPr>
        <w:t>本章节规定了</w:t>
      </w:r>
      <w:r>
        <w:rPr>
          <w:rFonts w:hint="eastAsia" w:cs="宋体"/>
          <w:sz w:val="28"/>
          <w:szCs w:val="28"/>
          <w:lang w:val="en-US" w:eastAsia="zh-CN"/>
        </w:rPr>
        <w:t>模块化防窃电能计量箱的出厂检验、型式检验和检验项目</w:t>
      </w:r>
      <w:r>
        <w:rPr>
          <w:rFonts w:hint="eastAsia" w:ascii="宋体" w:hAnsi="宋体" w:eastAsia="宋体" w:cs="宋体"/>
          <w:sz w:val="28"/>
          <w:szCs w:val="28"/>
        </w:rPr>
        <w:t>。</w:t>
      </w:r>
    </w:p>
    <w:p w14:paraId="0993DB1F">
      <w:pPr>
        <w:pStyle w:val="3"/>
        <w:widowControl/>
        <w:numPr>
          <w:ilvl w:val="0"/>
          <w:numId w:val="2"/>
        </w:numPr>
        <w:spacing w:before="0" w:beforeAutospacing="1" w:after="0" w:afterAutospacing="1" w:line="360" w:lineRule="auto"/>
        <w:ind w:left="160" w:leftChars="0" w:right="0" w:firstLine="280" w:firstLineChars="0"/>
        <w:jc w:val="both"/>
        <w:rPr>
          <w:rFonts w:hint="eastAsia" w:ascii="宋体" w:hAnsi="宋体" w:eastAsia="宋体" w:cs="宋体"/>
          <w:sz w:val="28"/>
          <w:szCs w:val="28"/>
        </w:rPr>
      </w:pPr>
      <w:r>
        <w:rPr>
          <w:rFonts w:hint="eastAsia" w:cs="宋体"/>
          <w:sz w:val="28"/>
          <w:szCs w:val="28"/>
          <w:lang w:val="en-US" w:eastAsia="zh-CN"/>
        </w:rPr>
        <w:t>标志、包装、运输和贮存</w:t>
      </w:r>
    </w:p>
    <w:p w14:paraId="02CDCE51">
      <w:pPr>
        <w:pStyle w:val="3"/>
        <w:keepNext w:val="0"/>
        <w:keepLines w:val="0"/>
        <w:widowControl w:val="0"/>
        <w:suppressLineNumbers w:val="0"/>
        <w:autoSpaceDE w:val="0"/>
        <w:autoSpaceDN w:val="0"/>
        <w:spacing w:before="0" w:beforeAutospacing="1" w:after="0" w:afterAutospacing="1" w:line="360" w:lineRule="auto"/>
        <w:ind w:left="403" w:leftChars="192" w:right="0" w:firstLine="490" w:firstLineChars="175"/>
        <w:jc w:val="both"/>
        <w:rPr>
          <w:rFonts w:hint="eastAsia" w:ascii="宋体" w:hAnsi="宋体" w:eastAsia="宋体" w:cs="宋体"/>
          <w:b/>
          <w:bCs/>
          <w:sz w:val="28"/>
          <w:szCs w:val="28"/>
        </w:rPr>
      </w:pPr>
      <w:r>
        <w:rPr>
          <w:rFonts w:hint="eastAsia" w:ascii="宋体" w:hAnsi="宋体" w:eastAsia="宋体" w:cs="宋体"/>
          <w:sz w:val="28"/>
          <w:szCs w:val="28"/>
        </w:rPr>
        <w:t>本章节规定了</w:t>
      </w:r>
      <w:r>
        <w:rPr>
          <w:rFonts w:hint="eastAsia" w:cs="宋体"/>
          <w:sz w:val="28"/>
          <w:szCs w:val="28"/>
          <w:lang w:val="en-US" w:eastAsia="zh-CN"/>
        </w:rPr>
        <w:t>模块化防窃电能计量箱的标志、包装、运输和贮存。</w:t>
      </w:r>
    </w:p>
    <w:p w14:paraId="5D361065">
      <w:pPr>
        <w:pStyle w:val="2"/>
        <w:widowControl/>
        <w:spacing w:line="360" w:lineRule="auto"/>
        <w:ind w:left="0"/>
        <w:jc w:val="both"/>
        <w:rPr>
          <w:rFonts w:hint="eastAsia" w:ascii="宋体" w:hAnsi="宋体" w:eastAsia="宋体" w:cs="宋体"/>
          <w:b w:val="0"/>
          <w:bCs/>
          <w:sz w:val="28"/>
          <w:szCs w:val="28"/>
        </w:rPr>
      </w:pPr>
      <w:r>
        <w:rPr>
          <w:rFonts w:hint="eastAsia" w:ascii="宋体" w:hAnsi="宋体" w:eastAsia="宋体" w:cs="宋体"/>
          <w:b/>
          <w:bCs/>
          <w:sz w:val="28"/>
          <w:szCs w:val="28"/>
        </w:rPr>
        <w:t>（三）主要试验（或验证）情况分析</w:t>
      </w:r>
    </w:p>
    <w:p w14:paraId="16F2ACF6">
      <w:pPr>
        <w:pStyle w:val="3"/>
        <w:widowControl/>
        <w:spacing w:before="0" w:beforeAutospacing="1" w:after="0" w:afterAutospacing="1" w:line="360" w:lineRule="auto"/>
        <w:ind w:left="0" w:right="0" w:firstLine="560" w:firstLineChars="200"/>
        <w:jc w:val="both"/>
        <w:rPr>
          <w:rFonts w:hint="eastAsia" w:ascii="宋体" w:hAnsi="宋体" w:eastAsia="宋体" w:cs="宋体"/>
          <w:sz w:val="28"/>
          <w:szCs w:val="28"/>
        </w:rPr>
      </w:pPr>
      <w:r>
        <w:rPr>
          <w:rFonts w:hint="eastAsia" w:ascii="宋体" w:hAnsi="宋体" w:eastAsia="宋体" w:cs="宋体"/>
          <w:sz w:val="28"/>
          <w:szCs w:val="28"/>
        </w:rPr>
        <w:t>结合国内外的国家标准和企业内部管控的项目进行要求规定和试验验证。</w:t>
      </w:r>
    </w:p>
    <w:p w14:paraId="2D66B65F">
      <w:pPr>
        <w:pStyle w:val="2"/>
        <w:widowControl/>
        <w:spacing w:line="360" w:lineRule="auto"/>
        <w:ind w:left="0" w:firstLine="7"/>
        <w:jc w:val="both"/>
        <w:rPr>
          <w:rFonts w:hint="eastAsia" w:ascii="宋体" w:hAnsi="宋体" w:eastAsia="宋体" w:cs="宋体"/>
          <w:b/>
          <w:bCs/>
          <w:sz w:val="28"/>
          <w:szCs w:val="28"/>
        </w:rPr>
      </w:pPr>
      <w:r>
        <w:rPr>
          <w:rFonts w:hint="eastAsia" w:ascii="宋体" w:hAnsi="宋体" w:eastAsia="宋体" w:cs="宋体"/>
          <w:b/>
          <w:bCs/>
          <w:sz w:val="28"/>
          <w:szCs w:val="28"/>
        </w:rPr>
        <w:t>（四）标准中涉及专利的情况</w:t>
      </w:r>
    </w:p>
    <w:p w14:paraId="0BDFB82A">
      <w:pPr>
        <w:pStyle w:val="2"/>
        <w:widowControl/>
        <w:spacing w:line="360" w:lineRule="auto"/>
        <w:ind w:left="0" w:firstLine="552" w:firstLineChars="200"/>
        <w:jc w:val="both"/>
        <w:rPr>
          <w:rFonts w:hint="eastAsia" w:ascii="宋体" w:hAnsi="宋体" w:eastAsia="宋体" w:cs="宋体"/>
          <w:b w:val="0"/>
          <w:bCs/>
          <w:sz w:val="28"/>
          <w:szCs w:val="28"/>
        </w:rPr>
      </w:pPr>
      <w:r>
        <w:rPr>
          <w:rFonts w:hint="eastAsia" w:ascii="宋体" w:hAnsi="宋体" w:eastAsia="宋体" w:cs="宋体"/>
          <w:b w:val="0"/>
          <w:bCs/>
          <w:spacing w:val="-2"/>
          <w:sz w:val="28"/>
          <w:szCs w:val="28"/>
        </w:rPr>
        <w:t>无。</w:t>
      </w:r>
    </w:p>
    <w:p w14:paraId="297E43A9">
      <w:pPr>
        <w:pStyle w:val="2"/>
        <w:widowControl/>
        <w:spacing w:line="360" w:lineRule="auto"/>
        <w:ind w:left="0" w:firstLine="7"/>
        <w:jc w:val="both"/>
        <w:rPr>
          <w:rFonts w:hint="eastAsia" w:ascii="宋体" w:hAnsi="宋体" w:eastAsia="宋体" w:cs="宋体"/>
          <w:b/>
          <w:bCs/>
          <w:sz w:val="28"/>
          <w:szCs w:val="28"/>
        </w:rPr>
      </w:pPr>
      <w:r>
        <w:rPr>
          <w:rFonts w:hint="eastAsia" w:ascii="宋体" w:hAnsi="宋体" w:eastAsia="宋体" w:cs="宋体"/>
          <w:b/>
          <w:bCs/>
          <w:sz w:val="28"/>
          <w:szCs w:val="28"/>
          <w:lang w:val="en-US" w:eastAsia="zh-CN"/>
        </w:rPr>
        <w:t>（五）预期达到的效益（经济、效益、生态等）对产业发展的作用的情况</w:t>
      </w:r>
    </w:p>
    <w:p w14:paraId="122E70C3">
      <w:pPr>
        <w:pStyle w:val="3"/>
        <w:widowControl/>
        <w:spacing w:before="0" w:beforeAutospacing="1" w:after="0" w:afterAutospacing="1" w:line="360" w:lineRule="auto"/>
        <w:ind w:left="0" w:right="0" w:firstLine="565" w:firstLineChars="202"/>
        <w:jc w:val="both"/>
        <w:rPr>
          <w:rFonts w:hint="eastAsia" w:ascii="宋体" w:hAnsi="宋体" w:eastAsia="宋体" w:cs="宋体"/>
          <w:sz w:val="28"/>
          <w:szCs w:val="28"/>
        </w:rPr>
      </w:pPr>
      <w:r>
        <w:rPr>
          <w:rFonts w:hint="eastAsia" w:ascii="宋体" w:hAnsi="宋体" w:eastAsia="宋体" w:cs="宋体"/>
          <w:sz w:val="28"/>
          <w:szCs w:val="28"/>
        </w:rPr>
        <w:t>《物联电能计量箱》团体标准预期在经济上可降低系统集成与运维成本、淘汰落后产能并拓展国内外市场；在社会层面可增强电网可靠性、保障能源数据安全、优化用户能效管理；在生态领域助力低碳生产与能效提升，整体推动产业实现技术升级、集中度提升与绿色转型，增强国际竞争力，为智能电网建设和“双碳”目标提供标准化支撑。</w:t>
      </w:r>
    </w:p>
    <w:p w14:paraId="74F4680F">
      <w:pPr>
        <w:pStyle w:val="2"/>
        <w:widowControl/>
        <w:spacing w:line="360" w:lineRule="auto"/>
        <w:ind w:left="0"/>
        <w:jc w:val="both"/>
        <w:rPr>
          <w:rFonts w:hint="eastAsia" w:ascii="宋体" w:hAnsi="宋体" w:eastAsia="宋体" w:cs="宋体"/>
          <w:b/>
          <w:bCs/>
          <w:sz w:val="28"/>
          <w:szCs w:val="28"/>
        </w:rPr>
      </w:pPr>
      <w:r>
        <w:rPr>
          <w:rFonts w:hint="eastAsia" w:ascii="宋体" w:hAnsi="宋体" w:eastAsia="宋体" w:cs="宋体"/>
          <w:b/>
          <w:bCs/>
          <w:sz w:val="28"/>
          <w:szCs w:val="28"/>
        </w:rPr>
        <w:t>（六）在标准体系中的位置，与现行相关</w:t>
      </w:r>
      <w:bookmarkStart w:id="1" w:name="_GoBack"/>
      <w:r>
        <w:rPr>
          <w:rFonts w:hint="eastAsia" w:ascii="宋体" w:hAnsi="宋体" w:eastAsia="宋体" w:cs="宋体"/>
          <w:b/>
          <w:bCs/>
          <w:sz w:val="28"/>
          <w:szCs w:val="28"/>
        </w:rPr>
        <w:t>法律、法规</w:t>
      </w:r>
      <w:bookmarkEnd w:id="1"/>
      <w:r>
        <w:rPr>
          <w:rFonts w:hint="eastAsia" w:ascii="宋体" w:hAnsi="宋体" w:eastAsia="宋体" w:cs="宋体"/>
          <w:b/>
          <w:bCs/>
          <w:sz w:val="28"/>
          <w:szCs w:val="28"/>
        </w:rPr>
        <w:t>、规章及相关标准，特别是强制性标准的协调性</w:t>
      </w:r>
    </w:p>
    <w:p w14:paraId="7BFD5A61">
      <w:pPr>
        <w:pStyle w:val="3"/>
        <w:widowControl/>
        <w:spacing w:before="0" w:beforeAutospacing="1" w:after="0" w:afterAutospacing="1" w:line="360" w:lineRule="auto"/>
        <w:ind w:left="0" w:right="0" w:firstLine="557" w:firstLineChars="202"/>
        <w:jc w:val="both"/>
        <w:rPr>
          <w:rFonts w:hint="eastAsia" w:ascii="宋体" w:hAnsi="宋体" w:eastAsia="宋体" w:cs="宋体"/>
          <w:sz w:val="28"/>
          <w:szCs w:val="28"/>
        </w:rPr>
      </w:pPr>
      <w:r>
        <w:rPr>
          <w:rFonts w:hint="eastAsia" w:ascii="宋体" w:hAnsi="宋体" w:eastAsia="宋体" w:cs="宋体"/>
          <w:spacing w:val="-2"/>
          <w:sz w:val="28"/>
          <w:szCs w:val="28"/>
        </w:rPr>
        <w:t>无。</w:t>
      </w:r>
    </w:p>
    <w:p w14:paraId="1D3A4854">
      <w:pPr>
        <w:pStyle w:val="2"/>
        <w:widowControl/>
        <w:spacing w:line="360" w:lineRule="auto"/>
        <w:ind w:left="0"/>
        <w:jc w:val="both"/>
        <w:rPr>
          <w:rFonts w:hint="eastAsia" w:ascii="宋体" w:hAnsi="宋体" w:eastAsia="宋体" w:cs="宋体"/>
          <w:b/>
          <w:bCs/>
          <w:sz w:val="28"/>
          <w:szCs w:val="28"/>
        </w:rPr>
      </w:pPr>
      <w:r>
        <w:rPr>
          <w:rFonts w:hint="eastAsia" w:ascii="宋体" w:hAnsi="宋体" w:eastAsia="宋体" w:cs="宋体"/>
          <w:b/>
          <w:bCs/>
          <w:sz w:val="28"/>
          <w:szCs w:val="28"/>
        </w:rPr>
        <w:t>（七）重大分歧意见的处理经过和依据</w:t>
      </w:r>
    </w:p>
    <w:p w14:paraId="35CA4AE6">
      <w:pPr>
        <w:pStyle w:val="2"/>
        <w:widowControl/>
        <w:spacing w:line="360" w:lineRule="auto"/>
        <w:ind w:left="0" w:firstLine="557" w:firstLineChars="202"/>
        <w:jc w:val="both"/>
        <w:rPr>
          <w:rFonts w:hint="eastAsia" w:ascii="宋体" w:hAnsi="宋体" w:eastAsia="宋体" w:cs="宋体"/>
          <w:b w:val="0"/>
          <w:bCs/>
          <w:sz w:val="28"/>
          <w:szCs w:val="28"/>
        </w:rPr>
      </w:pPr>
      <w:r>
        <w:rPr>
          <w:rFonts w:hint="eastAsia" w:ascii="宋体" w:hAnsi="宋体" w:eastAsia="宋体" w:cs="宋体"/>
          <w:b w:val="0"/>
          <w:bCs/>
          <w:spacing w:val="-2"/>
          <w:sz w:val="28"/>
          <w:szCs w:val="28"/>
        </w:rPr>
        <w:t>无。</w:t>
      </w:r>
    </w:p>
    <w:p w14:paraId="697802C1">
      <w:pPr>
        <w:keepNext w:val="0"/>
        <w:keepLines w:val="0"/>
        <w:widowControl w:val="0"/>
        <w:suppressLineNumbers w:val="0"/>
        <w:autoSpaceDE w:val="0"/>
        <w:autoSpaceDN w:val="0"/>
        <w:spacing w:before="0" w:beforeAutospacing="0" w:after="0" w:afterAutospacing="0" w:line="360" w:lineRule="auto"/>
        <w:ind w:left="0" w:right="0"/>
        <w:jc w:val="both"/>
        <w:rPr>
          <w:rFonts w:hint="eastAsia" w:ascii="宋体" w:hAnsi="宋体" w:eastAsia="宋体" w:cs="宋体"/>
          <w:b/>
          <w:bCs w:val="0"/>
          <w:sz w:val="28"/>
          <w:szCs w:val="28"/>
        </w:rPr>
      </w:pPr>
      <w:r>
        <w:rPr>
          <w:rFonts w:hint="eastAsia" w:ascii="宋体" w:hAnsi="宋体" w:eastAsia="宋体" w:cs="宋体"/>
          <w:b/>
          <w:bCs w:val="0"/>
          <w:kern w:val="0"/>
          <w:sz w:val="28"/>
          <w:szCs w:val="28"/>
          <w:lang w:val="en-US" w:eastAsia="zh-CN" w:bidi="ar"/>
        </w:rPr>
        <w:t xml:space="preserve">（八）标准性质的建议说明 </w:t>
      </w:r>
    </w:p>
    <w:p w14:paraId="3571729A">
      <w:pPr>
        <w:pStyle w:val="3"/>
        <w:widowControl/>
        <w:spacing w:before="0" w:beforeAutospacing="1" w:after="0" w:afterAutospacing="1" w:line="360" w:lineRule="auto"/>
        <w:ind w:left="0" w:right="0" w:firstLine="565" w:firstLineChars="202"/>
        <w:jc w:val="both"/>
        <w:rPr>
          <w:rFonts w:hint="eastAsia" w:ascii="宋体" w:hAnsi="宋体" w:eastAsia="宋体" w:cs="宋体"/>
          <w:sz w:val="28"/>
          <w:szCs w:val="28"/>
        </w:rPr>
      </w:pPr>
      <w:r>
        <w:rPr>
          <w:rFonts w:hint="eastAsia" w:ascii="宋体" w:hAnsi="宋体" w:eastAsia="宋体" w:cs="宋体"/>
          <w:sz w:val="28"/>
          <w:szCs w:val="28"/>
        </w:rPr>
        <w:t>本标准为团体标准，供社会各界自愿使用。</w:t>
      </w:r>
    </w:p>
    <w:p w14:paraId="69D35BE8">
      <w:pPr>
        <w:pStyle w:val="2"/>
        <w:widowControl/>
        <w:spacing w:line="360" w:lineRule="auto"/>
        <w:ind w:left="0" w:firstLine="7"/>
        <w:jc w:val="both"/>
        <w:rPr>
          <w:rFonts w:hint="eastAsia" w:ascii="宋体" w:hAnsi="宋体" w:eastAsia="宋体" w:cs="宋体"/>
          <w:b/>
          <w:bCs/>
          <w:sz w:val="28"/>
          <w:szCs w:val="28"/>
        </w:rPr>
      </w:pPr>
      <w:r>
        <w:rPr>
          <w:rFonts w:hint="eastAsia" w:ascii="宋体" w:hAnsi="宋体" w:eastAsia="宋体" w:cs="宋体"/>
          <w:b/>
          <w:bCs/>
          <w:sz w:val="28"/>
          <w:szCs w:val="28"/>
        </w:rPr>
        <w:t>（九）贯彻标准的要求和措施建议</w:t>
      </w:r>
    </w:p>
    <w:p w14:paraId="58C2001C">
      <w:pPr>
        <w:pStyle w:val="2"/>
        <w:widowControl/>
        <w:spacing w:line="360"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无。</w:t>
      </w:r>
    </w:p>
    <w:p w14:paraId="0A55F208">
      <w:pPr>
        <w:keepNext w:val="0"/>
        <w:keepLines w:val="0"/>
        <w:widowControl w:val="0"/>
        <w:suppressLineNumbers w:val="0"/>
        <w:autoSpaceDE w:val="0"/>
        <w:autoSpaceDN w:val="0"/>
        <w:spacing w:before="0" w:beforeAutospacing="0" w:after="0" w:afterAutospacing="0" w:line="360" w:lineRule="auto"/>
        <w:ind w:left="0" w:right="0"/>
        <w:jc w:val="both"/>
        <w:rPr>
          <w:rFonts w:hint="eastAsia" w:ascii="宋体" w:hAnsi="宋体" w:eastAsia="宋体" w:cs="宋体"/>
          <w:b/>
          <w:bCs w:val="0"/>
          <w:sz w:val="28"/>
          <w:szCs w:val="28"/>
        </w:rPr>
      </w:pPr>
      <w:r>
        <w:rPr>
          <w:rFonts w:hint="eastAsia" w:ascii="宋体" w:hAnsi="宋体" w:eastAsia="宋体" w:cs="宋体"/>
          <w:b/>
          <w:bCs w:val="0"/>
          <w:kern w:val="0"/>
          <w:sz w:val="28"/>
          <w:szCs w:val="28"/>
          <w:lang w:val="en-US" w:eastAsia="zh-CN" w:bidi="ar"/>
        </w:rPr>
        <w:t>（十）废止现行相关标准的建议</w:t>
      </w:r>
    </w:p>
    <w:p w14:paraId="57C2DD89">
      <w:pPr>
        <w:keepNext w:val="0"/>
        <w:keepLines w:val="0"/>
        <w:widowControl w:val="0"/>
        <w:suppressLineNumbers w:val="0"/>
        <w:autoSpaceDE w:val="0"/>
        <w:autoSpaceDN w:val="0"/>
        <w:spacing w:before="0" w:beforeAutospacing="0" w:after="0" w:afterAutospacing="0" w:line="360" w:lineRule="auto"/>
        <w:ind w:left="0" w:right="0" w:firstLine="560" w:firstLineChars="200"/>
        <w:jc w:val="both"/>
        <w:rPr>
          <w:rFonts w:hint="eastAsia" w:ascii="宋体" w:hAnsi="宋体" w:eastAsia="宋体" w:cs="宋体"/>
          <w:sz w:val="28"/>
          <w:szCs w:val="28"/>
        </w:rPr>
      </w:pPr>
      <w:r>
        <w:rPr>
          <w:rFonts w:hint="eastAsia" w:ascii="宋体" w:hAnsi="宋体" w:eastAsia="宋体" w:cs="宋体"/>
          <w:kern w:val="0"/>
          <w:sz w:val="28"/>
          <w:szCs w:val="28"/>
          <w:lang w:val="en-US" w:eastAsia="zh-CN" w:bidi="ar"/>
        </w:rPr>
        <w:t>本标准为首次发布。</w:t>
      </w:r>
    </w:p>
    <w:p w14:paraId="586DC08D">
      <w:pPr>
        <w:pStyle w:val="2"/>
        <w:widowControl/>
        <w:spacing w:line="360" w:lineRule="auto"/>
        <w:ind w:left="0"/>
        <w:jc w:val="both"/>
        <w:rPr>
          <w:rFonts w:hint="eastAsia" w:ascii="宋体" w:hAnsi="宋体" w:eastAsia="宋体" w:cs="宋体"/>
          <w:b/>
          <w:bCs/>
          <w:sz w:val="28"/>
          <w:szCs w:val="28"/>
        </w:rPr>
      </w:pPr>
      <w:r>
        <w:rPr>
          <w:rFonts w:hint="eastAsia" w:ascii="宋体" w:hAnsi="宋体" w:eastAsia="宋体" w:cs="宋体"/>
          <w:b/>
          <w:bCs/>
          <w:sz w:val="28"/>
          <w:szCs w:val="28"/>
        </w:rPr>
        <w:t>（十一）其他应予说明的事项</w:t>
      </w:r>
    </w:p>
    <w:p w14:paraId="2C296F5B">
      <w:pPr>
        <w:pStyle w:val="2"/>
        <w:widowControl/>
        <w:spacing w:line="360"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无。</w:t>
      </w:r>
    </w:p>
    <w:p w14:paraId="5CCE0FC1">
      <w:pPr>
        <w:topLinePunct/>
        <w:spacing w:line="360" w:lineRule="auto"/>
        <w:ind w:firstLine="560" w:firstLineChars="200"/>
        <w:jc w:val="right"/>
        <w:rPr>
          <w:rFonts w:ascii="宋体" w:hAnsi="宋体" w:eastAsia="宋体"/>
          <w:sz w:val="28"/>
          <w:szCs w:val="28"/>
        </w:rPr>
      </w:pPr>
      <w:r>
        <w:rPr>
          <w:rFonts w:ascii="宋体" w:hAnsi="宋体" w:eastAsia="宋体"/>
          <w:sz w:val="28"/>
          <w:szCs w:val="28"/>
        </w:rPr>
        <w:t xml:space="preserve">  </w:t>
      </w:r>
    </w:p>
    <w:p w14:paraId="683F3AC0">
      <w:pPr>
        <w:topLinePunct/>
        <w:spacing w:line="360" w:lineRule="auto"/>
        <w:ind w:firstLine="560" w:firstLineChars="200"/>
        <w:jc w:val="right"/>
        <w:rPr>
          <w:rFonts w:ascii="宋体" w:hAnsi="宋体" w:eastAsia="宋体"/>
          <w:sz w:val="28"/>
          <w:szCs w:val="28"/>
        </w:rPr>
      </w:pPr>
      <w:r>
        <w:rPr>
          <w:rFonts w:hint="eastAsia" w:ascii="宋体" w:hAnsi="宋体" w:eastAsia="宋体"/>
          <w:sz w:val="28"/>
          <w:szCs w:val="28"/>
        </w:rPr>
        <w:t>《</w:t>
      </w:r>
      <w:r>
        <w:rPr>
          <w:rFonts w:hint="eastAsia" w:ascii="宋体" w:hAnsi="宋体" w:eastAsia="宋体"/>
          <w:sz w:val="28"/>
          <w:szCs w:val="28"/>
          <w:lang w:val="en-US" w:eastAsia="zh-CN"/>
        </w:rPr>
        <w:t>物联电能计量箱</w:t>
      </w:r>
      <w:r>
        <w:rPr>
          <w:rFonts w:hint="eastAsia" w:ascii="宋体" w:hAnsi="宋体" w:eastAsia="宋体"/>
          <w:sz w:val="28"/>
          <w:szCs w:val="28"/>
        </w:rPr>
        <w:t>》起草组</w:t>
      </w:r>
      <w:r>
        <w:rPr>
          <w:rFonts w:ascii="宋体" w:hAnsi="宋体" w:eastAsia="宋体"/>
          <w:sz w:val="28"/>
          <w:szCs w:val="28"/>
        </w:rPr>
        <w:t xml:space="preserve"> </w:t>
      </w:r>
    </w:p>
    <w:p w14:paraId="5CBDB735">
      <w:pPr>
        <w:topLinePunct/>
        <w:spacing w:line="360" w:lineRule="auto"/>
        <w:ind w:firstLine="560" w:firstLineChars="200"/>
        <w:jc w:val="right"/>
        <w:rPr>
          <w:rFonts w:ascii="宋体" w:hAnsi="宋体" w:eastAsia="宋体"/>
          <w:sz w:val="28"/>
          <w:szCs w:val="28"/>
        </w:rPr>
      </w:pPr>
      <w:r>
        <w:rPr>
          <w:rFonts w:hint="eastAsia" w:ascii="宋体" w:hAnsi="宋体" w:eastAsia="宋体"/>
          <w:sz w:val="28"/>
          <w:szCs w:val="28"/>
          <w:lang w:val="en-US" w:eastAsia="zh-CN"/>
        </w:rPr>
        <w:t>2025</w:t>
      </w:r>
      <w:r>
        <w:rPr>
          <w:rFonts w:ascii="宋体" w:hAnsi="宋体" w:eastAsia="宋体"/>
          <w:sz w:val="28"/>
          <w:szCs w:val="28"/>
        </w:rPr>
        <w:t>年</w:t>
      </w:r>
      <w:r>
        <w:rPr>
          <w:rFonts w:hint="eastAsia" w:ascii="宋体" w:hAnsi="宋体" w:eastAsia="宋体"/>
          <w:sz w:val="28"/>
          <w:szCs w:val="28"/>
          <w:lang w:val="en-US" w:eastAsia="zh-CN"/>
        </w:rPr>
        <w:t>4</w:t>
      </w:r>
      <w:r>
        <w:rPr>
          <w:rFonts w:ascii="宋体" w:hAnsi="宋体" w:eastAsia="宋体"/>
          <w:sz w:val="28"/>
          <w:szCs w:val="28"/>
        </w:rPr>
        <w:t>月</w:t>
      </w:r>
      <w:r>
        <w:rPr>
          <w:rFonts w:hint="eastAsia" w:ascii="宋体" w:hAnsi="宋体" w:eastAsia="宋体"/>
          <w:sz w:val="28"/>
          <w:szCs w:val="28"/>
          <w:lang w:val="en-US" w:eastAsia="zh-CN"/>
        </w:rPr>
        <w:t>25</w:t>
      </w:r>
      <w:r>
        <w:rPr>
          <w:rFonts w:ascii="宋体" w:hAnsi="宋体" w:eastAsia="宋体"/>
          <w:sz w:val="28"/>
          <w:szCs w:val="28"/>
        </w:rPr>
        <w:t>日</w:t>
      </w:r>
    </w:p>
    <w:sectPr>
      <w:type w:val="continuous"/>
      <w:pgSz w:w="11906" w:h="16841"/>
      <w:pgMar w:top="1440" w:right="1800" w:bottom="1440" w:left="1800" w:header="720" w:footer="720" w:gutter="0"/>
      <w:cols w:space="425"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迷你简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20"/>
      <w:suff w:val="nothing"/>
      <w:lvlText w:val="%1%2　"/>
      <w:lvlJc w:val="left"/>
      <w:pPr>
        <w:ind w:left="0" w:firstLine="0"/>
      </w:pPr>
      <w:rPr>
        <w:rFonts w:hint="eastAsia" w:ascii="黑体" w:eastAsia="黑体"/>
        <w:b w:val="0"/>
        <w:i w:val="0"/>
        <w:sz w:val="21"/>
      </w:rPr>
    </w:lvl>
    <w:lvl w:ilvl="2" w:tentative="0">
      <w:start w:val="1"/>
      <w:numFmt w:val="decimal"/>
      <w:pStyle w:val="1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79676C9C"/>
    <w:multiLevelType w:val="multilevel"/>
    <w:tmpl w:val="79676C9C"/>
    <w:lvl w:ilvl="0" w:tentative="0">
      <w:start w:val="7"/>
      <w:numFmt w:val="decimal"/>
      <w:suff w:val="nothing"/>
      <w:lvlText w:val="%1、"/>
      <w:lvlJc w:val="left"/>
      <w:pPr>
        <w:ind w:left="-8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10"/>
  <w:drawingGridVerticalSpacing w:val="29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FCE"/>
    <w:rsid w:val="00013CD7"/>
    <w:rsid w:val="00021E0D"/>
    <w:rsid w:val="00031415"/>
    <w:rsid w:val="000711D3"/>
    <w:rsid w:val="00076E6A"/>
    <w:rsid w:val="0007729C"/>
    <w:rsid w:val="00080FCE"/>
    <w:rsid w:val="000841BD"/>
    <w:rsid w:val="00086D78"/>
    <w:rsid w:val="00096631"/>
    <w:rsid w:val="000D7E80"/>
    <w:rsid w:val="00100F6C"/>
    <w:rsid w:val="00100FA1"/>
    <w:rsid w:val="0010711D"/>
    <w:rsid w:val="001171FC"/>
    <w:rsid w:val="00122E25"/>
    <w:rsid w:val="00124E74"/>
    <w:rsid w:val="001552ED"/>
    <w:rsid w:val="00172D1B"/>
    <w:rsid w:val="00184316"/>
    <w:rsid w:val="001A1C3A"/>
    <w:rsid w:val="001A3971"/>
    <w:rsid w:val="001A7B8A"/>
    <w:rsid w:val="001E5452"/>
    <w:rsid w:val="001E59E1"/>
    <w:rsid w:val="00200A33"/>
    <w:rsid w:val="002212B2"/>
    <w:rsid w:val="00223390"/>
    <w:rsid w:val="00227D9E"/>
    <w:rsid w:val="00233775"/>
    <w:rsid w:val="00237A71"/>
    <w:rsid w:val="00253FA1"/>
    <w:rsid w:val="00276C1B"/>
    <w:rsid w:val="0029410D"/>
    <w:rsid w:val="002A116B"/>
    <w:rsid w:val="002A16BD"/>
    <w:rsid w:val="002C7C84"/>
    <w:rsid w:val="002E34E6"/>
    <w:rsid w:val="002F3F4D"/>
    <w:rsid w:val="00301337"/>
    <w:rsid w:val="003073A8"/>
    <w:rsid w:val="00374298"/>
    <w:rsid w:val="003C4C2B"/>
    <w:rsid w:val="003F6507"/>
    <w:rsid w:val="004357F5"/>
    <w:rsid w:val="00462A1E"/>
    <w:rsid w:val="00467311"/>
    <w:rsid w:val="00486151"/>
    <w:rsid w:val="00495229"/>
    <w:rsid w:val="004A0525"/>
    <w:rsid w:val="004A5E54"/>
    <w:rsid w:val="004A6E9D"/>
    <w:rsid w:val="004B116E"/>
    <w:rsid w:val="004D46D1"/>
    <w:rsid w:val="004D5495"/>
    <w:rsid w:val="004E5DAF"/>
    <w:rsid w:val="004F32FF"/>
    <w:rsid w:val="0052542A"/>
    <w:rsid w:val="00543CA9"/>
    <w:rsid w:val="00555D75"/>
    <w:rsid w:val="00560FA5"/>
    <w:rsid w:val="00566FEC"/>
    <w:rsid w:val="00587745"/>
    <w:rsid w:val="005C7B43"/>
    <w:rsid w:val="00612447"/>
    <w:rsid w:val="006379F1"/>
    <w:rsid w:val="00647F5C"/>
    <w:rsid w:val="006770FA"/>
    <w:rsid w:val="006771DA"/>
    <w:rsid w:val="0068107B"/>
    <w:rsid w:val="00683BC8"/>
    <w:rsid w:val="00693278"/>
    <w:rsid w:val="00696DC6"/>
    <w:rsid w:val="006A2989"/>
    <w:rsid w:val="006A7619"/>
    <w:rsid w:val="007236F7"/>
    <w:rsid w:val="00780878"/>
    <w:rsid w:val="00793EA3"/>
    <w:rsid w:val="007A285E"/>
    <w:rsid w:val="007B647A"/>
    <w:rsid w:val="007D143A"/>
    <w:rsid w:val="007D4ACF"/>
    <w:rsid w:val="007E71D6"/>
    <w:rsid w:val="007E765D"/>
    <w:rsid w:val="007F46FC"/>
    <w:rsid w:val="007F784F"/>
    <w:rsid w:val="00802198"/>
    <w:rsid w:val="00820BE7"/>
    <w:rsid w:val="00831C13"/>
    <w:rsid w:val="008374F8"/>
    <w:rsid w:val="00855EF3"/>
    <w:rsid w:val="008639DD"/>
    <w:rsid w:val="00873DB6"/>
    <w:rsid w:val="00895E54"/>
    <w:rsid w:val="008F2746"/>
    <w:rsid w:val="00901136"/>
    <w:rsid w:val="00905D53"/>
    <w:rsid w:val="00921AEC"/>
    <w:rsid w:val="00925E06"/>
    <w:rsid w:val="009349E7"/>
    <w:rsid w:val="009468CF"/>
    <w:rsid w:val="00954D9A"/>
    <w:rsid w:val="009603D3"/>
    <w:rsid w:val="00975BD6"/>
    <w:rsid w:val="009D3675"/>
    <w:rsid w:val="009D498C"/>
    <w:rsid w:val="009D796E"/>
    <w:rsid w:val="00A32DBC"/>
    <w:rsid w:val="00A3749C"/>
    <w:rsid w:val="00A76277"/>
    <w:rsid w:val="00A824EF"/>
    <w:rsid w:val="00A869F3"/>
    <w:rsid w:val="00A86B89"/>
    <w:rsid w:val="00B36263"/>
    <w:rsid w:val="00B379B8"/>
    <w:rsid w:val="00B5633A"/>
    <w:rsid w:val="00B77F39"/>
    <w:rsid w:val="00B82572"/>
    <w:rsid w:val="00B83264"/>
    <w:rsid w:val="00BB60E1"/>
    <w:rsid w:val="00BE3B0F"/>
    <w:rsid w:val="00BF54BF"/>
    <w:rsid w:val="00C12B64"/>
    <w:rsid w:val="00C21C0E"/>
    <w:rsid w:val="00C27EC1"/>
    <w:rsid w:val="00C312CC"/>
    <w:rsid w:val="00C3266C"/>
    <w:rsid w:val="00C336CE"/>
    <w:rsid w:val="00C352B8"/>
    <w:rsid w:val="00C44BF8"/>
    <w:rsid w:val="00C53848"/>
    <w:rsid w:val="00C71078"/>
    <w:rsid w:val="00C72DAC"/>
    <w:rsid w:val="00CA3F74"/>
    <w:rsid w:val="00CE3183"/>
    <w:rsid w:val="00CF7082"/>
    <w:rsid w:val="00D06A12"/>
    <w:rsid w:val="00D24B3F"/>
    <w:rsid w:val="00D2603E"/>
    <w:rsid w:val="00D47D49"/>
    <w:rsid w:val="00D56B4C"/>
    <w:rsid w:val="00D66359"/>
    <w:rsid w:val="00D83C32"/>
    <w:rsid w:val="00DA74DA"/>
    <w:rsid w:val="00DB002D"/>
    <w:rsid w:val="00DC22FD"/>
    <w:rsid w:val="00DC5CD1"/>
    <w:rsid w:val="00DE0621"/>
    <w:rsid w:val="00DE4309"/>
    <w:rsid w:val="00DF638A"/>
    <w:rsid w:val="00DF7390"/>
    <w:rsid w:val="00E00D3E"/>
    <w:rsid w:val="00E01BCF"/>
    <w:rsid w:val="00E12A88"/>
    <w:rsid w:val="00E50746"/>
    <w:rsid w:val="00E650FA"/>
    <w:rsid w:val="00EA1735"/>
    <w:rsid w:val="00EC3FE9"/>
    <w:rsid w:val="00ED4E5B"/>
    <w:rsid w:val="00F30933"/>
    <w:rsid w:val="00F7230A"/>
    <w:rsid w:val="00F724A6"/>
    <w:rsid w:val="00F829FC"/>
    <w:rsid w:val="00F92024"/>
    <w:rsid w:val="00FA1182"/>
    <w:rsid w:val="00FC34D9"/>
    <w:rsid w:val="00FE27EF"/>
    <w:rsid w:val="00FF28A7"/>
    <w:rsid w:val="30F401E0"/>
    <w:rsid w:val="40101D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val="0"/>
      <w:keepLines w:val="0"/>
      <w:widowControl w:val="0"/>
      <w:suppressLineNumbers w:val="0"/>
      <w:autoSpaceDE w:val="0"/>
      <w:autoSpaceDN w:val="0"/>
      <w:spacing w:before="0" w:beforeAutospacing="1" w:after="0" w:afterAutospacing="1"/>
      <w:ind w:left="240"/>
      <w:jc w:val="left"/>
      <w:outlineLvl w:val="1"/>
    </w:pPr>
    <w:rPr>
      <w:rFonts w:hint="eastAsia" w:ascii="宋体" w:hAnsi="宋体" w:eastAsia="宋体" w:cs="宋体"/>
      <w:b/>
      <w:bCs/>
      <w:kern w:val="0"/>
      <w:sz w:val="28"/>
      <w:szCs w:val="28"/>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uiPriority w:val="99"/>
    <w:pPr>
      <w:keepNext w:val="0"/>
      <w:keepLines w:val="0"/>
      <w:widowControl w:val="0"/>
      <w:suppressLineNumbers w:val="0"/>
      <w:autoSpaceDE w:val="0"/>
      <w:autoSpaceDN w:val="0"/>
      <w:ind w:left="240"/>
      <w:jc w:val="left"/>
    </w:pPr>
    <w:rPr>
      <w:rFonts w:hint="eastAsia" w:ascii="宋体" w:hAnsi="宋体" w:eastAsia="宋体" w:cs="宋体"/>
      <w:kern w:val="0"/>
      <w:sz w:val="28"/>
      <w:szCs w:val="28"/>
      <w:lang w:val="en-US" w:eastAsia="zh-CN" w:bidi="ar"/>
    </w:rPr>
  </w:style>
  <w:style w:type="paragraph" w:styleId="4">
    <w:name w:val="Date"/>
    <w:basedOn w:val="1"/>
    <w:next w:val="1"/>
    <w:link w:val="12"/>
    <w:semiHidden/>
    <w:unhideWhenUsed/>
    <w:qFormat/>
    <w:uiPriority w:val="99"/>
    <w:pPr>
      <w:ind w:left="100" w:leftChars="2500"/>
    </w:p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22"/>
    <w:rPr>
      <w:b/>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日期 字符"/>
    <w:basedOn w:val="9"/>
    <w:link w:val="4"/>
    <w:semiHidden/>
    <w:qFormat/>
    <w:uiPriority w:val="99"/>
  </w:style>
  <w:style w:type="character" w:customStyle="1" w:styleId="13">
    <w:name w:val="未处理的提及1"/>
    <w:basedOn w:val="9"/>
    <w:semiHidden/>
    <w:unhideWhenUsed/>
    <w:qFormat/>
    <w:uiPriority w:val="99"/>
    <w:rPr>
      <w:color w:val="605E5C"/>
      <w:shd w:val="clear" w:color="auto" w:fill="E1DFDD"/>
    </w:rPr>
  </w:style>
  <w:style w:type="character" w:customStyle="1" w:styleId="14">
    <w:name w:val="页眉 字符"/>
    <w:basedOn w:val="9"/>
    <w:link w:val="7"/>
    <w:qFormat/>
    <w:uiPriority w:val="99"/>
    <w:rPr>
      <w:sz w:val="18"/>
      <w:szCs w:val="18"/>
    </w:rPr>
  </w:style>
  <w:style w:type="character" w:customStyle="1" w:styleId="15">
    <w:name w:val="页脚 字符"/>
    <w:basedOn w:val="9"/>
    <w:link w:val="6"/>
    <w:qFormat/>
    <w:uiPriority w:val="99"/>
    <w:rPr>
      <w:sz w:val="18"/>
      <w:szCs w:val="18"/>
    </w:rPr>
  </w:style>
  <w:style w:type="character" w:customStyle="1" w:styleId="16">
    <w:name w:val="批注框文本 字符"/>
    <w:basedOn w:val="9"/>
    <w:link w:val="5"/>
    <w:semiHidden/>
    <w:qFormat/>
    <w:uiPriority w:val="99"/>
    <w:rPr>
      <w:sz w:val="18"/>
      <w:szCs w:val="18"/>
    </w:rPr>
  </w:style>
  <w:style w:type="paragraph" w:customStyle="1" w:styleId="17">
    <w:name w:val="段"/>
    <w:basedOn w:val="1"/>
    <w:uiPriority w:val="0"/>
    <w:pPr>
      <w:widowControl/>
      <w:tabs>
        <w:tab w:val="center" w:pos="4201"/>
        <w:tab w:val="right" w:leader="dot" w:pos="9298"/>
      </w:tabs>
      <w:autoSpaceDE w:val="0"/>
      <w:autoSpaceDN w:val="0"/>
      <w:spacing w:before="0" w:beforeAutospacing="0" w:after="0" w:afterAutospacing="0"/>
      <w:ind w:left="0" w:right="0" w:firstLine="420" w:firstLineChars="200"/>
      <w:jc w:val="both"/>
    </w:pPr>
    <w:rPr>
      <w:rFonts w:hint="eastAsia" w:ascii="宋体" w:hAnsi="Times New Roman" w:eastAsia="宋体" w:cs="Times New Roman"/>
      <w:kern w:val="0"/>
      <w:sz w:val="21"/>
      <w:szCs w:val="21"/>
      <w:lang w:val="en-US" w:eastAsia="zh-CN" w:bidi="ar"/>
    </w:rPr>
  </w:style>
  <w:style w:type="paragraph" w:customStyle="1" w:styleId="1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
    <w:name w:val="标准文件_一级条标题"/>
    <w:basedOn w:val="20"/>
    <w:next w:val="18"/>
    <w:qFormat/>
    <w:uiPriority w:val="0"/>
    <w:pPr>
      <w:numPr>
        <w:ilvl w:val="2"/>
      </w:numPr>
      <w:spacing w:before="50" w:beforeLines="50" w:after="50" w:afterLines="50"/>
      <w:outlineLvl w:val="1"/>
    </w:pPr>
  </w:style>
  <w:style w:type="paragraph" w:customStyle="1" w:styleId="20">
    <w:name w:val="标准文件_章标题"/>
    <w:next w:val="18"/>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b3a0c00-1e5f-4f61-98a0-9783dc7c2e41}"/>
        <w:style w:val=""/>
        <w:category>
          <w:name w:val="常规"/>
          <w:gallery w:val="placeholder"/>
        </w:category>
        <w:types>
          <w:type w:val="bbPlcHdr"/>
        </w:types>
        <w:behaviors>
          <w:behavior w:val="content"/>
        </w:behaviors>
        <w:description w:val=""/>
        <w:guid w:val="{4b3a0c00-1e5f-4f61-98a0-9783dc7c2e41}"/>
      </w:docPartPr>
      <w:docPartBody>
        <w:p w14:paraId="249A9513">
          <w:pPr>
            <w:pStyle w:val="2"/>
            <w:rPr>
              <w:rFonts w:hint="eastAsia"/>
            </w:rPr>
          </w:pPr>
          <w:r>
            <w:rPr>
              <w:rStyle w:val="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A7EB3B71BF1A413BA94B5AE9C80B1B3B"/>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styleId="3">
    <w:name w:val="Placeholder Text"/>
    <w:basedOn w:val="1"/>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2866</Words>
  <Characters>3147</Characters>
  <Lines>2</Lines>
  <Paragraphs>1</Paragraphs>
  <TotalTime>0</TotalTime>
  <ScaleCrop>false</ScaleCrop>
  <LinksUpToDate>false</LinksUpToDate>
  <CharactersWithSpaces>3253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2022-04-21T01:39:00Z</dcterms:created>
  <dc:creator>高 福云</dc:creator>
  <cp:lastModifiedBy>徐君言</cp:lastModifiedBy>
  <cp:lastPrinted>2022-05-11T05:51:00Z</cp:lastPrinted>
  <dcterms:modified xsi:type="dcterms:W3CDTF">2025-04-25T07:00:28Z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eyJoZGlkIjoiZWNlMDAzNWQyNzVkOThhY2NhZTA1Zjc3OGQ5NmI0YzUiLCJ1c2VySWQiOiIxNjE5NDQ4OTkzIn0=</vt:lpwstr>
  </property>
  <property fmtid="{D5CDD505-2E9C-101B-9397-08002B2CF9AE}" pid="3" name="KSOProductBuildVer">
    <vt:lpwstr>2052-12.1.0.19302</vt:lpwstr>
  </property>
  <property fmtid="{D5CDD505-2E9C-101B-9397-08002B2CF9AE}" pid="4" name="ICV">
    <vt:lpwstr>E1B01D8DD9634E3D907A573FA85703AC_12</vt:lpwstr>
  </property>
</Properties>
</file>