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C480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4602C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黑体" w:hAnsi="黑体" w:eastAsia="黑体"/>
                <w:sz w:val="21"/>
                <w:szCs w:val="21"/>
              </w:rPr>
              <w:t xml:space="preserve">ICS  </w:t>
            </w:r>
          </w:p>
        </w:tc>
        <w:tc>
          <w:tcPr>
            <w:tcW w:w="8855" w:type="dxa"/>
          </w:tcPr>
          <w:p w14:paraId="53E53C5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91.080.30</w:t>
            </w:r>
          </w:p>
        </w:tc>
      </w:tr>
      <w:tr w14:paraId="00AB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3EE87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t>CCS</w:t>
            </w:r>
          </w:p>
        </w:tc>
        <w:tc>
          <w:tcPr>
            <w:tcW w:w="8855" w:type="dxa"/>
          </w:tcPr>
          <w:p w14:paraId="3568630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P 25</w:t>
            </w:r>
          </w:p>
        </w:tc>
      </w:tr>
    </w:tbl>
    <w:p w14:paraId="44937C0E">
      <w:pPr>
        <w:pStyle w:val="51"/>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690B0E49">
      <w:pPr>
        <w:pStyle w:val="196"/>
        <w:framePr/>
      </w:pPr>
      <w:r>
        <w:t>T/CASMES</w:t>
      </w:r>
      <w:r>
        <w:rPr>
          <w:rFonts w:hint="eastAsia"/>
        </w:rPr>
        <w:t xml:space="preserve"> </w:t>
      </w:r>
      <w:r>
        <w:t>XXX</w:t>
      </w:r>
      <w:r>
        <w:rPr>
          <w:rFonts w:hAnsi="黑体"/>
        </w:rPr>
        <w:t>—</w:t>
      </w:r>
      <w:r>
        <w:t>202</w:t>
      </w:r>
      <w:r>
        <w:rPr>
          <w:rFonts w:hint="eastAsia"/>
        </w:rPr>
        <w:t>5</w:t>
      </w:r>
    </w:p>
    <w:p w14:paraId="682FECB8">
      <w:pPr>
        <w:pStyle w:val="197"/>
        <w:framePr/>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119945C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015E111">
      <w:pPr>
        <w:pStyle w:val="51"/>
        <w:framePr w:w="9639" w:h="6976" w:hRule="exact" w:hSpace="0" w:vSpace="0" w:wrap="around" w:hAnchor="page" w:y="6408"/>
        <w:jc w:val="center"/>
        <w:rPr>
          <w:rFonts w:hint="eastAsia" w:ascii="黑体" w:hAnsi="黑体" w:eastAsia="黑体"/>
          <w:b w:val="0"/>
          <w:bCs w:val="0"/>
          <w:w w:val="100"/>
        </w:rPr>
      </w:pPr>
    </w:p>
    <w:p w14:paraId="22682EDB">
      <w:pPr>
        <w:pStyle w:val="198"/>
        <w:framePr w:h="6974" w:hRule="exact" w:wrap="around" w:x="1419" w:anchorLock="1"/>
        <w:rPr>
          <w:rFonts w:hint="eastAsia"/>
        </w:rPr>
      </w:pPr>
      <w:r>
        <w:rPr>
          <w:rFonts w:hint="eastAsia"/>
        </w:rPr>
        <w:t>底板大体积混凝土施工技术规范</w:t>
      </w:r>
    </w:p>
    <w:p w14:paraId="11DA4DB2">
      <w:pPr>
        <w:pStyle w:val="126"/>
        <w:framePr w:w="9639" w:h="6974" w:hRule="exact" w:wrap="around" w:vAnchor="page" w:hAnchor="page" w:x="1419" w:y="6408" w:anchorLock="1"/>
        <w:textAlignment w:val="bottom"/>
        <w:rPr>
          <w:rFonts w:eastAsia="黑体"/>
          <w:szCs w:val="28"/>
        </w:rPr>
      </w:pPr>
      <w:bookmarkStart w:id="2" w:name="_Hlk192607281"/>
      <w:r>
        <w:rPr>
          <w:rFonts w:eastAsia="黑体"/>
          <w:szCs w:val="28"/>
        </w:rPr>
        <w:t>Technical specification for the construction of large-volume concrete on the bottom plate</w:t>
      </w:r>
    </w:p>
    <w:p w14:paraId="7EE359BC">
      <w:pPr>
        <w:pStyle w:val="126"/>
        <w:framePr w:w="9639" w:h="6974" w:hRule="exact" w:wrap="around" w:vAnchor="page" w:hAnchor="page" w:x="1419" w:y="6408" w:anchorLock="1"/>
        <w:textAlignment w:val="bottom"/>
        <w:rPr>
          <w:rFonts w:hint="eastAsia" w:ascii="黑体" w:hAnsi="黑体" w:eastAsia="黑体"/>
          <w:szCs w:val="28"/>
        </w:rPr>
      </w:pPr>
    </w:p>
    <w:p w14:paraId="72F68AB6">
      <w:pPr>
        <w:pStyle w:val="126"/>
        <w:framePr w:w="9639" w:h="6974" w:hRule="exact" w:wrap="around" w:vAnchor="page" w:hAnchor="page" w:x="1419" w:y="6408" w:anchorLock="1"/>
        <w:spacing w:before="440" w:line="400" w:lineRule="exact"/>
        <w:textAlignment w:val="bottom"/>
        <w:rPr>
          <w:rFonts w:hint="eastAsia" w:ascii="宋体" w:hAnsi="宋体"/>
          <w:szCs w:val="28"/>
        </w:rPr>
      </w:pPr>
    </w:p>
    <w:p w14:paraId="77346D69">
      <w:pPr>
        <w:pStyle w:val="126"/>
        <w:framePr w:w="9639" w:h="6974" w:hRule="exact" w:wrap="around" w:vAnchor="page" w:hAnchor="page" w:x="1419" w:y="6408" w:anchorLock="1"/>
        <w:spacing w:before="440" w:after="160" w:line="240" w:lineRule="auto"/>
        <w:textAlignment w:val="bottom"/>
        <w:rPr>
          <w:rFonts w:hint="eastAsia" w:ascii="宋体" w:hAnsi="宋体"/>
          <w:sz w:val="24"/>
          <w:szCs w:val="24"/>
        </w:rPr>
      </w:pPr>
      <w:r>
        <w:rPr>
          <w:rFonts w:hint="eastAsia" w:ascii="宋体" w:hAnsi="宋体"/>
          <w:sz w:val="24"/>
          <w:szCs w:val="24"/>
        </w:rPr>
        <w:t>（征求意见稿）</w:t>
      </w:r>
    </w:p>
    <w:p w14:paraId="31565ABE">
      <w:pPr>
        <w:pStyle w:val="126"/>
        <w:framePr w:w="9639" w:h="6974" w:hRule="exact" w:wrap="around" w:vAnchor="page" w:hAnchor="page" w:x="1419" w:y="6408" w:anchorLock="1"/>
        <w:spacing w:before="440" w:after="160" w:line="240" w:lineRule="auto"/>
        <w:textAlignment w:val="bottom"/>
        <w:rPr>
          <w:rFonts w:hint="eastAsia" w:ascii="宋体" w:hAnsi="宋体"/>
          <w:sz w:val="24"/>
          <w:szCs w:val="24"/>
        </w:rPr>
      </w:pPr>
    </w:p>
    <w:p w14:paraId="58E3FFC4">
      <w:pPr>
        <w:pStyle w:val="126"/>
        <w:framePr w:w="9639" w:h="6974" w:hRule="exact" w:wrap="around" w:vAnchor="page" w:hAnchor="page" w:x="1419" w:y="6408" w:anchorLock="1"/>
        <w:spacing w:before="180" w:after="160" w:line="180" w:lineRule="atLeast"/>
        <w:textAlignment w:val="bottom"/>
        <w:rPr>
          <w:rFonts w:hint="eastAsia" w:ascii="宋体" w:hAnsi="宋体"/>
          <w:b/>
          <w:bCs/>
          <w:sz w:val="21"/>
          <w:szCs w:val="28"/>
        </w:rPr>
      </w:pPr>
      <w:r>
        <w:rPr>
          <w:rFonts w:hint="eastAsia" w:ascii="宋体" w:hAnsi="宋体"/>
          <w:b/>
          <w:bCs/>
          <w:sz w:val="21"/>
          <w:szCs w:val="28"/>
        </w:rPr>
        <w:t>在提交反馈意见时，请将您知道的相关专利连同支持性文件一并附上。</w:t>
      </w:r>
    </w:p>
    <w:p w14:paraId="3DD7ECC0">
      <w:pPr>
        <w:pStyle w:val="126"/>
        <w:framePr w:w="9639" w:h="6974" w:hRule="exact" w:wrap="around" w:vAnchor="page" w:hAnchor="page" w:x="1419" w:y="6408" w:anchorLock="1"/>
        <w:textAlignment w:val="bottom"/>
        <w:rPr>
          <w:rFonts w:eastAsia="黑体"/>
          <w:szCs w:val="28"/>
        </w:rPr>
      </w:pPr>
    </w:p>
    <w:bookmarkEnd w:id="2"/>
    <w:p w14:paraId="1FA266D5">
      <w:pPr>
        <w:framePr w:w="9639" w:h="6974" w:hRule="exact" w:wrap="around" w:vAnchor="page" w:hAnchor="page" w:x="1419" w:y="6408" w:anchorLock="1"/>
        <w:spacing w:line="760" w:lineRule="exact"/>
        <w:ind w:left="-1418"/>
      </w:pPr>
    </w:p>
    <w:p w14:paraId="344FAE21">
      <w:pPr>
        <w:pStyle w:val="126"/>
        <w:framePr w:w="9639" w:h="6974" w:hRule="exact" w:wrap="around" w:vAnchor="page" w:hAnchor="page" w:x="1419" w:y="6408" w:anchorLock="1"/>
        <w:textAlignment w:val="bottom"/>
        <w:rPr>
          <w:rFonts w:eastAsia="黑体"/>
          <w:szCs w:val="28"/>
        </w:rPr>
      </w:pPr>
    </w:p>
    <w:p w14:paraId="6FD7FD08">
      <w:pPr>
        <w:pStyle w:val="126"/>
        <w:framePr w:w="9639" w:h="6974" w:hRule="exact" w:wrap="around" w:vAnchor="page" w:hAnchor="page" w:x="1419" w:y="6408" w:anchorLock="1"/>
        <w:spacing w:before="180" w:line="240" w:lineRule="atLeast"/>
        <w:textAlignment w:val="bottom"/>
        <w:rPr>
          <w:sz w:val="21"/>
          <w:szCs w:val="28"/>
        </w:rPr>
      </w:pPr>
    </w:p>
    <w:p w14:paraId="4C12FBF7">
      <w:pPr>
        <w:pStyle w:val="194"/>
        <w:framePr w:wrap="around" w:y="14176"/>
      </w:pPr>
      <w:r>
        <w:rPr>
          <w:rFonts w:hint="eastAsia" w:ascii="黑体"/>
        </w:rPr>
        <w:t>2025</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0F59077A">
      <w:pPr>
        <w:pStyle w:val="195"/>
        <w:framePr w:wrap="around" w:y="14176"/>
      </w:pPr>
      <w:r>
        <w:rPr>
          <w:rFonts w:hint="eastAsia" w:ascii="黑体"/>
        </w:rPr>
        <w:t>2025</w:t>
      </w:r>
      <w:r>
        <w:t xml:space="preserve"> </w:t>
      </w:r>
      <w:r>
        <w:rPr>
          <w:rFonts w:ascii="黑体"/>
        </w:rPr>
        <w:t>-</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65809781">
      <w:pPr>
        <w:pStyle w:val="152"/>
        <w:framePr w:h="584" w:hRule="exact" w:hSpace="181" w:vSpace="181" w:wrap="around" w:y="15027"/>
        <w:rPr>
          <w:rFonts w:hint="eastAsia" w:hAnsi="黑体"/>
        </w:rPr>
      </w:pPr>
      <w:r>
        <w:rPr>
          <w:rFonts w:hint="eastAsia" w:ascii="Times New Roman"/>
          <w:w w:val="100"/>
          <w:sz w:val="28"/>
        </w:rPr>
        <w:t>中国中小企业协会</w:t>
      </w:r>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114114F2">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50398E7">
      <w:pPr>
        <w:pStyle w:val="92"/>
        <w:spacing w:after="468"/>
        <w:rPr>
          <w:rFonts w:hint="eastAsia"/>
        </w:rPr>
      </w:pPr>
      <w:bookmarkStart w:id="3" w:name="BookMark1"/>
      <w:bookmarkStart w:id="4" w:name="_Toc181385124"/>
      <w:bookmarkStart w:id="5" w:name="_Toc192602861"/>
      <w:bookmarkStart w:id="6" w:name="_Toc111033569"/>
      <w:bookmarkStart w:id="7" w:name="_Toc67053156"/>
      <w:bookmarkStart w:id="8" w:name="_Toc181719680"/>
      <w:bookmarkStart w:id="9" w:name="_Toc67066418"/>
      <w:bookmarkStart w:id="10" w:name="_Toc72853454"/>
      <w:bookmarkStart w:id="11" w:name="_Toc67082537"/>
      <w:bookmarkStart w:id="12" w:name="_Toc74142077"/>
      <w:bookmarkStart w:id="13" w:name="_Toc181969848"/>
      <w:bookmarkStart w:id="14" w:name="_Toc111033543"/>
      <w:bookmarkStart w:id="15" w:name="_Toc192602994"/>
      <w:bookmarkStart w:id="16" w:name="_Toc67069577"/>
      <w:bookmarkStart w:id="17" w:name="_Toc181779116"/>
      <w:bookmarkStart w:id="18" w:name="_Toc67047417"/>
      <w:bookmarkStart w:id="19" w:name="_Toc66899194"/>
      <w:bookmarkStart w:id="20" w:name="_Toc66981424"/>
      <w:bookmarkStart w:id="21" w:name="_Toc109647439"/>
      <w:bookmarkStart w:id="22" w:name="_Toc67071479"/>
      <w:bookmarkStart w:id="23" w:name="_Toc74150045"/>
      <w:bookmarkStart w:id="24" w:name="_Toc181689761"/>
      <w:bookmarkStart w:id="25" w:name="_Toc68870194"/>
      <w:bookmarkStart w:id="26" w:name="_Toc67044875"/>
      <w:bookmarkStart w:id="27" w:name="_Toc192686335"/>
      <w:bookmarkStart w:id="28" w:name="_Toc67305561"/>
      <w:bookmarkStart w:id="29" w:name="_Toc68855871"/>
      <w:bookmarkStart w:id="30" w:name="_Toc192665567"/>
      <w:bookmarkStart w:id="31" w:name="_Toc181366638"/>
      <w:bookmarkStart w:id="32" w:name="_Toc68869488"/>
      <w:bookmarkStart w:id="33" w:name="_Toc192780759"/>
      <w:bookmarkStart w:id="34" w:name="_Toc194907271"/>
      <w:bookmarkStart w:id="35" w:name="_Toc181378016"/>
      <w:bookmarkStart w:id="36" w:name="_Toc195194519"/>
      <w:bookmarkStart w:id="37" w:name="_Toc181380504"/>
      <w:bookmarkStart w:id="38" w:name="_Toc194043775"/>
      <w:bookmarkStart w:id="39" w:name="_Toc194910793"/>
      <w:bookmarkStart w:id="40" w:name="_Toc74226207"/>
      <w:bookmarkStart w:id="41" w:name="_Toc194916735"/>
      <w:bookmarkStart w:id="42" w:name="_Toc194335126"/>
      <w:bookmarkStart w:id="43" w:name="_Toc67079596"/>
      <w:bookmarkStart w:id="44" w:name="_Toc70518821"/>
      <w:bookmarkStart w:id="45" w:name="_Toc181688429"/>
      <w:r>
        <w:rPr>
          <w:rFonts w:hint="eastAsia"/>
          <w:spacing w:val="320"/>
        </w:rPr>
        <w:t>目</w:t>
      </w:r>
      <w:r>
        <w:rPr>
          <w:rFonts w:hint="eastAsia"/>
        </w:rPr>
        <w:t>次</w:t>
      </w:r>
    </w:p>
    <w:p w14:paraId="4C695A2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"_Toc195256014" </w:instrText>
      </w:r>
      <w:r>
        <w:fldChar w:fldCharType="separate"/>
      </w:r>
      <w:r>
        <w:rPr>
          <w:rStyle w:val="33"/>
          <w:rFonts w:hint="eastAsia"/>
        </w:rPr>
        <w:t>前言</w:t>
      </w:r>
      <w:r>
        <w:rPr>
          <w:rFonts w:hint="eastAsia"/>
        </w:rPr>
        <w:tab/>
      </w:r>
      <w:r>
        <w:rPr>
          <w:rFonts w:hint="eastAsia"/>
        </w:rPr>
        <w:fldChar w:fldCharType="begin"/>
      </w:r>
      <w:r>
        <w:rPr>
          <w:rFonts w:hint="eastAsia"/>
        </w:rPr>
        <w:instrText xml:space="preserve"> </w:instrText>
      </w:r>
      <w:r>
        <w:instrText xml:space="preserve">PAGEREF _Toc195256014 \h</w:instrText>
      </w:r>
      <w:r>
        <w:rPr>
          <w:rFonts w:hint="eastAsia"/>
        </w:rPr>
        <w:instrText xml:space="preserve"> </w:instrText>
      </w:r>
      <w:r>
        <w:fldChar w:fldCharType="separate"/>
      </w:r>
      <w:r>
        <w:t>II</w:t>
      </w:r>
      <w:r>
        <w:rPr>
          <w:rFonts w:hint="eastAsia"/>
        </w:rPr>
        <w:fldChar w:fldCharType="end"/>
      </w:r>
      <w:r>
        <w:rPr>
          <w:rFonts w:hint="eastAsia"/>
        </w:rPr>
        <w:fldChar w:fldCharType="end"/>
      </w:r>
    </w:p>
    <w:p w14:paraId="00B42CC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"_Toc195256015" </w:instrText>
      </w:r>
      <w:r>
        <w:fldChar w:fldCharType="separate"/>
      </w:r>
      <w:r>
        <w:rPr>
          <w:rStyle w:val="33"/>
          <w:rFonts w:hint="eastAsia"/>
        </w:rPr>
        <w:t>1</w:t>
      </w:r>
      <w:r>
        <w:rPr>
          <w:rStyle w:val="33"/>
        </w:rPr>
        <w:t xml:space="preserve"> </w:t>
      </w:r>
      <w:r>
        <w:rPr>
          <w:rStyle w:val="33"/>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_Toc195256015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1B26F1B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"_Toc195256016" </w:instrText>
      </w:r>
      <w:r>
        <w:fldChar w:fldCharType="separate"/>
      </w:r>
      <w:r>
        <w:rPr>
          <w:rStyle w:val="33"/>
          <w:rFonts w:hint="eastAsia"/>
        </w:rPr>
        <w:t>2</w:t>
      </w:r>
      <w:r>
        <w:rPr>
          <w:rStyle w:val="33"/>
        </w:rPr>
        <w:t xml:space="preserve"> </w:t>
      </w:r>
      <w:r>
        <w:rPr>
          <w:rStyle w:val="33"/>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_Toc195256016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4013B30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"_Toc195256017" </w:instrText>
      </w:r>
      <w:r>
        <w:fldChar w:fldCharType="separate"/>
      </w:r>
      <w:r>
        <w:rPr>
          <w:rStyle w:val="33"/>
          <w:rFonts w:hint="eastAsia"/>
        </w:rPr>
        <w:t>3</w:t>
      </w:r>
      <w:r>
        <w:rPr>
          <w:rStyle w:val="33"/>
        </w:rPr>
        <w:t xml:space="preserve"> </w:t>
      </w:r>
      <w:r>
        <w:rPr>
          <w:rStyle w:val="33"/>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_Toc195256017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4EC7E5B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"_Toc195256018" </w:instrText>
      </w:r>
      <w:r>
        <w:fldChar w:fldCharType="separate"/>
      </w:r>
      <w:r>
        <w:rPr>
          <w:rStyle w:val="33"/>
          <w:rFonts w:hint="eastAsia"/>
        </w:rPr>
        <w:t>4</w:t>
      </w:r>
      <w:r>
        <w:rPr>
          <w:rStyle w:val="33"/>
        </w:rPr>
        <w:t xml:space="preserve"> </w:t>
      </w:r>
      <w:r>
        <w:rPr>
          <w:rStyle w:val="33"/>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_Toc195256018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65C3F79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"_Toc195256019" </w:instrText>
      </w:r>
      <w:r>
        <w:fldChar w:fldCharType="separate"/>
      </w:r>
      <w:r>
        <w:rPr>
          <w:rStyle w:val="33"/>
          <w:rFonts w:hint="eastAsia"/>
        </w:rPr>
        <w:t>5</w:t>
      </w:r>
      <w:r>
        <w:rPr>
          <w:rStyle w:val="33"/>
        </w:rPr>
        <w:t xml:space="preserve"> </w:t>
      </w:r>
      <w:r>
        <w:rPr>
          <w:rStyle w:val="33"/>
          <w:rFonts w:hint="eastAsia"/>
        </w:rPr>
        <w:t xml:space="preserve"> 材料及主要机具</w:t>
      </w:r>
      <w:r>
        <w:rPr>
          <w:rFonts w:hint="eastAsia"/>
        </w:rPr>
        <w:tab/>
      </w:r>
      <w:r>
        <w:rPr>
          <w:rFonts w:hint="eastAsia"/>
        </w:rPr>
        <w:fldChar w:fldCharType="begin"/>
      </w:r>
      <w:r>
        <w:rPr>
          <w:rFonts w:hint="eastAsia"/>
        </w:rPr>
        <w:instrText xml:space="preserve"> </w:instrText>
      </w:r>
      <w:r>
        <w:instrText xml:space="preserve">PAGEREF _Toc195256019 \h</w:instrText>
      </w:r>
      <w:r>
        <w:rPr>
          <w:rFonts w:hint="eastAsia"/>
        </w:rPr>
        <w:instrText xml:space="preserve"> </w:instrText>
      </w:r>
      <w:r>
        <w:fldChar w:fldCharType="separate"/>
      </w:r>
      <w:r>
        <w:t>4</w:t>
      </w:r>
      <w:r>
        <w:rPr>
          <w:rFonts w:hint="eastAsia"/>
        </w:rPr>
        <w:fldChar w:fldCharType="end"/>
      </w:r>
      <w:r>
        <w:rPr>
          <w:rFonts w:hint="eastAsia"/>
        </w:rPr>
        <w:fldChar w:fldCharType="end"/>
      </w:r>
    </w:p>
    <w:p w14:paraId="29FD52F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"_Toc195256020" </w:instrText>
      </w:r>
      <w:r>
        <w:fldChar w:fldCharType="separate"/>
      </w:r>
      <w:r>
        <w:rPr>
          <w:rStyle w:val="33"/>
          <w:rFonts w:hint="eastAsia"/>
        </w:rPr>
        <w:t>6</w:t>
      </w:r>
      <w:r>
        <w:rPr>
          <w:rStyle w:val="33"/>
        </w:rPr>
        <w:t xml:space="preserve"> </w:t>
      </w:r>
      <w:r>
        <w:rPr>
          <w:rStyle w:val="33"/>
          <w:rFonts w:hint="eastAsia"/>
        </w:rPr>
        <w:t xml:space="preserve"> 施工条件</w:t>
      </w:r>
      <w:r>
        <w:rPr>
          <w:rFonts w:hint="eastAsia"/>
        </w:rPr>
        <w:tab/>
      </w:r>
      <w:r>
        <w:rPr>
          <w:rFonts w:hint="eastAsia"/>
        </w:rPr>
        <w:fldChar w:fldCharType="begin"/>
      </w:r>
      <w:r>
        <w:rPr>
          <w:rFonts w:hint="eastAsia"/>
        </w:rPr>
        <w:instrText xml:space="preserve"> </w:instrText>
      </w:r>
      <w:r>
        <w:instrText xml:space="preserve">PAGEREF _Toc195256020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766486A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"_Toc195256021" </w:instrText>
      </w:r>
      <w:r>
        <w:fldChar w:fldCharType="separate"/>
      </w:r>
      <w:r>
        <w:rPr>
          <w:rStyle w:val="33"/>
          <w:rFonts w:hint="eastAsia"/>
        </w:rPr>
        <w:t>7</w:t>
      </w:r>
      <w:r>
        <w:rPr>
          <w:rStyle w:val="33"/>
        </w:rPr>
        <w:t xml:space="preserve"> </w:t>
      </w:r>
      <w:r>
        <w:rPr>
          <w:rStyle w:val="33"/>
          <w:rFonts w:hint="eastAsia"/>
        </w:rPr>
        <w:t xml:space="preserve"> 施工工艺</w:t>
      </w:r>
      <w:r>
        <w:rPr>
          <w:rFonts w:hint="eastAsia"/>
        </w:rPr>
        <w:tab/>
      </w:r>
      <w:r>
        <w:rPr>
          <w:rFonts w:hint="eastAsia"/>
        </w:rPr>
        <w:fldChar w:fldCharType="begin"/>
      </w:r>
      <w:r>
        <w:rPr>
          <w:rFonts w:hint="eastAsia"/>
        </w:rPr>
        <w:instrText xml:space="preserve"> </w:instrText>
      </w:r>
      <w:r>
        <w:instrText xml:space="preserve">PAGEREF _Toc195256021 \h</w:instrText>
      </w:r>
      <w:r>
        <w:rPr>
          <w:rFonts w:hint="eastAsia"/>
        </w:rPr>
        <w:instrText xml:space="preserve"> </w:instrText>
      </w:r>
      <w:r>
        <w:fldChar w:fldCharType="separate"/>
      </w:r>
      <w:r>
        <w:t>5</w:t>
      </w:r>
      <w:r>
        <w:rPr>
          <w:rFonts w:hint="eastAsia"/>
        </w:rPr>
        <w:fldChar w:fldCharType="end"/>
      </w:r>
      <w:r>
        <w:rPr>
          <w:rFonts w:hint="eastAsia"/>
        </w:rPr>
        <w:fldChar w:fldCharType="end"/>
      </w:r>
    </w:p>
    <w:p w14:paraId="098F767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"_Toc195256022" </w:instrText>
      </w:r>
      <w:r>
        <w:fldChar w:fldCharType="separate"/>
      </w:r>
      <w:r>
        <w:rPr>
          <w:rStyle w:val="33"/>
          <w:rFonts w:hint="eastAsia"/>
        </w:rPr>
        <w:t>8</w:t>
      </w:r>
      <w:r>
        <w:rPr>
          <w:rStyle w:val="33"/>
        </w:rPr>
        <w:t xml:space="preserve"> </w:t>
      </w:r>
      <w:r>
        <w:rPr>
          <w:rStyle w:val="33"/>
          <w:rFonts w:hint="eastAsia"/>
        </w:rPr>
        <w:t xml:space="preserve"> 质量要求及验收</w:t>
      </w:r>
      <w:r>
        <w:rPr>
          <w:rFonts w:hint="eastAsia"/>
        </w:rPr>
        <w:tab/>
      </w:r>
      <w:r>
        <w:rPr>
          <w:rFonts w:hint="eastAsia"/>
        </w:rPr>
        <w:fldChar w:fldCharType="begin"/>
      </w:r>
      <w:r>
        <w:rPr>
          <w:rFonts w:hint="eastAsia"/>
        </w:rPr>
        <w:instrText xml:space="preserve"> </w:instrText>
      </w:r>
      <w:r>
        <w:instrText xml:space="preserve">PAGEREF _Toc195256022 \h</w:instrText>
      </w:r>
      <w:r>
        <w:rPr>
          <w:rFonts w:hint="eastAsia"/>
        </w:rPr>
        <w:instrText xml:space="preserve"> </w:instrText>
      </w:r>
      <w:r>
        <w:fldChar w:fldCharType="separate"/>
      </w:r>
      <w:r>
        <w:t>9</w:t>
      </w:r>
      <w:r>
        <w:rPr>
          <w:rFonts w:hint="eastAsia"/>
        </w:rPr>
        <w:fldChar w:fldCharType="end"/>
      </w:r>
      <w:r>
        <w:rPr>
          <w:rFonts w:hint="eastAsia"/>
        </w:rPr>
        <w:fldChar w:fldCharType="end"/>
      </w:r>
    </w:p>
    <w:p w14:paraId="5FC1529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"_Toc195256023" </w:instrText>
      </w:r>
      <w:r>
        <w:fldChar w:fldCharType="separate"/>
      </w:r>
      <w:r>
        <w:rPr>
          <w:rStyle w:val="33"/>
          <w:rFonts w:hint="eastAsia"/>
        </w:rPr>
        <w:t>9</w:t>
      </w:r>
      <w:r>
        <w:rPr>
          <w:rStyle w:val="33"/>
        </w:rPr>
        <w:t xml:space="preserve"> </w:t>
      </w:r>
      <w:r>
        <w:rPr>
          <w:rStyle w:val="33"/>
          <w:rFonts w:hint="eastAsia"/>
        </w:rPr>
        <w:t xml:space="preserve"> 成品保护</w:t>
      </w:r>
      <w:r>
        <w:rPr>
          <w:rFonts w:hint="eastAsia"/>
        </w:rPr>
        <w:tab/>
      </w:r>
      <w:r>
        <w:rPr>
          <w:rFonts w:hint="eastAsia"/>
        </w:rPr>
        <w:fldChar w:fldCharType="begin"/>
      </w:r>
      <w:r>
        <w:rPr>
          <w:rFonts w:hint="eastAsia"/>
        </w:rPr>
        <w:instrText xml:space="preserve"> </w:instrText>
      </w:r>
      <w:r>
        <w:instrText xml:space="preserve">PAGEREF _Toc195256023 \h</w:instrText>
      </w:r>
      <w:r>
        <w:rPr>
          <w:rFonts w:hint="eastAsia"/>
        </w:rPr>
        <w:instrText xml:space="preserve"> </w:instrText>
      </w:r>
      <w:r>
        <w:fldChar w:fldCharType="separate"/>
      </w:r>
      <w:r>
        <w:t>10</w:t>
      </w:r>
      <w:r>
        <w:rPr>
          <w:rFonts w:hint="eastAsia"/>
        </w:rPr>
        <w:fldChar w:fldCharType="end"/>
      </w:r>
      <w:r>
        <w:rPr>
          <w:rFonts w:hint="eastAsia"/>
        </w:rPr>
        <w:fldChar w:fldCharType="end"/>
      </w:r>
    </w:p>
    <w:p w14:paraId="1689E85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"_Toc195256024" </w:instrText>
      </w:r>
      <w:r>
        <w:fldChar w:fldCharType="separate"/>
      </w:r>
      <w:r>
        <w:rPr>
          <w:rStyle w:val="33"/>
          <w:rFonts w:hint="eastAsia"/>
        </w:rPr>
        <w:t>10</w:t>
      </w:r>
      <w:r>
        <w:rPr>
          <w:rStyle w:val="33"/>
        </w:rPr>
        <w:t xml:space="preserve"> </w:t>
      </w:r>
      <w:r>
        <w:rPr>
          <w:rStyle w:val="33"/>
          <w:rFonts w:hint="eastAsia"/>
        </w:rPr>
        <w:t xml:space="preserve"> 安全与环保</w:t>
      </w:r>
      <w:r>
        <w:rPr>
          <w:rFonts w:hint="eastAsia"/>
        </w:rPr>
        <w:tab/>
      </w:r>
      <w:r>
        <w:rPr>
          <w:rFonts w:hint="eastAsia"/>
        </w:rPr>
        <w:fldChar w:fldCharType="begin"/>
      </w:r>
      <w:r>
        <w:rPr>
          <w:rFonts w:hint="eastAsia"/>
        </w:rPr>
        <w:instrText xml:space="preserve"> </w:instrText>
      </w:r>
      <w:r>
        <w:instrText xml:space="preserve">PAGEREF _Toc195256024 \h</w:instrText>
      </w:r>
      <w:r>
        <w:rPr>
          <w:rFonts w:hint="eastAsia"/>
        </w:rPr>
        <w:instrText xml:space="preserve"> </w:instrText>
      </w:r>
      <w:r>
        <w:fldChar w:fldCharType="separate"/>
      </w:r>
      <w:r>
        <w:t>11</w:t>
      </w:r>
      <w:r>
        <w:rPr>
          <w:rFonts w:hint="eastAsia"/>
        </w:rPr>
        <w:fldChar w:fldCharType="end"/>
      </w:r>
      <w:r>
        <w:rPr>
          <w:rFonts w:hint="eastAsia"/>
        </w:rPr>
        <w:fldChar w:fldCharType="end"/>
      </w:r>
    </w:p>
    <w:p w14:paraId="67AE08A2">
      <w:pPr>
        <w:pStyle w:val="92"/>
        <w:spacing w:after="468"/>
        <w:sectPr>
          <w:headerReference r:id="rId11" w:type="default"/>
          <w:footerReference r:id="rId13" w:type="default"/>
          <w:headerReference r:id="rId12" w:type="even"/>
          <w:footerReference r:id="rId14"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3"/>
    <w:p w14:paraId="365F417C">
      <w:pPr>
        <w:pStyle w:val="90"/>
        <w:spacing w:after="468"/>
      </w:pPr>
      <w:bookmarkStart w:id="46" w:name="_Toc195256014"/>
      <w:bookmarkStart w:id="47" w:name="BookMark2"/>
      <w:r>
        <w:rPr>
          <w:spacing w:val="320"/>
        </w:rPr>
        <w:t>前</w:t>
      </w:r>
      <w:r>
        <w:t>言</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F5FF555">
      <w:pPr>
        <w:pStyle w:val="57"/>
        <w:ind w:firstLine="420"/>
      </w:pPr>
      <w:r>
        <w:rPr>
          <w:rFonts w:hint="eastAsia"/>
        </w:rPr>
        <w:t>本文件按照GB/T 1.1—2020《标准化工作导则  第1部分：标准化文件的结构和起草规则》的规定起草。</w:t>
      </w:r>
    </w:p>
    <w:p w14:paraId="1F53A788">
      <w:pPr>
        <w:pStyle w:val="57"/>
        <w:ind w:firstLine="420"/>
      </w:pPr>
      <w:r>
        <w:rPr>
          <w:rFonts w:hint="eastAsia"/>
        </w:rPr>
        <w:t>本文件由河南鑫浦检测有限公司提出。</w:t>
      </w:r>
    </w:p>
    <w:p w14:paraId="674EC460">
      <w:pPr>
        <w:pStyle w:val="57"/>
        <w:ind w:firstLine="420"/>
      </w:pPr>
      <w:r>
        <w:rPr>
          <w:rFonts w:hint="eastAsia"/>
        </w:rPr>
        <w:t>本文件由中国中小企业协会归口。</w:t>
      </w:r>
    </w:p>
    <w:p w14:paraId="53D08B03">
      <w:pPr>
        <w:pStyle w:val="57"/>
        <w:ind w:firstLine="420"/>
      </w:pPr>
      <w:r>
        <w:rPr>
          <w:rFonts w:hint="eastAsia"/>
        </w:rPr>
        <w:t>本文件起草单位：河南鑫浦检测有限公司、</w:t>
      </w:r>
      <w:bookmarkStart w:id="48" w:name="OLE_LINK1"/>
      <w:r>
        <w:rPr>
          <w:rFonts w:hint="eastAsia"/>
        </w:rPr>
        <w:t>河南鑫港工程检测有限公司</w:t>
      </w:r>
      <w:r>
        <w:rPr>
          <w:rFonts w:hint="eastAsia"/>
          <w:lang w:eastAsia="zh-CN"/>
        </w:rPr>
        <w:t>、</w:t>
      </w:r>
      <w:r>
        <w:rPr>
          <w:rFonts w:hint="eastAsia"/>
        </w:rPr>
        <w:t>XXX、XXX</w:t>
      </w:r>
      <w:bookmarkEnd w:id="48"/>
      <w:r>
        <w:rPr>
          <w:rFonts w:hint="eastAsia"/>
        </w:rPr>
        <w:t>。</w:t>
      </w:r>
    </w:p>
    <w:p w14:paraId="0271E0C3">
      <w:pPr>
        <w:pStyle w:val="57"/>
        <w:ind w:firstLine="420"/>
      </w:pPr>
      <w:r>
        <w:rPr>
          <w:rFonts w:hint="eastAsia"/>
        </w:rPr>
        <w:t>本文件主要起草人：XXX、XXX、XXX。</w:t>
      </w:r>
    </w:p>
    <w:p w14:paraId="65C8572E">
      <w:pPr>
        <w:pStyle w:val="57"/>
        <w:ind w:firstLine="420"/>
        <w:sectPr>
          <w:headerReference r:id="rId15" w:type="default"/>
          <w:footerReference r:id="rId17" w:type="default"/>
          <w:headerReference r:id="rId16" w:type="even"/>
          <w:footerReference r:id="rId18" w:type="even"/>
          <w:pgSz w:w="11906" w:h="16838"/>
          <w:pgMar w:top="1871" w:right="1134" w:bottom="1134" w:left="1134" w:header="1418" w:footer="1134" w:gutter="284"/>
          <w:pgNumType w:fmt="upperRoman"/>
          <w:cols w:space="425" w:num="1"/>
          <w:formProt w:val="0"/>
          <w:docGrid w:type="lines" w:linePitch="312" w:charSpace="0"/>
        </w:sectPr>
      </w:pPr>
      <w:bookmarkStart w:id="254" w:name="_GoBack"/>
      <w:bookmarkEnd w:id="254"/>
    </w:p>
    <w:bookmarkEnd w:id="47"/>
    <w:p w14:paraId="51C55E59">
      <w:pPr>
        <w:spacing w:line="20" w:lineRule="exact"/>
        <w:jc w:val="center"/>
        <w:rPr>
          <w:rFonts w:hint="eastAsia" w:ascii="黑体" w:hAnsi="黑体" w:eastAsia="黑体"/>
          <w:sz w:val="32"/>
          <w:szCs w:val="32"/>
        </w:rPr>
      </w:pPr>
      <w:bookmarkStart w:id="49" w:name="BookMark4"/>
    </w:p>
    <w:p w14:paraId="1BC156A0">
      <w:pPr>
        <w:spacing w:line="20" w:lineRule="exact"/>
        <w:jc w:val="center"/>
        <w:rPr>
          <w:rFonts w:hint="eastAsia" w:ascii="黑体" w:hAnsi="黑体" w:eastAsia="黑体"/>
          <w:sz w:val="32"/>
          <w:szCs w:val="32"/>
        </w:rPr>
      </w:pPr>
    </w:p>
    <w:sdt>
      <w:sdtPr>
        <w:tag w:val="NEW_STAND_NAME"/>
        <w:id w:val="595910757"/>
        <w:lock w:val="sdtLocked"/>
        <w:placeholder>
          <w:docPart w:val="88D0A9E6ED8E41A5BC258D89F7A9C41B"/>
        </w:placeholder>
      </w:sdtPr>
      <w:sdtContent>
        <w:p w14:paraId="6324E6E1">
          <w:pPr>
            <w:pStyle w:val="178"/>
            <w:spacing w:before="312" w:beforeLines="100" w:after="686" w:afterLines="220"/>
            <w:rPr>
              <w:rFonts w:hint="eastAsia"/>
            </w:rPr>
          </w:pPr>
          <w:bookmarkStart w:id="50" w:name="NEW_STAND_NAME"/>
          <w:bookmarkStart w:id="51" w:name="_Hlk181782892"/>
          <w:r>
            <w:rPr>
              <w:rFonts w:hint="eastAsia"/>
            </w:rPr>
            <w:t>底板大体积混凝土施工技术规范</w:t>
          </w:r>
        </w:p>
      </w:sdtContent>
    </w:sdt>
    <w:bookmarkEnd w:id="50"/>
    <w:bookmarkEnd w:id="51"/>
    <w:p w14:paraId="19BA2CC4">
      <w:pPr>
        <w:pStyle w:val="105"/>
        <w:spacing w:before="312" w:after="312"/>
      </w:pPr>
      <w:bookmarkStart w:id="52" w:name="_Toc67053157"/>
      <w:bookmarkStart w:id="53" w:name="_Toc67069578"/>
      <w:bookmarkStart w:id="54" w:name="_Toc67079597"/>
      <w:bookmarkStart w:id="55" w:name="_Toc66899195"/>
      <w:bookmarkStart w:id="56" w:name="_Toc67071480"/>
      <w:bookmarkStart w:id="57" w:name="_Toc74226208"/>
      <w:bookmarkStart w:id="58" w:name="_Toc26986530"/>
      <w:bookmarkStart w:id="59" w:name="_Toc24884211"/>
      <w:bookmarkStart w:id="60" w:name="_Toc67082538"/>
      <w:bookmarkStart w:id="61" w:name="_Toc17233333"/>
      <w:bookmarkStart w:id="62" w:name="_Toc67305562"/>
      <w:bookmarkStart w:id="63" w:name="_Toc26986771"/>
      <w:bookmarkStart w:id="64" w:name="_Toc192686336"/>
      <w:bookmarkStart w:id="65" w:name="_Toc70518822"/>
      <w:bookmarkStart w:id="66" w:name="_Toc24884218"/>
      <w:bookmarkStart w:id="67" w:name="_Toc72853455"/>
      <w:bookmarkStart w:id="68" w:name="_Toc67044876"/>
      <w:bookmarkStart w:id="69" w:name="_Toc74142078"/>
      <w:bookmarkStart w:id="70" w:name="_Toc194335127"/>
      <w:bookmarkStart w:id="71" w:name="_Toc194043776"/>
      <w:bookmarkStart w:id="72" w:name="_Toc68870195"/>
      <w:bookmarkStart w:id="73" w:name="_Toc111033544"/>
      <w:bookmarkStart w:id="74" w:name="_Toc181719681"/>
      <w:bookmarkStart w:id="75" w:name="_Toc111033570"/>
      <w:bookmarkStart w:id="76" w:name="_Toc192602995"/>
      <w:bookmarkStart w:id="77" w:name="_Toc17233325"/>
      <w:bookmarkStart w:id="78" w:name="_Toc68869489"/>
      <w:bookmarkStart w:id="79" w:name="_Toc181380505"/>
      <w:bookmarkStart w:id="80" w:name="_Toc26718930"/>
      <w:bookmarkStart w:id="81" w:name="_Toc67047418"/>
      <w:bookmarkStart w:id="82" w:name="_Toc66981425"/>
      <w:bookmarkStart w:id="83" w:name="_Toc67066419"/>
      <w:bookmarkStart w:id="84" w:name="_Toc68855872"/>
      <w:bookmarkStart w:id="85" w:name="_Toc26648465"/>
      <w:bookmarkStart w:id="86" w:name="_Toc192665568"/>
      <w:bookmarkStart w:id="87" w:name="_Toc181366639"/>
      <w:bookmarkStart w:id="88" w:name="_Toc181378017"/>
      <w:bookmarkStart w:id="89" w:name="_Toc194907272"/>
      <w:bookmarkStart w:id="90" w:name="_Toc195256015"/>
      <w:bookmarkStart w:id="91" w:name="_Toc192780760"/>
      <w:bookmarkStart w:id="92" w:name="_Toc194916736"/>
      <w:bookmarkStart w:id="93" w:name="_Toc195194520"/>
      <w:bookmarkStart w:id="94" w:name="_Toc74150046"/>
      <w:bookmarkStart w:id="95" w:name="_Toc181385125"/>
      <w:bookmarkStart w:id="96" w:name="_Toc181689762"/>
      <w:bookmarkStart w:id="97" w:name="_Toc181779117"/>
      <w:bookmarkStart w:id="98" w:name="_Toc109647440"/>
      <w:bookmarkStart w:id="99" w:name="_Toc192602862"/>
      <w:bookmarkStart w:id="100" w:name="_Toc194910794"/>
      <w:bookmarkStart w:id="101" w:name="_Toc181688430"/>
      <w:bookmarkStart w:id="102" w:name="_Toc181969849"/>
      <w:r>
        <w:rPr>
          <w:rFonts w:hint="eastAsia"/>
        </w:rPr>
        <w:t>范围</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6542BAE">
      <w:pPr>
        <w:pStyle w:val="57"/>
        <w:ind w:firstLine="420"/>
      </w:pPr>
      <w:bookmarkStart w:id="103" w:name="_Toc17233334"/>
      <w:bookmarkStart w:id="104" w:name="_Toc24884212"/>
      <w:bookmarkStart w:id="105" w:name="_Toc24884219"/>
      <w:bookmarkStart w:id="106" w:name="_Toc26648466"/>
      <w:bookmarkStart w:id="107" w:name="_Toc17233326"/>
      <w:r>
        <w:rPr>
          <w:rFonts w:hint="eastAsia"/>
        </w:rPr>
        <w:t>本文件规定了底板大体积混凝土施工的一般要求、</w:t>
      </w:r>
      <w:r>
        <w:rPr>
          <w:rFonts w:hint="eastAsia" w:ascii="仿宋_GB2312"/>
          <w:szCs w:val="28"/>
        </w:rPr>
        <w:t>材料及主要机具、施工条件、施工工艺、质量要求及验收、成品保护、安全与环保</w:t>
      </w:r>
      <w:r>
        <w:rPr>
          <w:rFonts w:hint="eastAsia"/>
        </w:rPr>
        <w:t>。</w:t>
      </w:r>
    </w:p>
    <w:p w14:paraId="361C68D6">
      <w:pPr>
        <w:pStyle w:val="57"/>
        <w:ind w:firstLine="420"/>
      </w:pPr>
      <w:r>
        <w:rPr>
          <w:rFonts w:hint="eastAsia"/>
        </w:rPr>
        <w:t>本文件适用底板大体积混凝土施工工作。</w:t>
      </w:r>
    </w:p>
    <w:p w14:paraId="7AEE9D2D">
      <w:pPr>
        <w:pStyle w:val="105"/>
        <w:spacing w:before="312" w:after="312"/>
      </w:pPr>
      <w:bookmarkStart w:id="108" w:name="_Toc67044877"/>
      <w:bookmarkStart w:id="109" w:name="_Toc67047419"/>
      <w:bookmarkStart w:id="110" w:name="_Toc26718931"/>
      <w:bookmarkStart w:id="111" w:name="_Toc67053158"/>
      <w:bookmarkStart w:id="112" w:name="_Toc26986531"/>
      <w:bookmarkStart w:id="113" w:name="_Toc67066420"/>
      <w:bookmarkStart w:id="114" w:name="_Toc66981426"/>
      <w:bookmarkStart w:id="115" w:name="_Toc67071481"/>
      <w:bookmarkStart w:id="116" w:name="_Toc67079598"/>
      <w:bookmarkStart w:id="117" w:name="_Toc26986772"/>
      <w:bookmarkStart w:id="118" w:name="_Toc67082539"/>
      <w:bookmarkStart w:id="119" w:name="_Toc66899196"/>
      <w:bookmarkStart w:id="120" w:name="_Toc67069579"/>
      <w:bookmarkStart w:id="121" w:name="_Toc70518823"/>
      <w:bookmarkStart w:id="122" w:name="_Toc68870196"/>
      <w:bookmarkStart w:id="123" w:name="_Toc67305563"/>
      <w:bookmarkStart w:id="124" w:name="_Toc194907273"/>
      <w:bookmarkStart w:id="125" w:name="_Toc181385126"/>
      <w:bookmarkStart w:id="126" w:name="_Toc181688431"/>
      <w:bookmarkStart w:id="127" w:name="_Toc74150047"/>
      <w:bookmarkStart w:id="128" w:name="_Toc181366640"/>
      <w:bookmarkStart w:id="129" w:name="_Toc192602996"/>
      <w:bookmarkStart w:id="130" w:name="_Toc194043777"/>
      <w:bookmarkStart w:id="131" w:name="_Toc195194521"/>
      <w:bookmarkStart w:id="132" w:name="_Toc181378018"/>
      <w:bookmarkStart w:id="133" w:name="_Toc111033571"/>
      <w:bookmarkStart w:id="134" w:name="_Toc194335128"/>
      <w:bookmarkStart w:id="135" w:name="_Toc194910795"/>
      <w:bookmarkStart w:id="136" w:name="_Toc181719682"/>
      <w:bookmarkStart w:id="137" w:name="_Toc111033545"/>
      <w:bookmarkStart w:id="138" w:name="_Toc181969850"/>
      <w:bookmarkStart w:id="139" w:name="_Toc68869490"/>
      <w:bookmarkStart w:id="140" w:name="_Toc181689763"/>
      <w:bookmarkStart w:id="141" w:name="_Toc192602863"/>
      <w:bookmarkStart w:id="142" w:name="_Toc109647441"/>
      <w:bookmarkStart w:id="143" w:name="_Toc181779118"/>
      <w:bookmarkStart w:id="144" w:name="_Toc72853456"/>
      <w:bookmarkStart w:id="145" w:name="_Toc195256016"/>
      <w:bookmarkStart w:id="146" w:name="_Toc68855873"/>
      <w:bookmarkStart w:id="147" w:name="_Toc74142079"/>
      <w:bookmarkStart w:id="148" w:name="_Toc192665569"/>
      <w:bookmarkStart w:id="149" w:name="_Toc192686337"/>
      <w:bookmarkStart w:id="150" w:name="_Toc192780761"/>
      <w:bookmarkStart w:id="151" w:name="_Toc74226209"/>
      <w:bookmarkStart w:id="152" w:name="_Toc194916737"/>
      <w:bookmarkStart w:id="153" w:name="_Toc181380506"/>
      <w:r>
        <w:rPr>
          <w:rFonts w:hint="eastAsia"/>
        </w:rPr>
        <w:t>规范性引用文件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F10B378">
      <w:pPr>
        <w:pStyle w:val="57"/>
        <w:ind w:firstLine="420"/>
      </w:pPr>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bookmarkStart w:id="154" w:name="_Hlk181870746"/>
      <w:bookmarkStart w:id="155" w:name="_Toc66981427"/>
      <w:bookmarkStart w:id="156" w:name="_Toc67044878"/>
      <w:bookmarkStart w:id="157" w:name="_Toc67069580"/>
      <w:bookmarkStart w:id="158" w:name="_Toc67082540"/>
      <w:bookmarkStart w:id="159" w:name="_Toc67079599"/>
      <w:bookmarkStart w:id="160" w:name="_Toc67305564"/>
      <w:bookmarkStart w:id="161" w:name="_Toc67066421"/>
      <w:bookmarkStart w:id="162" w:name="_Toc68855874"/>
      <w:bookmarkStart w:id="163" w:name="_Toc67071482"/>
      <w:bookmarkStart w:id="164" w:name="_Toc109647442"/>
      <w:bookmarkStart w:id="165" w:name="_Toc67047420"/>
      <w:bookmarkStart w:id="166" w:name="_Toc181385127"/>
      <w:bookmarkStart w:id="167" w:name="_Toc74150048"/>
      <w:bookmarkStart w:id="168" w:name="_Toc181380507"/>
      <w:bookmarkStart w:id="169" w:name="_Toc74142080"/>
      <w:bookmarkStart w:id="170" w:name="_Toc72853457"/>
      <w:bookmarkStart w:id="171" w:name="_Toc74226210"/>
      <w:bookmarkStart w:id="172" w:name="_Toc68869491"/>
      <w:bookmarkStart w:id="173" w:name="_Toc181366641"/>
      <w:bookmarkStart w:id="174" w:name="_Toc111033546"/>
      <w:bookmarkStart w:id="175" w:name="_Toc111033572"/>
      <w:bookmarkStart w:id="176" w:name="_Toc68870197"/>
      <w:bookmarkStart w:id="177" w:name="_Toc70518824"/>
      <w:bookmarkStart w:id="178" w:name="_Toc66899197"/>
      <w:bookmarkStart w:id="179" w:name="_Toc181378019"/>
      <w:bookmarkStart w:id="180" w:name="_Toc67053159"/>
      <w:r>
        <w:t xml:space="preserve"> </w:t>
      </w:r>
    </w:p>
    <w:bookmarkEnd w:id="154"/>
    <w:p w14:paraId="2EC1E0A1">
      <w:pPr>
        <w:pStyle w:val="57"/>
        <w:ind w:firstLine="420"/>
      </w:pPr>
      <w:bookmarkStart w:id="181" w:name="_Toc181719683"/>
      <w:bookmarkStart w:id="182" w:name="_Toc181779119"/>
      <w:bookmarkStart w:id="183" w:name="_Toc181689764"/>
      <w:bookmarkStart w:id="184" w:name="_Toc181688432"/>
      <w:bookmarkStart w:id="185" w:name="_Toc181969851"/>
      <w:bookmarkStart w:id="186" w:name="_Toc192665570"/>
      <w:bookmarkStart w:id="187" w:name="_Toc192602997"/>
      <w:bookmarkStart w:id="188" w:name="_Toc192780762"/>
      <w:bookmarkStart w:id="189" w:name="_Toc192686338"/>
      <w:bookmarkStart w:id="190" w:name="_Toc192602864"/>
      <w:r>
        <w:t>GB 175-2023</w:t>
      </w:r>
      <w:r>
        <w:rPr>
          <w:rFonts w:hint="eastAsia"/>
        </w:rPr>
        <w:t xml:space="preserve"> 通用硅酸盐水泥</w:t>
      </w:r>
    </w:p>
    <w:p w14:paraId="5ED358C1">
      <w:pPr>
        <w:pStyle w:val="57"/>
        <w:ind w:firstLine="420"/>
      </w:pPr>
      <w:r>
        <w:t>GB 8076</w:t>
      </w:r>
      <w:r>
        <w:rPr>
          <w:rFonts w:hint="eastAsia"/>
        </w:rPr>
        <w:t xml:space="preserve"> 混凝土外加剂</w:t>
      </w:r>
    </w:p>
    <w:p w14:paraId="6D00BCE7">
      <w:pPr>
        <w:pStyle w:val="57"/>
        <w:ind w:firstLine="420"/>
      </w:pPr>
      <w:r>
        <w:t>GB/T 50081</w:t>
      </w:r>
      <w:r>
        <w:rPr>
          <w:rFonts w:hint="eastAsia"/>
        </w:rPr>
        <w:t xml:space="preserve"> 混凝土物理力学性能试验方法标准</w:t>
      </w:r>
    </w:p>
    <w:p w14:paraId="505BCD1F">
      <w:pPr>
        <w:pStyle w:val="57"/>
        <w:ind w:firstLine="420"/>
      </w:pPr>
      <w:r>
        <w:t>GB/T 50107</w:t>
      </w:r>
      <w:r>
        <w:rPr>
          <w:rFonts w:hint="eastAsia"/>
        </w:rPr>
        <w:t xml:space="preserve"> 混凝土强度检验评定标准</w:t>
      </w:r>
    </w:p>
    <w:p w14:paraId="6CD90AFB">
      <w:pPr>
        <w:pStyle w:val="57"/>
        <w:ind w:firstLine="420"/>
      </w:pPr>
      <w:r>
        <w:t>GB 50119</w:t>
      </w:r>
      <w:r>
        <w:rPr>
          <w:rFonts w:hint="eastAsia"/>
        </w:rPr>
        <w:t xml:space="preserve"> 混凝土外加剂应用技术规范</w:t>
      </w:r>
    </w:p>
    <w:p w14:paraId="5D872E87">
      <w:pPr>
        <w:pStyle w:val="57"/>
        <w:ind w:firstLine="420"/>
      </w:pPr>
      <w:r>
        <w:t>GB 50204</w:t>
      </w:r>
      <w:r>
        <w:rPr>
          <w:rFonts w:hint="eastAsia"/>
        </w:rPr>
        <w:t xml:space="preserve"> 混凝土结构工程施工质量验收规范</w:t>
      </w:r>
    </w:p>
    <w:p w14:paraId="2610C7E3">
      <w:pPr>
        <w:pStyle w:val="57"/>
        <w:ind w:firstLine="420"/>
      </w:pPr>
      <w:r>
        <w:t>GB 50496</w:t>
      </w:r>
      <w:r>
        <w:rPr>
          <w:rFonts w:hint="eastAsia"/>
        </w:rPr>
        <w:t xml:space="preserve"> 大体积混凝土施工标准</w:t>
      </w:r>
    </w:p>
    <w:p w14:paraId="6CD116F2">
      <w:pPr>
        <w:pStyle w:val="57"/>
        <w:ind w:firstLine="420"/>
      </w:pPr>
      <w:r>
        <w:rPr>
          <w:rFonts w:hint="eastAsia"/>
        </w:rPr>
        <w:t>GB 50870 建筑施工安全技术统一规范</w:t>
      </w:r>
    </w:p>
    <w:p w14:paraId="2C6A26B2">
      <w:pPr>
        <w:pStyle w:val="57"/>
        <w:ind w:firstLine="420"/>
      </w:pPr>
      <w:r>
        <w:t>GB/T 5090</w:t>
      </w:r>
      <w:r>
        <w:rPr>
          <w:rFonts w:hint="eastAsia"/>
        </w:rPr>
        <w:t>5 建筑工程绿色施工规范</w:t>
      </w:r>
    </w:p>
    <w:p w14:paraId="7F5B39FA">
      <w:pPr>
        <w:pStyle w:val="57"/>
        <w:ind w:firstLine="420"/>
      </w:pPr>
      <w:r>
        <w:rPr>
          <w:rFonts w:hint="eastAsia"/>
        </w:rPr>
        <w:t>GB 55034 建筑与市政施工现场安全卫生与职业健康通用规范</w:t>
      </w:r>
    </w:p>
    <w:p w14:paraId="69CC1850">
      <w:pPr>
        <w:pStyle w:val="57"/>
        <w:ind w:firstLine="420"/>
      </w:pPr>
      <w:r>
        <w:rPr>
          <w:rFonts w:hint="eastAsia"/>
        </w:rPr>
        <w:t>GB 55037 建筑防火通用规范</w:t>
      </w:r>
    </w:p>
    <w:p w14:paraId="55CDB5DD">
      <w:pPr>
        <w:pStyle w:val="57"/>
        <w:ind w:firstLine="420"/>
      </w:pPr>
      <w:r>
        <w:rPr>
          <w:rFonts w:hint="eastAsia"/>
        </w:rPr>
        <w:t>JGJ 46 施工现场临时用电安全技术规范</w:t>
      </w:r>
    </w:p>
    <w:p w14:paraId="4FC6C257">
      <w:pPr>
        <w:pStyle w:val="57"/>
        <w:ind w:firstLine="420"/>
      </w:pPr>
      <w:r>
        <w:t>JGJ 52</w:t>
      </w:r>
      <w:r>
        <w:rPr>
          <w:rFonts w:hint="eastAsia"/>
        </w:rPr>
        <w:t xml:space="preserve"> 普通混凝土用砂、石质量及检验方法标准</w:t>
      </w:r>
    </w:p>
    <w:p w14:paraId="171A6265">
      <w:pPr>
        <w:pStyle w:val="57"/>
        <w:ind w:firstLine="420"/>
      </w:pPr>
      <w:r>
        <w:t>JGJ 55</w:t>
      </w:r>
      <w:r>
        <w:rPr>
          <w:rFonts w:hint="eastAsia"/>
        </w:rPr>
        <w:t xml:space="preserve"> 普通混凝土配合比设计规程</w:t>
      </w:r>
    </w:p>
    <w:p w14:paraId="6A3D678C">
      <w:pPr>
        <w:pStyle w:val="57"/>
        <w:ind w:firstLine="420"/>
      </w:pPr>
      <w:r>
        <w:t>JGJ 63</w:t>
      </w:r>
      <w:r>
        <w:rPr>
          <w:rFonts w:hint="eastAsia"/>
        </w:rPr>
        <w:t xml:space="preserve"> 混凝土用水标准</w:t>
      </w:r>
    </w:p>
    <w:p w14:paraId="50BA622A">
      <w:pPr>
        <w:pStyle w:val="105"/>
        <w:spacing w:before="312" w:after="312"/>
      </w:pPr>
      <w:bookmarkStart w:id="191" w:name="_Toc195194522"/>
      <w:bookmarkStart w:id="192" w:name="_Toc194910796"/>
      <w:bookmarkStart w:id="193" w:name="_Toc194043778"/>
      <w:bookmarkStart w:id="194" w:name="_Toc194907274"/>
      <w:bookmarkStart w:id="195" w:name="_Toc195256017"/>
      <w:bookmarkStart w:id="196" w:name="_Toc194916738"/>
      <w:bookmarkStart w:id="197" w:name="_Toc194335129"/>
      <w:r>
        <w:rPr>
          <w:rFonts w:hint="eastAsia"/>
        </w:rPr>
        <w:t>术语和定义</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1954CC36">
      <w:pPr>
        <w:pStyle w:val="57"/>
        <w:ind w:firstLine="420"/>
        <w:rPr>
          <w:rFonts w:hint="eastAsia" w:ascii="黑体" w:hAnsi="黑体" w:eastAsia="黑体"/>
        </w:rPr>
      </w:pPr>
      <w:bookmarkStart w:id="198" w:name="_Toc26986532"/>
      <w:bookmarkEnd w:id="198"/>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r>
            <w:rPr>
              <w:rFonts w:hint="eastAsia"/>
            </w:rPr>
            <w:t>下列术语和定义适用于本文件。</w:t>
          </w:r>
        </w:sdtContent>
      </w:sdt>
      <w:bookmarkStart w:id="199" w:name="_Toc181366643"/>
      <w:bookmarkStart w:id="200" w:name="_Toc181378021"/>
      <w:bookmarkStart w:id="201" w:name="_Toc181380509"/>
      <w:bookmarkStart w:id="202" w:name="_Toc181385129"/>
    </w:p>
    <w:p w14:paraId="652AFD1F">
      <w:pPr>
        <w:pStyle w:val="224"/>
        <w:ind w:left="420" w:hanging="420" w:hangingChars="200"/>
        <w:rPr>
          <w:rFonts w:hint="eastAsia" w:ascii="黑体" w:hAnsi="黑体" w:eastAsia="黑体"/>
        </w:rPr>
      </w:pPr>
      <w:r>
        <w:rPr>
          <w:rFonts w:ascii="黑体" w:hAnsi="黑体" w:eastAsia="黑体"/>
        </w:rPr>
        <w:br w:type="textWrapping"/>
      </w:r>
      <w:bookmarkStart w:id="203" w:name="OLE_LINK2"/>
      <w:r>
        <w:rPr>
          <w:rFonts w:hint="eastAsia" w:ascii="黑体" w:hAnsi="黑体" w:eastAsia="黑体"/>
        </w:rPr>
        <w:t>大体积混凝土</w:t>
      </w:r>
      <w:bookmarkEnd w:id="203"/>
      <w:r>
        <w:rPr>
          <w:rFonts w:hint="eastAsia" w:ascii="黑体" w:hAnsi="黑体" w:eastAsia="黑体"/>
        </w:rPr>
        <w:t xml:space="preserve"> mass concrete</w:t>
      </w:r>
    </w:p>
    <w:p w14:paraId="3D3D6F5F">
      <w:pPr>
        <w:pStyle w:val="57"/>
        <w:ind w:firstLine="420"/>
      </w:pPr>
      <w:r>
        <w:rPr>
          <w:rFonts w:hint="eastAsia"/>
        </w:rPr>
        <w:t>混凝土结构物实体最小尺寸不小于1 m的大体量混凝土，或预计会因混凝土中的胶凝材料水化引起的温度变化和伸缩而导致有害裂缝产生的混凝土。</w:t>
      </w:r>
    </w:p>
    <w:p w14:paraId="78E65292">
      <w:pPr>
        <w:pStyle w:val="224"/>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凝胶材料 cementitious material</w:t>
      </w:r>
    </w:p>
    <w:p w14:paraId="36FA9AAF">
      <w:pPr>
        <w:pStyle w:val="57"/>
        <w:ind w:firstLine="420"/>
      </w:pPr>
      <w:r>
        <w:rPr>
          <w:rFonts w:hint="eastAsia"/>
        </w:rPr>
        <w:t>制成混凝土的硅酸盐水泥与活性矿物掺合料的总称。</w:t>
      </w:r>
    </w:p>
    <w:p w14:paraId="470CF7ED">
      <w:pPr>
        <w:pStyle w:val="105"/>
        <w:spacing w:before="312" w:after="312"/>
      </w:pPr>
      <w:bookmarkStart w:id="204" w:name="_Toc192602865"/>
      <w:bookmarkStart w:id="205" w:name="_Toc192602998"/>
      <w:bookmarkStart w:id="206" w:name="_Toc195194523"/>
      <w:bookmarkStart w:id="207" w:name="_Toc194907275"/>
      <w:bookmarkStart w:id="208" w:name="_Toc194910797"/>
      <w:bookmarkStart w:id="209" w:name="_Toc192665571"/>
      <w:bookmarkStart w:id="210" w:name="_Toc194335130"/>
      <w:bookmarkStart w:id="211" w:name="_Toc194916739"/>
      <w:bookmarkStart w:id="212" w:name="_Toc194043779"/>
      <w:bookmarkStart w:id="213" w:name="_Toc192686339"/>
      <w:bookmarkStart w:id="214" w:name="_Toc192780763"/>
      <w:bookmarkStart w:id="215" w:name="_Toc195256018"/>
      <w:r>
        <w:rPr>
          <w:rFonts w:hint="eastAsia"/>
        </w:rPr>
        <w:t>一般要求</w:t>
      </w:r>
      <w:bookmarkEnd w:id="199"/>
      <w:bookmarkEnd w:id="200"/>
      <w:bookmarkEnd w:id="201"/>
      <w:bookmarkEnd w:id="202"/>
      <w:bookmarkEnd w:id="204"/>
      <w:bookmarkEnd w:id="205"/>
      <w:bookmarkEnd w:id="206"/>
      <w:bookmarkEnd w:id="207"/>
      <w:bookmarkEnd w:id="208"/>
      <w:bookmarkEnd w:id="209"/>
      <w:bookmarkEnd w:id="210"/>
      <w:bookmarkEnd w:id="211"/>
      <w:bookmarkEnd w:id="212"/>
      <w:bookmarkEnd w:id="213"/>
      <w:bookmarkEnd w:id="214"/>
      <w:bookmarkEnd w:id="215"/>
    </w:p>
    <w:p w14:paraId="57901C75">
      <w:pPr>
        <w:pStyle w:val="163"/>
      </w:pPr>
      <w:r>
        <w:rPr>
          <w:rFonts w:hint="eastAsia"/>
        </w:rPr>
        <w:t>施工单位应根据设计文件和施工组织设计的要求制定具体的施工方案，并应经监理单位审核批准后组织实施。</w:t>
      </w:r>
    </w:p>
    <w:p w14:paraId="4EA09AC8">
      <w:pPr>
        <w:pStyle w:val="163"/>
      </w:pPr>
      <w:r>
        <w:rPr>
          <w:rFonts w:hint="eastAsia"/>
        </w:rPr>
        <w:t>施工单位应保证施工资料真实、有效、完整和齐全。</w:t>
      </w:r>
    </w:p>
    <w:p w14:paraId="025EC22D">
      <w:pPr>
        <w:pStyle w:val="163"/>
      </w:pPr>
      <w:r>
        <w:rPr>
          <w:rFonts w:hint="eastAsia"/>
        </w:rPr>
        <w:t>施工前，应根据结构类型、特点和施工条件，确定施工工艺，并应做好各项准备工作。</w:t>
      </w:r>
    </w:p>
    <w:p w14:paraId="084BF1D2">
      <w:pPr>
        <w:pStyle w:val="163"/>
      </w:pPr>
      <w:r>
        <w:rPr>
          <w:rFonts w:hint="eastAsia"/>
        </w:rPr>
        <w:t>各工序的施工，应在前一道工序质量检查合格后进行。</w:t>
      </w:r>
    </w:p>
    <w:p w14:paraId="6488C4FB">
      <w:pPr>
        <w:pStyle w:val="163"/>
      </w:pPr>
      <w:r>
        <w:rPr>
          <w:rFonts w:hint="eastAsia"/>
        </w:rPr>
        <w:t>施工现场模板存放、钢筋加工、料具码放等场地应根据用途进行硬化。</w:t>
      </w:r>
    </w:p>
    <w:p w14:paraId="6DF9AAC9">
      <w:pPr>
        <w:pStyle w:val="163"/>
      </w:pPr>
      <w:r>
        <w:rPr>
          <w:rFonts w:hint="eastAsia"/>
        </w:rPr>
        <w:t>混凝土运输应符合下列规定：</w:t>
      </w:r>
    </w:p>
    <w:p w14:paraId="1E19DB3B">
      <w:pPr>
        <w:pStyle w:val="175"/>
      </w:pPr>
      <w:r>
        <w:rPr>
          <w:rFonts w:hint="eastAsia"/>
        </w:rPr>
        <w:t>混凝土宜采用搅拌运输车运输，运输车辆应符合国家标准的规定；</w:t>
      </w:r>
    </w:p>
    <w:p w14:paraId="60FC23CC">
      <w:pPr>
        <w:pStyle w:val="175"/>
      </w:pPr>
      <w:r>
        <w:rPr>
          <w:rFonts w:hint="eastAsia"/>
        </w:rPr>
        <w:t>运输过程中应保证混凝土拌合物的均匀性和工作性；</w:t>
      </w:r>
    </w:p>
    <w:p w14:paraId="43F6403F">
      <w:pPr>
        <w:pStyle w:val="175"/>
      </w:pPr>
      <w:r>
        <w:rPr>
          <w:rFonts w:hint="eastAsia"/>
        </w:rPr>
        <w:t>应采取保证连续供应的措施，并应满足现场施工的需要。</w:t>
      </w:r>
    </w:p>
    <w:p w14:paraId="590B8362">
      <w:pPr>
        <w:pStyle w:val="163"/>
      </w:pPr>
      <w:r>
        <w:rPr>
          <w:rFonts w:hint="eastAsia"/>
        </w:rPr>
        <w:t>混凝土供方应提供混凝土运输单、混凝土配合比通知单、混凝土质量合格证、基本性能试验报告等资料。</w:t>
      </w:r>
    </w:p>
    <w:p w14:paraId="29BC1FEB">
      <w:pPr>
        <w:pStyle w:val="163"/>
      </w:pPr>
      <w:r>
        <w:rPr>
          <w:rFonts w:hint="eastAsia"/>
        </w:rPr>
        <w:t>夏季施工应采取对砂石等原材料覆盖、冰水拌制混凝土等技术措施控制混凝土入模温度低于28 ℃，以降低混凝土构件核心温度。</w:t>
      </w:r>
    </w:p>
    <w:p w14:paraId="312141A1">
      <w:pPr>
        <w:pStyle w:val="163"/>
      </w:pPr>
      <w:r>
        <w:rPr>
          <w:rFonts w:hint="eastAsia"/>
        </w:rPr>
        <w:t>严冬施工可不掺防冻剂，应适当增加混凝土输送泵数量，防止混凝土流浆、留槎受冻。</w:t>
      </w:r>
    </w:p>
    <w:p w14:paraId="63DF8D5C">
      <w:pPr>
        <w:pStyle w:val="163"/>
      </w:pPr>
      <w:r>
        <w:rPr>
          <w:rFonts w:hint="eastAsia"/>
        </w:rPr>
        <w:t>雨期施工应对混凝土搅拌、施工设备和浇筑作业采取防雨措施，及时在结构合理部位留置施工缝，不宜进行混凝土露天浇筑。</w:t>
      </w:r>
    </w:p>
    <w:p w14:paraId="123EF464">
      <w:pPr>
        <w:pStyle w:val="163"/>
      </w:pPr>
      <w:r>
        <w:rPr>
          <w:rFonts w:hint="eastAsia"/>
        </w:rPr>
        <w:t>当大风天气浇筑混凝土时，在作业面应采取挡风措施，并应增加混凝土表面的抹压次数，应及时覆盖塑料薄膜和保温材料。</w:t>
      </w:r>
    </w:p>
    <w:p w14:paraId="14325E5F">
      <w:pPr>
        <w:pStyle w:val="163"/>
      </w:pPr>
      <w:r>
        <w:rPr>
          <w:rFonts w:hint="eastAsia"/>
        </w:rPr>
        <w:t>大体积混凝土可采用60 d或90 d的强度作为混凝土配合比、混凝土强度评定及工程验收的依据。</w:t>
      </w:r>
    </w:p>
    <w:p w14:paraId="6B5B2545">
      <w:pPr>
        <w:pStyle w:val="105"/>
        <w:spacing w:before="312" w:after="312"/>
      </w:pPr>
      <w:bookmarkStart w:id="216" w:name="_Toc194916740"/>
      <w:bookmarkStart w:id="217" w:name="_Toc195194524"/>
      <w:bookmarkStart w:id="218" w:name="_Toc194910798"/>
      <w:bookmarkStart w:id="219" w:name="_Toc195256019"/>
      <w:r>
        <w:rPr>
          <w:rFonts w:hint="eastAsia"/>
        </w:rPr>
        <w:t>材料及主要机具</w:t>
      </w:r>
      <w:bookmarkEnd w:id="216"/>
      <w:bookmarkEnd w:id="217"/>
      <w:bookmarkEnd w:id="218"/>
      <w:bookmarkEnd w:id="219"/>
    </w:p>
    <w:p w14:paraId="22B1C234">
      <w:pPr>
        <w:pStyle w:val="106"/>
        <w:spacing w:before="156" w:after="156"/>
      </w:pPr>
      <w:r>
        <w:rPr>
          <w:rFonts w:hint="eastAsia"/>
        </w:rPr>
        <w:t>材料</w:t>
      </w:r>
    </w:p>
    <w:p w14:paraId="1873FB5E">
      <w:pPr>
        <w:pStyle w:val="166"/>
        <w:ind w:left="0"/>
      </w:pPr>
      <w:r>
        <w:rPr>
          <w:rFonts w:hint="eastAsia"/>
        </w:rPr>
        <w:t>水泥应选用</w:t>
      </w:r>
      <w:bookmarkStart w:id="220" w:name="OLE_LINK3"/>
      <w:r>
        <w:rPr>
          <w:rFonts w:hint="eastAsia"/>
        </w:rPr>
        <w:t>水化热</w:t>
      </w:r>
      <w:bookmarkEnd w:id="220"/>
      <w:r>
        <w:rPr>
          <w:rFonts w:hint="eastAsia"/>
        </w:rPr>
        <w:t>低的通用硅酸盐水泥，3 d水化热不宜大于250 kJ/kg，7 d水化热不宜大于280 kJ/kg；当选用</w:t>
      </w:r>
      <w:r>
        <w:t>GB 175-2023</w:t>
      </w:r>
      <w:r>
        <w:rPr>
          <w:rFonts w:hint="eastAsia"/>
        </w:rPr>
        <w:t>中规定的52.5强度等级水泥时，7 d水化热宜小于300 kJ/kg；水泥的各项性能应符合</w:t>
      </w:r>
      <w:r>
        <w:t>GB 175-2023</w:t>
      </w:r>
      <w:r>
        <w:rPr>
          <w:rFonts w:hint="eastAsia"/>
        </w:rPr>
        <w:t>的规定。</w:t>
      </w:r>
    </w:p>
    <w:p w14:paraId="347EFAA6">
      <w:pPr>
        <w:pStyle w:val="166"/>
        <w:ind w:left="0"/>
      </w:pPr>
      <w:r>
        <w:rPr>
          <w:rFonts w:hint="eastAsia"/>
        </w:rPr>
        <w:t>骨料选择应符合</w:t>
      </w:r>
      <w:r>
        <w:t>JGJ 52</w:t>
      </w:r>
      <w:r>
        <w:rPr>
          <w:rFonts w:hint="eastAsia"/>
        </w:rPr>
        <w:t>的规定，并：</w:t>
      </w:r>
    </w:p>
    <w:p w14:paraId="0662804F">
      <w:pPr>
        <w:pStyle w:val="175"/>
        <w:numPr>
          <w:ilvl w:val="0"/>
          <w:numId w:val="33"/>
        </w:numPr>
      </w:pPr>
      <w:r>
        <w:rPr>
          <w:rFonts w:hint="eastAsia"/>
        </w:rPr>
        <w:t>粗骨料应选用非碱活性材料，并连续级配，粒径宜为5.0 mm～31.5 mm，并应连续级配，含泥量不应大于%；</w:t>
      </w:r>
    </w:p>
    <w:p w14:paraId="0BE10D8D">
      <w:pPr>
        <w:pStyle w:val="175"/>
      </w:pPr>
      <w:r>
        <w:rPr>
          <w:rFonts w:hint="eastAsia"/>
        </w:rPr>
        <w:t>细骨料应优先采用中砂，细度模数宜大于2.3，含泥量不应大于3%。</w:t>
      </w:r>
    </w:p>
    <w:p w14:paraId="53D18C33">
      <w:pPr>
        <w:pStyle w:val="166"/>
        <w:ind w:left="0"/>
      </w:pPr>
      <w:r>
        <w:rPr>
          <w:rFonts w:hint="eastAsia"/>
        </w:rPr>
        <w:t>外加剂应符合GB 8076和GB 50119的规定。外加剂的品种、量应根据材料试验确定。耐久性要求较高或寒冷地区的大体积混凝土，宜采用引气剂或引气减水剂。</w:t>
      </w:r>
    </w:p>
    <w:p w14:paraId="28FC604A">
      <w:pPr>
        <w:pStyle w:val="166"/>
        <w:ind w:left="0"/>
      </w:pPr>
      <w:r>
        <w:rPr>
          <w:rFonts w:hint="eastAsia"/>
        </w:rPr>
        <w:t>混凝土拌合用水应符合</w:t>
      </w:r>
      <w:r>
        <w:t>JGJ 63</w:t>
      </w:r>
      <w:r>
        <w:rPr>
          <w:rFonts w:hint="eastAsia"/>
        </w:rPr>
        <w:t>的规定。</w:t>
      </w:r>
    </w:p>
    <w:p w14:paraId="7506AF9A">
      <w:pPr>
        <w:pStyle w:val="166"/>
        <w:ind w:left="0"/>
      </w:pPr>
      <w:r>
        <w:rPr>
          <w:rFonts w:hint="eastAsia"/>
        </w:rPr>
        <w:t>混凝土配合比应符合GB 50496 和JGJ 55的规定。</w:t>
      </w:r>
    </w:p>
    <w:p w14:paraId="1C8B940B">
      <w:pPr>
        <w:pStyle w:val="166"/>
        <w:ind w:left="0"/>
      </w:pPr>
      <w:r>
        <w:rPr>
          <w:rFonts w:hint="eastAsia"/>
        </w:rPr>
        <w:t>对同时供应同一工程分项的预拌混凝土，胶凝材料和外加剂、配合比应一致，制备工艺和质量控制水平应基本相同。</w:t>
      </w:r>
    </w:p>
    <w:p w14:paraId="31BB2F75">
      <w:pPr>
        <w:pStyle w:val="166"/>
        <w:ind w:left="0"/>
      </w:pPr>
      <w:r>
        <w:rPr>
          <w:rFonts w:hint="eastAsia"/>
        </w:rPr>
        <w:t>混凝土拌合物运输应采用混凝土搅拌运输车，运输车应根据施工现场实际情况具有防晒、防雨和保温措施。</w:t>
      </w:r>
    </w:p>
    <w:p w14:paraId="75185D96">
      <w:pPr>
        <w:pStyle w:val="106"/>
        <w:spacing w:before="156" w:after="156"/>
      </w:pPr>
      <w:r>
        <w:rPr>
          <w:rFonts w:hint="eastAsia"/>
        </w:rPr>
        <w:t>主要机具</w:t>
      </w:r>
    </w:p>
    <w:p w14:paraId="42CB4BA3">
      <w:pPr>
        <w:pStyle w:val="166"/>
        <w:ind w:left="0"/>
      </w:pPr>
      <w:r>
        <w:rPr>
          <w:rFonts w:hint="eastAsia"/>
        </w:rPr>
        <w:t>主要机具应准备混凝土运输车、混凝土泵、泵车及钢、软泵管、塔吊、流动电箱、插入式振捣器、抹平机、小型水泵、泥浆泵、空压机、手推车、串筒、溜槽、吊斗、胶管、铁锹、钢钎、刮杠、抹子等。</w:t>
      </w:r>
    </w:p>
    <w:p w14:paraId="0C2187B5">
      <w:pPr>
        <w:pStyle w:val="166"/>
        <w:ind w:left="0"/>
      </w:pPr>
      <w:r>
        <w:rPr>
          <w:rFonts w:hint="eastAsia"/>
        </w:rPr>
        <w:t>测温专用机具应准备电子测温仪和测温元件或温度计和测温埋管等。</w:t>
      </w:r>
    </w:p>
    <w:p w14:paraId="7D5FD5E9">
      <w:pPr>
        <w:pStyle w:val="166"/>
        <w:ind w:left="0"/>
      </w:pPr>
      <w:r>
        <w:rPr>
          <w:rFonts w:hint="eastAsia"/>
        </w:rPr>
        <w:t>根据混凝土浇筑的面积应准备好足够的保温保湿材料。</w:t>
      </w:r>
    </w:p>
    <w:p w14:paraId="609E3D75">
      <w:pPr>
        <w:pStyle w:val="105"/>
        <w:spacing w:before="312" w:after="312"/>
      </w:pPr>
      <w:bookmarkStart w:id="221" w:name="_Toc195194525"/>
      <w:bookmarkStart w:id="222" w:name="_Toc194910799"/>
      <w:bookmarkStart w:id="223" w:name="_Toc194916741"/>
      <w:bookmarkStart w:id="224" w:name="_Toc195256020"/>
      <w:r>
        <w:rPr>
          <w:rFonts w:hint="eastAsia"/>
        </w:rPr>
        <w:t>施工条件</w:t>
      </w:r>
      <w:bookmarkEnd w:id="221"/>
      <w:bookmarkEnd w:id="222"/>
      <w:bookmarkEnd w:id="223"/>
      <w:bookmarkEnd w:id="224"/>
    </w:p>
    <w:p w14:paraId="31A8AE69">
      <w:pPr>
        <w:pStyle w:val="163"/>
      </w:pPr>
      <w:r>
        <w:rPr>
          <w:rFonts w:hint="eastAsia"/>
        </w:rPr>
        <w:t>应与预拌混凝土供应单位签订技术合同。合同中应明确注明主要技术条件，包括强度等级、水泥品种、砂率、胶凝材料用量、入模温度、初凝时间、坍落度、碱、氯化物含量要求、外加剂及掺合料品种等。当单一混凝土生产单位不能满足混凝土供应量要求时，可根据需要由多家混凝土生产单位联合供料，但应事先统一原材料品种及产地、统一配合比等。</w:t>
      </w:r>
    </w:p>
    <w:p w14:paraId="2F37C41E">
      <w:pPr>
        <w:pStyle w:val="163"/>
      </w:pPr>
      <w:r>
        <w:rPr>
          <w:rFonts w:hint="eastAsia"/>
        </w:rPr>
        <w:t>应保证在浇筑期间不因天气原因中断施工或影响混凝土浇筑质量。</w:t>
      </w:r>
    </w:p>
    <w:p w14:paraId="096B81CD">
      <w:pPr>
        <w:pStyle w:val="163"/>
      </w:pPr>
      <w:r>
        <w:rPr>
          <w:rFonts w:hint="eastAsia"/>
        </w:rPr>
        <w:t>应做好后浇带的堵挡工作、快易收口网分块，止水钢板、止水带、止水条等应安放就位。钢筋、预埋件等尺寸、规格、数量和位置应正确，固定应牢固，板支撑应稳定。浇筑前应清理基础底板、地梁、墙柱内残留杂物。模板轴线尺寸、标高等均应验收完毕。标高控制线应按方案要求设置完毕。各工种应自检合格后，办理隐、预检、交接检，并应填写混凝土浇灌申请书。浇筑申请得到批准，会同监理、技术、质检部门对第一车混凝土进行质量鉴定。</w:t>
      </w:r>
    </w:p>
    <w:p w14:paraId="7C5F5336">
      <w:pPr>
        <w:pStyle w:val="163"/>
      </w:pPr>
      <w:r>
        <w:rPr>
          <w:rFonts w:hint="eastAsia"/>
        </w:rPr>
        <w:t>浇筑混凝土的架子、马道应支搭完毕，并有良好的安全措施。</w:t>
      </w:r>
    </w:p>
    <w:p w14:paraId="7008323B">
      <w:pPr>
        <w:pStyle w:val="163"/>
      </w:pPr>
      <w:r>
        <w:rPr>
          <w:rFonts w:hint="eastAsia"/>
        </w:rPr>
        <w:t>混凝土测温监控设备的标定调试应正常，保温材料应齐备，并应派专人负责测温作业管理。</w:t>
      </w:r>
    </w:p>
    <w:p w14:paraId="057BE5C4">
      <w:pPr>
        <w:pStyle w:val="163"/>
      </w:pPr>
      <w:r>
        <w:rPr>
          <w:rFonts w:hint="eastAsia"/>
        </w:rPr>
        <w:t>电源、线路应检查准备好，做好照明准备工作。混凝土浇筑过程中，应保证水、电、照明不中断。必要时在现场配电室附近布置临时发电机，搭设好隔音棚。</w:t>
      </w:r>
    </w:p>
    <w:p w14:paraId="7D2A4C11">
      <w:pPr>
        <w:pStyle w:val="163"/>
      </w:pPr>
      <w:r>
        <w:rPr>
          <w:rFonts w:hint="eastAsia"/>
        </w:rPr>
        <w:t>应配备足够数量的计量器具、试验器具、振捣器等，并检验合格。操作者应具有完好的绝缘手段。</w:t>
      </w:r>
    </w:p>
    <w:p w14:paraId="5AB52D66">
      <w:pPr>
        <w:pStyle w:val="163"/>
      </w:pPr>
      <w:r>
        <w:rPr>
          <w:rFonts w:hint="eastAsia"/>
        </w:rPr>
        <w:t>混凝土泵设置处场地应平整坚实、供料方便，宜靠近浇筑地点、便于配管，接近排水设施和供水、供电方便。在混凝土泵作业范围内，不应有高压线等障碍物。</w:t>
      </w:r>
    </w:p>
    <w:p w14:paraId="739B7A64">
      <w:pPr>
        <w:pStyle w:val="163"/>
      </w:pPr>
      <w:r>
        <w:rPr>
          <w:rFonts w:hint="eastAsia"/>
        </w:rPr>
        <w:t>现场地泵、泵管和布料杆应安装到位、牢固可靠，泵管支架应有足够的强度和刚度。所有机具在浇筑前应进行检查和试运行，确定其工作状态良好。</w:t>
      </w:r>
    </w:p>
    <w:p w14:paraId="2EB35473">
      <w:pPr>
        <w:pStyle w:val="163"/>
      </w:pPr>
      <w:r>
        <w:rPr>
          <w:rFonts w:hint="eastAsia"/>
        </w:rPr>
        <w:t>现场应有统一的指挥和协调，应落实与作业面、混凝土供应单位及泵工各方通讯确保畅通。</w:t>
      </w:r>
    </w:p>
    <w:p w14:paraId="30BB9F03">
      <w:pPr>
        <w:pStyle w:val="163"/>
      </w:pPr>
      <w:r>
        <w:rPr>
          <w:rFonts w:hint="eastAsia"/>
        </w:rPr>
        <w:t>场内运输道路应平坦，避免车辆拥挤堵塞。应加强现场指挥和调度，清理场内闲杂车辆及人员。在进出场口应设置交通协调人员，负责协调运输的进、出场以及运输与社会车辆关系。浇筑场内应设置交通指挥人员，负责指挥进场运输的走向、错车、停车。浇筑场内应设置调度人员，负责调度进场的运输车辆停靠在适宜的拖式泵边，以防出现窝泵、抢泵的情况。</w:t>
      </w:r>
    </w:p>
    <w:p w14:paraId="28D00AC3">
      <w:pPr>
        <w:pStyle w:val="105"/>
        <w:spacing w:before="312" w:after="312"/>
      </w:pPr>
      <w:bookmarkStart w:id="225" w:name="_Toc194916742"/>
      <w:bookmarkStart w:id="226" w:name="_Toc195194526"/>
      <w:bookmarkStart w:id="227" w:name="_Toc195256021"/>
      <w:bookmarkStart w:id="228" w:name="_Toc194335132"/>
      <w:bookmarkStart w:id="229" w:name="_Toc194043781"/>
      <w:bookmarkStart w:id="230" w:name="_Toc194907277"/>
      <w:bookmarkStart w:id="231" w:name="_Toc194910800"/>
      <w:r>
        <w:rPr>
          <w:rFonts w:hint="eastAsia"/>
        </w:rPr>
        <w:t>施工工艺</w:t>
      </w:r>
      <w:bookmarkEnd w:id="225"/>
      <w:bookmarkEnd w:id="226"/>
      <w:bookmarkEnd w:id="227"/>
      <w:bookmarkEnd w:id="228"/>
      <w:bookmarkEnd w:id="229"/>
      <w:bookmarkEnd w:id="230"/>
      <w:bookmarkEnd w:id="231"/>
    </w:p>
    <w:p w14:paraId="5039980E">
      <w:pPr>
        <w:pStyle w:val="106"/>
        <w:spacing w:before="156" w:after="156"/>
      </w:pPr>
      <w:r>
        <w:rPr>
          <w:rFonts w:hint="eastAsia"/>
        </w:rPr>
        <w:t>工艺流程</w:t>
      </w:r>
    </w:p>
    <w:p w14:paraId="4C8B3A49">
      <w:pPr>
        <w:pStyle w:val="57"/>
        <w:ind w:firstLine="420"/>
      </w:pPr>
      <w:r>
        <w:rPr>
          <w:rFonts w:hint="eastAsia"/>
        </w:rPr>
        <w:t>应按图1的流程进行。</w:t>
      </w:r>
    </w:p>
    <w:p w14:paraId="1447DD43">
      <w:pPr>
        <w:pStyle w:val="57"/>
        <w:ind w:firstLine="0" w:firstLineChars="0"/>
      </w:pPr>
      <w:r>
        <w:rPr>
          <w:rFonts w:hint="eastAsia"/>
        </w:rPr>
        <w:drawing>
          <wp:inline distT="0" distB="0" distL="0" distR="0">
            <wp:extent cx="5931535" cy="898525"/>
            <wp:effectExtent l="0" t="0" r="0" b="0"/>
            <wp:docPr id="20836990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9903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931535" cy="898525"/>
                    </a:xfrm>
                    <a:prstGeom prst="rect">
                      <a:avLst/>
                    </a:prstGeom>
                    <a:noFill/>
                    <a:ln>
                      <a:noFill/>
                    </a:ln>
                  </pic:spPr>
                </pic:pic>
              </a:graphicData>
            </a:graphic>
          </wp:inline>
        </w:drawing>
      </w:r>
    </w:p>
    <w:p w14:paraId="2400058B">
      <w:pPr>
        <w:pStyle w:val="115"/>
        <w:spacing w:before="156" w:after="156"/>
      </w:pPr>
      <w:r>
        <w:rPr>
          <w:rFonts w:hint="eastAsia"/>
        </w:rPr>
        <w:t>底板大体积混凝土施工工艺流程</w:t>
      </w:r>
    </w:p>
    <w:p w14:paraId="2FE173CC">
      <w:pPr>
        <w:pStyle w:val="106"/>
        <w:spacing w:before="156" w:after="156"/>
      </w:pPr>
      <w:r>
        <w:rPr>
          <w:rFonts w:hint="eastAsia"/>
        </w:rPr>
        <w:t>混凝土浇筑</w:t>
      </w:r>
    </w:p>
    <w:p w14:paraId="77242BD4">
      <w:pPr>
        <w:pStyle w:val="166"/>
        <w:ind w:left="0"/>
      </w:pPr>
      <w:r>
        <w:rPr>
          <w:rFonts w:hint="eastAsia"/>
        </w:rPr>
        <w:t>混凝土浇筑前应完成下列工作：</w:t>
      </w:r>
    </w:p>
    <w:p w14:paraId="41B2523C">
      <w:pPr>
        <w:pStyle w:val="175"/>
        <w:numPr>
          <w:ilvl w:val="0"/>
          <w:numId w:val="34"/>
        </w:numPr>
      </w:pPr>
      <w:r>
        <w:rPr>
          <w:rFonts w:hint="eastAsia"/>
        </w:rPr>
        <w:t>隐蔽工程验收和技术复核；</w:t>
      </w:r>
    </w:p>
    <w:p w14:paraId="7109A920">
      <w:pPr>
        <w:pStyle w:val="175"/>
      </w:pPr>
      <w:r>
        <w:rPr>
          <w:rFonts w:hint="eastAsia"/>
        </w:rPr>
        <w:t>对操作人员进行技术交底；</w:t>
      </w:r>
    </w:p>
    <w:p w14:paraId="1AAA2EF5">
      <w:pPr>
        <w:pStyle w:val="175"/>
      </w:pPr>
      <w:r>
        <w:rPr>
          <w:rFonts w:hint="eastAsia"/>
        </w:rPr>
        <w:t>根据施工方案中的技术要求，检查并确认施工现场具备实施条件；</w:t>
      </w:r>
    </w:p>
    <w:p w14:paraId="0DD82A13">
      <w:pPr>
        <w:pStyle w:val="175"/>
      </w:pPr>
      <w:r>
        <w:rPr>
          <w:rFonts w:hint="eastAsia"/>
        </w:rPr>
        <w:t>施工单位填报混凝土浇灌申请书，并经监理单位签认。</w:t>
      </w:r>
    </w:p>
    <w:p w14:paraId="38D2CFCD">
      <w:pPr>
        <w:pStyle w:val="166"/>
        <w:ind w:left="0"/>
      </w:pPr>
      <w:r>
        <w:rPr>
          <w:rFonts w:hint="eastAsia"/>
        </w:rPr>
        <w:t>混凝土宜采用泵送方式和二次振捣工艺。采用多条输送泵管浇筑时，输送泵管刚距不宜大于10 m，并宜由远及近浇筑。</w:t>
      </w:r>
    </w:p>
    <w:p w14:paraId="0A7ACE75">
      <w:pPr>
        <w:pStyle w:val="166"/>
        <w:ind w:left="0"/>
      </w:pPr>
      <w:r>
        <w:rPr>
          <w:rFonts w:hint="eastAsia"/>
        </w:rPr>
        <w:t>混凝土泵开始泵送时，泵送速度宜放慢，油压变化应在允许范围内，待泵送顺利后，用正常速度进行泵送。采用多泵同时进行大体积混凝土浇筑施工时，混凝土起始供应不得过急，每台泵应按顺序逐一启动，待泵送顺利后，启动下一台泵。</w:t>
      </w:r>
    </w:p>
    <w:p w14:paraId="244F0FF5">
      <w:pPr>
        <w:pStyle w:val="166"/>
        <w:ind w:left="0"/>
      </w:pPr>
      <w:r>
        <w:rPr>
          <w:rFonts w:hint="eastAsia"/>
        </w:rPr>
        <w:t>采用布料杆输送浇筑时，应根据布料杆工作半径确定布料点数量，各布料点浇筑速度应保持均衡。</w:t>
      </w:r>
    </w:p>
    <w:p w14:paraId="0823FF5A">
      <w:pPr>
        <w:pStyle w:val="166"/>
        <w:ind w:left="0"/>
      </w:pPr>
      <w:r>
        <w:rPr>
          <w:rFonts w:hint="eastAsia"/>
        </w:rPr>
        <w:t>宜先浇筑深坑部分再浇筑大面积基础部分。</w:t>
      </w:r>
    </w:p>
    <w:p w14:paraId="6807CEE6">
      <w:pPr>
        <w:pStyle w:val="166"/>
        <w:ind w:left="0"/>
      </w:pPr>
      <w:r>
        <w:rPr>
          <w:rFonts w:hint="eastAsia"/>
        </w:rPr>
        <w:t>混凝土浇筑可按图2要求根据面积大小和混凝土供应能力宜采取全面分层、分段分层或斜面分层连续浇筑，分层厚度宜为300 mm～500 mm 且不应大于振捣器长1.25倍。分段分层宜采取踏步式分层推进，按从远至近布灰，踏步宽宜为1.5 m～2.5 m。斜面分层浇灌每层厚宜为300 mm-350 mm，坡度宜取1:6-1:7。</w:t>
      </w:r>
    </w:p>
    <w:p w14:paraId="0E993808">
      <w:pPr>
        <w:pStyle w:val="166"/>
        <w:numPr>
          <w:ilvl w:val="0"/>
          <w:numId w:val="0"/>
        </w:numPr>
        <w:jc w:val="center"/>
      </w:pPr>
      <w:r>
        <w:drawing>
          <wp:inline distT="0" distB="0" distL="0" distR="0">
            <wp:extent cx="4503420" cy="2390775"/>
            <wp:effectExtent l="0" t="0" r="0" b="9525"/>
            <wp:docPr id="1056632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3228" name="图片 1"/>
                    <pic:cNvPicPr>
                      <a:picLocks noChangeAspect="1"/>
                    </pic:cNvPicPr>
                  </pic:nvPicPr>
                  <pic:blipFill>
                    <a:blip r:embed="rId25"/>
                    <a:stretch>
                      <a:fillRect/>
                    </a:stretch>
                  </pic:blipFill>
                  <pic:spPr>
                    <a:xfrm>
                      <a:off x="0" y="0"/>
                      <a:ext cx="4519536" cy="2399403"/>
                    </a:xfrm>
                    <a:prstGeom prst="rect">
                      <a:avLst/>
                    </a:prstGeom>
                  </pic:spPr>
                </pic:pic>
              </a:graphicData>
            </a:graphic>
          </wp:inline>
        </w:drawing>
      </w:r>
    </w:p>
    <w:p w14:paraId="270742A8">
      <w:pPr>
        <w:pStyle w:val="57"/>
        <w:ind w:firstLine="360"/>
        <w:rPr>
          <w:rFonts w:hint="eastAsia" w:hAnsi="宋体"/>
          <w:sz w:val="18"/>
          <w:szCs w:val="18"/>
        </w:rPr>
      </w:pPr>
      <w:r>
        <w:rPr>
          <w:rFonts w:hAnsi="宋体"/>
          <w:sz w:val="18"/>
          <w:szCs w:val="18"/>
        </w:rPr>
        <w:t>标引序号说明：</w:t>
      </w:r>
    </w:p>
    <w:p w14:paraId="5C94DFE7">
      <w:pPr>
        <w:pStyle w:val="57"/>
        <w:ind w:firstLine="360"/>
        <w:rPr>
          <w:rFonts w:hint="eastAsia" w:hAnsi="宋体"/>
          <w:sz w:val="18"/>
          <w:szCs w:val="18"/>
        </w:rPr>
      </w:pPr>
      <w:r>
        <w:rPr>
          <w:rFonts w:hAnsi="宋体"/>
          <w:sz w:val="18"/>
          <w:szCs w:val="18"/>
        </w:rPr>
        <w:t>1</w:t>
      </w:r>
      <w:r>
        <w:rPr>
          <w:rFonts w:hint="eastAsia" w:hAnsi="宋体"/>
          <w:sz w:val="18"/>
          <w:szCs w:val="18"/>
        </w:rPr>
        <w:t>——新浇筑的混凝土</w:t>
      </w:r>
      <w:r>
        <w:rPr>
          <w:rFonts w:hAnsi="宋体"/>
          <w:sz w:val="18"/>
          <w:szCs w:val="18"/>
        </w:rPr>
        <w:t xml:space="preserve">； </w:t>
      </w:r>
    </w:p>
    <w:p w14:paraId="565E7596">
      <w:pPr>
        <w:pStyle w:val="57"/>
        <w:ind w:firstLine="360"/>
        <w:rPr>
          <w:rFonts w:hint="eastAsia" w:hAnsi="宋体"/>
          <w:sz w:val="18"/>
          <w:szCs w:val="18"/>
        </w:rPr>
      </w:pPr>
      <w:r>
        <w:rPr>
          <w:rFonts w:hAnsi="宋体"/>
          <w:sz w:val="18"/>
          <w:szCs w:val="18"/>
        </w:rPr>
        <w:t>2——</w:t>
      </w:r>
      <w:r>
        <w:rPr>
          <w:rFonts w:hint="eastAsia" w:hAnsi="宋体"/>
          <w:sz w:val="18"/>
          <w:szCs w:val="18"/>
        </w:rPr>
        <w:t>浇筑方向。</w:t>
      </w:r>
    </w:p>
    <w:p w14:paraId="00D1DF13">
      <w:pPr>
        <w:pStyle w:val="115"/>
        <w:spacing w:before="156" w:after="156"/>
      </w:pPr>
      <w:r>
        <w:rPr>
          <w:rFonts w:hint="eastAsia"/>
        </w:rPr>
        <w:t>底板大体积混凝土浇筑方式</w:t>
      </w:r>
    </w:p>
    <w:p w14:paraId="0E679EBE">
      <w:pPr>
        <w:pStyle w:val="166"/>
        <w:ind w:left="0"/>
      </w:pPr>
      <w:r>
        <w:rPr>
          <w:rFonts w:hint="eastAsia"/>
        </w:rPr>
        <w:t>全面分层连续浇筑或斜面分层连续浇筑，应缩短间歇时间，并应在前层混凝土初凝之前将次层混凝土浇筑完毕。层间间歇时间不应大于混凝土初凝时间。混凝土初凝时间应通过试验确定。当层间间歇时间超过混凝土初凝时间时，层面应按施工缝处理。</w:t>
      </w:r>
    </w:p>
    <w:p w14:paraId="38419366">
      <w:pPr>
        <w:pStyle w:val="166"/>
        <w:ind w:left="0"/>
      </w:pPr>
      <w:r>
        <w:rPr>
          <w:rFonts w:hint="eastAsia"/>
        </w:rPr>
        <w:t>当采用溜槽浇筑混凝土时应制定专项施工方案。</w:t>
      </w:r>
    </w:p>
    <w:p w14:paraId="46C0941F">
      <w:pPr>
        <w:pStyle w:val="166"/>
        <w:ind w:left="0"/>
      </w:pPr>
      <w:r>
        <w:rPr>
          <w:rFonts w:hint="eastAsia"/>
        </w:rPr>
        <w:t>混凝土的浇灌应连续、有序，宜减少施工缝。</w:t>
      </w:r>
    </w:p>
    <w:p w14:paraId="64FF462C">
      <w:pPr>
        <w:pStyle w:val="166"/>
        <w:ind w:left="0"/>
      </w:pPr>
      <w:r>
        <w:rPr>
          <w:rFonts w:hint="eastAsia"/>
        </w:rPr>
        <w:t>当采取分层间歇浇筑混凝土时，水平施工缝的处理：</w:t>
      </w:r>
    </w:p>
    <w:p w14:paraId="3033E8D1">
      <w:pPr>
        <w:pStyle w:val="175"/>
        <w:numPr>
          <w:ilvl w:val="0"/>
          <w:numId w:val="35"/>
        </w:numPr>
      </w:pPr>
      <w:r>
        <w:rPr>
          <w:rFonts w:hint="eastAsia"/>
        </w:rPr>
        <w:t>在已硬化的混凝土表面，应清除表面的浮浆、松动的石子及软弱混凝土层；</w:t>
      </w:r>
    </w:p>
    <w:p w14:paraId="527763CE">
      <w:pPr>
        <w:pStyle w:val="175"/>
      </w:pPr>
      <w:r>
        <w:rPr>
          <w:rFonts w:hint="eastAsia"/>
        </w:rPr>
        <w:t>在上层混凝土浇筑前，应采用清水冲洗混凝土表面的污物，并应充分润湿，但不应有积水；</w:t>
      </w:r>
    </w:p>
    <w:p w14:paraId="493CB36C">
      <w:pPr>
        <w:pStyle w:val="175"/>
      </w:pPr>
      <w:r>
        <w:rPr>
          <w:rFonts w:hint="eastAsia"/>
        </w:rPr>
        <w:t>新浇筑混凝土应振捣密实，并应与先期浇筑的混凝土紧密结合。</w:t>
      </w:r>
    </w:p>
    <w:p w14:paraId="38BC0B0E">
      <w:pPr>
        <w:pStyle w:val="166"/>
        <w:ind w:left="0"/>
      </w:pPr>
      <w:r>
        <w:rPr>
          <w:rFonts w:hint="eastAsia"/>
        </w:rPr>
        <w:t>混凝土浇筑顺序：</w:t>
      </w:r>
    </w:p>
    <w:p w14:paraId="2100E33E">
      <w:pPr>
        <w:pStyle w:val="175"/>
        <w:numPr>
          <w:ilvl w:val="0"/>
          <w:numId w:val="36"/>
        </w:numPr>
      </w:pPr>
      <w:r>
        <w:rPr>
          <w:rFonts w:hint="eastAsia"/>
        </w:rPr>
        <w:t>全面分层法在整个基础内全面分层浇筑混凝土，第一层全面浇筑完毕回来浇筑第二层时，第一层浇筑的混凝土应未初凝；如此逐层进行，直至浇筑完成。施工时宜从短边开始，沿长边进行，构件长度超过20 m时可分为两段，宜中间向两端或两端向中间同时进行；</w:t>
      </w:r>
    </w:p>
    <w:p w14:paraId="3A1A7C1E">
      <w:pPr>
        <w:pStyle w:val="175"/>
      </w:pPr>
      <w:r>
        <w:rPr>
          <w:rFonts w:hint="eastAsia"/>
        </w:rPr>
        <w:t>分段分层法混凝土应从底层开始浇筑，进行一定距离后回来浇筑第二层，如此依次向前浇筑以上各分层；</w:t>
      </w:r>
    </w:p>
    <w:p w14:paraId="25186663">
      <w:pPr>
        <w:pStyle w:val="175"/>
      </w:pPr>
      <w:r>
        <w:rPr>
          <w:rFonts w:hint="eastAsia"/>
        </w:rPr>
        <w:t>应从浇筑层的下端开始，逐渐上移；</w:t>
      </w:r>
    </w:p>
    <w:p w14:paraId="341CB57D">
      <w:pPr>
        <w:pStyle w:val="175"/>
      </w:pPr>
      <w:r>
        <w:rPr>
          <w:rFonts w:hint="eastAsia"/>
        </w:rPr>
        <w:t>局部厚度较大时应先浇深部混凝土，然后再根据混凝土的初凝时间确定上层混凝土浇筑的时间间隔。</w:t>
      </w:r>
    </w:p>
    <w:p w14:paraId="4C6B47DD">
      <w:pPr>
        <w:pStyle w:val="166"/>
        <w:ind w:left="0"/>
      </w:pPr>
      <w:r>
        <w:rPr>
          <w:rFonts w:hint="eastAsia"/>
        </w:rPr>
        <w:t>集水坑内混凝土的浇筑：</w:t>
      </w:r>
    </w:p>
    <w:p w14:paraId="4AB0BFC1">
      <w:pPr>
        <w:pStyle w:val="175"/>
        <w:numPr>
          <w:ilvl w:val="0"/>
          <w:numId w:val="37"/>
        </w:numPr>
      </w:pPr>
      <w:r>
        <w:rPr>
          <w:rFonts w:hint="eastAsia"/>
        </w:rPr>
        <w:t>根据大体积混凝土浇筑速度、范围，应提前进行临近集水坑底、吊帮模板内泵送混凝土浇筑，并振捣密实。将集水坑混凝土浇筑至与大底板平齐；</w:t>
      </w:r>
    </w:p>
    <w:p w14:paraId="79B91A1D">
      <w:pPr>
        <w:pStyle w:val="175"/>
      </w:pPr>
      <w:r>
        <w:rPr>
          <w:rFonts w:hint="eastAsia"/>
        </w:rPr>
        <w:t>较深的集水坑宜采用间歇浇筑的方法，模板做成整体式并预先架立好，先将底坑底板浇至与模板底平，待坑底混凝土可以承受坑壁混凝土反压力时，再浇筑地底坑壁混凝土，应保证坑底标高与衔接质量；</w:t>
      </w:r>
    </w:p>
    <w:p w14:paraId="4D2BC3EB">
      <w:pPr>
        <w:pStyle w:val="175"/>
      </w:pPr>
      <w:r>
        <w:rPr>
          <w:rFonts w:hint="eastAsia"/>
        </w:rPr>
        <w:t>底板浇筑顺序宜由长度方向从一端向另一端浇筑推进，或由两端向中间浇筑。集水坑壁应形成环形回路分层浇筑。集水坑侧壁混凝土浇筑时，应采用对称浇筑的方法，确保侧壁模板受力均匀。</w:t>
      </w:r>
    </w:p>
    <w:p w14:paraId="2307F21A">
      <w:pPr>
        <w:pStyle w:val="166"/>
        <w:ind w:left="0"/>
      </w:pPr>
      <w:r>
        <w:rPr>
          <w:rFonts w:hint="eastAsia"/>
        </w:rPr>
        <w:t>浇筑时，应在下一层混凝土初凝之前浇筑上一层混凝土，避免产生冷缝。</w:t>
      </w:r>
    </w:p>
    <w:p w14:paraId="02DFA039">
      <w:pPr>
        <w:pStyle w:val="166"/>
        <w:ind w:left="0"/>
      </w:pPr>
      <w:r>
        <w:rPr>
          <w:rFonts w:hint="eastAsia"/>
        </w:rPr>
        <w:t>浇筑时，每条泵管宜配备2条到4条振捣器。使混凝土自然缓慢流动，然后全面振捣。根据混凝土泵送时自然形成的坡度，应在每步混凝土前后各布置两台振捣器。第一道布置在混凝土卸料点，解决上部混凝土的振实，第二道布置在混凝土坡角处，解决下部混凝土的密实，随着混凝土浇筑工作的向前推进，振捣器相应跟上，保证混凝土流淌处及各点不漏振。</w:t>
      </w:r>
    </w:p>
    <w:p w14:paraId="581256D7">
      <w:pPr>
        <w:pStyle w:val="166"/>
        <w:ind w:left="0"/>
      </w:pPr>
      <w:r>
        <w:rPr>
          <w:rFonts w:hint="eastAsia"/>
        </w:rPr>
        <w:t>振捣混凝土应使用高频振捣器，振捣器的插点间距应为1.5倍振捣器的作用半径，防止漏振。斜面推进时振捣器应在坡脚与坡顶处插振。</w:t>
      </w:r>
    </w:p>
    <w:p w14:paraId="529A4F6C">
      <w:pPr>
        <w:pStyle w:val="166"/>
        <w:ind w:left="0"/>
      </w:pPr>
      <w:r>
        <w:rPr>
          <w:rFonts w:hint="eastAsia"/>
        </w:rPr>
        <w:t>振捣混凝土时，振捣器应均匀地插拔，应插入下层混凝土50 mm左右，每点振捣时间10 s～15 s以混凝土泛浆不再溢出气泡为准，不得过振。</w:t>
      </w:r>
    </w:p>
    <w:p w14:paraId="04E5C080">
      <w:pPr>
        <w:pStyle w:val="166"/>
        <w:ind w:left="0"/>
      </w:pPr>
      <w:r>
        <w:rPr>
          <w:rFonts w:hint="eastAsia"/>
        </w:rPr>
        <w:t>大体积混凝土底板与侧墙相连接的施工缝，当有防水要求时，宜采取钢板止水带等处理措施。</w:t>
      </w:r>
    </w:p>
    <w:p w14:paraId="7D168EF1">
      <w:pPr>
        <w:pStyle w:val="166"/>
        <w:ind w:left="0"/>
      </w:pPr>
      <w:r>
        <w:rPr>
          <w:rFonts w:hint="eastAsia"/>
        </w:rPr>
        <w:t>在大体积混凝土浇筑过程中，应采取措施防止受力钢筋、定位筋、预埋件等移位和变形，并应及时清除混凝土表面泌水。</w:t>
      </w:r>
    </w:p>
    <w:p w14:paraId="6576A657">
      <w:pPr>
        <w:pStyle w:val="106"/>
        <w:spacing w:before="156" w:after="156"/>
      </w:pPr>
      <w:r>
        <w:rPr>
          <w:rFonts w:hint="eastAsia"/>
        </w:rPr>
        <w:t>混凝土的表面处理</w:t>
      </w:r>
    </w:p>
    <w:p w14:paraId="13D83BF0">
      <w:pPr>
        <w:pStyle w:val="166"/>
        <w:ind w:left="0"/>
      </w:pPr>
      <w:r>
        <w:rPr>
          <w:rFonts w:hint="eastAsia"/>
        </w:rPr>
        <w:t>在混凝土浇筑到底板顶标高后应用大杠刮平混凝土表面，待混凝土收水后，再用木抹子搓平，墙、柱四周150 mm范围内用铁抹子压光。</w:t>
      </w:r>
    </w:p>
    <w:p w14:paraId="698021FA">
      <w:pPr>
        <w:pStyle w:val="166"/>
        <w:ind w:left="0"/>
      </w:pPr>
      <w:r>
        <w:rPr>
          <w:rFonts w:hint="eastAsia"/>
        </w:rPr>
        <w:t>初凝前宜用木抹子搓平，以闭合收缩裂缝，然后覆盖塑料薄膜进行养护。必要时，可在混凝土终凝前1 h～2 h进行多次抹压处理，在混凝土表面配置抗裂钢筋网片。</w:t>
      </w:r>
    </w:p>
    <w:p w14:paraId="73A47212">
      <w:pPr>
        <w:pStyle w:val="166"/>
        <w:ind w:left="0"/>
      </w:pPr>
      <w:r>
        <w:rPr>
          <w:rFonts w:hint="eastAsia"/>
        </w:rPr>
        <w:t>对于露筋、蜂窝、孔洞、夹渣等外表缺陷，应凿除胶结不牢固部分的混凝土，清理表面，洒水湿润后应用1:2～1:2.5水泥砂浆抹平。</w:t>
      </w:r>
    </w:p>
    <w:p w14:paraId="06B91F38">
      <w:pPr>
        <w:pStyle w:val="106"/>
        <w:spacing w:before="156" w:after="156"/>
      </w:pPr>
      <w:r>
        <w:rPr>
          <w:rFonts w:hint="eastAsia"/>
        </w:rPr>
        <w:t>混凝土的养护</w:t>
      </w:r>
    </w:p>
    <w:p w14:paraId="06EF526E">
      <w:pPr>
        <w:pStyle w:val="166"/>
        <w:ind w:left="0"/>
      </w:pPr>
      <w:r>
        <w:rPr>
          <w:rFonts w:hint="eastAsia"/>
        </w:rPr>
        <w:t>大体积混凝土应专人负责保温保湿养护工作，并进行测试记录。</w:t>
      </w:r>
    </w:p>
    <w:p w14:paraId="263A0A73">
      <w:pPr>
        <w:pStyle w:val="166"/>
        <w:ind w:left="0"/>
      </w:pPr>
      <w:r>
        <w:rPr>
          <w:rFonts w:hint="eastAsia"/>
        </w:rPr>
        <w:t>混凝土浇筑完毕后，在初凝前宜立即进行覆盖或喷雾养护工作。</w:t>
      </w:r>
    </w:p>
    <w:p w14:paraId="1BAF9201">
      <w:pPr>
        <w:pStyle w:val="166"/>
        <w:ind w:left="0"/>
      </w:pPr>
      <w:r>
        <w:rPr>
          <w:rFonts w:hint="eastAsia"/>
        </w:rPr>
        <w:t>混凝土保温材料可采用塑料薄膜、土工布、麻袋、阻燃保温被等，必要时，可搭设挡风保温棚或遮阳降温棚。</w:t>
      </w:r>
    </w:p>
    <w:p w14:paraId="3980FAFE">
      <w:pPr>
        <w:pStyle w:val="166"/>
        <w:ind w:left="0"/>
      </w:pPr>
      <w:r>
        <w:rPr>
          <w:rFonts w:hint="eastAsia"/>
        </w:rPr>
        <w:t>应根据热工计算确定保温养护措施，在保温养护中，应现场监测混凝土浇筑体的里表温差和降温速率，当实测结果不满足温控指标要求时，应及时调整保温养护措施。</w:t>
      </w:r>
    </w:p>
    <w:p w14:paraId="2429B8D1">
      <w:pPr>
        <w:pStyle w:val="166"/>
        <w:ind w:left="0"/>
      </w:pPr>
      <w:r>
        <w:rPr>
          <w:rFonts w:hint="eastAsia"/>
        </w:rPr>
        <w:t>塑料薄膜、阻燃保温被应叠缝、骑马铺放，以减少水分的散发。对边缘、棱角部位的保温层厚度可增加到2倍，加强保温养护。</w:t>
      </w:r>
    </w:p>
    <w:p w14:paraId="6FA3FBE5">
      <w:pPr>
        <w:pStyle w:val="166"/>
        <w:ind w:left="0"/>
      </w:pPr>
      <w:r>
        <w:rPr>
          <w:rFonts w:hint="eastAsia"/>
        </w:rPr>
        <w:t>保湿养护持续时间不应少于14 d，应经常检查塑料薄膜或养护剂涂层的完整情况，并应保持混凝土表面湿润。</w:t>
      </w:r>
    </w:p>
    <w:p w14:paraId="01037575">
      <w:pPr>
        <w:pStyle w:val="166"/>
        <w:ind w:left="0"/>
      </w:pPr>
      <w:r>
        <w:rPr>
          <w:rFonts w:hint="eastAsia"/>
        </w:rPr>
        <w:t>保温覆盖层拆除应分层逐步进行，当混凝土表面温度与环境最大温差小于20 ℃时，可全部拆除。</w:t>
      </w:r>
    </w:p>
    <w:p w14:paraId="7CBDC751">
      <w:pPr>
        <w:pStyle w:val="166"/>
        <w:ind w:left="0"/>
      </w:pPr>
      <w:r>
        <w:rPr>
          <w:rFonts w:hint="eastAsia"/>
        </w:rPr>
        <w:t>混凝土拆模后地下结构应及时回填土，并采取预防寒流袭击、突然降温和剧烈干燥等措施。</w:t>
      </w:r>
    </w:p>
    <w:p w14:paraId="17946903">
      <w:pPr>
        <w:pStyle w:val="106"/>
        <w:spacing w:before="156" w:after="156"/>
      </w:pPr>
      <w:r>
        <w:rPr>
          <w:rFonts w:hint="eastAsia"/>
        </w:rPr>
        <w:t>温度监测与控制</w:t>
      </w:r>
    </w:p>
    <w:p w14:paraId="338D5D66">
      <w:pPr>
        <w:pStyle w:val="166"/>
        <w:ind w:left="0"/>
      </w:pPr>
      <w:r>
        <w:rPr>
          <w:rFonts w:hint="eastAsia"/>
        </w:rPr>
        <w:t>大体积混凝土施工温控指标：</w:t>
      </w:r>
    </w:p>
    <w:p w14:paraId="5144EC91">
      <w:pPr>
        <w:pStyle w:val="175"/>
        <w:numPr>
          <w:ilvl w:val="0"/>
          <w:numId w:val="38"/>
        </w:numPr>
      </w:pPr>
      <w:r>
        <w:rPr>
          <w:rFonts w:hint="eastAsia"/>
        </w:rPr>
        <w:t>混凝土入模温度不宜大于30 ℃，混凝土浇筑体在入模温度基础上的温升值不宜大于50；</w:t>
      </w:r>
    </w:p>
    <w:p w14:paraId="5C3460B3">
      <w:pPr>
        <w:pStyle w:val="175"/>
      </w:pPr>
      <w:r>
        <w:rPr>
          <w:rFonts w:hint="eastAsia"/>
        </w:rPr>
        <w:t>在覆盖养护或带模养护阶段，混凝土浇筑体表面以内40 mm～100 mm位置处的温度与混凝土浇筑体表面温度差值不应大于25。结束覆盖养护或拆模后，混凝土浇筑体表面以内40 mm～100 mm位置处的温度与环境温度差值不应大于25；</w:t>
      </w:r>
    </w:p>
    <w:p w14:paraId="606E8DB0">
      <w:pPr>
        <w:pStyle w:val="175"/>
      </w:pPr>
      <w:r>
        <w:rPr>
          <w:rFonts w:hint="eastAsia"/>
        </w:rPr>
        <w:t>混凝土浇筑体内部相邻两测温点的温度差值不应大于25；</w:t>
      </w:r>
    </w:p>
    <w:p w14:paraId="0C3E90E7">
      <w:pPr>
        <w:pStyle w:val="175"/>
      </w:pPr>
      <w:r>
        <w:rPr>
          <w:rFonts w:hint="eastAsia"/>
        </w:rPr>
        <w:t>混凝土浇筑体降温速率不宜大于2.0/d。</w:t>
      </w:r>
    </w:p>
    <w:p w14:paraId="574999FA">
      <w:pPr>
        <w:pStyle w:val="166"/>
        <w:ind w:left="0"/>
      </w:pPr>
      <w:r>
        <w:rPr>
          <w:rFonts w:hint="eastAsia"/>
        </w:rPr>
        <w:t>测温元件的选择宜满足下列要求：</w:t>
      </w:r>
    </w:p>
    <w:p w14:paraId="3DA4DE2B">
      <w:pPr>
        <w:pStyle w:val="175"/>
        <w:numPr>
          <w:ilvl w:val="0"/>
          <w:numId w:val="39"/>
        </w:numPr>
      </w:pPr>
      <w:r>
        <w:rPr>
          <w:rFonts w:hint="eastAsia"/>
        </w:rPr>
        <w:t>25 ℃环境下测试误差不超过0.3 ℃；</w:t>
      </w:r>
    </w:p>
    <w:p w14:paraId="78EBE2FF">
      <w:pPr>
        <w:pStyle w:val="175"/>
      </w:pPr>
      <w:r>
        <w:rPr>
          <w:rFonts w:hint="eastAsia"/>
        </w:rPr>
        <w:t>测试范围-30 ℃～150 ℃；</w:t>
      </w:r>
    </w:p>
    <w:p w14:paraId="0C704681">
      <w:pPr>
        <w:pStyle w:val="175"/>
      </w:pPr>
      <w:r>
        <w:rPr>
          <w:rFonts w:hint="eastAsia"/>
        </w:rPr>
        <w:t>绝缘电阻大于500 MΩ。</w:t>
      </w:r>
    </w:p>
    <w:p w14:paraId="4A4D6BB3">
      <w:pPr>
        <w:pStyle w:val="166"/>
        <w:ind w:left="0"/>
      </w:pPr>
      <w:r>
        <w:rPr>
          <w:rFonts w:hint="eastAsia"/>
        </w:rPr>
        <w:t>应变测试元件的选择宜满足下列要求：</w:t>
      </w:r>
    </w:p>
    <w:p w14:paraId="17298BA5">
      <w:pPr>
        <w:pStyle w:val="175"/>
        <w:numPr>
          <w:ilvl w:val="0"/>
          <w:numId w:val="40"/>
        </w:numPr>
      </w:pPr>
      <w:r>
        <w:rPr>
          <w:rFonts w:hint="eastAsia"/>
        </w:rPr>
        <w:t xml:space="preserve">测试误差不超过1.0 </w:t>
      </w:r>
      <w:r>
        <w:rPr>
          <w:rFonts w:hAnsi="宋体"/>
        </w:rPr>
        <w:t>με</w:t>
      </w:r>
      <w:r>
        <w:rPr>
          <w:rFonts w:hint="eastAsia" w:hAnsi="宋体"/>
        </w:rPr>
        <w:t>；</w:t>
      </w:r>
    </w:p>
    <w:p w14:paraId="2FDEF5B6">
      <w:pPr>
        <w:pStyle w:val="175"/>
      </w:pPr>
      <w:r>
        <w:rPr>
          <w:rFonts w:hint="eastAsia"/>
        </w:rPr>
        <w:t xml:space="preserve">测试范围-1000 </w:t>
      </w:r>
      <w:r>
        <w:rPr>
          <w:rFonts w:hAnsi="宋体"/>
        </w:rPr>
        <w:t>με</w:t>
      </w:r>
      <w:r>
        <w:rPr>
          <w:rFonts w:hint="eastAsia"/>
        </w:rPr>
        <w:t xml:space="preserve">～1000 </w:t>
      </w:r>
      <w:r>
        <w:rPr>
          <w:rFonts w:hAnsi="宋体"/>
        </w:rPr>
        <w:t>με</w:t>
      </w:r>
      <w:r>
        <w:rPr>
          <w:rFonts w:hint="eastAsia"/>
        </w:rPr>
        <w:t>；</w:t>
      </w:r>
    </w:p>
    <w:p w14:paraId="17850682">
      <w:pPr>
        <w:pStyle w:val="175"/>
      </w:pPr>
      <w:r>
        <w:rPr>
          <w:rFonts w:hint="eastAsia"/>
        </w:rPr>
        <w:t>绝缘电阻大于500 MΩ。</w:t>
      </w:r>
    </w:p>
    <w:p w14:paraId="65577653">
      <w:pPr>
        <w:pStyle w:val="166"/>
        <w:ind w:left="0"/>
      </w:pPr>
      <w:r>
        <w:rPr>
          <w:rFonts w:hint="eastAsia"/>
        </w:rPr>
        <w:t>测试元件的安装和保护：</w:t>
      </w:r>
    </w:p>
    <w:p w14:paraId="67634AD5">
      <w:pPr>
        <w:pStyle w:val="175"/>
        <w:numPr>
          <w:ilvl w:val="0"/>
          <w:numId w:val="41"/>
        </w:numPr>
      </w:pPr>
      <w:r>
        <w:rPr>
          <w:rFonts w:hint="eastAsia"/>
        </w:rPr>
        <w:t>安装前测试元件应进行水下1 m浸泡试验，24 h不损坏；</w:t>
      </w:r>
    </w:p>
    <w:p w14:paraId="673AB0CF">
      <w:pPr>
        <w:pStyle w:val="175"/>
      </w:pPr>
      <w:r>
        <w:rPr>
          <w:rFonts w:hint="eastAsia"/>
        </w:rPr>
        <w:t>安装位置应准确，元件应固定牢固，并与钢筋等金属体绝缘；</w:t>
      </w:r>
    </w:p>
    <w:p w14:paraId="519DD076">
      <w:pPr>
        <w:pStyle w:val="175"/>
      </w:pPr>
      <w:r>
        <w:rPr>
          <w:rFonts w:hint="eastAsia"/>
        </w:rPr>
        <w:t>测试元件引出线应集中布置，并加以保护；</w:t>
      </w:r>
    </w:p>
    <w:p w14:paraId="2E5321D9">
      <w:pPr>
        <w:pStyle w:val="175"/>
      </w:pPr>
      <w:r>
        <w:rPr>
          <w:rFonts w:hint="eastAsia"/>
        </w:rPr>
        <w:t>混凝土浇筑和振捣时不得直接冲击测试元件及引出线。</w:t>
      </w:r>
    </w:p>
    <w:p w14:paraId="464659A6">
      <w:pPr>
        <w:pStyle w:val="166"/>
        <w:ind w:left="0"/>
      </w:pPr>
      <w:r>
        <w:rPr>
          <w:rFonts w:hint="eastAsia"/>
        </w:rPr>
        <w:t>测温点布置：</w:t>
      </w:r>
    </w:p>
    <w:p w14:paraId="13EA0AA7">
      <w:pPr>
        <w:pStyle w:val="175"/>
        <w:numPr>
          <w:ilvl w:val="0"/>
          <w:numId w:val="42"/>
        </w:numPr>
      </w:pPr>
      <w:r>
        <w:rPr>
          <w:rFonts w:hint="eastAsia"/>
        </w:rPr>
        <w:t>宜选择具有代表性的两个交叉竖向剖面进行测温，竖向剖面交叉位置宜通过基础中部区域；</w:t>
      </w:r>
    </w:p>
    <w:p w14:paraId="14A757E0">
      <w:pPr>
        <w:pStyle w:val="175"/>
      </w:pPr>
      <w:r>
        <w:rPr>
          <w:rFonts w:hint="eastAsia"/>
        </w:rPr>
        <w:t>每个竖向剖面的周边及内部应设置测温点，两个竖向剖面交叉处应设置测温点；混凝土浇筑体表面测温点应设置在保温覆盖层底部或模板内侧表面，并应与两个剖面上的周边测温点位置及数量对应；环境测温点不应少于2处；</w:t>
      </w:r>
    </w:p>
    <w:p w14:paraId="72E2F07B">
      <w:pPr>
        <w:pStyle w:val="175"/>
      </w:pPr>
      <w:r>
        <w:rPr>
          <w:rFonts w:hint="eastAsia"/>
        </w:rPr>
        <w:t>每个剖面的周边测温点应设置在混凝土浇筑体表面以内40 mm～100 mm位置处；每个剖面的测温点宜竖向、横向对齐；每个剖面竖向设置的测温点不应少于3处，间距不应小于0.4 m，且不宜大于1.0 m；每个剖面横向设置的测温点不应少于4处，间距不应小于0.4 m，且不应大于10 m。</w:t>
      </w:r>
    </w:p>
    <w:p w14:paraId="0730A329">
      <w:pPr>
        <w:pStyle w:val="166"/>
        <w:ind w:left="0"/>
      </w:pPr>
      <w:r>
        <w:rPr>
          <w:rFonts w:hint="eastAsia"/>
        </w:rPr>
        <w:t>测温点应在平面图上编号，并在现场明示编号标志，便于他人检查。</w:t>
      </w:r>
    </w:p>
    <w:p w14:paraId="6FF014C3">
      <w:pPr>
        <w:pStyle w:val="166"/>
        <w:ind w:left="0"/>
      </w:pPr>
      <w:r>
        <w:rPr>
          <w:rFonts w:hint="eastAsia"/>
        </w:rPr>
        <w:t>升温阶段可适当散热，减低温升峰值，当升温速率减缓时，应及时增加保温措施，避免表面温度快速下降。</w:t>
      </w:r>
    </w:p>
    <w:p w14:paraId="685977DF">
      <w:pPr>
        <w:pStyle w:val="166"/>
        <w:ind w:left="0"/>
      </w:pPr>
      <w:r>
        <w:rPr>
          <w:rFonts w:hint="eastAsia"/>
        </w:rPr>
        <w:t>混凝土测温：</w:t>
      </w:r>
    </w:p>
    <w:p w14:paraId="4B5889BE">
      <w:pPr>
        <w:pStyle w:val="175"/>
        <w:numPr>
          <w:ilvl w:val="0"/>
          <w:numId w:val="43"/>
        </w:numPr>
      </w:pPr>
      <w:r>
        <w:rPr>
          <w:rFonts w:hint="eastAsia"/>
        </w:rPr>
        <w:t>宜根据每个测温点被混凝土初次覆盖时的温度确定各测温点部位混凝土的入模温度；</w:t>
      </w:r>
    </w:p>
    <w:p w14:paraId="1EA90ECC">
      <w:pPr>
        <w:pStyle w:val="175"/>
      </w:pPr>
      <w:r>
        <w:rPr>
          <w:rFonts w:hint="eastAsia"/>
        </w:rPr>
        <w:t>浇筑体周边表面以内测温点、浇筑体表面测温点、环境测温点的测温，应与混凝土浇筑、养护过程同步进行；</w:t>
      </w:r>
    </w:p>
    <w:p w14:paraId="56A97A9B">
      <w:pPr>
        <w:pStyle w:val="175"/>
      </w:pPr>
      <w:r>
        <w:rPr>
          <w:rFonts w:hint="eastAsia"/>
        </w:rPr>
        <w:t>应按测温频率要求及时提供测温报告，测温报告应包含各测温点的温度数据、温差数据、代表点位的温度变化曲线、温度变化趋势分析等内容；</w:t>
      </w:r>
    </w:p>
    <w:p w14:paraId="3ED165A0">
      <w:pPr>
        <w:pStyle w:val="175"/>
      </w:pPr>
      <w:r>
        <w:rPr>
          <w:rFonts w:hint="eastAsia"/>
        </w:rPr>
        <w:t>混凝土浇筑体表面以内40 mm～100 mm位置的温度与环境温度差值小于20时，可停止测温。</w:t>
      </w:r>
    </w:p>
    <w:p w14:paraId="02347263">
      <w:pPr>
        <w:pStyle w:val="166"/>
        <w:ind w:left="0"/>
      </w:pPr>
      <w:r>
        <w:rPr>
          <w:rFonts w:hint="eastAsia"/>
        </w:rPr>
        <w:t>大体积混凝土测温频率：</w:t>
      </w:r>
    </w:p>
    <w:p w14:paraId="3114E97A">
      <w:pPr>
        <w:pStyle w:val="175"/>
        <w:numPr>
          <w:ilvl w:val="0"/>
          <w:numId w:val="44"/>
        </w:numPr>
      </w:pPr>
      <w:r>
        <w:rPr>
          <w:rFonts w:hint="eastAsia"/>
        </w:rPr>
        <w:t>第一天至第四天，每4 h不应少于一次；</w:t>
      </w:r>
    </w:p>
    <w:p w14:paraId="0A4DB8EE">
      <w:pPr>
        <w:pStyle w:val="175"/>
      </w:pPr>
      <w:r>
        <w:rPr>
          <w:rFonts w:hint="eastAsia"/>
        </w:rPr>
        <w:t>第五天至第七天，每8 h不应少于一次；</w:t>
      </w:r>
    </w:p>
    <w:p w14:paraId="62BC3124">
      <w:pPr>
        <w:pStyle w:val="175"/>
      </w:pPr>
      <w:r>
        <w:rPr>
          <w:rFonts w:hint="eastAsia"/>
        </w:rPr>
        <w:t>第七天至测温结束，每12 h不应少于一次。</w:t>
      </w:r>
    </w:p>
    <w:p w14:paraId="68B61222">
      <w:pPr>
        <w:pStyle w:val="166"/>
        <w:ind w:left="0"/>
      </w:pPr>
      <w:r>
        <w:rPr>
          <w:rFonts w:hint="eastAsia"/>
        </w:rPr>
        <w:t>测温记录应及时反馈现场技术部门。</w:t>
      </w:r>
    </w:p>
    <w:p w14:paraId="2BE29D4F">
      <w:pPr>
        <w:pStyle w:val="166"/>
        <w:ind w:left="0"/>
      </w:pPr>
      <w:r>
        <w:rPr>
          <w:rFonts w:hint="eastAsia"/>
        </w:rPr>
        <w:t>使用普通玻璃温度计测温时，测温管端应用软木塞封堵，只允许在放置或取出温度计时打开。温度计应系线绳垂吊到管底，停留不少于3 min后取出并迅速查看记录温度值。</w:t>
      </w:r>
    </w:p>
    <w:p w14:paraId="2FB9BC50">
      <w:pPr>
        <w:pStyle w:val="166"/>
        <w:ind w:left="0"/>
      </w:pPr>
      <w:r>
        <w:rPr>
          <w:rFonts w:hint="eastAsia"/>
        </w:rPr>
        <w:t>使用建筑电子测温仪测温时，附着于钢筋上的半导体传感器应与钢筋隔离，保护测温探头的导线接口不受污染，不受水浸，接入测温仪前应擦拭干净，保持干以防短路。也可事先埋管，管内插入可周转使用的传感器测温。</w:t>
      </w:r>
    </w:p>
    <w:p w14:paraId="037A1006">
      <w:pPr>
        <w:pStyle w:val="105"/>
        <w:spacing w:before="312" w:after="312"/>
      </w:pPr>
      <w:bookmarkStart w:id="232" w:name="_Toc194916743"/>
      <w:bookmarkStart w:id="233" w:name="_Toc194043782"/>
      <w:bookmarkStart w:id="234" w:name="_Toc194335133"/>
      <w:bookmarkStart w:id="235" w:name="_Toc194910801"/>
      <w:bookmarkStart w:id="236" w:name="_Toc194907278"/>
      <w:bookmarkStart w:id="237" w:name="_Toc195256022"/>
      <w:bookmarkStart w:id="238" w:name="_Toc195194527"/>
      <w:r>
        <w:rPr>
          <w:rFonts w:hint="eastAsia"/>
        </w:rPr>
        <w:t>质量</w:t>
      </w:r>
      <w:bookmarkEnd w:id="232"/>
      <w:bookmarkEnd w:id="233"/>
      <w:bookmarkEnd w:id="234"/>
      <w:bookmarkEnd w:id="235"/>
      <w:bookmarkEnd w:id="236"/>
      <w:r>
        <w:rPr>
          <w:rFonts w:hint="eastAsia"/>
        </w:rPr>
        <w:t>要求及验收</w:t>
      </w:r>
      <w:bookmarkEnd w:id="237"/>
      <w:bookmarkEnd w:id="238"/>
    </w:p>
    <w:p w14:paraId="7CC56A2D">
      <w:pPr>
        <w:pStyle w:val="106"/>
        <w:spacing w:before="156" w:after="156"/>
      </w:pPr>
      <w:r>
        <w:rPr>
          <w:rFonts w:hint="eastAsia"/>
        </w:rPr>
        <w:t>质量要求</w:t>
      </w:r>
    </w:p>
    <w:p w14:paraId="3C8742CC">
      <w:pPr>
        <w:pStyle w:val="166"/>
        <w:ind w:left="0"/>
      </w:pPr>
      <w:r>
        <w:rPr>
          <w:rFonts w:hint="eastAsia"/>
        </w:rPr>
        <w:t>大体积混凝土的原材料、配合比和坍落度应符合设计要求。</w:t>
      </w:r>
    </w:p>
    <w:p w14:paraId="2C1A6F17">
      <w:pPr>
        <w:pStyle w:val="166"/>
        <w:ind w:left="0"/>
      </w:pPr>
      <w:r>
        <w:rPr>
          <w:rFonts w:hint="eastAsia"/>
        </w:rPr>
        <w:t>大体积混凝土的抗压强度和抗渗压力应满足设计要求。</w:t>
      </w:r>
    </w:p>
    <w:p w14:paraId="0D249D2D">
      <w:pPr>
        <w:pStyle w:val="166"/>
        <w:ind w:left="0"/>
      </w:pPr>
      <w:r>
        <w:rPr>
          <w:rFonts w:hint="eastAsia"/>
        </w:rPr>
        <w:t>大体积混凝土的变形缝、施工缝、后浇带、加强带、埋设件等设置和构造应满足设计要求，不应渗漏。</w:t>
      </w:r>
    </w:p>
    <w:p w14:paraId="50AE7654">
      <w:pPr>
        <w:pStyle w:val="166"/>
        <w:ind w:left="0"/>
      </w:pPr>
      <w:r>
        <w:rPr>
          <w:rFonts w:hint="eastAsia"/>
        </w:rPr>
        <w:t>补偿收缩混凝土的抗压强度、抗渗压力与混凝土的膨胀率应满足设计要求。</w:t>
      </w:r>
    </w:p>
    <w:p w14:paraId="4FFE4A15">
      <w:pPr>
        <w:pStyle w:val="166"/>
        <w:ind w:left="0"/>
      </w:pPr>
      <w:r>
        <w:rPr>
          <w:rFonts w:hint="eastAsia"/>
        </w:rPr>
        <w:t>混凝土不应有过振、漏振现象。</w:t>
      </w:r>
    </w:p>
    <w:p w14:paraId="696CF21A">
      <w:pPr>
        <w:pStyle w:val="166"/>
        <w:ind w:left="0"/>
      </w:pPr>
      <w:r>
        <w:rPr>
          <w:rFonts w:hint="eastAsia"/>
        </w:rPr>
        <w:t>大体积混凝土浇筑面的标高应按放线人员测定的标高控制。</w:t>
      </w:r>
    </w:p>
    <w:p w14:paraId="1390AD8F">
      <w:pPr>
        <w:pStyle w:val="166"/>
        <w:ind w:left="0"/>
      </w:pPr>
      <w:r>
        <w:rPr>
          <w:rFonts w:hint="eastAsia"/>
        </w:rPr>
        <w:t>大体积混凝土的含碱量、氯化物含量应在规定范围内。</w:t>
      </w:r>
    </w:p>
    <w:p w14:paraId="305EFFD2">
      <w:pPr>
        <w:pStyle w:val="166"/>
        <w:ind w:left="0"/>
      </w:pPr>
      <w:r>
        <w:rPr>
          <w:rFonts w:hint="eastAsia"/>
        </w:rPr>
        <w:t>混凝土坍落度应控制在190 mm±10 mm。</w:t>
      </w:r>
    </w:p>
    <w:p w14:paraId="4788EFF5">
      <w:pPr>
        <w:pStyle w:val="166"/>
        <w:ind w:left="0"/>
      </w:pPr>
      <w:r>
        <w:rPr>
          <w:rFonts w:hint="eastAsia"/>
        </w:rPr>
        <w:t>大体积混凝土不应有漏筋、蜂窝、孔洞、夹渣、疏松、裂缝、麻面、掉皮、起砂、棱角不直、翘曲不平和飞边凹肋等外表缺陷，构件连接处不应出现连接钢筋、连接件松动等影响结构传力性能的缺陷。</w:t>
      </w:r>
    </w:p>
    <w:p w14:paraId="6B6A6D95">
      <w:pPr>
        <w:pStyle w:val="166"/>
        <w:ind w:left="0"/>
      </w:pPr>
      <w:r>
        <w:rPr>
          <w:rFonts w:hint="eastAsia"/>
        </w:rPr>
        <w:t>需检查允许偏差的项目、要求和检验方法应符合表1的规定。</w:t>
      </w:r>
    </w:p>
    <w:p w14:paraId="6CFAD653">
      <w:pPr>
        <w:pStyle w:val="106"/>
        <w:numPr>
          <w:ilvl w:val="0"/>
          <w:numId w:val="0"/>
        </w:numPr>
        <w:spacing w:before="156" w:after="156"/>
      </w:pPr>
    </w:p>
    <w:p w14:paraId="6DFD2F40">
      <w:pPr>
        <w:pStyle w:val="57"/>
        <w:ind w:firstLine="420"/>
      </w:pPr>
    </w:p>
    <w:p w14:paraId="250AA941">
      <w:pPr>
        <w:pStyle w:val="57"/>
        <w:ind w:firstLine="420"/>
      </w:pPr>
    </w:p>
    <w:p w14:paraId="250BF7F5">
      <w:pPr>
        <w:pStyle w:val="57"/>
        <w:ind w:firstLine="420"/>
      </w:pPr>
    </w:p>
    <w:p w14:paraId="57344792">
      <w:pPr>
        <w:pStyle w:val="113"/>
        <w:spacing w:before="156" w:after="156"/>
      </w:pPr>
      <w:r>
        <w:rPr>
          <w:rFonts w:hint="eastAsia"/>
        </w:rPr>
        <w:t>允许偏差项目、要求和检验方法</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55"/>
        <w:gridCol w:w="777"/>
        <w:gridCol w:w="778"/>
        <w:gridCol w:w="3112"/>
        <w:gridCol w:w="3112"/>
      </w:tblGrid>
      <w:tr w14:paraId="09BA2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gridSpan w:val="3"/>
            <w:tcBorders>
              <w:top w:val="single" w:color="auto" w:sz="8" w:space="0"/>
              <w:bottom w:val="single" w:color="auto" w:sz="8" w:space="0"/>
            </w:tcBorders>
            <w:shd w:val="clear" w:color="auto" w:fill="auto"/>
            <w:vAlign w:val="center"/>
          </w:tcPr>
          <w:p w14:paraId="0BAA9684">
            <w:pPr>
              <w:pStyle w:val="179"/>
            </w:pPr>
            <w:r>
              <w:rPr>
                <w:rFonts w:hint="eastAsia"/>
              </w:rPr>
              <w:t>项目</w:t>
            </w:r>
          </w:p>
        </w:tc>
        <w:tc>
          <w:tcPr>
            <w:tcW w:w="3112" w:type="dxa"/>
            <w:tcBorders>
              <w:top w:val="single" w:color="auto" w:sz="8" w:space="0"/>
              <w:bottom w:val="single" w:color="auto" w:sz="8" w:space="0"/>
            </w:tcBorders>
            <w:shd w:val="clear" w:color="auto" w:fill="auto"/>
            <w:vAlign w:val="center"/>
          </w:tcPr>
          <w:p w14:paraId="2A5CFDB4">
            <w:pPr>
              <w:pStyle w:val="179"/>
            </w:pPr>
            <w:r>
              <w:rPr>
                <w:rFonts w:hint="eastAsia"/>
              </w:rPr>
              <w:t>允许偏差/mm</w:t>
            </w:r>
          </w:p>
        </w:tc>
        <w:tc>
          <w:tcPr>
            <w:tcW w:w="3112" w:type="dxa"/>
            <w:tcBorders>
              <w:top w:val="single" w:color="auto" w:sz="8" w:space="0"/>
              <w:bottom w:val="single" w:color="auto" w:sz="8" w:space="0"/>
            </w:tcBorders>
            <w:shd w:val="clear" w:color="auto" w:fill="auto"/>
            <w:vAlign w:val="center"/>
          </w:tcPr>
          <w:p w14:paraId="4C7D9B43">
            <w:pPr>
              <w:pStyle w:val="179"/>
            </w:pPr>
            <w:r>
              <w:rPr>
                <w:rFonts w:hint="eastAsia"/>
              </w:rPr>
              <w:t>检验方法</w:t>
            </w:r>
          </w:p>
        </w:tc>
      </w:tr>
      <w:tr w14:paraId="10071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555" w:type="dxa"/>
            <w:vMerge w:val="restart"/>
            <w:tcBorders>
              <w:top w:val="single" w:color="auto" w:sz="8" w:space="0"/>
            </w:tcBorders>
            <w:shd w:val="clear" w:color="auto" w:fill="auto"/>
            <w:vAlign w:val="center"/>
          </w:tcPr>
          <w:p w14:paraId="4683E64E">
            <w:pPr>
              <w:pStyle w:val="179"/>
            </w:pPr>
            <w:r>
              <w:rPr>
                <w:rFonts w:hint="eastAsia"/>
              </w:rPr>
              <w:t>轴线位置</w:t>
            </w:r>
          </w:p>
        </w:tc>
        <w:tc>
          <w:tcPr>
            <w:tcW w:w="1555" w:type="dxa"/>
            <w:gridSpan w:val="2"/>
            <w:tcBorders>
              <w:top w:val="single" w:color="auto" w:sz="8" w:space="0"/>
              <w:bottom w:val="single" w:color="auto" w:sz="4" w:space="0"/>
            </w:tcBorders>
            <w:shd w:val="clear" w:color="auto" w:fill="auto"/>
            <w:vAlign w:val="center"/>
          </w:tcPr>
          <w:p w14:paraId="4D272789">
            <w:pPr>
              <w:pStyle w:val="179"/>
            </w:pPr>
            <w:r>
              <w:rPr>
                <w:rFonts w:hint="eastAsia"/>
              </w:rPr>
              <w:t>基础</w:t>
            </w:r>
          </w:p>
        </w:tc>
        <w:tc>
          <w:tcPr>
            <w:tcW w:w="3112" w:type="dxa"/>
            <w:tcBorders>
              <w:top w:val="single" w:color="auto" w:sz="8" w:space="0"/>
            </w:tcBorders>
            <w:shd w:val="clear" w:color="auto" w:fill="auto"/>
            <w:vAlign w:val="center"/>
          </w:tcPr>
          <w:p w14:paraId="72248D81">
            <w:pPr>
              <w:pStyle w:val="179"/>
            </w:pPr>
            <w:r>
              <w:rPr>
                <w:rFonts w:hint="eastAsia"/>
              </w:rPr>
              <w:t>15</w:t>
            </w:r>
          </w:p>
        </w:tc>
        <w:tc>
          <w:tcPr>
            <w:tcW w:w="3112" w:type="dxa"/>
            <w:vMerge w:val="restart"/>
            <w:tcBorders>
              <w:top w:val="single" w:color="auto" w:sz="8" w:space="0"/>
            </w:tcBorders>
            <w:shd w:val="clear" w:color="auto" w:fill="auto"/>
            <w:vAlign w:val="center"/>
          </w:tcPr>
          <w:p w14:paraId="7F558CCA">
            <w:pPr>
              <w:pStyle w:val="179"/>
            </w:pPr>
            <w:r>
              <w:rPr>
                <w:rFonts w:hint="eastAsia"/>
              </w:rPr>
              <w:t>钢尺检查</w:t>
            </w:r>
          </w:p>
        </w:tc>
      </w:tr>
      <w:tr w14:paraId="410A2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555" w:type="dxa"/>
            <w:vMerge w:val="continue"/>
            <w:shd w:val="clear" w:color="auto" w:fill="auto"/>
            <w:vAlign w:val="center"/>
          </w:tcPr>
          <w:p w14:paraId="7AEB5CE5">
            <w:pPr>
              <w:pStyle w:val="179"/>
            </w:pPr>
          </w:p>
        </w:tc>
        <w:tc>
          <w:tcPr>
            <w:tcW w:w="1555" w:type="dxa"/>
            <w:gridSpan w:val="2"/>
            <w:tcBorders>
              <w:top w:val="single" w:color="auto" w:sz="4" w:space="0"/>
            </w:tcBorders>
            <w:shd w:val="clear" w:color="auto" w:fill="auto"/>
            <w:vAlign w:val="center"/>
          </w:tcPr>
          <w:p w14:paraId="3257AA23">
            <w:pPr>
              <w:pStyle w:val="179"/>
            </w:pPr>
            <w:r>
              <w:rPr>
                <w:rFonts w:hint="eastAsia"/>
              </w:rPr>
              <w:t>独立</w:t>
            </w:r>
          </w:p>
        </w:tc>
        <w:tc>
          <w:tcPr>
            <w:tcW w:w="3112" w:type="dxa"/>
            <w:shd w:val="clear" w:color="auto" w:fill="auto"/>
            <w:vAlign w:val="center"/>
          </w:tcPr>
          <w:p w14:paraId="6826DEBF">
            <w:pPr>
              <w:pStyle w:val="179"/>
            </w:pPr>
            <w:r>
              <w:rPr>
                <w:rFonts w:hint="eastAsia"/>
              </w:rPr>
              <w:t>10</w:t>
            </w:r>
          </w:p>
        </w:tc>
        <w:tc>
          <w:tcPr>
            <w:tcW w:w="3112" w:type="dxa"/>
            <w:vMerge w:val="continue"/>
            <w:shd w:val="clear" w:color="auto" w:fill="auto"/>
            <w:vAlign w:val="center"/>
          </w:tcPr>
          <w:p w14:paraId="363C4404">
            <w:pPr>
              <w:pStyle w:val="179"/>
            </w:pPr>
          </w:p>
        </w:tc>
      </w:tr>
      <w:tr w14:paraId="38924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555" w:type="dxa"/>
            <w:vMerge w:val="restart"/>
            <w:shd w:val="clear" w:color="auto" w:fill="auto"/>
            <w:vAlign w:val="center"/>
          </w:tcPr>
          <w:p w14:paraId="3D69FBBB">
            <w:pPr>
              <w:pStyle w:val="179"/>
            </w:pPr>
            <w:r>
              <w:rPr>
                <w:rFonts w:hint="eastAsia"/>
              </w:rPr>
              <w:t>垂直度</w:t>
            </w:r>
          </w:p>
        </w:tc>
        <w:tc>
          <w:tcPr>
            <w:tcW w:w="777" w:type="dxa"/>
            <w:vMerge w:val="restart"/>
            <w:shd w:val="clear" w:color="auto" w:fill="auto"/>
            <w:vAlign w:val="center"/>
          </w:tcPr>
          <w:p w14:paraId="25EAFB4B">
            <w:pPr>
              <w:pStyle w:val="179"/>
            </w:pPr>
            <w:r>
              <w:rPr>
                <w:rFonts w:hint="eastAsia"/>
              </w:rPr>
              <w:t>层高</w:t>
            </w:r>
          </w:p>
        </w:tc>
        <w:tc>
          <w:tcPr>
            <w:tcW w:w="778" w:type="dxa"/>
            <w:shd w:val="clear" w:color="auto" w:fill="auto"/>
            <w:vAlign w:val="center"/>
          </w:tcPr>
          <w:p w14:paraId="42B7353A">
            <w:pPr>
              <w:pStyle w:val="179"/>
            </w:pPr>
            <w:r>
              <w:rPr>
                <w:rFonts w:hint="eastAsia"/>
              </w:rPr>
              <w:t>≤5 m</w:t>
            </w:r>
          </w:p>
        </w:tc>
        <w:tc>
          <w:tcPr>
            <w:tcW w:w="3112" w:type="dxa"/>
            <w:shd w:val="clear" w:color="auto" w:fill="auto"/>
            <w:vAlign w:val="center"/>
          </w:tcPr>
          <w:p w14:paraId="0981C8C4">
            <w:pPr>
              <w:pStyle w:val="179"/>
            </w:pPr>
            <w:r>
              <w:rPr>
                <w:rFonts w:hint="eastAsia"/>
              </w:rPr>
              <w:t>8</w:t>
            </w:r>
          </w:p>
        </w:tc>
        <w:tc>
          <w:tcPr>
            <w:tcW w:w="3112" w:type="dxa"/>
            <w:vMerge w:val="restart"/>
            <w:shd w:val="clear" w:color="auto" w:fill="auto"/>
            <w:vAlign w:val="center"/>
          </w:tcPr>
          <w:p w14:paraId="52FFC0BF">
            <w:pPr>
              <w:pStyle w:val="179"/>
            </w:pPr>
            <w:r>
              <w:rPr>
                <w:rFonts w:hint="eastAsia"/>
              </w:rPr>
              <w:t>经纬仪或吊线、钢尺检查</w:t>
            </w:r>
          </w:p>
        </w:tc>
      </w:tr>
      <w:tr w14:paraId="087BE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555" w:type="dxa"/>
            <w:vMerge w:val="continue"/>
            <w:shd w:val="clear" w:color="auto" w:fill="auto"/>
            <w:vAlign w:val="center"/>
          </w:tcPr>
          <w:p w14:paraId="5F8A16A2">
            <w:pPr>
              <w:pStyle w:val="179"/>
            </w:pPr>
          </w:p>
        </w:tc>
        <w:tc>
          <w:tcPr>
            <w:tcW w:w="777" w:type="dxa"/>
            <w:vMerge w:val="continue"/>
            <w:shd w:val="clear" w:color="auto" w:fill="auto"/>
            <w:vAlign w:val="center"/>
          </w:tcPr>
          <w:p w14:paraId="4F93316C">
            <w:pPr>
              <w:pStyle w:val="179"/>
            </w:pPr>
          </w:p>
        </w:tc>
        <w:tc>
          <w:tcPr>
            <w:tcW w:w="778" w:type="dxa"/>
            <w:shd w:val="clear" w:color="auto" w:fill="auto"/>
            <w:vAlign w:val="center"/>
          </w:tcPr>
          <w:p w14:paraId="5CDBDDA4">
            <w:pPr>
              <w:pStyle w:val="179"/>
            </w:pPr>
            <w:r>
              <w:rPr>
                <w:rFonts w:hint="eastAsia"/>
              </w:rPr>
              <w:t>＞5 m</w:t>
            </w:r>
          </w:p>
        </w:tc>
        <w:tc>
          <w:tcPr>
            <w:tcW w:w="3112" w:type="dxa"/>
            <w:shd w:val="clear" w:color="auto" w:fill="auto"/>
            <w:vAlign w:val="center"/>
          </w:tcPr>
          <w:p w14:paraId="79D2BB82">
            <w:pPr>
              <w:pStyle w:val="179"/>
            </w:pPr>
            <w:r>
              <w:rPr>
                <w:rFonts w:hint="eastAsia"/>
              </w:rPr>
              <w:t>10</w:t>
            </w:r>
          </w:p>
        </w:tc>
        <w:tc>
          <w:tcPr>
            <w:tcW w:w="3112" w:type="dxa"/>
            <w:vMerge w:val="continue"/>
            <w:shd w:val="clear" w:color="auto" w:fill="auto"/>
            <w:vAlign w:val="center"/>
          </w:tcPr>
          <w:p w14:paraId="24706FC0">
            <w:pPr>
              <w:pStyle w:val="179"/>
            </w:pPr>
          </w:p>
        </w:tc>
      </w:tr>
      <w:tr w14:paraId="37FA9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1555" w:type="dxa"/>
            <w:vMerge w:val="continue"/>
            <w:shd w:val="clear" w:color="auto" w:fill="auto"/>
            <w:vAlign w:val="center"/>
          </w:tcPr>
          <w:p w14:paraId="144A7139">
            <w:pPr>
              <w:pStyle w:val="179"/>
            </w:pPr>
          </w:p>
        </w:tc>
        <w:tc>
          <w:tcPr>
            <w:tcW w:w="1555" w:type="dxa"/>
            <w:gridSpan w:val="2"/>
            <w:shd w:val="clear" w:color="auto" w:fill="auto"/>
            <w:vAlign w:val="center"/>
          </w:tcPr>
          <w:p w14:paraId="06E651EE">
            <w:pPr>
              <w:pStyle w:val="179"/>
            </w:pPr>
            <w:r>
              <w:rPr>
                <w:rFonts w:hint="eastAsia"/>
              </w:rPr>
              <w:t>全高</w:t>
            </w:r>
          </w:p>
        </w:tc>
        <w:tc>
          <w:tcPr>
            <w:tcW w:w="3112" w:type="dxa"/>
            <w:shd w:val="clear" w:color="auto" w:fill="auto"/>
            <w:vAlign w:val="center"/>
          </w:tcPr>
          <w:p w14:paraId="4CE1D01B">
            <w:pPr>
              <w:pStyle w:val="179"/>
            </w:pPr>
            <w:r>
              <w:rPr>
                <w:rFonts w:hint="eastAsia"/>
              </w:rPr>
              <w:t>H/1000，且≤30</w:t>
            </w:r>
          </w:p>
        </w:tc>
        <w:tc>
          <w:tcPr>
            <w:tcW w:w="3112" w:type="dxa"/>
            <w:vMerge w:val="continue"/>
            <w:shd w:val="clear" w:color="auto" w:fill="auto"/>
            <w:vAlign w:val="center"/>
          </w:tcPr>
          <w:p w14:paraId="0DF981F0">
            <w:pPr>
              <w:pStyle w:val="179"/>
            </w:pPr>
          </w:p>
        </w:tc>
      </w:tr>
      <w:tr w14:paraId="7E0AA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gridSpan w:val="3"/>
            <w:shd w:val="clear" w:color="auto" w:fill="auto"/>
            <w:vAlign w:val="center"/>
          </w:tcPr>
          <w:p w14:paraId="24835048">
            <w:pPr>
              <w:pStyle w:val="179"/>
            </w:pPr>
            <w:r>
              <w:rPr>
                <w:rFonts w:hint="eastAsia"/>
              </w:rPr>
              <w:t>截面尺寸</w:t>
            </w:r>
          </w:p>
        </w:tc>
        <w:tc>
          <w:tcPr>
            <w:tcW w:w="3112" w:type="dxa"/>
            <w:shd w:val="clear" w:color="auto" w:fill="auto"/>
            <w:vAlign w:val="center"/>
          </w:tcPr>
          <w:p w14:paraId="5CAB9918">
            <w:pPr>
              <w:pStyle w:val="179"/>
            </w:pPr>
            <w:r>
              <w:rPr>
                <w:rFonts w:hint="eastAsia"/>
              </w:rPr>
              <w:t>＋8，-5</w:t>
            </w:r>
          </w:p>
        </w:tc>
        <w:tc>
          <w:tcPr>
            <w:tcW w:w="3112" w:type="dxa"/>
            <w:shd w:val="clear" w:color="auto" w:fill="auto"/>
            <w:vAlign w:val="center"/>
          </w:tcPr>
          <w:p w14:paraId="3E1D1DBD">
            <w:pPr>
              <w:pStyle w:val="179"/>
            </w:pPr>
            <w:r>
              <w:rPr>
                <w:rFonts w:hint="eastAsia"/>
              </w:rPr>
              <w:t>钢尺检查</w:t>
            </w:r>
          </w:p>
        </w:tc>
      </w:tr>
      <w:tr w14:paraId="46819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gridSpan w:val="3"/>
            <w:shd w:val="clear" w:color="auto" w:fill="auto"/>
            <w:vAlign w:val="center"/>
          </w:tcPr>
          <w:p w14:paraId="794F7EC9">
            <w:pPr>
              <w:pStyle w:val="179"/>
            </w:pPr>
            <w:r>
              <w:rPr>
                <w:rFonts w:hint="eastAsia"/>
              </w:rPr>
              <w:t>表面平整度</w:t>
            </w:r>
          </w:p>
        </w:tc>
        <w:tc>
          <w:tcPr>
            <w:tcW w:w="3112" w:type="dxa"/>
            <w:shd w:val="clear" w:color="auto" w:fill="auto"/>
            <w:vAlign w:val="center"/>
          </w:tcPr>
          <w:p w14:paraId="79BFD57C">
            <w:pPr>
              <w:pStyle w:val="179"/>
            </w:pPr>
            <w:r>
              <w:rPr>
                <w:rFonts w:hint="eastAsia"/>
              </w:rPr>
              <w:t>8</w:t>
            </w:r>
          </w:p>
        </w:tc>
        <w:tc>
          <w:tcPr>
            <w:tcW w:w="3112" w:type="dxa"/>
            <w:shd w:val="clear" w:color="auto" w:fill="auto"/>
            <w:vAlign w:val="center"/>
          </w:tcPr>
          <w:p w14:paraId="4F6DE89D">
            <w:pPr>
              <w:pStyle w:val="179"/>
            </w:pPr>
            <w:r>
              <w:rPr>
                <w:rFonts w:hint="eastAsia"/>
              </w:rPr>
              <w:t>2 m靠尺和塞尺检查</w:t>
            </w:r>
          </w:p>
        </w:tc>
      </w:tr>
      <w:tr w14:paraId="6AD02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1555" w:type="dxa"/>
            <w:vMerge w:val="restart"/>
            <w:shd w:val="clear" w:color="auto" w:fill="auto"/>
            <w:vAlign w:val="center"/>
          </w:tcPr>
          <w:p w14:paraId="75ABBCE4">
            <w:pPr>
              <w:pStyle w:val="179"/>
            </w:pPr>
            <w:r>
              <w:rPr>
                <w:rFonts w:hint="eastAsia"/>
              </w:rPr>
              <w:t>预埋设施中心线位置</w:t>
            </w:r>
          </w:p>
        </w:tc>
        <w:tc>
          <w:tcPr>
            <w:tcW w:w="1555" w:type="dxa"/>
            <w:gridSpan w:val="2"/>
            <w:shd w:val="clear" w:color="auto" w:fill="auto"/>
            <w:vAlign w:val="center"/>
          </w:tcPr>
          <w:p w14:paraId="587A6FD6">
            <w:pPr>
              <w:pStyle w:val="179"/>
            </w:pPr>
            <w:r>
              <w:rPr>
                <w:rFonts w:hint="eastAsia"/>
              </w:rPr>
              <w:t>预埋件</w:t>
            </w:r>
          </w:p>
        </w:tc>
        <w:tc>
          <w:tcPr>
            <w:tcW w:w="3112" w:type="dxa"/>
            <w:shd w:val="clear" w:color="auto" w:fill="auto"/>
            <w:vAlign w:val="center"/>
          </w:tcPr>
          <w:p w14:paraId="6C214C11">
            <w:pPr>
              <w:pStyle w:val="179"/>
            </w:pPr>
            <w:r>
              <w:rPr>
                <w:rFonts w:hint="eastAsia"/>
              </w:rPr>
              <w:t>10</w:t>
            </w:r>
          </w:p>
        </w:tc>
        <w:tc>
          <w:tcPr>
            <w:tcW w:w="3112" w:type="dxa"/>
            <w:vMerge w:val="restart"/>
            <w:shd w:val="clear" w:color="auto" w:fill="auto"/>
            <w:vAlign w:val="center"/>
          </w:tcPr>
          <w:p w14:paraId="54701485">
            <w:pPr>
              <w:pStyle w:val="179"/>
            </w:pPr>
            <w:r>
              <w:rPr>
                <w:rFonts w:hint="eastAsia"/>
              </w:rPr>
              <w:t>钢尺检查</w:t>
            </w:r>
          </w:p>
        </w:tc>
      </w:tr>
      <w:tr w14:paraId="00E50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555" w:type="dxa"/>
            <w:vMerge w:val="continue"/>
            <w:shd w:val="clear" w:color="auto" w:fill="auto"/>
            <w:vAlign w:val="center"/>
          </w:tcPr>
          <w:p w14:paraId="4E3500C0">
            <w:pPr>
              <w:pStyle w:val="179"/>
            </w:pPr>
          </w:p>
        </w:tc>
        <w:tc>
          <w:tcPr>
            <w:tcW w:w="1555" w:type="dxa"/>
            <w:gridSpan w:val="2"/>
            <w:shd w:val="clear" w:color="auto" w:fill="auto"/>
            <w:vAlign w:val="center"/>
          </w:tcPr>
          <w:p w14:paraId="626A9BB1">
            <w:pPr>
              <w:pStyle w:val="179"/>
            </w:pPr>
            <w:r>
              <w:rPr>
                <w:rFonts w:hint="eastAsia"/>
              </w:rPr>
              <w:t>预埋螺栓</w:t>
            </w:r>
          </w:p>
        </w:tc>
        <w:tc>
          <w:tcPr>
            <w:tcW w:w="3112" w:type="dxa"/>
            <w:shd w:val="clear" w:color="auto" w:fill="auto"/>
            <w:vAlign w:val="center"/>
          </w:tcPr>
          <w:p w14:paraId="2EE3BC41">
            <w:pPr>
              <w:pStyle w:val="179"/>
            </w:pPr>
            <w:r>
              <w:rPr>
                <w:rFonts w:hint="eastAsia"/>
              </w:rPr>
              <w:t>5</w:t>
            </w:r>
          </w:p>
        </w:tc>
        <w:tc>
          <w:tcPr>
            <w:tcW w:w="3112" w:type="dxa"/>
            <w:vMerge w:val="continue"/>
            <w:shd w:val="clear" w:color="auto" w:fill="auto"/>
            <w:vAlign w:val="center"/>
          </w:tcPr>
          <w:p w14:paraId="71B9D31D">
            <w:pPr>
              <w:pStyle w:val="179"/>
            </w:pPr>
          </w:p>
        </w:tc>
      </w:tr>
      <w:tr w14:paraId="71BC90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5" w:hRule="atLeast"/>
          <w:jc w:val="center"/>
        </w:trPr>
        <w:tc>
          <w:tcPr>
            <w:tcW w:w="1555" w:type="dxa"/>
            <w:vMerge w:val="continue"/>
            <w:shd w:val="clear" w:color="auto" w:fill="auto"/>
            <w:vAlign w:val="center"/>
          </w:tcPr>
          <w:p w14:paraId="6D4A9AC9">
            <w:pPr>
              <w:pStyle w:val="179"/>
            </w:pPr>
          </w:p>
        </w:tc>
        <w:tc>
          <w:tcPr>
            <w:tcW w:w="1555" w:type="dxa"/>
            <w:gridSpan w:val="2"/>
            <w:shd w:val="clear" w:color="auto" w:fill="auto"/>
            <w:vAlign w:val="center"/>
          </w:tcPr>
          <w:p w14:paraId="622100A9">
            <w:pPr>
              <w:pStyle w:val="179"/>
            </w:pPr>
            <w:r>
              <w:rPr>
                <w:rFonts w:hint="eastAsia"/>
              </w:rPr>
              <w:t>预埋管</w:t>
            </w:r>
          </w:p>
        </w:tc>
        <w:tc>
          <w:tcPr>
            <w:tcW w:w="3112" w:type="dxa"/>
            <w:shd w:val="clear" w:color="auto" w:fill="auto"/>
            <w:vAlign w:val="center"/>
          </w:tcPr>
          <w:p w14:paraId="27235180">
            <w:pPr>
              <w:pStyle w:val="179"/>
            </w:pPr>
            <w:r>
              <w:rPr>
                <w:rFonts w:hint="eastAsia"/>
              </w:rPr>
              <w:t>5</w:t>
            </w:r>
          </w:p>
        </w:tc>
        <w:tc>
          <w:tcPr>
            <w:tcW w:w="3112" w:type="dxa"/>
            <w:vMerge w:val="continue"/>
            <w:shd w:val="clear" w:color="auto" w:fill="auto"/>
            <w:vAlign w:val="center"/>
          </w:tcPr>
          <w:p w14:paraId="10FA69E1">
            <w:pPr>
              <w:pStyle w:val="179"/>
            </w:pPr>
          </w:p>
        </w:tc>
      </w:tr>
      <w:tr w14:paraId="166A7D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gridSpan w:val="3"/>
            <w:shd w:val="clear" w:color="auto" w:fill="auto"/>
            <w:vAlign w:val="center"/>
          </w:tcPr>
          <w:p w14:paraId="69EF9FE9">
            <w:pPr>
              <w:pStyle w:val="179"/>
            </w:pPr>
            <w:r>
              <w:rPr>
                <w:rFonts w:hint="eastAsia"/>
              </w:rPr>
              <w:t>预留洞中心线位置</w:t>
            </w:r>
          </w:p>
        </w:tc>
        <w:tc>
          <w:tcPr>
            <w:tcW w:w="3112" w:type="dxa"/>
            <w:shd w:val="clear" w:color="auto" w:fill="auto"/>
            <w:vAlign w:val="center"/>
          </w:tcPr>
          <w:p w14:paraId="28D68F47">
            <w:pPr>
              <w:pStyle w:val="179"/>
            </w:pPr>
            <w:r>
              <w:rPr>
                <w:rFonts w:hint="eastAsia"/>
              </w:rPr>
              <w:t>15</w:t>
            </w:r>
          </w:p>
        </w:tc>
        <w:tc>
          <w:tcPr>
            <w:tcW w:w="3112" w:type="dxa"/>
            <w:shd w:val="clear" w:color="auto" w:fill="auto"/>
            <w:vAlign w:val="center"/>
          </w:tcPr>
          <w:p w14:paraId="4A436445">
            <w:pPr>
              <w:pStyle w:val="179"/>
            </w:pPr>
            <w:r>
              <w:rPr>
                <w:rFonts w:hint="eastAsia"/>
              </w:rPr>
              <w:t>钢尺检查</w:t>
            </w:r>
          </w:p>
        </w:tc>
      </w:tr>
    </w:tbl>
    <w:p w14:paraId="0E6B561D">
      <w:pPr>
        <w:pStyle w:val="106"/>
        <w:spacing w:before="156" w:after="156"/>
      </w:pPr>
      <w:bookmarkStart w:id="239" w:name="_Toc194910802"/>
      <w:bookmarkStart w:id="240" w:name="_Toc194043783"/>
      <w:bookmarkStart w:id="241" w:name="_Toc194335134"/>
      <w:bookmarkStart w:id="242" w:name="_Toc194907279"/>
      <w:bookmarkStart w:id="243" w:name="_Toc194916744"/>
      <w:r>
        <w:rPr>
          <w:rFonts w:hint="eastAsia"/>
        </w:rPr>
        <w:t>质量验收</w:t>
      </w:r>
    </w:p>
    <w:p w14:paraId="46D34D4F">
      <w:pPr>
        <w:pStyle w:val="166"/>
        <w:ind w:left="0"/>
      </w:pPr>
      <w:r>
        <w:rPr>
          <w:rFonts w:hint="eastAsia"/>
        </w:rPr>
        <w:t>在底板大体积混凝土施工过程中，应及时进行自检、互检和交接检，其质量不应低于GB 50204的有关规定。对检查中发现的质量问题，应及时处理。</w:t>
      </w:r>
    </w:p>
    <w:p w14:paraId="3349A113">
      <w:pPr>
        <w:pStyle w:val="166"/>
        <w:ind w:left="0"/>
      </w:pPr>
      <w:r>
        <w:rPr>
          <w:rFonts w:hint="eastAsia"/>
        </w:rPr>
        <w:t>在混凝土结构施工过程中，对隐蔽工程应进行验收，对重要工序和关键部位应加强质量检查或进行测试，并应做出详细记录，同时宜留存图像资料。</w:t>
      </w:r>
    </w:p>
    <w:p w14:paraId="2AB5136C">
      <w:pPr>
        <w:pStyle w:val="166"/>
        <w:ind w:left="0"/>
      </w:pPr>
      <w:r>
        <w:rPr>
          <w:rFonts w:hint="eastAsia"/>
        </w:rPr>
        <w:t>混凝土结构工程施工使用的材料、产品和设备，应符合国家标准、设计文件和施工方案的规定。</w:t>
      </w:r>
    </w:p>
    <w:p w14:paraId="7FB6CE94">
      <w:pPr>
        <w:pStyle w:val="166"/>
        <w:ind w:left="0"/>
      </w:pPr>
      <w:r>
        <w:rPr>
          <w:rFonts w:hint="eastAsia"/>
        </w:rPr>
        <w:t>原材料、半成品和成品进场时，应对其规格、型号、外观和质量证明文件进行检查，并应按GB 50204等的规定进行检验。对来源稳定且连续检验合格，或经产品认证符合要求的产品，进场时可按本规范的有关规定放宽检验。</w:t>
      </w:r>
    </w:p>
    <w:p w14:paraId="231FF463">
      <w:pPr>
        <w:pStyle w:val="166"/>
        <w:ind w:left="0"/>
      </w:pPr>
      <w:r>
        <w:rPr>
          <w:rFonts w:hint="eastAsia"/>
        </w:rPr>
        <w:t>材料进场后，应按种类、规格、批次分开贮存与堆放，并应标识明晰。贮存与堆放条件不应影响材料品质。</w:t>
      </w:r>
    </w:p>
    <w:p w14:paraId="1BEF2DBE">
      <w:pPr>
        <w:pStyle w:val="166"/>
        <w:ind w:left="0"/>
      </w:pPr>
      <w:r>
        <w:rPr>
          <w:rFonts w:hint="eastAsia"/>
        </w:rPr>
        <w:t>混凝土结构施工前，施工单位应制订检测和试验计划，并应经监理（建设）单位批准后实施。监理（建设）单位应根据检测和试验计划制定见证计划。</w:t>
      </w:r>
    </w:p>
    <w:p w14:paraId="41BA9935">
      <w:pPr>
        <w:pStyle w:val="166"/>
        <w:ind w:left="0"/>
      </w:pPr>
      <w:r>
        <w:rPr>
          <w:rFonts w:hint="eastAsia"/>
        </w:rPr>
        <w:t>施工中为各种检验目的所制作的试件应具有真实性和代表性，并：</w:t>
      </w:r>
    </w:p>
    <w:p w14:paraId="2E944F29">
      <w:pPr>
        <w:pStyle w:val="175"/>
        <w:numPr>
          <w:ilvl w:val="0"/>
          <w:numId w:val="45"/>
        </w:numPr>
      </w:pPr>
      <w:r>
        <w:rPr>
          <w:rFonts w:hint="eastAsia"/>
        </w:rPr>
        <w:t>所有试件均应及时进行唯一性标识；</w:t>
      </w:r>
    </w:p>
    <w:p w14:paraId="0AADA79F">
      <w:pPr>
        <w:pStyle w:val="175"/>
      </w:pPr>
      <w:r>
        <w:rPr>
          <w:rFonts w:hint="eastAsia"/>
        </w:rPr>
        <w:t>混凝土试件的抽样方法、抽样地点、抽样数量、养护条件、试验龄期应符合GB 50204、GB/T 50107的规定，其制作要求、试验方法应符合GB/T 50081的规定；</w:t>
      </w:r>
    </w:p>
    <w:p w14:paraId="43043C6E">
      <w:pPr>
        <w:pStyle w:val="175"/>
      </w:pPr>
      <w:r>
        <w:rPr>
          <w:rFonts w:hint="eastAsia"/>
        </w:rPr>
        <w:t>钢筋试件、预应力筋试件的抽样方法、抽样数量、制作要求和试验方法等应符合国家标准的规定。</w:t>
      </w:r>
    </w:p>
    <w:p w14:paraId="148F0E3F">
      <w:pPr>
        <w:pStyle w:val="105"/>
        <w:spacing w:before="312" w:after="312"/>
      </w:pPr>
      <w:bookmarkStart w:id="244" w:name="_Toc195256023"/>
      <w:bookmarkStart w:id="245" w:name="_Toc195194528"/>
      <w:r>
        <w:rPr>
          <w:rFonts w:hint="eastAsia"/>
        </w:rPr>
        <w:t>成品保护</w:t>
      </w:r>
      <w:bookmarkEnd w:id="239"/>
      <w:bookmarkEnd w:id="240"/>
      <w:bookmarkEnd w:id="241"/>
      <w:bookmarkEnd w:id="242"/>
      <w:bookmarkEnd w:id="243"/>
      <w:bookmarkEnd w:id="244"/>
      <w:bookmarkEnd w:id="245"/>
    </w:p>
    <w:p w14:paraId="4F2248E6">
      <w:pPr>
        <w:pStyle w:val="163"/>
      </w:pPr>
      <w:r>
        <w:rPr>
          <w:rFonts w:hint="eastAsia"/>
        </w:rPr>
        <w:t>跨越模板及钢筋应搭设在马道。</w:t>
      </w:r>
    </w:p>
    <w:p w14:paraId="71537A5D">
      <w:pPr>
        <w:pStyle w:val="163"/>
      </w:pPr>
      <w:r>
        <w:rPr>
          <w:rFonts w:hint="eastAsia"/>
        </w:rPr>
        <w:t>泵管下应设木方，不应直接摆放在钢筋上。</w:t>
      </w:r>
    </w:p>
    <w:p w14:paraId="2A8A47AF">
      <w:pPr>
        <w:pStyle w:val="163"/>
      </w:pPr>
      <w:r>
        <w:rPr>
          <w:rFonts w:hint="eastAsia"/>
        </w:rPr>
        <w:t>混凝土浇筑振捣器不应长时间接触钢筋、埋件和测温元件。</w:t>
      </w:r>
    </w:p>
    <w:p w14:paraId="15ECCED5">
      <w:pPr>
        <w:pStyle w:val="163"/>
      </w:pPr>
      <w:r>
        <w:rPr>
          <w:rFonts w:hint="eastAsia"/>
        </w:rPr>
        <w:t>测温元件导线或测温管应妥善保护，防止损坏。</w:t>
      </w:r>
    </w:p>
    <w:p w14:paraId="38C77515">
      <w:pPr>
        <w:pStyle w:val="163"/>
      </w:pPr>
      <w:r>
        <w:rPr>
          <w:rFonts w:hint="eastAsia"/>
        </w:rPr>
        <w:t>测温中，当混凝土核心温度与表面温度差大于20 ℃时，测温人员应警惕，当混凝土核心温度与表面温度差大于22 ℃时，测温人员应将测温数据及时上报项目技术组，并采取保温、苫盖、延长覆盖时间等措施保证混凝土核心温度与表面温度差不大于25 ℃。</w:t>
      </w:r>
    </w:p>
    <w:p w14:paraId="56E366D7">
      <w:pPr>
        <w:pStyle w:val="163"/>
      </w:pPr>
      <w:r>
        <w:rPr>
          <w:rFonts w:hint="eastAsia"/>
        </w:rPr>
        <w:t>测温人员记录完测温值后应及时覆盖测温部位，保证各点混凝土表面覆盖严密。</w:t>
      </w:r>
    </w:p>
    <w:p w14:paraId="6CED397E">
      <w:pPr>
        <w:pStyle w:val="163"/>
      </w:pPr>
      <w:r>
        <w:rPr>
          <w:rFonts w:hint="eastAsia"/>
        </w:rPr>
        <w:t>混凝土强度达到1.2 MPa之前除浇筑人员外，其他人不得踩踏。</w:t>
      </w:r>
    </w:p>
    <w:p w14:paraId="63C38C7C">
      <w:pPr>
        <w:pStyle w:val="163"/>
      </w:pPr>
      <w:r>
        <w:rPr>
          <w:rFonts w:hint="eastAsia"/>
        </w:rPr>
        <w:t>混凝土落灰应及时处理，对于混凝土的剔凿应采用喷雾器降尘。</w:t>
      </w:r>
    </w:p>
    <w:p w14:paraId="5FF158AC">
      <w:pPr>
        <w:pStyle w:val="105"/>
        <w:spacing w:before="312" w:after="312"/>
      </w:pPr>
      <w:bookmarkStart w:id="246" w:name="_Toc194043785"/>
      <w:bookmarkStart w:id="247" w:name="_Toc194910803"/>
      <w:bookmarkStart w:id="248" w:name="_Toc194916745"/>
      <w:bookmarkStart w:id="249" w:name="_Toc195194529"/>
      <w:bookmarkStart w:id="250" w:name="_Toc194907280"/>
      <w:bookmarkStart w:id="251" w:name="_Toc195256024"/>
      <w:bookmarkStart w:id="252" w:name="_Toc194335135"/>
      <w:r>
        <w:rPr>
          <w:rFonts w:hint="eastAsia"/>
        </w:rPr>
        <w:t>安全与环</w:t>
      </w:r>
      <w:bookmarkEnd w:id="246"/>
      <w:r>
        <w:rPr>
          <w:rFonts w:hint="eastAsia"/>
        </w:rPr>
        <w:t>保</w:t>
      </w:r>
      <w:bookmarkEnd w:id="247"/>
      <w:bookmarkEnd w:id="248"/>
      <w:bookmarkEnd w:id="249"/>
      <w:bookmarkEnd w:id="250"/>
      <w:bookmarkEnd w:id="251"/>
      <w:bookmarkEnd w:id="252"/>
    </w:p>
    <w:p w14:paraId="48E3A057">
      <w:pPr>
        <w:pStyle w:val="106"/>
        <w:spacing w:before="156" w:after="156"/>
      </w:pPr>
      <w:r>
        <w:rPr>
          <w:rFonts w:hint="eastAsia"/>
        </w:rPr>
        <w:t>安全</w:t>
      </w:r>
    </w:p>
    <w:p w14:paraId="5F8B0BFC">
      <w:pPr>
        <w:pStyle w:val="166"/>
        <w:ind w:left="0"/>
      </w:pPr>
      <w:r>
        <w:rPr>
          <w:rFonts w:hint="eastAsia"/>
        </w:rPr>
        <w:t>施工现场的安全、卫生和职业健康应符合GB 55034、GB 50870的规定。</w:t>
      </w:r>
    </w:p>
    <w:p w14:paraId="7457AF57">
      <w:pPr>
        <w:pStyle w:val="166"/>
        <w:ind w:left="0"/>
      </w:pPr>
      <w:r>
        <w:rPr>
          <w:rFonts w:hint="eastAsia"/>
        </w:rPr>
        <w:t>施工前，应编制施工安全、环境保护专项方案和安全应急预案。</w:t>
      </w:r>
    </w:p>
    <w:p w14:paraId="62EE92EA">
      <w:pPr>
        <w:pStyle w:val="166"/>
        <w:ind w:left="0"/>
      </w:pPr>
      <w:r>
        <w:rPr>
          <w:rFonts w:hint="eastAsia"/>
        </w:rPr>
        <w:t>施工时，应为作业人员提供合格的劳动保护用品，并应培训和监督作业人员正确使用。</w:t>
      </w:r>
    </w:p>
    <w:p w14:paraId="75871404">
      <w:pPr>
        <w:pStyle w:val="166"/>
        <w:ind w:left="0"/>
      </w:pPr>
      <w:r>
        <w:rPr>
          <w:rFonts w:hint="eastAsia"/>
        </w:rPr>
        <w:t>新上岗的作业人员应经过三级安全教育。变换工种时，作业人员应先进行操作技能及安全操作知识的培训，未经安全生产教育和培训的作业人员不应上岗作业。</w:t>
      </w:r>
    </w:p>
    <w:p w14:paraId="5A17C4B4">
      <w:pPr>
        <w:pStyle w:val="166"/>
        <w:ind w:left="0"/>
      </w:pPr>
      <w:r>
        <w:rPr>
          <w:rFonts w:hint="eastAsia"/>
        </w:rPr>
        <w:t>混凝土泵在开始和停止泵送混凝土前，作业人员应与出口软管保持安全距离，作业人员不应在出料口下方停留。</w:t>
      </w:r>
    </w:p>
    <w:p w14:paraId="5CE212EB">
      <w:pPr>
        <w:pStyle w:val="166"/>
        <w:ind w:left="0"/>
      </w:pPr>
      <w:r>
        <w:rPr>
          <w:rFonts w:hint="eastAsia"/>
        </w:rPr>
        <w:t>混凝土出料软管不应埋在混凝土中。清洗混凝土输送管时，管端设挡板或安全罩，杆端附近不应站人，防止出料口喷射伤人。</w:t>
      </w:r>
    </w:p>
    <w:p w14:paraId="67FC9FEE">
      <w:pPr>
        <w:pStyle w:val="166"/>
        <w:ind w:left="0"/>
      </w:pPr>
      <w:r>
        <w:rPr>
          <w:rFonts w:hint="eastAsia"/>
        </w:rPr>
        <w:t>混凝土输送泵操作人员应持证上岗，振捣器应设漏电保护装置，并经常检查电源线路，防止破损，操作时戴绝缘手套，穿高筒绝缘胶鞋。</w:t>
      </w:r>
    </w:p>
    <w:p w14:paraId="61905024">
      <w:pPr>
        <w:pStyle w:val="166"/>
        <w:ind w:left="0"/>
      </w:pPr>
      <w:r>
        <w:rPr>
          <w:rFonts w:hint="eastAsia"/>
        </w:rPr>
        <w:t>泵车四周应设立安全标识，并设专人调度车辆。施工时应观察灰斗混凝土量，以防无混凝土时灰斗压力过大，石子伤人。</w:t>
      </w:r>
    </w:p>
    <w:p w14:paraId="785F5762">
      <w:pPr>
        <w:pStyle w:val="166"/>
        <w:ind w:left="0"/>
      </w:pPr>
      <w:r>
        <w:rPr>
          <w:rFonts w:hint="eastAsia"/>
        </w:rPr>
        <w:t>混凝土输送泵操作人员应持证上岗，振捣器应设漏电保护装置，并经常检查电源线路，防止破损，操作时戴绝缘手套，穿高筒绝缘胶鞋。</w:t>
      </w:r>
    </w:p>
    <w:p w14:paraId="7CA8306D">
      <w:pPr>
        <w:pStyle w:val="166"/>
        <w:ind w:left="0"/>
      </w:pPr>
      <w:r>
        <w:rPr>
          <w:rFonts w:hint="eastAsia"/>
        </w:rPr>
        <w:t>振捣器应单设电源线和电源箱，箱内应有漏电保护器，电机外壳做好接零保护，工作时两人操作，一人持棒，一人看电机，随时挪动，不应拖拉，振捣手穿绝缘胶鞋，绝缘手套。</w:t>
      </w:r>
    </w:p>
    <w:p w14:paraId="5B56C01B">
      <w:pPr>
        <w:pStyle w:val="166"/>
        <w:ind w:left="0"/>
      </w:pPr>
      <w:r>
        <w:rPr>
          <w:rFonts w:hint="eastAsia"/>
        </w:rPr>
        <w:t>大体积混凝土浇筑时，应做好各项安全防护措施。应对基坑支护重点防范，对基槽周边防护进行重点监控，随时检查基坑周边护栏维护情况，不应从基槽边向槽内抛掷物品。</w:t>
      </w:r>
    </w:p>
    <w:p w14:paraId="2A14A50D">
      <w:pPr>
        <w:pStyle w:val="166"/>
        <w:ind w:left="0"/>
      </w:pPr>
      <w:r>
        <w:rPr>
          <w:rFonts w:hint="eastAsia"/>
        </w:rPr>
        <w:t>施工现场设专人负责消防工作，配备消防器材和消防设备，发现隐患及时上报处理；现场施工作业，设备、材料堆放不应占用或堵塞消防通道。</w:t>
      </w:r>
    </w:p>
    <w:p w14:paraId="750CA402">
      <w:pPr>
        <w:pStyle w:val="166"/>
        <w:ind w:left="0"/>
      </w:pPr>
      <w:r>
        <w:rPr>
          <w:rFonts w:hint="eastAsia"/>
        </w:rPr>
        <w:t>施工现场临时用电应按照JGJ 46的有关规定执行。</w:t>
      </w:r>
    </w:p>
    <w:p w14:paraId="00FCDB17">
      <w:pPr>
        <w:pStyle w:val="106"/>
        <w:spacing w:before="156" w:after="156"/>
      </w:pPr>
      <w:r>
        <w:rPr>
          <w:rFonts w:hint="eastAsia"/>
        </w:rPr>
        <w:t>环保</w:t>
      </w:r>
    </w:p>
    <w:p w14:paraId="7F6DA64B">
      <w:pPr>
        <w:pStyle w:val="166"/>
        <w:ind w:left="0"/>
      </w:pPr>
      <w:r>
        <w:rPr>
          <w:rFonts w:hint="eastAsia"/>
        </w:rPr>
        <w:t>施工现场的混凝土运输通道，宜采取有效的扬尘控制措施。</w:t>
      </w:r>
    </w:p>
    <w:p w14:paraId="2C917A25">
      <w:pPr>
        <w:pStyle w:val="166"/>
        <w:ind w:left="0"/>
      </w:pPr>
      <w:r>
        <w:rPr>
          <w:rFonts w:hint="eastAsia"/>
        </w:rPr>
        <w:t>施工中使用的材料宜就地取材，优先选用清洁能源车辆进行运输。</w:t>
      </w:r>
    </w:p>
    <w:p w14:paraId="640795DC">
      <w:pPr>
        <w:pStyle w:val="166"/>
        <w:ind w:left="0"/>
      </w:pPr>
      <w:r>
        <w:rPr>
          <w:rFonts w:hint="eastAsia"/>
        </w:rPr>
        <w:t>混凝土振捣应采用低噪声振捣设备或采用围挡隔离等降噪措施。</w:t>
      </w:r>
    </w:p>
    <w:p w14:paraId="120D1083">
      <w:pPr>
        <w:pStyle w:val="166"/>
        <w:ind w:left="0"/>
      </w:pPr>
      <w:r>
        <w:rPr>
          <w:rFonts w:hint="eastAsia"/>
        </w:rPr>
        <w:t>设备油液不应直接泄露在地面上，应使用容器收集并妥善处理。</w:t>
      </w:r>
    </w:p>
    <w:p w14:paraId="1A3F212C">
      <w:pPr>
        <w:pStyle w:val="166"/>
        <w:ind w:left="0"/>
      </w:pPr>
      <w:r>
        <w:rPr>
          <w:rFonts w:hint="eastAsia"/>
        </w:rPr>
        <w:t>废旧油品、更换的油液过滤器滤芯等废物应集中清理，不应随地丢弃。</w:t>
      </w:r>
    </w:p>
    <w:p w14:paraId="02E85594">
      <w:pPr>
        <w:pStyle w:val="166"/>
        <w:ind w:left="0"/>
      </w:pPr>
      <w:r>
        <w:rPr>
          <w:rFonts w:hint="eastAsia"/>
        </w:rPr>
        <w:t>混凝土输送管的清洗，应采用有利于节水节能、减少排污量的清洗方法。</w:t>
      </w:r>
    </w:p>
    <w:p w14:paraId="2627B1E9">
      <w:pPr>
        <w:pStyle w:val="166"/>
        <w:ind w:left="0"/>
      </w:pPr>
      <w:r>
        <w:rPr>
          <w:rFonts w:hint="eastAsia"/>
        </w:rPr>
        <w:t>泵送和清洗过程中产生的废弃混凝土或清洗残余物，应按预先确定的处理方法和场所，及时进行妥善处理，不应将其用于未浇筑的结构部位中。</w:t>
      </w:r>
    </w:p>
    <w:p w14:paraId="5BE0F264">
      <w:pPr>
        <w:pStyle w:val="166"/>
        <w:ind w:left="0"/>
      </w:pPr>
      <w:r>
        <w:rPr>
          <w:rFonts w:hint="eastAsia"/>
        </w:rPr>
        <w:t>混凝土保温保湿养护用塑料薄膜等拆除后，不应随意丢弃，应回收重复利用或运送至现场垃圾站统一处理。</w:t>
      </w:r>
    </w:p>
    <w:p w14:paraId="5FBFC064">
      <w:pPr>
        <w:pStyle w:val="166"/>
        <w:ind w:left="0"/>
      </w:pPr>
      <w:r>
        <w:rPr>
          <w:rFonts w:hint="eastAsia"/>
        </w:rPr>
        <w:t>施工应采取节能、节材、节水、节地和环境保护措施，并应符合GB/T 50905的规定。</w:t>
      </w:r>
    </w:p>
    <w:bookmarkEnd w:id="49"/>
    <w:p w14:paraId="5A44A2E7">
      <w:pPr>
        <w:pStyle w:val="57"/>
        <w:ind w:firstLine="0" w:firstLineChars="0"/>
        <w:jc w:val="center"/>
      </w:pPr>
      <w:bookmarkStart w:id="253" w:name="BookMark8"/>
      <w:r>
        <w:rPr>
          <w:rFonts w:hint="eastAsia"/>
        </w:rPr>
        <w:drawing>
          <wp:inline distT="0" distB="0" distL="0" distR="0">
            <wp:extent cx="1485900" cy="317500"/>
            <wp:effectExtent l="0" t="0" r="0" b="6350"/>
            <wp:docPr id="1990168194" name="图片 25"/>
            <wp:cNvGraphicFramePr/>
            <a:graphic xmlns:a="http://schemas.openxmlformats.org/drawingml/2006/main">
              <a:graphicData uri="http://schemas.openxmlformats.org/drawingml/2006/picture">
                <pic:pic xmlns:pic="http://schemas.openxmlformats.org/drawingml/2006/picture">
                  <pic:nvPicPr>
                    <pic:cNvPr id="1990168194" name="图片 25"/>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3"/>
    </w:p>
    <w:sectPr>
      <w:headerReference r:id="rId19" w:type="default"/>
      <w:footerReference r:id="rId21" w:type="default"/>
      <w:headerReference r:id="rId20" w:type="even"/>
      <w:footerReference r:id="rId22" w:type="even"/>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ED6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A748">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E8F9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BA0A">
    <w:pPr>
      <w:pStyle w:val="53"/>
    </w:pPr>
    <w:r>
      <w:fldChar w:fldCharType="begin"/>
    </w:r>
    <w:r>
      <w:instrText xml:space="preserve">PAGE   \* MERGEFORMAT</w:instrText>
    </w:r>
    <w:r>
      <w:fldChar w:fldCharType="separate"/>
    </w:r>
    <w:r>
      <w:rPr>
        <w:lang w:val="zh-CN"/>
      </w:rPr>
      <w:t>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8AAC2">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8522">
    <w:pPr>
      <w:pStyle w:val="53"/>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AA06">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D49B7">
    <w:pPr>
      <w:pStyle w:val="53"/>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9B071">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EE25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13F4D">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86B4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87C0">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36A5">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16097">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F813">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8CEB">
    <w:pPr>
      <w:pStyle w:val="62"/>
      <w:rPr>
        <w:rFonts w:hint="eastAsia"/>
      </w:rPr>
    </w:pPr>
    <w:r>
      <w:fldChar w:fldCharType="begin"/>
    </w:r>
    <w:r>
      <w:instrText xml:space="preserve"> STYLEREF  标准文件_文件编号  \* MERGEFORMAT </w:instrText>
    </w:r>
    <w:r>
      <w:fldChar w:fldCharType="separate"/>
    </w:r>
    <w:r>
      <w:t>T/CASMES 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71187">
    <w:pPr>
      <w:pStyle w:val="63"/>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T/CASMES XXX—2025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5"/>
      <w:suff w:val="nothing"/>
      <w:lvlText w:val="%1.%2.%3　"/>
      <w:lvlJc w:val="left"/>
      <w:pPr>
        <w:ind w:left="2553" w:firstLine="0"/>
      </w:pPr>
      <w:rPr>
        <w:rFonts w:hint="eastAsia" w:ascii="黑体" w:hAnsi="Times New Roman" w:eastAsia="黑体"/>
        <w:b w:val="0"/>
        <w:i w:val="0"/>
        <w:sz w:val="21"/>
      </w:rPr>
    </w:lvl>
    <w:lvl w:ilvl="3" w:tentative="0">
      <w:start w:val="1"/>
      <w:numFmt w:val="decimal"/>
      <w:pStyle w:val="236"/>
      <w:suff w:val="nothing"/>
      <w:lvlText w:val="%1.%2.%3.%4　"/>
      <w:lvlJc w:val="left"/>
      <w:pPr>
        <w:ind w:left="426" w:firstLine="0"/>
      </w:pPr>
      <w:rPr>
        <w:rFonts w:hint="eastAsia" w:ascii="黑体" w:hAnsi="Times New Roman" w:eastAsia="黑体"/>
        <w:b w:val="0"/>
        <w:i w:val="0"/>
        <w:sz w:val="21"/>
      </w:rPr>
    </w:lvl>
    <w:lvl w:ilvl="4" w:tentative="0">
      <w:start w:val="1"/>
      <w:numFmt w:val="decimal"/>
      <w:pStyle w:val="237"/>
      <w:suff w:val="nothing"/>
      <w:lvlText w:val="%1.%2.%3.%4.%5　"/>
      <w:lvlJc w:val="left"/>
      <w:pPr>
        <w:ind w:left="142" w:firstLine="0"/>
      </w:pPr>
      <w:rPr>
        <w:rFonts w:hint="eastAsia" w:ascii="黑体" w:hAnsi="Times New Roman" w:eastAsia="黑体"/>
        <w:b w:val="0"/>
        <w:i w:val="0"/>
        <w:sz w:val="21"/>
      </w:rPr>
    </w:lvl>
    <w:lvl w:ilvl="5" w:tentative="0">
      <w:start w:val="1"/>
      <w:numFmt w:val="decimal"/>
      <w:pStyle w:val="238"/>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rPr>
        <w:rFonts w:hint="eastAsia"/>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7"/>
        </w:tabs>
        <w:ind w:left="1417"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426"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425"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26"/>
    <w:rsid w:val="0000040A"/>
    <w:rsid w:val="00000A94"/>
    <w:rsid w:val="00001972"/>
    <w:rsid w:val="00001D9A"/>
    <w:rsid w:val="00002920"/>
    <w:rsid w:val="00006BBB"/>
    <w:rsid w:val="00006BFD"/>
    <w:rsid w:val="00006E6B"/>
    <w:rsid w:val="00007B3A"/>
    <w:rsid w:val="00007CC7"/>
    <w:rsid w:val="000107E0"/>
    <w:rsid w:val="00010BA0"/>
    <w:rsid w:val="00011686"/>
    <w:rsid w:val="00011FDE"/>
    <w:rsid w:val="00012A67"/>
    <w:rsid w:val="00012FFD"/>
    <w:rsid w:val="00014162"/>
    <w:rsid w:val="00014340"/>
    <w:rsid w:val="000162C5"/>
    <w:rsid w:val="0001689F"/>
    <w:rsid w:val="00016A9C"/>
    <w:rsid w:val="00020CC2"/>
    <w:rsid w:val="0002103D"/>
    <w:rsid w:val="0002160F"/>
    <w:rsid w:val="000216C9"/>
    <w:rsid w:val="00022184"/>
    <w:rsid w:val="000226B5"/>
    <w:rsid w:val="00022762"/>
    <w:rsid w:val="00022DCB"/>
    <w:rsid w:val="000238E0"/>
    <w:rsid w:val="00024205"/>
    <w:rsid w:val="000249DB"/>
    <w:rsid w:val="0002595E"/>
    <w:rsid w:val="000262B0"/>
    <w:rsid w:val="00026F15"/>
    <w:rsid w:val="00027031"/>
    <w:rsid w:val="00027F3D"/>
    <w:rsid w:val="000303C3"/>
    <w:rsid w:val="000315E4"/>
    <w:rsid w:val="000331D3"/>
    <w:rsid w:val="000346A5"/>
    <w:rsid w:val="000359C3"/>
    <w:rsid w:val="00035A7D"/>
    <w:rsid w:val="000365ED"/>
    <w:rsid w:val="00040350"/>
    <w:rsid w:val="00041AEE"/>
    <w:rsid w:val="0004249A"/>
    <w:rsid w:val="00042AA3"/>
    <w:rsid w:val="00043282"/>
    <w:rsid w:val="00044286"/>
    <w:rsid w:val="00044A53"/>
    <w:rsid w:val="000474DE"/>
    <w:rsid w:val="00047D65"/>
    <w:rsid w:val="00047F28"/>
    <w:rsid w:val="000501DD"/>
    <w:rsid w:val="000503AA"/>
    <w:rsid w:val="000506A1"/>
    <w:rsid w:val="000515DD"/>
    <w:rsid w:val="000520BF"/>
    <w:rsid w:val="00052583"/>
    <w:rsid w:val="0005265A"/>
    <w:rsid w:val="000533BC"/>
    <w:rsid w:val="000539DD"/>
    <w:rsid w:val="00053BD3"/>
    <w:rsid w:val="00055443"/>
    <w:rsid w:val="000556ED"/>
    <w:rsid w:val="00055AB4"/>
    <w:rsid w:val="00055FE2"/>
    <w:rsid w:val="0005616F"/>
    <w:rsid w:val="0005645E"/>
    <w:rsid w:val="00056D76"/>
    <w:rsid w:val="00060C2E"/>
    <w:rsid w:val="00061033"/>
    <w:rsid w:val="000619E9"/>
    <w:rsid w:val="00062284"/>
    <w:rsid w:val="000622D4"/>
    <w:rsid w:val="00063064"/>
    <w:rsid w:val="0006357D"/>
    <w:rsid w:val="00063AB0"/>
    <w:rsid w:val="0006430C"/>
    <w:rsid w:val="00064628"/>
    <w:rsid w:val="000656AD"/>
    <w:rsid w:val="00065C57"/>
    <w:rsid w:val="00065EE0"/>
    <w:rsid w:val="00066B76"/>
    <w:rsid w:val="00067415"/>
    <w:rsid w:val="00067F1E"/>
    <w:rsid w:val="000703D7"/>
    <w:rsid w:val="000704F9"/>
    <w:rsid w:val="00070573"/>
    <w:rsid w:val="00070B7D"/>
    <w:rsid w:val="00071CC0"/>
    <w:rsid w:val="00073C8C"/>
    <w:rsid w:val="00074B26"/>
    <w:rsid w:val="0007619E"/>
    <w:rsid w:val="00076A24"/>
    <w:rsid w:val="00077B64"/>
    <w:rsid w:val="00080186"/>
    <w:rsid w:val="00080A1C"/>
    <w:rsid w:val="00080E02"/>
    <w:rsid w:val="000810DB"/>
    <w:rsid w:val="000821EF"/>
    <w:rsid w:val="00082297"/>
    <w:rsid w:val="00082317"/>
    <w:rsid w:val="00083234"/>
    <w:rsid w:val="00083D2C"/>
    <w:rsid w:val="000858F1"/>
    <w:rsid w:val="00085EA2"/>
    <w:rsid w:val="00086066"/>
    <w:rsid w:val="0008697D"/>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5E"/>
    <w:rsid w:val="000A0B60"/>
    <w:rsid w:val="000A0EB8"/>
    <w:rsid w:val="000A11DA"/>
    <w:rsid w:val="000A19FC"/>
    <w:rsid w:val="000A296B"/>
    <w:rsid w:val="000A35E5"/>
    <w:rsid w:val="000A431A"/>
    <w:rsid w:val="000A44D6"/>
    <w:rsid w:val="000A45E6"/>
    <w:rsid w:val="000A4B25"/>
    <w:rsid w:val="000A5BEE"/>
    <w:rsid w:val="000A6C24"/>
    <w:rsid w:val="000A6DE3"/>
    <w:rsid w:val="000A7311"/>
    <w:rsid w:val="000A7AF2"/>
    <w:rsid w:val="000B060F"/>
    <w:rsid w:val="000B1592"/>
    <w:rsid w:val="000B1D7B"/>
    <w:rsid w:val="000B1FF2"/>
    <w:rsid w:val="000B272F"/>
    <w:rsid w:val="000B3CDA"/>
    <w:rsid w:val="000B4A59"/>
    <w:rsid w:val="000B6A0B"/>
    <w:rsid w:val="000B6B00"/>
    <w:rsid w:val="000B6ED8"/>
    <w:rsid w:val="000C0BBC"/>
    <w:rsid w:val="000C0F6C"/>
    <w:rsid w:val="000C11DB"/>
    <w:rsid w:val="000C138B"/>
    <w:rsid w:val="000C1492"/>
    <w:rsid w:val="000C14E3"/>
    <w:rsid w:val="000C214B"/>
    <w:rsid w:val="000C2342"/>
    <w:rsid w:val="000C2FBD"/>
    <w:rsid w:val="000C3032"/>
    <w:rsid w:val="000C3410"/>
    <w:rsid w:val="000C4B41"/>
    <w:rsid w:val="000C4C17"/>
    <w:rsid w:val="000C57D6"/>
    <w:rsid w:val="000C6362"/>
    <w:rsid w:val="000C7666"/>
    <w:rsid w:val="000C7F22"/>
    <w:rsid w:val="000D0487"/>
    <w:rsid w:val="000D0A9C"/>
    <w:rsid w:val="000D1795"/>
    <w:rsid w:val="000D1D24"/>
    <w:rsid w:val="000D21F2"/>
    <w:rsid w:val="000D23F8"/>
    <w:rsid w:val="000D2BFA"/>
    <w:rsid w:val="000D329A"/>
    <w:rsid w:val="000D4B9C"/>
    <w:rsid w:val="000D4DAE"/>
    <w:rsid w:val="000D4EB6"/>
    <w:rsid w:val="000D64D4"/>
    <w:rsid w:val="000D7034"/>
    <w:rsid w:val="000D753B"/>
    <w:rsid w:val="000D758D"/>
    <w:rsid w:val="000E214F"/>
    <w:rsid w:val="000E3743"/>
    <w:rsid w:val="000E3D5A"/>
    <w:rsid w:val="000E40F6"/>
    <w:rsid w:val="000E470E"/>
    <w:rsid w:val="000E4C9E"/>
    <w:rsid w:val="000E51DE"/>
    <w:rsid w:val="000E6FD7"/>
    <w:rsid w:val="000E7916"/>
    <w:rsid w:val="000F06E1"/>
    <w:rsid w:val="000F0E3C"/>
    <w:rsid w:val="000F19D5"/>
    <w:rsid w:val="000F2A85"/>
    <w:rsid w:val="000F396B"/>
    <w:rsid w:val="000F4AEA"/>
    <w:rsid w:val="000F4BEE"/>
    <w:rsid w:val="000F4FBD"/>
    <w:rsid w:val="000F56B5"/>
    <w:rsid w:val="000F573F"/>
    <w:rsid w:val="000F66D8"/>
    <w:rsid w:val="000F67E9"/>
    <w:rsid w:val="001012DF"/>
    <w:rsid w:val="00101382"/>
    <w:rsid w:val="00104926"/>
    <w:rsid w:val="001064B4"/>
    <w:rsid w:val="00111319"/>
    <w:rsid w:val="0011179F"/>
    <w:rsid w:val="00113B1E"/>
    <w:rsid w:val="00113D3E"/>
    <w:rsid w:val="001145EA"/>
    <w:rsid w:val="001146BE"/>
    <w:rsid w:val="00114ABD"/>
    <w:rsid w:val="0011548A"/>
    <w:rsid w:val="00116230"/>
    <w:rsid w:val="0011711C"/>
    <w:rsid w:val="00121DA8"/>
    <w:rsid w:val="001227A3"/>
    <w:rsid w:val="00122D1A"/>
    <w:rsid w:val="001243FE"/>
    <w:rsid w:val="00124E4F"/>
    <w:rsid w:val="001260B7"/>
    <w:rsid w:val="001265CB"/>
    <w:rsid w:val="001319D1"/>
    <w:rsid w:val="001321C6"/>
    <w:rsid w:val="001325C4"/>
    <w:rsid w:val="00133010"/>
    <w:rsid w:val="001338EE"/>
    <w:rsid w:val="00133AAE"/>
    <w:rsid w:val="00133CE8"/>
    <w:rsid w:val="001342F6"/>
    <w:rsid w:val="00134765"/>
    <w:rsid w:val="00135323"/>
    <w:rsid w:val="001356C4"/>
    <w:rsid w:val="00135B72"/>
    <w:rsid w:val="00136CCD"/>
    <w:rsid w:val="00137796"/>
    <w:rsid w:val="0014095B"/>
    <w:rsid w:val="00140F5D"/>
    <w:rsid w:val="00141113"/>
    <w:rsid w:val="00141114"/>
    <w:rsid w:val="00141A73"/>
    <w:rsid w:val="00141B53"/>
    <w:rsid w:val="00141B54"/>
    <w:rsid w:val="00142969"/>
    <w:rsid w:val="00142FAC"/>
    <w:rsid w:val="001431A8"/>
    <w:rsid w:val="001438D1"/>
    <w:rsid w:val="00143DC6"/>
    <w:rsid w:val="001446C2"/>
    <w:rsid w:val="00144A99"/>
    <w:rsid w:val="0014569B"/>
    <w:rsid w:val="001457E7"/>
    <w:rsid w:val="00145A3A"/>
    <w:rsid w:val="00145D9D"/>
    <w:rsid w:val="00146388"/>
    <w:rsid w:val="00146526"/>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3417"/>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67F8F"/>
    <w:rsid w:val="00170804"/>
    <w:rsid w:val="001708E9"/>
    <w:rsid w:val="001718E4"/>
    <w:rsid w:val="00171EB8"/>
    <w:rsid w:val="001730C1"/>
    <w:rsid w:val="0017340B"/>
    <w:rsid w:val="00173FB1"/>
    <w:rsid w:val="00175475"/>
    <w:rsid w:val="001754E3"/>
    <w:rsid w:val="001757AA"/>
    <w:rsid w:val="00175FB0"/>
    <w:rsid w:val="00176DFD"/>
    <w:rsid w:val="001774EA"/>
    <w:rsid w:val="00181CB4"/>
    <w:rsid w:val="00182882"/>
    <w:rsid w:val="00183BEE"/>
    <w:rsid w:val="00184A8C"/>
    <w:rsid w:val="00184D15"/>
    <w:rsid w:val="001852C9"/>
    <w:rsid w:val="001864F6"/>
    <w:rsid w:val="00190087"/>
    <w:rsid w:val="001913C4"/>
    <w:rsid w:val="0019261F"/>
    <w:rsid w:val="00192BF6"/>
    <w:rsid w:val="0019348F"/>
    <w:rsid w:val="00193A07"/>
    <w:rsid w:val="0019410E"/>
    <w:rsid w:val="00194C95"/>
    <w:rsid w:val="00195C34"/>
    <w:rsid w:val="00196129"/>
    <w:rsid w:val="00196545"/>
    <w:rsid w:val="0019694C"/>
    <w:rsid w:val="00196EF5"/>
    <w:rsid w:val="001970E1"/>
    <w:rsid w:val="001A0A4B"/>
    <w:rsid w:val="001A12C2"/>
    <w:rsid w:val="001A1685"/>
    <w:rsid w:val="001A1A53"/>
    <w:rsid w:val="001A1C77"/>
    <w:rsid w:val="001A234A"/>
    <w:rsid w:val="001A3308"/>
    <w:rsid w:val="001A4CF3"/>
    <w:rsid w:val="001A55C1"/>
    <w:rsid w:val="001A78D0"/>
    <w:rsid w:val="001A7D80"/>
    <w:rsid w:val="001B06E8"/>
    <w:rsid w:val="001B0E70"/>
    <w:rsid w:val="001B4D06"/>
    <w:rsid w:val="001B614A"/>
    <w:rsid w:val="001B64A3"/>
    <w:rsid w:val="001B6582"/>
    <w:rsid w:val="001B7047"/>
    <w:rsid w:val="001B7112"/>
    <w:rsid w:val="001B71D0"/>
    <w:rsid w:val="001B71EE"/>
    <w:rsid w:val="001B7428"/>
    <w:rsid w:val="001B7BD8"/>
    <w:rsid w:val="001C04A8"/>
    <w:rsid w:val="001C2C03"/>
    <w:rsid w:val="001C3C00"/>
    <w:rsid w:val="001C41D8"/>
    <w:rsid w:val="001C42F7"/>
    <w:rsid w:val="001C49E5"/>
    <w:rsid w:val="001C680C"/>
    <w:rsid w:val="001C6A4D"/>
    <w:rsid w:val="001C7E22"/>
    <w:rsid w:val="001C7FEA"/>
    <w:rsid w:val="001D00CA"/>
    <w:rsid w:val="001D0499"/>
    <w:rsid w:val="001D0787"/>
    <w:rsid w:val="001D0BBE"/>
    <w:rsid w:val="001D0ED4"/>
    <w:rsid w:val="001D212F"/>
    <w:rsid w:val="001D2833"/>
    <w:rsid w:val="001D29D7"/>
    <w:rsid w:val="001D2DE7"/>
    <w:rsid w:val="001D2F69"/>
    <w:rsid w:val="001D3036"/>
    <w:rsid w:val="001D411C"/>
    <w:rsid w:val="001E11DC"/>
    <w:rsid w:val="001E1B6A"/>
    <w:rsid w:val="001E2484"/>
    <w:rsid w:val="001E3811"/>
    <w:rsid w:val="001E3B89"/>
    <w:rsid w:val="001E3CC4"/>
    <w:rsid w:val="001E468D"/>
    <w:rsid w:val="001E4882"/>
    <w:rsid w:val="001E519F"/>
    <w:rsid w:val="001E73AB"/>
    <w:rsid w:val="001F092D"/>
    <w:rsid w:val="001F143A"/>
    <w:rsid w:val="001F1605"/>
    <w:rsid w:val="001F205B"/>
    <w:rsid w:val="001F2508"/>
    <w:rsid w:val="001F3D47"/>
    <w:rsid w:val="001F3D74"/>
    <w:rsid w:val="001F4816"/>
    <w:rsid w:val="001F4E56"/>
    <w:rsid w:val="001F548E"/>
    <w:rsid w:val="001F69B4"/>
    <w:rsid w:val="001F77C7"/>
    <w:rsid w:val="00200183"/>
    <w:rsid w:val="00200333"/>
    <w:rsid w:val="0020107D"/>
    <w:rsid w:val="002016D2"/>
    <w:rsid w:val="00201C42"/>
    <w:rsid w:val="00202AA4"/>
    <w:rsid w:val="002031F7"/>
    <w:rsid w:val="002039E9"/>
    <w:rsid w:val="002040E6"/>
    <w:rsid w:val="0020503D"/>
    <w:rsid w:val="0020527B"/>
    <w:rsid w:val="002057A7"/>
    <w:rsid w:val="00205E3E"/>
    <w:rsid w:val="00205F2C"/>
    <w:rsid w:val="00207A9F"/>
    <w:rsid w:val="00210869"/>
    <w:rsid w:val="00210B15"/>
    <w:rsid w:val="002110E0"/>
    <w:rsid w:val="00211FCC"/>
    <w:rsid w:val="00212420"/>
    <w:rsid w:val="002124D4"/>
    <w:rsid w:val="00212CCD"/>
    <w:rsid w:val="002142EA"/>
    <w:rsid w:val="002148F0"/>
    <w:rsid w:val="00215BA1"/>
    <w:rsid w:val="002166FD"/>
    <w:rsid w:val="00217268"/>
    <w:rsid w:val="002200C4"/>
    <w:rsid w:val="002204BB"/>
    <w:rsid w:val="00221B79"/>
    <w:rsid w:val="00221C6B"/>
    <w:rsid w:val="0022345A"/>
    <w:rsid w:val="00223D70"/>
    <w:rsid w:val="002241B4"/>
    <w:rsid w:val="002249A7"/>
    <w:rsid w:val="00224E12"/>
    <w:rsid w:val="00225124"/>
    <w:rsid w:val="002253A1"/>
    <w:rsid w:val="00225CF8"/>
    <w:rsid w:val="00225F57"/>
    <w:rsid w:val="0022794E"/>
    <w:rsid w:val="002309FE"/>
    <w:rsid w:val="002330B8"/>
    <w:rsid w:val="002333FE"/>
    <w:rsid w:val="00233D64"/>
    <w:rsid w:val="0023482A"/>
    <w:rsid w:val="002359CB"/>
    <w:rsid w:val="00236A32"/>
    <w:rsid w:val="00236C9A"/>
    <w:rsid w:val="00240A56"/>
    <w:rsid w:val="00243540"/>
    <w:rsid w:val="002435B5"/>
    <w:rsid w:val="0024395E"/>
    <w:rsid w:val="00244456"/>
    <w:rsid w:val="0024497B"/>
    <w:rsid w:val="002449BA"/>
    <w:rsid w:val="0024515B"/>
    <w:rsid w:val="00246021"/>
    <w:rsid w:val="00246537"/>
    <w:rsid w:val="0024666E"/>
    <w:rsid w:val="0024684A"/>
    <w:rsid w:val="0024726A"/>
    <w:rsid w:val="00247F52"/>
    <w:rsid w:val="00250725"/>
    <w:rsid w:val="00250B25"/>
    <w:rsid w:val="00250BBE"/>
    <w:rsid w:val="002515C2"/>
    <w:rsid w:val="0025194F"/>
    <w:rsid w:val="00252174"/>
    <w:rsid w:val="002538D1"/>
    <w:rsid w:val="00254102"/>
    <w:rsid w:val="002559E2"/>
    <w:rsid w:val="00256CDE"/>
    <w:rsid w:val="00256EC2"/>
    <w:rsid w:val="00260C8F"/>
    <w:rsid w:val="0026148A"/>
    <w:rsid w:val="00262696"/>
    <w:rsid w:val="00262A58"/>
    <w:rsid w:val="00263454"/>
    <w:rsid w:val="002638D4"/>
    <w:rsid w:val="00263D25"/>
    <w:rsid w:val="002643C3"/>
    <w:rsid w:val="00264A0C"/>
    <w:rsid w:val="00266E11"/>
    <w:rsid w:val="00266EEB"/>
    <w:rsid w:val="002674CD"/>
    <w:rsid w:val="002678C8"/>
    <w:rsid w:val="00267EF4"/>
    <w:rsid w:val="00270CB8"/>
    <w:rsid w:val="0027214B"/>
    <w:rsid w:val="00272B08"/>
    <w:rsid w:val="00274650"/>
    <w:rsid w:val="0027534E"/>
    <w:rsid w:val="0028000E"/>
    <w:rsid w:val="00280FE5"/>
    <w:rsid w:val="00281BB8"/>
    <w:rsid w:val="00281BEC"/>
    <w:rsid w:val="00281C7A"/>
    <w:rsid w:val="00281E85"/>
    <w:rsid w:val="00281E9E"/>
    <w:rsid w:val="00282405"/>
    <w:rsid w:val="002837FE"/>
    <w:rsid w:val="002842F7"/>
    <w:rsid w:val="002846B7"/>
    <w:rsid w:val="00285170"/>
    <w:rsid w:val="00285361"/>
    <w:rsid w:val="002856BC"/>
    <w:rsid w:val="00286A6A"/>
    <w:rsid w:val="00286B16"/>
    <w:rsid w:val="00287769"/>
    <w:rsid w:val="00287BA2"/>
    <w:rsid w:val="00290181"/>
    <w:rsid w:val="002902EF"/>
    <w:rsid w:val="00292D60"/>
    <w:rsid w:val="00292DF0"/>
    <w:rsid w:val="00293B30"/>
    <w:rsid w:val="00294D34"/>
    <w:rsid w:val="00294E3B"/>
    <w:rsid w:val="00296193"/>
    <w:rsid w:val="00296C66"/>
    <w:rsid w:val="00296EBE"/>
    <w:rsid w:val="002974E3"/>
    <w:rsid w:val="00297589"/>
    <w:rsid w:val="00297E28"/>
    <w:rsid w:val="002A036B"/>
    <w:rsid w:val="002A084B"/>
    <w:rsid w:val="002A1260"/>
    <w:rsid w:val="002A1589"/>
    <w:rsid w:val="002A1608"/>
    <w:rsid w:val="002A22F4"/>
    <w:rsid w:val="002A2335"/>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CD7"/>
    <w:rsid w:val="002B1F89"/>
    <w:rsid w:val="002B2B10"/>
    <w:rsid w:val="002B4508"/>
    <w:rsid w:val="002B51BD"/>
    <w:rsid w:val="002B5779"/>
    <w:rsid w:val="002B5CA6"/>
    <w:rsid w:val="002B7332"/>
    <w:rsid w:val="002B7C90"/>
    <w:rsid w:val="002B7F51"/>
    <w:rsid w:val="002C00FF"/>
    <w:rsid w:val="002C045E"/>
    <w:rsid w:val="002C09E7"/>
    <w:rsid w:val="002C1E06"/>
    <w:rsid w:val="002C2254"/>
    <w:rsid w:val="002C2E9E"/>
    <w:rsid w:val="002C3F07"/>
    <w:rsid w:val="002C5278"/>
    <w:rsid w:val="002C5770"/>
    <w:rsid w:val="002C5E35"/>
    <w:rsid w:val="002C65B5"/>
    <w:rsid w:val="002C6D1E"/>
    <w:rsid w:val="002C7EBB"/>
    <w:rsid w:val="002D06C1"/>
    <w:rsid w:val="002D14F1"/>
    <w:rsid w:val="002D1DC8"/>
    <w:rsid w:val="002D2136"/>
    <w:rsid w:val="002D28D0"/>
    <w:rsid w:val="002D3076"/>
    <w:rsid w:val="002D3315"/>
    <w:rsid w:val="002D42B5"/>
    <w:rsid w:val="002D43B0"/>
    <w:rsid w:val="002D4F1A"/>
    <w:rsid w:val="002D5DF1"/>
    <w:rsid w:val="002D5E52"/>
    <w:rsid w:val="002D5E8C"/>
    <w:rsid w:val="002D666A"/>
    <w:rsid w:val="002D66F1"/>
    <w:rsid w:val="002D6EB9"/>
    <w:rsid w:val="002D6EC6"/>
    <w:rsid w:val="002D70CF"/>
    <w:rsid w:val="002D79AC"/>
    <w:rsid w:val="002E039D"/>
    <w:rsid w:val="002E2A8C"/>
    <w:rsid w:val="002E2B03"/>
    <w:rsid w:val="002E2F53"/>
    <w:rsid w:val="002E4D5A"/>
    <w:rsid w:val="002E5F0C"/>
    <w:rsid w:val="002E6078"/>
    <w:rsid w:val="002E60EC"/>
    <w:rsid w:val="002E6326"/>
    <w:rsid w:val="002E72C4"/>
    <w:rsid w:val="002E762C"/>
    <w:rsid w:val="002E7A7D"/>
    <w:rsid w:val="002E7F10"/>
    <w:rsid w:val="002F30E0"/>
    <w:rsid w:val="002F35E4"/>
    <w:rsid w:val="002F3730"/>
    <w:rsid w:val="002F38E1"/>
    <w:rsid w:val="002F3FF0"/>
    <w:rsid w:val="002F4802"/>
    <w:rsid w:val="002F4D82"/>
    <w:rsid w:val="002F5866"/>
    <w:rsid w:val="002F77BD"/>
    <w:rsid w:val="002F7AF6"/>
    <w:rsid w:val="00300533"/>
    <w:rsid w:val="00300E63"/>
    <w:rsid w:val="003017E6"/>
    <w:rsid w:val="00302F5F"/>
    <w:rsid w:val="00303296"/>
    <w:rsid w:val="00303C9D"/>
    <w:rsid w:val="0030412A"/>
    <w:rsid w:val="0030441D"/>
    <w:rsid w:val="00305A71"/>
    <w:rsid w:val="00306063"/>
    <w:rsid w:val="00306143"/>
    <w:rsid w:val="0030701B"/>
    <w:rsid w:val="00310F24"/>
    <w:rsid w:val="00312285"/>
    <w:rsid w:val="0031235B"/>
    <w:rsid w:val="00312509"/>
    <w:rsid w:val="00312704"/>
    <w:rsid w:val="00313192"/>
    <w:rsid w:val="003132F8"/>
    <w:rsid w:val="00313B85"/>
    <w:rsid w:val="003144BB"/>
    <w:rsid w:val="00314A89"/>
    <w:rsid w:val="003150FA"/>
    <w:rsid w:val="00315545"/>
    <w:rsid w:val="00317988"/>
    <w:rsid w:val="00320969"/>
    <w:rsid w:val="00322122"/>
    <w:rsid w:val="003221B4"/>
    <w:rsid w:val="0032227E"/>
    <w:rsid w:val="0032258D"/>
    <w:rsid w:val="00322E62"/>
    <w:rsid w:val="00324D13"/>
    <w:rsid w:val="00324EDD"/>
    <w:rsid w:val="00325673"/>
    <w:rsid w:val="00326723"/>
    <w:rsid w:val="003267FF"/>
    <w:rsid w:val="00327190"/>
    <w:rsid w:val="00331E7A"/>
    <w:rsid w:val="003331E4"/>
    <w:rsid w:val="0033610E"/>
    <w:rsid w:val="00336C64"/>
    <w:rsid w:val="00337162"/>
    <w:rsid w:val="0034194F"/>
    <w:rsid w:val="0034361F"/>
    <w:rsid w:val="00344605"/>
    <w:rsid w:val="003461AA"/>
    <w:rsid w:val="00347061"/>
    <w:rsid w:val="003474AA"/>
    <w:rsid w:val="003478A4"/>
    <w:rsid w:val="00350D1D"/>
    <w:rsid w:val="00351248"/>
    <w:rsid w:val="003513CB"/>
    <w:rsid w:val="00351CF4"/>
    <w:rsid w:val="00352A50"/>
    <w:rsid w:val="00352C83"/>
    <w:rsid w:val="00352F28"/>
    <w:rsid w:val="00352FBA"/>
    <w:rsid w:val="00354048"/>
    <w:rsid w:val="0035405B"/>
    <w:rsid w:val="0035792A"/>
    <w:rsid w:val="00360D25"/>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7DC"/>
    <w:rsid w:val="003659AE"/>
    <w:rsid w:val="00365AA9"/>
    <w:rsid w:val="00365D50"/>
    <w:rsid w:val="00365F86"/>
    <w:rsid w:val="00365F87"/>
    <w:rsid w:val="00366E89"/>
    <w:rsid w:val="00367215"/>
    <w:rsid w:val="003677F7"/>
    <w:rsid w:val="00367A8B"/>
    <w:rsid w:val="00367ADD"/>
    <w:rsid w:val="003705F4"/>
    <w:rsid w:val="00370D58"/>
    <w:rsid w:val="0037118F"/>
    <w:rsid w:val="003712C4"/>
    <w:rsid w:val="00371316"/>
    <w:rsid w:val="00371EB7"/>
    <w:rsid w:val="00371FAA"/>
    <w:rsid w:val="00372AA1"/>
    <w:rsid w:val="00372EF0"/>
    <w:rsid w:val="003732A5"/>
    <w:rsid w:val="00373DC3"/>
    <w:rsid w:val="00373ED0"/>
    <w:rsid w:val="00374AB4"/>
    <w:rsid w:val="00374FA0"/>
    <w:rsid w:val="00376713"/>
    <w:rsid w:val="00377B26"/>
    <w:rsid w:val="00380048"/>
    <w:rsid w:val="003805F4"/>
    <w:rsid w:val="003816C7"/>
    <w:rsid w:val="00381815"/>
    <w:rsid w:val="003819AF"/>
    <w:rsid w:val="003820E9"/>
    <w:rsid w:val="00382DE7"/>
    <w:rsid w:val="0038332B"/>
    <w:rsid w:val="0038401B"/>
    <w:rsid w:val="00384FFC"/>
    <w:rsid w:val="003864B9"/>
    <w:rsid w:val="003872FC"/>
    <w:rsid w:val="00387ADC"/>
    <w:rsid w:val="00390020"/>
    <w:rsid w:val="00390100"/>
    <w:rsid w:val="003903D6"/>
    <w:rsid w:val="00390EE6"/>
    <w:rsid w:val="0039118F"/>
    <w:rsid w:val="00392AD7"/>
    <w:rsid w:val="003938D9"/>
    <w:rsid w:val="00394274"/>
    <w:rsid w:val="00394376"/>
    <w:rsid w:val="003943FF"/>
    <w:rsid w:val="00395EAA"/>
    <w:rsid w:val="00396478"/>
    <w:rsid w:val="003974EB"/>
    <w:rsid w:val="00397C94"/>
    <w:rsid w:val="00397CC5"/>
    <w:rsid w:val="00397DB1"/>
    <w:rsid w:val="003A00CB"/>
    <w:rsid w:val="003A1582"/>
    <w:rsid w:val="003A2A50"/>
    <w:rsid w:val="003A376C"/>
    <w:rsid w:val="003A4077"/>
    <w:rsid w:val="003A417D"/>
    <w:rsid w:val="003A515E"/>
    <w:rsid w:val="003A5892"/>
    <w:rsid w:val="003A5E1A"/>
    <w:rsid w:val="003A68F9"/>
    <w:rsid w:val="003A7695"/>
    <w:rsid w:val="003B09AD"/>
    <w:rsid w:val="003B1A71"/>
    <w:rsid w:val="003B1E2D"/>
    <w:rsid w:val="003B1F18"/>
    <w:rsid w:val="003B2A20"/>
    <w:rsid w:val="003B5BF0"/>
    <w:rsid w:val="003B5F46"/>
    <w:rsid w:val="003B60BF"/>
    <w:rsid w:val="003B6BE3"/>
    <w:rsid w:val="003B7487"/>
    <w:rsid w:val="003C010C"/>
    <w:rsid w:val="003C0A6C"/>
    <w:rsid w:val="003C14F8"/>
    <w:rsid w:val="003C2E63"/>
    <w:rsid w:val="003C37B5"/>
    <w:rsid w:val="003C3E45"/>
    <w:rsid w:val="003C4468"/>
    <w:rsid w:val="003C5416"/>
    <w:rsid w:val="003C5578"/>
    <w:rsid w:val="003C5A43"/>
    <w:rsid w:val="003C7062"/>
    <w:rsid w:val="003C77C2"/>
    <w:rsid w:val="003D01B5"/>
    <w:rsid w:val="003D0519"/>
    <w:rsid w:val="003D0912"/>
    <w:rsid w:val="003D0FF6"/>
    <w:rsid w:val="003D262C"/>
    <w:rsid w:val="003D278D"/>
    <w:rsid w:val="003D38AF"/>
    <w:rsid w:val="003D3D5E"/>
    <w:rsid w:val="003D5FCF"/>
    <w:rsid w:val="003D6D61"/>
    <w:rsid w:val="003D7D30"/>
    <w:rsid w:val="003D7D92"/>
    <w:rsid w:val="003E091D"/>
    <w:rsid w:val="003E1667"/>
    <w:rsid w:val="003E1C53"/>
    <w:rsid w:val="003E2A69"/>
    <w:rsid w:val="003E2D49"/>
    <w:rsid w:val="003E2FD4"/>
    <w:rsid w:val="003E31AF"/>
    <w:rsid w:val="003E3E46"/>
    <w:rsid w:val="003E49F6"/>
    <w:rsid w:val="003E4DE0"/>
    <w:rsid w:val="003E519B"/>
    <w:rsid w:val="003E543C"/>
    <w:rsid w:val="003E5F88"/>
    <w:rsid w:val="003E660F"/>
    <w:rsid w:val="003E6FC7"/>
    <w:rsid w:val="003F018A"/>
    <w:rsid w:val="003F01D3"/>
    <w:rsid w:val="003F06A2"/>
    <w:rsid w:val="003F0841"/>
    <w:rsid w:val="003F10D8"/>
    <w:rsid w:val="003F166D"/>
    <w:rsid w:val="003F19AF"/>
    <w:rsid w:val="003F1E15"/>
    <w:rsid w:val="003F23D3"/>
    <w:rsid w:val="003F27F8"/>
    <w:rsid w:val="003F3E07"/>
    <w:rsid w:val="003F3F08"/>
    <w:rsid w:val="003F49F1"/>
    <w:rsid w:val="003F509D"/>
    <w:rsid w:val="003F5CB7"/>
    <w:rsid w:val="003F5F8B"/>
    <w:rsid w:val="003F6272"/>
    <w:rsid w:val="003F651F"/>
    <w:rsid w:val="003F7030"/>
    <w:rsid w:val="003F76FB"/>
    <w:rsid w:val="00400E72"/>
    <w:rsid w:val="00401400"/>
    <w:rsid w:val="00402649"/>
    <w:rsid w:val="0040312A"/>
    <w:rsid w:val="0040386A"/>
    <w:rsid w:val="00403FDE"/>
    <w:rsid w:val="00404869"/>
    <w:rsid w:val="00405884"/>
    <w:rsid w:val="00406B8F"/>
    <w:rsid w:val="00407D39"/>
    <w:rsid w:val="00410B1D"/>
    <w:rsid w:val="00410B77"/>
    <w:rsid w:val="00410CFD"/>
    <w:rsid w:val="00411C80"/>
    <w:rsid w:val="00412227"/>
    <w:rsid w:val="00413AC8"/>
    <w:rsid w:val="00413B8F"/>
    <w:rsid w:val="0041477A"/>
    <w:rsid w:val="00414DA9"/>
    <w:rsid w:val="004167A3"/>
    <w:rsid w:val="00420D8F"/>
    <w:rsid w:val="00421588"/>
    <w:rsid w:val="00421621"/>
    <w:rsid w:val="00421E3A"/>
    <w:rsid w:val="004228E4"/>
    <w:rsid w:val="00422AB9"/>
    <w:rsid w:val="00422E30"/>
    <w:rsid w:val="00423008"/>
    <w:rsid w:val="00423E27"/>
    <w:rsid w:val="004253D3"/>
    <w:rsid w:val="00427EB0"/>
    <w:rsid w:val="00430448"/>
    <w:rsid w:val="004305E5"/>
    <w:rsid w:val="00431AC9"/>
    <w:rsid w:val="004322AE"/>
    <w:rsid w:val="00432DAA"/>
    <w:rsid w:val="0043359C"/>
    <w:rsid w:val="00434305"/>
    <w:rsid w:val="00435DF7"/>
    <w:rsid w:val="00436A85"/>
    <w:rsid w:val="00436C2D"/>
    <w:rsid w:val="0044083F"/>
    <w:rsid w:val="00441AE7"/>
    <w:rsid w:val="00443958"/>
    <w:rsid w:val="00443DC7"/>
    <w:rsid w:val="00443EC6"/>
    <w:rsid w:val="00445574"/>
    <w:rsid w:val="004467FB"/>
    <w:rsid w:val="0045007F"/>
    <w:rsid w:val="0045240E"/>
    <w:rsid w:val="00452D6B"/>
    <w:rsid w:val="004534E4"/>
    <w:rsid w:val="00453762"/>
    <w:rsid w:val="00453904"/>
    <w:rsid w:val="00454484"/>
    <w:rsid w:val="0045517B"/>
    <w:rsid w:val="00455ED7"/>
    <w:rsid w:val="00456DE6"/>
    <w:rsid w:val="00457347"/>
    <w:rsid w:val="004574F2"/>
    <w:rsid w:val="004577C6"/>
    <w:rsid w:val="00457E0F"/>
    <w:rsid w:val="00462503"/>
    <w:rsid w:val="00462B02"/>
    <w:rsid w:val="00462DCC"/>
    <w:rsid w:val="00463B77"/>
    <w:rsid w:val="00463C7B"/>
    <w:rsid w:val="00463F6E"/>
    <w:rsid w:val="004644A6"/>
    <w:rsid w:val="00464A55"/>
    <w:rsid w:val="004659BD"/>
    <w:rsid w:val="00470775"/>
    <w:rsid w:val="00470C5C"/>
    <w:rsid w:val="00471C7D"/>
    <w:rsid w:val="00472E5D"/>
    <w:rsid w:val="0047323F"/>
    <w:rsid w:val="00473346"/>
    <w:rsid w:val="004746B1"/>
    <w:rsid w:val="00475523"/>
    <w:rsid w:val="0047583F"/>
    <w:rsid w:val="00475DE8"/>
    <w:rsid w:val="00476920"/>
    <w:rsid w:val="0047699B"/>
    <w:rsid w:val="00477F53"/>
    <w:rsid w:val="00481C44"/>
    <w:rsid w:val="00481CCB"/>
    <w:rsid w:val="00484936"/>
    <w:rsid w:val="004855B1"/>
    <w:rsid w:val="00485C89"/>
    <w:rsid w:val="00485FCB"/>
    <w:rsid w:val="00486BE3"/>
    <w:rsid w:val="0048724A"/>
    <w:rsid w:val="004905E4"/>
    <w:rsid w:val="00490A89"/>
    <w:rsid w:val="00490AB4"/>
    <w:rsid w:val="00490C55"/>
    <w:rsid w:val="00490E89"/>
    <w:rsid w:val="00491736"/>
    <w:rsid w:val="0049190D"/>
    <w:rsid w:val="00492F02"/>
    <w:rsid w:val="004939AE"/>
    <w:rsid w:val="00493F5E"/>
    <w:rsid w:val="0049402B"/>
    <w:rsid w:val="00494452"/>
    <w:rsid w:val="00495D42"/>
    <w:rsid w:val="00496584"/>
    <w:rsid w:val="004A0E90"/>
    <w:rsid w:val="004A12DF"/>
    <w:rsid w:val="004A1765"/>
    <w:rsid w:val="004A1B31"/>
    <w:rsid w:val="004A1BA8"/>
    <w:rsid w:val="004A2A0D"/>
    <w:rsid w:val="004A2D2E"/>
    <w:rsid w:val="004A31FB"/>
    <w:rsid w:val="004A32B5"/>
    <w:rsid w:val="004A42A4"/>
    <w:rsid w:val="004A4B57"/>
    <w:rsid w:val="004A56CC"/>
    <w:rsid w:val="004A61C6"/>
    <w:rsid w:val="004A635F"/>
    <w:rsid w:val="004A63FA"/>
    <w:rsid w:val="004A7DDB"/>
    <w:rsid w:val="004B0272"/>
    <w:rsid w:val="004B0A02"/>
    <w:rsid w:val="004B16A6"/>
    <w:rsid w:val="004B17D0"/>
    <w:rsid w:val="004B1B08"/>
    <w:rsid w:val="004B1FB8"/>
    <w:rsid w:val="004B266D"/>
    <w:rsid w:val="004B2701"/>
    <w:rsid w:val="004B2E1B"/>
    <w:rsid w:val="004B3AA8"/>
    <w:rsid w:val="004B3E93"/>
    <w:rsid w:val="004B40E1"/>
    <w:rsid w:val="004B573B"/>
    <w:rsid w:val="004B57F9"/>
    <w:rsid w:val="004B5ED0"/>
    <w:rsid w:val="004B6B5B"/>
    <w:rsid w:val="004B7445"/>
    <w:rsid w:val="004C0A8C"/>
    <w:rsid w:val="004C16A8"/>
    <w:rsid w:val="004C1FBC"/>
    <w:rsid w:val="004C3F1D"/>
    <w:rsid w:val="004C3FF6"/>
    <w:rsid w:val="004C458D"/>
    <w:rsid w:val="004C564E"/>
    <w:rsid w:val="004C6BA9"/>
    <w:rsid w:val="004C7556"/>
    <w:rsid w:val="004C7E2E"/>
    <w:rsid w:val="004C7E8B"/>
    <w:rsid w:val="004C7E9D"/>
    <w:rsid w:val="004C7F67"/>
    <w:rsid w:val="004D076D"/>
    <w:rsid w:val="004D08AF"/>
    <w:rsid w:val="004D0EF1"/>
    <w:rsid w:val="004D2253"/>
    <w:rsid w:val="004D2568"/>
    <w:rsid w:val="004D2A23"/>
    <w:rsid w:val="004D3B68"/>
    <w:rsid w:val="004D41C7"/>
    <w:rsid w:val="004D4406"/>
    <w:rsid w:val="004D7C42"/>
    <w:rsid w:val="004E0465"/>
    <w:rsid w:val="004E07EB"/>
    <w:rsid w:val="004E127B"/>
    <w:rsid w:val="004E1597"/>
    <w:rsid w:val="004E1C0A"/>
    <w:rsid w:val="004E1E82"/>
    <w:rsid w:val="004E2AD9"/>
    <w:rsid w:val="004E30C5"/>
    <w:rsid w:val="004E3506"/>
    <w:rsid w:val="004E3AF9"/>
    <w:rsid w:val="004E3BA0"/>
    <w:rsid w:val="004E4AA5"/>
    <w:rsid w:val="004E4AEE"/>
    <w:rsid w:val="004E53FB"/>
    <w:rsid w:val="004E59E3"/>
    <w:rsid w:val="004E5BA5"/>
    <w:rsid w:val="004E67C0"/>
    <w:rsid w:val="004E6870"/>
    <w:rsid w:val="004E69FB"/>
    <w:rsid w:val="004E6AC5"/>
    <w:rsid w:val="004F0323"/>
    <w:rsid w:val="004F044E"/>
    <w:rsid w:val="004F0E59"/>
    <w:rsid w:val="004F144D"/>
    <w:rsid w:val="004F240F"/>
    <w:rsid w:val="004F391A"/>
    <w:rsid w:val="004F3CFB"/>
    <w:rsid w:val="004F6456"/>
    <w:rsid w:val="004F64F9"/>
    <w:rsid w:val="004F65F8"/>
    <w:rsid w:val="004F696E"/>
    <w:rsid w:val="004F6996"/>
    <w:rsid w:val="004F6C71"/>
    <w:rsid w:val="004F705D"/>
    <w:rsid w:val="0050016C"/>
    <w:rsid w:val="00500798"/>
    <w:rsid w:val="00501139"/>
    <w:rsid w:val="00501E2E"/>
    <w:rsid w:val="00502DB6"/>
    <w:rsid w:val="0050347C"/>
    <w:rsid w:val="0050363E"/>
    <w:rsid w:val="005036B2"/>
    <w:rsid w:val="005039BC"/>
    <w:rsid w:val="00503B21"/>
    <w:rsid w:val="00503E89"/>
    <w:rsid w:val="005040DB"/>
    <w:rsid w:val="005043BB"/>
    <w:rsid w:val="00504A3D"/>
    <w:rsid w:val="005052FC"/>
    <w:rsid w:val="00505767"/>
    <w:rsid w:val="005073F0"/>
    <w:rsid w:val="005103C9"/>
    <w:rsid w:val="00510A7B"/>
    <w:rsid w:val="00510BC6"/>
    <w:rsid w:val="005123F4"/>
    <w:rsid w:val="00512F6E"/>
    <w:rsid w:val="00513038"/>
    <w:rsid w:val="00513162"/>
    <w:rsid w:val="00514174"/>
    <w:rsid w:val="0051538B"/>
    <w:rsid w:val="00516088"/>
    <w:rsid w:val="00516B0B"/>
    <w:rsid w:val="00517C33"/>
    <w:rsid w:val="0052125B"/>
    <w:rsid w:val="005220EC"/>
    <w:rsid w:val="0052394D"/>
    <w:rsid w:val="00523F95"/>
    <w:rsid w:val="00524690"/>
    <w:rsid w:val="00524D65"/>
    <w:rsid w:val="00525B16"/>
    <w:rsid w:val="00526439"/>
    <w:rsid w:val="005264FE"/>
    <w:rsid w:val="005268A7"/>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5CD"/>
    <w:rsid w:val="005458A1"/>
    <w:rsid w:val="005471C1"/>
    <w:rsid w:val="005479DA"/>
    <w:rsid w:val="00547BCC"/>
    <w:rsid w:val="00547CC6"/>
    <w:rsid w:val="0055013B"/>
    <w:rsid w:val="00550E9F"/>
    <w:rsid w:val="00551F6F"/>
    <w:rsid w:val="0055216E"/>
    <w:rsid w:val="00552816"/>
    <w:rsid w:val="00555044"/>
    <w:rsid w:val="0056044A"/>
    <w:rsid w:val="00561475"/>
    <w:rsid w:val="0056278E"/>
    <w:rsid w:val="0056487B"/>
    <w:rsid w:val="00564FB9"/>
    <w:rsid w:val="00565083"/>
    <w:rsid w:val="005654D5"/>
    <w:rsid w:val="00565F95"/>
    <w:rsid w:val="00567012"/>
    <w:rsid w:val="005679F9"/>
    <w:rsid w:val="0057067E"/>
    <w:rsid w:val="00570ED6"/>
    <w:rsid w:val="00572514"/>
    <w:rsid w:val="00572527"/>
    <w:rsid w:val="00573A32"/>
    <w:rsid w:val="00573D9E"/>
    <w:rsid w:val="00573ED5"/>
    <w:rsid w:val="005749AB"/>
    <w:rsid w:val="00576288"/>
    <w:rsid w:val="0057685C"/>
    <w:rsid w:val="005801E3"/>
    <w:rsid w:val="00581802"/>
    <w:rsid w:val="00582E92"/>
    <w:rsid w:val="00582FA4"/>
    <w:rsid w:val="005836A8"/>
    <w:rsid w:val="0058409C"/>
    <w:rsid w:val="00584262"/>
    <w:rsid w:val="005861EE"/>
    <w:rsid w:val="00586630"/>
    <w:rsid w:val="00586F3A"/>
    <w:rsid w:val="0058714D"/>
    <w:rsid w:val="0058736E"/>
    <w:rsid w:val="00587437"/>
    <w:rsid w:val="005874A2"/>
    <w:rsid w:val="00587ADD"/>
    <w:rsid w:val="0059106D"/>
    <w:rsid w:val="00592395"/>
    <w:rsid w:val="00593998"/>
    <w:rsid w:val="00594975"/>
    <w:rsid w:val="00596160"/>
    <w:rsid w:val="00596564"/>
    <w:rsid w:val="005966E2"/>
    <w:rsid w:val="00597007"/>
    <w:rsid w:val="005A0966"/>
    <w:rsid w:val="005A11B7"/>
    <w:rsid w:val="005A1E78"/>
    <w:rsid w:val="005A260B"/>
    <w:rsid w:val="005A4591"/>
    <w:rsid w:val="005A4A1B"/>
    <w:rsid w:val="005A4B43"/>
    <w:rsid w:val="005A5956"/>
    <w:rsid w:val="005A5E0A"/>
    <w:rsid w:val="005A6BD7"/>
    <w:rsid w:val="005A73C8"/>
    <w:rsid w:val="005A7830"/>
    <w:rsid w:val="005A7FCE"/>
    <w:rsid w:val="005B086F"/>
    <w:rsid w:val="005B0F3F"/>
    <w:rsid w:val="005B11C7"/>
    <w:rsid w:val="005B41A5"/>
    <w:rsid w:val="005B4903"/>
    <w:rsid w:val="005B51CE"/>
    <w:rsid w:val="005B5885"/>
    <w:rsid w:val="005B5CD7"/>
    <w:rsid w:val="005B6B3A"/>
    <w:rsid w:val="005B6CF6"/>
    <w:rsid w:val="005B7422"/>
    <w:rsid w:val="005C22F6"/>
    <w:rsid w:val="005C29B8"/>
    <w:rsid w:val="005C4EB3"/>
    <w:rsid w:val="005C5F21"/>
    <w:rsid w:val="005C646D"/>
    <w:rsid w:val="005C648B"/>
    <w:rsid w:val="005C70A3"/>
    <w:rsid w:val="005C7156"/>
    <w:rsid w:val="005C7F6F"/>
    <w:rsid w:val="005D030B"/>
    <w:rsid w:val="005D0C75"/>
    <w:rsid w:val="005D133D"/>
    <w:rsid w:val="005D1B41"/>
    <w:rsid w:val="005D21B1"/>
    <w:rsid w:val="005D285C"/>
    <w:rsid w:val="005D2A8B"/>
    <w:rsid w:val="005D2F43"/>
    <w:rsid w:val="005D3601"/>
    <w:rsid w:val="005D36F7"/>
    <w:rsid w:val="005D4171"/>
    <w:rsid w:val="005D4C2D"/>
    <w:rsid w:val="005D4F3A"/>
    <w:rsid w:val="005D5A0D"/>
    <w:rsid w:val="005D6243"/>
    <w:rsid w:val="005D69F7"/>
    <w:rsid w:val="005D6A95"/>
    <w:rsid w:val="005D6B2C"/>
    <w:rsid w:val="005D6D9C"/>
    <w:rsid w:val="005D7FAA"/>
    <w:rsid w:val="005E0EFD"/>
    <w:rsid w:val="005E2335"/>
    <w:rsid w:val="005E279B"/>
    <w:rsid w:val="005E34CA"/>
    <w:rsid w:val="005E3C18"/>
    <w:rsid w:val="005E3CCC"/>
    <w:rsid w:val="005E65E6"/>
    <w:rsid w:val="005E6812"/>
    <w:rsid w:val="005E7881"/>
    <w:rsid w:val="005E78E0"/>
    <w:rsid w:val="005F08E9"/>
    <w:rsid w:val="005F0D9C"/>
    <w:rsid w:val="005F284E"/>
    <w:rsid w:val="005F5CF6"/>
    <w:rsid w:val="005F6EDD"/>
    <w:rsid w:val="00600453"/>
    <w:rsid w:val="00600F31"/>
    <w:rsid w:val="006015CE"/>
    <w:rsid w:val="00602E94"/>
    <w:rsid w:val="00603FF5"/>
    <w:rsid w:val="00604784"/>
    <w:rsid w:val="00606419"/>
    <w:rsid w:val="00607BD9"/>
    <w:rsid w:val="00607C9D"/>
    <w:rsid w:val="00607D29"/>
    <w:rsid w:val="00612952"/>
    <w:rsid w:val="00614002"/>
    <w:rsid w:val="00614CC1"/>
    <w:rsid w:val="00615A9D"/>
    <w:rsid w:val="00616558"/>
    <w:rsid w:val="00617387"/>
    <w:rsid w:val="006201EE"/>
    <w:rsid w:val="006205D6"/>
    <w:rsid w:val="006209B3"/>
    <w:rsid w:val="006241F9"/>
    <w:rsid w:val="00625166"/>
    <w:rsid w:val="006252D8"/>
    <w:rsid w:val="006259BC"/>
    <w:rsid w:val="00626141"/>
    <w:rsid w:val="0062636B"/>
    <w:rsid w:val="00630CD8"/>
    <w:rsid w:val="00631234"/>
    <w:rsid w:val="00631A8D"/>
    <w:rsid w:val="00632182"/>
    <w:rsid w:val="00632AE0"/>
    <w:rsid w:val="00633C17"/>
    <w:rsid w:val="00634D9E"/>
    <w:rsid w:val="0063590F"/>
    <w:rsid w:val="006362DA"/>
    <w:rsid w:val="00636E3E"/>
    <w:rsid w:val="00637862"/>
    <w:rsid w:val="006379F7"/>
    <w:rsid w:val="00637E4D"/>
    <w:rsid w:val="00640620"/>
    <w:rsid w:val="00641295"/>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0678"/>
    <w:rsid w:val="00661C54"/>
    <w:rsid w:val="00662CB0"/>
    <w:rsid w:val="00663706"/>
    <w:rsid w:val="00663C92"/>
    <w:rsid w:val="00663F7D"/>
    <w:rsid w:val="006640E5"/>
    <w:rsid w:val="006646F1"/>
    <w:rsid w:val="00664929"/>
    <w:rsid w:val="00664F62"/>
    <w:rsid w:val="006655E1"/>
    <w:rsid w:val="00667994"/>
    <w:rsid w:val="0067123A"/>
    <w:rsid w:val="00672060"/>
    <w:rsid w:val="006727F9"/>
    <w:rsid w:val="00672BFD"/>
    <w:rsid w:val="0067639B"/>
    <w:rsid w:val="00676D2B"/>
    <w:rsid w:val="006770F4"/>
    <w:rsid w:val="00677A84"/>
    <w:rsid w:val="0068026D"/>
    <w:rsid w:val="006805DE"/>
    <w:rsid w:val="00680A27"/>
    <w:rsid w:val="00681002"/>
    <w:rsid w:val="006816A4"/>
    <w:rsid w:val="006819B8"/>
    <w:rsid w:val="006821C8"/>
    <w:rsid w:val="006840A6"/>
    <w:rsid w:val="006845E6"/>
    <w:rsid w:val="006850CD"/>
    <w:rsid w:val="006856D5"/>
    <w:rsid w:val="00685AAB"/>
    <w:rsid w:val="00687AAD"/>
    <w:rsid w:val="00687E14"/>
    <w:rsid w:val="0069071F"/>
    <w:rsid w:val="00690BFB"/>
    <w:rsid w:val="00692537"/>
    <w:rsid w:val="006930B3"/>
    <w:rsid w:val="0069438A"/>
    <w:rsid w:val="006A07AA"/>
    <w:rsid w:val="006A0CBF"/>
    <w:rsid w:val="006A25E5"/>
    <w:rsid w:val="006A2B46"/>
    <w:rsid w:val="006A336D"/>
    <w:rsid w:val="006A37B9"/>
    <w:rsid w:val="006A3A2C"/>
    <w:rsid w:val="006A633B"/>
    <w:rsid w:val="006B002D"/>
    <w:rsid w:val="006B062E"/>
    <w:rsid w:val="006B0D19"/>
    <w:rsid w:val="006B1326"/>
    <w:rsid w:val="006B14D3"/>
    <w:rsid w:val="006B2672"/>
    <w:rsid w:val="006B2842"/>
    <w:rsid w:val="006B4000"/>
    <w:rsid w:val="006B54BF"/>
    <w:rsid w:val="006B5F44"/>
    <w:rsid w:val="006B5F90"/>
    <w:rsid w:val="006B62E4"/>
    <w:rsid w:val="006B6711"/>
    <w:rsid w:val="006B6D6C"/>
    <w:rsid w:val="006B6F64"/>
    <w:rsid w:val="006C1BBA"/>
    <w:rsid w:val="006C2079"/>
    <w:rsid w:val="006C25BA"/>
    <w:rsid w:val="006C4CC8"/>
    <w:rsid w:val="006C57F5"/>
    <w:rsid w:val="006C5A62"/>
    <w:rsid w:val="006C5D68"/>
    <w:rsid w:val="006C6105"/>
    <w:rsid w:val="006C62BC"/>
    <w:rsid w:val="006C64DD"/>
    <w:rsid w:val="006C6976"/>
    <w:rsid w:val="006C6DD0"/>
    <w:rsid w:val="006D04EA"/>
    <w:rsid w:val="006D0B25"/>
    <w:rsid w:val="006D16C4"/>
    <w:rsid w:val="006D1CAB"/>
    <w:rsid w:val="006D1E4B"/>
    <w:rsid w:val="006D326F"/>
    <w:rsid w:val="006D3B26"/>
    <w:rsid w:val="006D3E96"/>
    <w:rsid w:val="006D4515"/>
    <w:rsid w:val="006D4BB1"/>
    <w:rsid w:val="006D6593"/>
    <w:rsid w:val="006D7C9E"/>
    <w:rsid w:val="006E0318"/>
    <w:rsid w:val="006E0B94"/>
    <w:rsid w:val="006E1E24"/>
    <w:rsid w:val="006E3696"/>
    <w:rsid w:val="006E405E"/>
    <w:rsid w:val="006E4494"/>
    <w:rsid w:val="006E4C31"/>
    <w:rsid w:val="006E5F66"/>
    <w:rsid w:val="006E62FE"/>
    <w:rsid w:val="006E7ACA"/>
    <w:rsid w:val="006E7D0F"/>
    <w:rsid w:val="006F03A8"/>
    <w:rsid w:val="006F0469"/>
    <w:rsid w:val="006F063A"/>
    <w:rsid w:val="006F1714"/>
    <w:rsid w:val="006F1E0F"/>
    <w:rsid w:val="006F2ACA"/>
    <w:rsid w:val="006F2ADC"/>
    <w:rsid w:val="006F2BFE"/>
    <w:rsid w:val="006F31E9"/>
    <w:rsid w:val="006F37A0"/>
    <w:rsid w:val="006F3962"/>
    <w:rsid w:val="006F4728"/>
    <w:rsid w:val="006F6265"/>
    <w:rsid w:val="006F6284"/>
    <w:rsid w:val="006F69AC"/>
    <w:rsid w:val="007002C5"/>
    <w:rsid w:val="00701ED8"/>
    <w:rsid w:val="00702684"/>
    <w:rsid w:val="0070389A"/>
    <w:rsid w:val="0070425D"/>
    <w:rsid w:val="00704332"/>
    <w:rsid w:val="00704387"/>
    <w:rsid w:val="00706362"/>
    <w:rsid w:val="00706CA3"/>
    <w:rsid w:val="00707669"/>
    <w:rsid w:val="00710075"/>
    <w:rsid w:val="00711CBA"/>
    <w:rsid w:val="00711FB5"/>
    <w:rsid w:val="00712A01"/>
    <w:rsid w:val="0071363F"/>
    <w:rsid w:val="00714F58"/>
    <w:rsid w:val="00715B4B"/>
    <w:rsid w:val="00715EF1"/>
    <w:rsid w:val="00716092"/>
    <w:rsid w:val="0071639C"/>
    <w:rsid w:val="007215BD"/>
    <w:rsid w:val="00721B4E"/>
    <w:rsid w:val="00722EA9"/>
    <w:rsid w:val="00722FBF"/>
    <w:rsid w:val="00722FC2"/>
    <w:rsid w:val="00723511"/>
    <w:rsid w:val="00723C9C"/>
    <w:rsid w:val="00724E1B"/>
    <w:rsid w:val="0072577F"/>
    <w:rsid w:val="00725949"/>
    <w:rsid w:val="00725BA5"/>
    <w:rsid w:val="00726043"/>
    <w:rsid w:val="00726E8E"/>
    <w:rsid w:val="00727D27"/>
    <w:rsid w:val="00727FA2"/>
    <w:rsid w:val="007304BE"/>
    <w:rsid w:val="00731206"/>
    <w:rsid w:val="007322D9"/>
    <w:rsid w:val="00732BC0"/>
    <w:rsid w:val="007330B0"/>
    <w:rsid w:val="007331C5"/>
    <w:rsid w:val="007360E8"/>
    <w:rsid w:val="007367BD"/>
    <w:rsid w:val="0073720F"/>
    <w:rsid w:val="007374E8"/>
    <w:rsid w:val="00737796"/>
    <w:rsid w:val="0074165C"/>
    <w:rsid w:val="00741E65"/>
    <w:rsid w:val="00741FF1"/>
    <w:rsid w:val="00742C35"/>
    <w:rsid w:val="007432CA"/>
    <w:rsid w:val="007439EB"/>
    <w:rsid w:val="00743CB4"/>
    <w:rsid w:val="00743F0A"/>
    <w:rsid w:val="0074403D"/>
    <w:rsid w:val="007444E8"/>
    <w:rsid w:val="00744964"/>
    <w:rsid w:val="0074548E"/>
    <w:rsid w:val="00745648"/>
    <w:rsid w:val="00745773"/>
    <w:rsid w:val="00746800"/>
    <w:rsid w:val="00746F32"/>
    <w:rsid w:val="007500C5"/>
    <w:rsid w:val="007501A8"/>
    <w:rsid w:val="00750D61"/>
    <w:rsid w:val="00750EE1"/>
    <w:rsid w:val="00751D99"/>
    <w:rsid w:val="00752550"/>
    <w:rsid w:val="00752B4D"/>
    <w:rsid w:val="00752F38"/>
    <w:rsid w:val="00755395"/>
    <w:rsid w:val="00755402"/>
    <w:rsid w:val="00756B26"/>
    <w:rsid w:val="00756EDF"/>
    <w:rsid w:val="00757330"/>
    <w:rsid w:val="0075796E"/>
    <w:rsid w:val="007600E3"/>
    <w:rsid w:val="007603C2"/>
    <w:rsid w:val="00760F61"/>
    <w:rsid w:val="00763E1E"/>
    <w:rsid w:val="007640BA"/>
    <w:rsid w:val="007640CD"/>
    <w:rsid w:val="00764992"/>
    <w:rsid w:val="00764FBD"/>
    <w:rsid w:val="00765C43"/>
    <w:rsid w:val="00765EFB"/>
    <w:rsid w:val="00766FA7"/>
    <w:rsid w:val="007671CA"/>
    <w:rsid w:val="00767450"/>
    <w:rsid w:val="00767C61"/>
    <w:rsid w:val="0077008A"/>
    <w:rsid w:val="0077036F"/>
    <w:rsid w:val="0077109C"/>
    <w:rsid w:val="00771A63"/>
    <w:rsid w:val="00773C1F"/>
    <w:rsid w:val="00774DA4"/>
    <w:rsid w:val="00774EF0"/>
    <w:rsid w:val="00775037"/>
    <w:rsid w:val="00776053"/>
    <w:rsid w:val="00776599"/>
    <w:rsid w:val="0077762E"/>
    <w:rsid w:val="0078114B"/>
    <w:rsid w:val="00781DD2"/>
    <w:rsid w:val="00782553"/>
    <w:rsid w:val="00783ECF"/>
    <w:rsid w:val="0078413A"/>
    <w:rsid w:val="00786A37"/>
    <w:rsid w:val="00786E82"/>
    <w:rsid w:val="0078710F"/>
    <w:rsid w:val="00791B48"/>
    <w:rsid w:val="00791CA2"/>
    <w:rsid w:val="0079357B"/>
    <w:rsid w:val="00793A1D"/>
    <w:rsid w:val="007955F7"/>
    <w:rsid w:val="007959E8"/>
    <w:rsid w:val="00795E9C"/>
    <w:rsid w:val="00796BE8"/>
    <w:rsid w:val="00796D86"/>
    <w:rsid w:val="00796DAD"/>
    <w:rsid w:val="00797B29"/>
    <w:rsid w:val="00797CA2"/>
    <w:rsid w:val="007A0509"/>
    <w:rsid w:val="007A0521"/>
    <w:rsid w:val="007A076D"/>
    <w:rsid w:val="007A2E12"/>
    <w:rsid w:val="007A3475"/>
    <w:rsid w:val="007A3DEA"/>
    <w:rsid w:val="007A41C8"/>
    <w:rsid w:val="007A448B"/>
    <w:rsid w:val="007A4561"/>
    <w:rsid w:val="007A54CE"/>
    <w:rsid w:val="007A6FD9"/>
    <w:rsid w:val="007A7FFA"/>
    <w:rsid w:val="007B04EB"/>
    <w:rsid w:val="007B0D4F"/>
    <w:rsid w:val="007B1F39"/>
    <w:rsid w:val="007B2F0A"/>
    <w:rsid w:val="007B41AE"/>
    <w:rsid w:val="007B57F3"/>
    <w:rsid w:val="007B5A3D"/>
    <w:rsid w:val="007B5B95"/>
    <w:rsid w:val="007B68EA"/>
    <w:rsid w:val="007B7453"/>
    <w:rsid w:val="007B7A06"/>
    <w:rsid w:val="007C0CFF"/>
    <w:rsid w:val="007C1296"/>
    <w:rsid w:val="007C28DB"/>
    <w:rsid w:val="007C2D89"/>
    <w:rsid w:val="007C3C23"/>
    <w:rsid w:val="007C4593"/>
    <w:rsid w:val="007C5309"/>
    <w:rsid w:val="007C6069"/>
    <w:rsid w:val="007C636E"/>
    <w:rsid w:val="007C7CFB"/>
    <w:rsid w:val="007C7E71"/>
    <w:rsid w:val="007D06C4"/>
    <w:rsid w:val="007D1168"/>
    <w:rsid w:val="007D1352"/>
    <w:rsid w:val="007D1910"/>
    <w:rsid w:val="007D1E37"/>
    <w:rsid w:val="007D2508"/>
    <w:rsid w:val="007D346A"/>
    <w:rsid w:val="007D3B2D"/>
    <w:rsid w:val="007D56DB"/>
    <w:rsid w:val="007D6518"/>
    <w:rsid w:val="007D69A2"/>
    <w:rsid w:val="007D76BD"/>
    <w:rsid w:val="007D7B5F"/>
    <w:rsid w:val="007E0BF1"/>
    <w:rsid w:val="007E157E"/>
    <w:rsid w:val="007E1BF5"/>
    <w:rsid w:val="007E32F4"/>
    <w:rsid w:val="007E4178"/>
    <w:rsid w:val="007E5940"/>
    <w:rsid w:val="007E6A72"/>
    <w:rsid w:val="007E74D0"/>
    <w:rsid w:val="007F0ED8"/>
    <w:rsid w:val="007F0F63"/>
    <w:rsid w:val="007F1285"/>
    <w:rsid w:val="007F16D5"/>
    <w:rsid w:val="007F3C48"/>
    <w:rsid w:val="007F59C6"/>
    <w:rsid w:val="007F656E"/>
    <w:rsid w:val="007F6894"/>
    <w:rsid w:val="007F6F6B"/>
    <w:rsid w:val="007F75CE"/>
    <w:rsid w:val="007F75EB"/>
    <w:rsid w:val="00800D55"/>
    <w:rsid w:val="00801180"/>
    <w:rsid w:val="008013A4"/>
    <w:rsid w:val="00801CB6"/>
    <w:rsid w:val="008027CE"/>
    <w:rsid w:val="00802F42"/>
    <w:rsid w:val="00802F94"/>
    <w:rsid w:val="00804089"/>
    <w:rsid w:val="00804383"/>
    <w:rsid w:val="00804BB7"/>
    <w:rsid w:val="00804D41"/>
    <w:rsid w:val="00805C6A"/>
    <w:rsid w:val="008061C9"/>
    <w:rsid w:val="00807C30"/>
    <w:rsid w:val="00807EF7"/>
    <w:rsid w:val="00810257"/>
    <w:rsid w:val="008104F5"/>
    <w:rsid w:val="0081057A"/>
    <w:rsid w:val="00811072"/>
    <w:rsid w:val="00811369"/>
    <w:rsid w:val="008116BB"/>
    <w:rsid w:val="00813A38"/>
    <w:rsid w:val="00813D41"/>
    <w:rsid w:val="00814E00"/>
    <w:rsid w:val="0081513A"/>
    <w:rsid w:val="00815419"/>
    <w:rsid w:val="008163C8"/>
    <w:rsid w:val="008164A1"/>
    <w:rsid w:val="00817325"/>
    <w:rsid w:val="008209E6"/>
    <w:rsid w:val="008222F2"/>
    <w:rsid w:val="008228F0"/>
    <w:rsid w:val="00823303"/>
    <w:rsid w:val="008233B2"/>
    <w:rsid w:val="00823A9F"/>
    <w:rsid w:val="00823C85"/>
    <w:rsid w:val="00825138"/>
    <w:rsid w:val="008253CB"/>
    <w:rsid w:val="008258DC"/>
    <w:rsid w:val="00826900"/>
    <w:rsid w:val="008269DD"/>
    <w:rsid w:val="00826E27"/>
    <w:rsid w:val="00827D94"/>
    <w:rsid w:val="00827FAD"/>
    <w:rsid w:val="00830621"/>
    <w:rsid w:val="00832DA9"/>
    <w:rsid w:val="008332B6"/>
    <w:rsid w:val="0083348C"/>
    <w:rsid w:val="00834D63"/>
    <w:rsid w:val="00834EA0"/>
    <w:rsid w:val="008373D3"/>
    <w:rsid w:val="00840353"/>
    <w:rsid w:val="00840617"/>
    <w:rsid w:val="00840982"/>
    <w:rsid w:val="00840F84"/>
    <w:rsid w:val="00842A47"/>
    <w:rsid w:val="00842A7F"/>
    <w:rsid w:val="0084369B"/>
    <w:rsid w:val="00843C13"/>
    <w:rsid w:val="00843F36"/>
    <w:rsid w:val="00844B61"/>
    <w:rsid w:val="008454F8"/>
    <w:rsid w:val="00845781"/>
    <w:rsid w:val="00846E07"/>
    <w:rsid w:val="0085173A"/>
    <w:rsid w:val="0085418C"/>
    <w:rsid w:val="008603CE"/>
    <w:rsid w:val="00860BB9"/>
    <w:rsid w:val="008620FC"/>
    <w:rsid w:val="008627A5"/>
    <w:rsid w:val="0086324C"/>
    <w:rsid w:val="008632BB"/>
    <w:rsid w:val="00863565"/>
    <w:rsid w:val="00863E05"/>
    <w:rsid w:val="00865ACA"/>
    <w:rsid w:val="00865D28"/>
    <w:rsid w:val="00865F85"/>
    <w:rsid w:val="00867C10"/>
    <w:rsid w:val="00870439"/>
    <w:rsid w:val="00870DA1"/>
    <w:rsid w:val="00871DA1"/>
    <w:rsid w:val="00871DF7"/>
    <w:rsid w:val="008721CD"/>
    <w:rsid w:val="0087304F"/>
    <w:rsid w:val="00873A78"/>
    <w:rsid w:val="00874F2E"/>
    <w:rsid w:val="00875BD0"/>
    <w:rsid w:val="0087671F"/>
    <w:rsid w:val="00876ED8"/>
    <w:rsid w:val="0087711C"/>
    <w:rsid w:val="00877907"/>
    <w:rsid w:val="00877BA5"/>
    <w:rsid w:val="00880805"/>
    <w:rsid w:val="008818C1"/>
    <w:rsid w:val="00881B47"/>
    <w:rsid w:val="0088227D"/>
    <w:rsid w:val="00883F93"/>
    <w:rsid w:val="00884DB3"/>
    <w:rsid w:val="00885A9D"/>
    <w:rsid w:val="008860F7"/>
    <w:rsid w:val="008864F6"/>
    <w:rsid w:val="00886D03"/>
    <w:rsid w:val="00886EF0"/>
    <w:rsid w:val="0088759F"/>
    <w:rsid w:val="00887AC4"/>
    <w:rsid w:val="00887BD5"/>
    <w:rsid w:val="0089049D"/>
    <w:rsid w:val="00891127"/>
    <w:rsid w:val="008911E7"/>
    <w:rsid w:val="00891CC5"/>
    <w:rsid w:val="00892171"/>
    <w:rsid w:val="008928C9"/>
    <w:rsid w:val="008930CB"/>
    <w:rsid w:val="008934AA"/>
    <w:rsid w:val="008938DC"/>
    <w:rsid w:val="00893FD1"/>
    <w:rsid w:val="00894836"/>
    <w:rsid w:val="008948CA"/>
    <w:rsid w:val="00895172"/>
    <w:rsid w:val="00895680"/>
    <w:rsid w:val="00895BC0"/>
    <w:rsid w:val="00896DFF"/>
    <w:rsid w:val="008972DB"/>
    <w:rsid w:val="0089762C"/>
    <w:rsid w:val="008A1893"/>
    <w:rsid w:val="008A1AF6"/>
    <w:rsid w:val="008A45C3"/>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7E05"/>
    <w:rsid w:val="008C0E32"/>
    <w:rsid w:val="008C0FF7"/>
    <w:rsid w:val="008C1797"/>
    <w:rsid w:val="008C219C"/>
    <w:rsid w:val="008C2749"/>
    <w:rsid w:val="008C2939"/>
    <w:rsid w:val="008C475E"/>
    <w:rsid w:val="008C560E"/>
    <w:rsid w:val="008C5CD0"/>
    <w:rsid w:val="008C619A"/>
    <w:rsid w:val="008C715B"/>
    <w:rsid w:val="008C7FF5"/>
    <w:rsid w:val="008D0CE8"/>
    <w:rsid w:val="008D1EF1"/>
    <w:rsid w:val="008D2D1D"/>
    <w:rsid w:val="008D3379"/>
    <w:rsid w:val="008D37F4"/>
    <w:rsid w:val="008D453D"/>
    <w:rsid w:val="008D4580"/>
    <w:rsid w:val="008D496B"/>
    <w:rsid w:val="008D53AD"/>
    <w:rsid w:val="008D562B"/>
    <w:rsid w:val="008D5733"/>
    <w:rsid w:val="008D5D58"/>
    <w:rsid w:val="008D622B"/>
    <w:rsid w:val="008D666C"/>
    <w:rsid w:val="008D7B54"/>
    <w:rsid w:val="008E044E"/>
    <w:rsid w:val="008E0C9D"/>
    <w:rsid w:val="008E1081"/>
    <w:rsid w:val="008E1648"/>
    <w:rsid w:val="008E1770"/>
    <w:rsid w:val="008E17EF"/>
    <w:rsid w:val="008E1B3E"/>
    <w:rsid w:val="008E2319"/>
    <w:rsid w:val="008E27FF"/>
    <w:rsid w:val="008E2E23"/>
    <w:rsid w:val="008E36CB"/>
    <w:rsid w:val="008E4A11"/>
    <w:rsid w:val="008E4B31"/>
    <w:rsid w:val="008E4BB6"/>
    <w:rsid w:val="008E5518"/>
    <w:rsid w:val="008E6A84"/>
    <w:rsid w:val="008E6B5B"/>
    <w:rsid w:val="008E753A"/>
    <w:rsid w:val="008E7BE9"/>
    <w:rsid w:val="008F00CF"/>
    <w:rsid w:val="008F0CDC"/>
    <w:rsid w:val="008F11DD"/>
    <w:rsid w:val="008F17A3"/>
    <w:rsid w:val="008F1ED3"/>
    <w:rsid w:val="008F212D"/>
    <w:rsid w:val="008F4C29"/>
    <w:rsid w:val="008F4F0C"/>
    <w:rsid w:val="008F6A78"/>
    <w:rsid w:val="008F70BD"/>
    <w:rsid w:val="008F71AB"/>
    <w:rsid w:val="008F788F"/>
    <w:rsid w:val="008F7EA2"/>
    <w:rsid w:val="00900E5E"/>
    <w:rsid w:val="00902692"/>
    <w:rsid w:val="00902722"/>
    <w:rsid w:val="009027BC"/>
    <w:rsid w:val="0090436B"/>
    <w:rsid w:val="009048A4"/>
    <w:rsid w:val="00904F37"/>
    <w:rsid w:val="0090566E"/>
    <w:rsid w:val="009057D6"/>
    <w:rsid w:val="009062E6"/>
    <w:rsid w:val="009072CD"/>
    <w:rsid w:val="00910476"/>
    <w:rsid w:val="0091066E"/>
    <w:rsid w:val="00911352"/>
    <w:rsid w:val="00911BE5"/>
    <w:rsid w:val="009129EE"/>
    <w:rsid w:val="00913CA9"/>
    <w:rsid w:val="009145AE"/>
    <w:rsid w:val="009146CE"/>
    <w:rsid w:val="00914CA7"/>
    <w:rsid w:val="00915AB6"/>
    <w:rsid w:val="00915C3E"/>
    <w:rsid w:val="00915E4E"/>
    <w:rsid w:val="009161A8"/>
    <w:rsid w:val="00916554"/>
    <w:rsid w:val="00916EAD"/>
    <w:rsid w:val="00920113"/>
    <w:rsid w:val="00920F88"/>
    <w:rsid w:val="00923395"/>
    <w:rsid w:val="00923743"/>
    <w:rsid w:val="009245F5"/>
    <w:rsid w:val="009246D6"/>
    <w:rsid w:val="009249EC"/>
    <w:rsid w:val="00925113"/>
    <w:rsid w:val="009268A5"/>
    <w:rsid w:val="00926BBF"/>
    <w:rsid w:val="00926C1E"/>
    <w:rsid w:val="00926D51"/>
    <w:rsid w:val="009273B3"/>
    <w:rsid w:val="00930352"/>
    <w:rsid w:val="009305B5"/>
    <w:rsid w:val="00930AB3"/>
    <w:rsid w:val="00930BBD"/>
    <w:rsid w:val="00932138"/>
    <w:rsid w:val="0093247D"/>
    <w:rsid w:val="009373AF"/>
    <w:rsid w:val="00941327"/>
    <w:rsid w:val="0094145D"/>
    <w:rsid w:val="00942054"/>
    <w:rsid w:val="009429D5"/>
    <w:rsid w:val="00942BF1"/>
    <w:rsid w:val="00945180"/>
    <w:rsid w:val="00945428"/>
    <w:rsid w:val="0094607B"/>
    <w:rsid w:val="0094676F"/>
    <w:rsid w:val="00946C73"/>
    <w:rsid w:val="0095045B"/>
    <w:rsid w:val="00950F6F"/>
    <w:rsid w:val="00951E98"/>
    <w:rsid w:val="00952A75"/>
    <w:rsid w:val="00953604"/>
    <w:rsid w:val="00953CD0"/>
    <w:rsid w:val="0095470E"/>
    <w:rsid w:val="0095496B"/>
    <w:rsid w:val="0095541C"/>
    <w:rsid w:val="0095598A"/>
    <w:rsid w:val="009566BF"/>
    <w:rsid w:val="00956CCF"/>
    <w:rsid w:val="00957315"/>
    <w:rsid w:val="00957D5C"/>
    <w:rsid w:val="00960768"/>
    <w:rsid w:val="00960891"/>
    <w:rsid w:val="009610DC"/>
    <w:rsid w:val="009611C8"/>
    <w:rsid w:val="009613C7"/>
    <w:rsid w:val="00961490"/>
    <w:rsid w:val="0096381A"/>
    <w:rsid w:val="00963D65"/>
    <w:rsid w:val="00964176"/>
    <w:rsid w:val="00964A1E"/>
    <w:rsid w:val="009655DF"/>
    <w:rsid w:val="00965E04"/>
    <w:rsid w:val="009674AD"/>
    <w:rsid w:val="00970CDC"/>
    <w:rsid w:val="00972840"/>
    <w:rsid w:val="00973721"/>
    <w:rsid w:val="00973820"/>
    <w:rsid w:val="00974CBC"/>
    <w:rsid w:val="00975654"/>
    <w:rsid w:val="00977010"/>
    <w:rsid w:val="009772A7"/>
    <w:rsid w:val="00977758"/>
    <w:rsid w:val="00977865"/>
    <w:rsid w:val="00977A39"/>
    <w:rsid w:val="00977D02"/>
    <w:rsid w:val="0098007B"/>
    <w:rsid w:val="0098050A"/>
    <w:rsid w:val="009809BB"/>
    <w:rsid w:val="00983013"/>
    <w:rsid w:val="0098364B"/>
    <w:rsid w:val="00983D8F"/>
    <w:rsid w:val="00985476"/>
    <w:rsid w:val="00986EF8"/>
    <w:rsid w:val="00987317"/>
    <w:rsid w:val="009904FB"/>
    <w:rsid w:val="00990851"/>
    <w:rsid w:val="009910D5"/>
    <w:rsid w:val="009911AF"/>
    <w:rsid w:val="0099133F"/>
    <w:rsid w:val="00991875"/>
    <w:rsid w:val="00991F92"/>
    <w:rsid w:val="009922C9"/>
    <w:rsid w:val="00992985"/>
    <w:rsid w:val="00992A9C"/>
    <w:rsid w:val="00992FCC"/>
    <w:rsid w:val="009933A5"/>
    <w:rsid w:val="00993889"/>
    <w:rsid w:val="0099551B"/>
    <w:rsid w:val="0099618A"/>
    <w:rsid w:val="00996872"/>
    <w:rsid w:val="00997187"/>
    <w:rsid w:val="00997BF1"/>
    <w:rsid w:val="00997F65"/>
    <w:rsid w:val="00997FDF"/>
    <w:rsid w:val="009A086E"/>
    <w:rsid w:val="009A089C"/>
    <w:rsid w:val="009A118E"/>
    <w:rsid w:val="009A21CD"/>
    <w:rsid w:val="009A278C"/>
    <w:rsid w:val="009A2AB4"/>
    <w:rsid w:val="009A2BC2"/>
    <w:rsid w:val="009A2F8F"/>
    <w:rsid w:val="009A34F4"/>
    <w:rsid w:val="009A42C1"/>
    <w:rsid w:val="009A474A"/>
    <w:rsid w:val="009A4B8F"/>
    <w:rsid w:val="009A5153"/>
    <w:rsid w:val="009A5429"/>
    <w:rsid w:val="009A5BCB"/>
    <w:rsid w:val="009A686A"/>
    <w:rsid w:val="009A71F1"/>
    <w:rsid w:val="009A72AD"/>
    <w:rsid w:val="009B09E0"/>
    <w:rsid w:val="009B0BC5"/>
    <w:rsid w:val="009B1247"/>
    <w:rsid w:val="009B1781"/>
    <w:rsid w:val="009B25A8"/>
    <w:rsid w:val="009B3758"/>
    <w:rsid w:val="009B4B2B"/>
    <w:rsid w:val="009B4EA5"/>
    <w:rsid w:val="009B57E7"/>
    <w:rsid w:val="009B6029"/>
    <w:rsid w:val="009B6971"/>
    <w:rsid w:val="009C018D"/>
    <w:rsid w:val="009C076F"/>
    <w:rsid w:val="009C1E30"/>
    <w:rsid w:val="009C27F1"/>
    <w:rsid w:val="009C305D"/>
    <w:rsid w:val="009C3152"/>
    <w:rsid w:val="009C4349"/>
    <w:rsid w:val="009C4CFA"/>
    <w:rsid w:val="009C5070"/>
    <w:rsid w:val="009D112C"/>
    <w:rsid w:val="009D17E9"/>
    <w:rsid w:val="009D196C"/>
    <w:rsid w:val="009D21AB"/>
    <w:rsid w:val="009D2665"/>
    <w:rsid w:val="009D2FC9"/>
    <w:rsid w:val="009D3281"/>
    <w:rsid w:val="009D440C"/>
    <w:rsid w:val="009D47FA"/>
    <w:rsid w:val="009D4C5B"/>
    <w:rsid w:val="009D50AE"/>
    <w:rsid w:val="009D50D2"/>
    <w:rsid w:val="009D6BCA"/>
    <w:rsid w:val="009E0F62"/>
    <w:rsid w:val="009E1688"/>
    <w:rsid w:val="009E3A73"/>
    <w:rsid w:val="009E4272"/>
    <w:rsid w:val="009E4A58"/>
    <w:rsid w:val="009E5A2D"/>
    <w:rsid w:val="009E5AB2"/>
    <w:rsid w:val="009E6219"/>
    <w:rsid w:val="009E67B1"/>
    <w:rsid w:val="009E7A9E"/>
    <w:rsid w:val="009E7AA9"/>
    <w:rsid w:val="009E7CCD"/>
    <w:rsid w:val="009F008F"/>
    <w:rsid w:val="009F03B3"/>
    <w:rsid w:val="009F272A"/>
    <w:rsid w:val="009F37DB"/>
    <w:rsid w:val="009F3883"/>
    <w:rsid w:val="009F621C"/>
    <w:rsid w:val="009F6310"/>
    <w:rsid w:val="00A0096C"/>
    <w:rsid w:val="00A0148B"/>
    <w:rsid w:val="00A01757"/>
    <w:rsid w:val="00A028C0"/>
    <w:rsid w:val="00A02BAE"/>
    <w:rsid w:val="00A02F1E"/>
    <w:rsid w:val="00A03A15"/>
    <w:rsid w:val="00A0576C"/>
    <w:rsid w:val="00A0595A"/>
    <w:rsid w:val="00A06A6B"/>
    <w:rsid w:val="00A06DA8"/>
    <w:rsid w:val="00A06F91"/>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608"/>
    <w:rsid w:val="00A179C3"/>
    <w:rsid w:val="00A2049F"/>
    <w:rsid w:val="00A2104C"/>
    <w:rsid w:val="00A2271D"/>
    <w:rsid w:val="00A237D5"/>
    <w:rsid w:val="00A2440A"/>
    <w:rsid w:val="00A300EF"/>
    <w:rsid w:val="00A30EFC"/>
    <w:rsid w:val="00A31984"/>
    <w:rsid w:val="00A31F8B"/>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6557"/>
    <w:rsid w:val="00A56C17"/>
    <w:rsid w:val="00A57142"/>
    <w:rsid w:val="00A60664"/>
    <w:rsid w:val="00A6188D"/>
    <w:rsid w:val="00A6198A"/>
    <w:rsid w:val="00A623ED"/>
    <w:rsid w:val="00A62629"/>
    <w:rsid w:val="00A6285E"/>
    <w:rsid w:val="00A6311D"/>
    <w:rsid w:val="00A633B6"/>
    <w:rsid w:val="00A64667"/>
    <w:rsid w:val="00A648CD"/>
    <w:rsid w:val="00A6537A"/>
    <w:rsid w:val="00A65CB0"/>
    <w:rsid w:val="00A67072"/>
    <w:rsid w:val="00A673CD"/>
    <w:rsid w:val="00A67838"/>
    <w:rsid w:val="00A67866"/>
    <w:rsid w:val="00A70B07"/>
    <w:rsid w:val="00A70E56"/>
    <w:rsid w:val="00A71536"/>
    <w:rsid w:val="00A72050"/>
    <w:rsid w:val="00A723F8"/>
    <w:rsid w:val="00A74062"/>
    <w:rsid w:val="00A74C65"/>
    <w:rsid w:val="00A76BCA"/>
    <w:rsid w:val="00A77CCB"/>
    <w:rsid w:val="00A8113A"/>
    <w:rsid w:val="00A829AB"/>
    <w:rsid w:val="00A83D8D"/>
    <w:rsid w:val="00A8446B"/>
    <w:rsid w:val="00A8473F"/>
    <w:rsid w:val="00A84C10"/>
    <w:rsid w:val="00A858A2"/>
    <w:rsid w:val="00A861D5"/>
    <w:rsid w:val="00A862D6"/>
    <w:rsid w:val="00A863D5"/>
    <w:rsid w:val="00A8715E"/>
    <w:rsid w:val="00A90222"/>
    <w:rsid w:val="00A90E63"/>
    <w:rsid w:val="00A90EED"/>
    <w:rsid w:val="00A9295B"/>
    <w:rsid w:val="00A93465"/>
    <w:rsid w:val="00A936AC"/>
    <w:rsid w:val="00A93B09"/>
    <w:rsid w:val="00A95277"/>
    <w:rsid w:val="00A952D7"/>
    <w:rsid w:val="00A954C9"/>
    <w:rsid w:val="00A95DE7"/>
    <w:rsid w:val="00A963F7"/>
    <w:rsid w:val="00A96AD8"/>
    <w:rsid w:val="00A97403"/>
    <w:rsid w:val="00A978DD"/>
    <w:rsid w:val="00A97B62"/>
    <w:rsid w:val="00AA052C"/>
    <w:rsid w:val="00AA06F2"/>
    <w:rsid w:val="00AA0A8F"/>
    <w:rsid w:val="00AA178E"/>
    <w:rsid w:val="00AA1E45"/>
    <w:rsid w:val="00AA3644"/>
    <w:rsid w:val="00AA4286"/>
    <w:rsid w:val="00AA42DF"/>
    <w:rsid w:val="00AA456B"/>
    <w:rsid w:val="00AA57F5"/>
    <w:rsid w:val="00AA59F5"/>
    <w:rsid w:val="00AA672E"/>
    <w:rsid w:val="00AA68C7"/>
    <w:rsid w:val="00AA6EC9"/>
    <w:rsid w:val="00AA7508"/>
    <w:rsid w:val="00AA7A44"/>
    <w:rsid w:val="00AB025E"/>
    <w:rsid w:val="00AB5511"/>
    <w:rsid w:val="00AB5940"/>
    <w:rsid w:val="00AB6309"/>
    <w:rsid w:val="00AB6C5F"/>
    <w:rsid w:val="00AB7129"/>
    <w:rsid w:val="00AC0860"/>
    <w:rsid w:val="00AC0F05"/>
    <w:rsid w:val="00AC0FD4"/>
    <w:rsid w:val="00AC1FB5"/>
    <w:rsid w:val="00AC27A6"/>
    <w:rsid w:val="00AC30F7"/>
    <w:rsid w:val="00AC3A5A"/>
    <w:rsid w:val="00AC4B3C"/>
    <w:rsid w:val="00AC4D95"/>
    <w:rsid w:val="00AC4EF7"/>
    <w:rsid w:val="00AC5DF4"/>
    <w:rsid w:val="00AC726C"/>
    <w:rsid w:val="00AD0AEF"/>
    <w:rsid w:val="00AD0EAF"/>
    <w:rsid w:val="00AD11B7"/>
    <w:rsid w:val="00AD1A94"/>
    <w:rsid w:val="00AD1C05"/>
    <w:rsid w:val="00AD1EBD"/>
    <w:rsid w:val="00AD4126"/>
    <w:rsid w:val="00AD421C"/>
    <w:rsid w:val="00AD44FA"/>
    <w:rsid w:val="00AD4AF6"/>
    <w:rsid w:val="00AD53CF"/>
    <w:rsid w:val="00AD5BA0"/>
    <w:rsid w:val="00AD61BF"/>
    <w:rsid w:val="00AD6E81"/>
    <w:rsid w:val="00AD7268"/>
    <w:rsid w:val="00AE070A"/>
    <w:rsid w:val="00AE0ACF"/>
    <w:rsid w:val="00AE101C"/>
    <w:rsid w:val="00AE37E5"/>
    <w:rsid w:val="00AE4A86"/>
    <w:rsid w:val="00AE55D6"/>
    <w:rsid w:val="00AE56A6"/>
    <w:rsid w:val="00AE5EB4"/>
    <w:rsid w:val="00AE7EFD"/>
    <w:rsid w:val="00AF0C18"/>
    <w:rsid w:val="00AF0FE3"/>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07832"/>
    <w:rsid w:val="00B10534"/>
    <w:rsid w:val="00B10E11"/>
    <w:rsid w:val="00B113DB"/>
    <w:rsid w:val="00B118E5"/>
    <w:rsid w:val="00B1190D"/>
    <w:rsid w:val="00B11D8A"/>
    <w:rsid w:val="00B12800"/>
    <w:rsid w:val="00B12981"/>
    <w:rsid w:val="00B12B2E"/>
    <w:rsid w:val="00B130C7"/>
    <w:rsid w:val="00B147DD"/>
    <w:rsid w:val="00B15573"/>
    <w:rsid w:val="00B156FD"/>
    <w:rsid w:val="00B1585E"/>
    <w:rsid w:val="00B15B4D"/>
    <w:rsid w:val="00B161F8"/>
    <w:rsid w:val="00B21F61"/>
    <w:rsid w:val="00B22AA8"/>
    <w:rsid w:val="00B23AFE"/>
    <w:rsid w:val="00B242F9"/>
    <w:rsid w:val="00B24D89"/>
    <w:rsid w:val="00B261F1"/>
    <w:rsid w:val="00B265BC"/>
    <w:rsid w:val="00B26AE7"/>
    <w:rsid w:val="00B303B0"/>
    <w:rsid w:val="00B31FB1"/>
    <w:rsid w:val="00B33952"/>
    <w:rsid w:val="00B33C5E"/>
    <w:rsid w:val="00B342F4"/>
    <w:rsid w:val="00B34369"/>
    <w:rsid w:val="00B34753"/>
    <w:rsid w:val="00B34BC5"/>
    <w:rsid w:val="00B34DC2"/>
    <w:rsid w:val="00B357BB"/>
    <w:rsid w:val="00B36339"/>
    <w:rsid w:val="00B375B7"/>
    <w:rsid w:val="00B378E5"/>
    <w:rsid w:val="00B37DE4"/>
    <w:rsid w:val="00B40855"/>
    <w:rsid w:val="00B40A82"/>
    <w:rsid w:val="00B41ECE"/>
    <w:rsid w:val="00B42462"/>
    <w:rsid w:val="00B4346D"/>
    <w:rsid w:val="00B440F4"/>
    <w:rsid w:val="00B447A5"/>
    <w:rsid w:val="00B44C54"/>
    <w:rsid w:val="00B4525E"/>
    <w:rsid w:val="00B45C7A"/>
    <w:rsid w:val="00B46028"/>
    <w:rsid w:val="00B4654C"/>
    <w:rsid w:val="00B46F0C"/>
    <w:rsid w:val="00B47293"/>
    <w:rsid w:val="00B507AD"/>
    <w:rsid w:val="00B50E50"/>
    <w:rsid w:val="00B515D1"/>
    <w:rsid w:val="00B52003"/>
    <w:rsid w:val="00B52120"/>
    <w:rsid w:val="00B5271A"/>
    <w:rsid w:val="00B52AAA"/>
    <w:rsid w:val="00B52D9D"/>
    <w:rsid w:val="00B52EB7"/>
    <w:rsid w:val="00B53B51"/>
    <w:rsid w:val="00B548D0"/>
    <w:rsid w:val="00B54ABC"/>
    <w:rsid w:val="00B554BE"/>
    <w:rsid w:val="00B55D24"/>
    <w:rsid w:val="00B56B63"/>
    <w:rsid w:val="00B56FBE"/>
    <w:rsid w:val="00B579DD"/>
    <w:rsid w:val="00B57B29"/>
    <w:rsid w:val="00B60745"/>
    <w:rsid w:val="00B60ACF"/>
    <w:rsid w:val="00B618FB"/>
    <w:rsid w:val="00B62B58"/>
    <w:rsid w:val="00B63404"/>
    <w:rsid w:val="00B6381F"/>
    <w:rsid w:val="00B638EF"/>
    <w:rsid w:val="00B64428"/>
    <w:rsid w:val="00B64B5F"/>
    <w:rsid w:val="00B65149"/>
    <w:rsid w:val="00B65407"/>
    <w:rsid w:val="00B65A89"/>
    <w:rsid w:val="00B66567"/>
    <w:rsid w:val="00B66F52"/>
    <w:rsid w:val="00B66FE5"/>
    <w:rsid w:val="00B6762B"/>
    <w:rsid w:val="00B67B95"/>
    <w:rsid w:val="00B72880"/>
    <w:rsid w:val="00B73891"/>
    <w:rsid w:val="00B7450B"/>
    <w:rsid w:val="00B74A70"/>
    <w:rsid w:val="00B7546F"/>
    <w:rsid w:val="00B758BF"/>
    <w:rsid w:val="00B77EC8"/>
    <w:rsid w:val="00B80657"/>
    <w:rsid w:val="00B80D4B"/>
    <w:rsid w:val="00B81FD5"/>
    <w:rsid w:val="00B82550"/>
    <w:rsid w:val="00B827A6"/>
    <w:rsid w:val="00B831CE"/>
    <w:rsid w:val="00B838CA"/>
    <w:rsid w:val="00B85836"/>
    <w:rsid w:val="00B8610C"/>
    <w:rsid w:val="00B86677"/>
    <w:rsid w:val="00B86F2B"/>
    <w:rsid w:val="00B87131"/>
    <w:rsid w:val="00B87B2E"/>
    <w:rsid w:val="00B87E4F"/>
    <w:rsid w:val="00B92370"/>
    <w:rsid w:val="00B92EF2"/>
    <w:rsid w:val="00B939B1"/>
    <w:rsid w:val="00B93A85"/>
    <w:rsid w:val="00B94B73"/>
    <w:rsid w:val="00B94D24"/>
    <w:rsid w:val="00B95DE5"/>
    <w:rsid w:val="00B968D3"/>
    <w:rsid w:val="00B96D40"/>
    <w:rsid w:val="00B9704E"/>
    <w:rsid w:val="00B971D1"/>
    <w:rsid w:val="00B97386"/>
    <w:rsid w:val="00B97555"/>
    <w:rsid w:val="00BA263B"/>
    <w:rsid w:val="00BA2731"/>
    <w:rsid w:val="00BA3E1F"/>
    <w:rsid w:val="00BA41F1"/>
    <w:rsid w:val="00BA42B2"/>
    <w:rsid w:val="00BA5518"/>
    <w:rsid w:val="00BA58D4"/>
    <w:rsid w:val="00BA5A11"/>
    <w:rsid w:val="00BA5B9E"/>
    <w:rsid w:val="00BA6367"/>
    <w:rsid w:val="00BA65DE"/>
    <w:rsid w:val="00BA6A4F"/>
    <w:rsid w:val="00BA6A50"/>
    <w:rsid w:val="00BA7496"/>
    <w:rsid w:val="00BA774A"/>
    <w:rsid w:val="00BA7C9A"/>
    <w:rsid w:val="00BB0B96"/>
    <w:rsid w:val="00BB2E9D"/>
    <w:rsid w:val="00BB347E"/>
    <w:rsid w:val="00BB3A80"/>
    <w:rsid w:val="00BB3BB3"/>
    <w:rsid w:val="00BB44CF"/>
    <w:rsid w:val="00BB469B"/>
    <w:rsid w:val="00BB4790"/>
    <w:rsid w:val="00BB482C"/>
    <w:rsid w:val="00BB5F8F"/>
    <w:rsid w:val="00BB633F"/>
    <w:rsid w:val="00BB6500"/>
    <w:rsid w:val="00BB657A"/>
    <w:rsid w:val="00BB6778"/>
    <w:rsid w:val="00BB71D1"/>
    <w:rsid w:val="00BC1A4E"/>
    <w:rsid w:val="00BC1CFD"/>
    <w:rsid w:val="00BC2FDE"/>
    <w:rsid w:val="00BC3C05"/>
    <w:rsid w:val="00BC559C"/>
    <w:rsid w:val="00BC5DC7"/>
    <w:rsid w:val="00BC6B8B"/>
    <w:rsid w:val="00BC73D8"/>
    <w:rsid w:val="00BD0867"/>
    <w:rsid w:val="00BD415F"/>
    <w:rsid w:val="00BD516E"/>
    <w:rsid w:val="00BD52D7"/>
    <w:rsid w:val="00BD5AD2"/>
    <w:rsid w:val="00BD5EA5"/>
    <w:rsid w:val="00BD78CA"/>
    <w:rsid w:val="00BD7AA0"/>
    <w:rsid w:val="00BE0CD6"/>
    <w:rsid w:val="00BE22F3"/>
    <w:rsid w:val="00BE4040"/>
    <w:rsid w:val="00BE4764"/>
    <w:rsid w:val="00BE5254"/>
    <w:rsid w:val="00BE58C0"/>
    <w:rsid w:val="00BE5B52"/>
    <w:rsid w:val="00BE7025"/>
    <w:rsid w:val="00BE7B8D"/>
    <w:rsid w:val="00BF0993"/>
    <w:rsid w:val="00BF10A9"/>
    <w:rsid w:val="00BF1703"/>
    <w:rsid w:val="00BF19AD"/>
    <w:rsid w:val="00BF231C"/>
    <w:rsid w:val="00BF27EA"/>
    <w:rsid w:val="00BF3D4C"/>
    <w:rsid w:val="00BF3DFA"/>
    <w:rsid w:val="00BF51E5"/>
    <w:rsid w:val="00BF555F"/>
    <w:rsid w:val="00BF74A6"/>
    <w:rsid w:val="00BF7E36"/>
    <w:rsid w:val="00C00C2E"/>
    <w:rsid w:val="00C013AD"/>
    <w:rsid w:val="00C0222E"/>
    <w:rsid w:val="00C04904"/>
    <w:rsid w:val="00C056B3"/>
    <w:rsid w:val="00C060FF"/>
    <w:rsid w:val="00C07685"/>
    <w:rsid w:val="00C103E5"/>
    <w:rsid w:val="00C13319"/>
    <w:rsid w:val="00C13EE9"/>
    <w:rsid w:val="00C14563"/>
    <w:rsid w:val="00C147D6"/>
    <w:rsid w:val="00C15C0D"/>
    <w:rsid w:val="00C16707"/>
    <w:rsid w:val="00C17304"/>
    <w:rsid w:val="00C17DA8"/>
    <w:rsid w:val="00C17EE7"/>
    <w:rsid w:val="00C21540"/>
    <w:rsid w:val="00C21906"/>
    <w:rsid w:val="00C21BFA"/>
    <w:rsid w:val="00C22148"/>
    <w:rsid w:val="00C24C8D"/>
    <w:rsid w:val="00C24F4D"/>
    <w:rsid w:val="00C25301"/>
    <w:rsid w:val="00C25FE2"/>
    <w:rsid w:val="00C26B53"/>
    <w:rsid w:val="00C278C6"/>
    <w:rsid w:val="00C279B2"/>
    <w:rsid w:val="00C31D26"/>
    <w:rsid w:val="00C3380F"/>
    <w:rsid w:val="00C33E50"/>
    <w:rsid w:val="00C34C20"/>
    <w:rsid w:val="00C3506D"/>
    <w:rsid w:val="00C35A3E"/>
    <w:rsid w:val="00C372FB"/>
    <w:rsid w:val="00C3757D"/>
    <w:rsid w:val="00C40694"/>
    <w:rsid w:val="00C42130"/>
    <w:rsid w:val="00C423A4"/>
    <w:rsid w:val="00C43288"/>
    <w:rsid w:val="00C445AC"/>
    <w:rsid w:val="00C44BF5"/>
    <w:rsid w:val="00C45224"/>
    <w:rsid w:val="00C50950"/>
    <w:rsid w:val="00C51A08"/>
    <w:rsid w:val="00C51BD0"/>
    <w:rsid w:val="00C51E1E"/>
    <w:rsid w:val="00C521D6"/>
    <w:rsid w:val="00C537DD"/>
    <w:rsid w:val="00C5449E"/>
    <w:rsid w:val="00C55232"/>
    <w:rsid w:val="00C553A4"/>
    <w:rsid w:val="00C55A06"/>
    <w:rsid w:val="00C55A46"/>
    <w:rsid w:val="00C55D03"/>
    <w:rsid w:val="00C561B2"/>
    <w:rsid w:val="00C56FDC"/>
    <w:rsid w:val="00C579B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4B95"/>
    <w:rsid w:val="00C7502A"/>
    <w:rsid w:val="00C753CD"/>
    <w:rsid w:val="00C779EE"/>
    <w:rsid w:val="00C80CB8"/>
    <w:rsid w:val="00C819F8"/>
    <w:rsid w:val="00C8248C"/>
    <w:rsid w:val="00C828DC"/>
    <w:rsid w:val="00C83624"/>
    <w:rsid w:val="00C84E33"/>
    <w:rsid w:val="00C86D6F"/>
    <w:rsid w:val="00C86D71"/>
    <w:rsid w:val="00C8795B"/>
    <w:rsid w:val="00C87C7B"/>
    <w:rsid w:val="00C900D3"/>
    <w:rsid w:val="00C905FC"/>
    <w:rsid w:val="00C9174C"/>
    <w:rsid w:val="00C92D03"/>
    <w:rsid w:val="00C9319C"/>
    <w:rsid w:val="00C93B26"/>
    <w:rsid w:val="00C9435D"/>
    <w:rsid w:val="00C94DF2"/>
    <w:rsid w:val="00C95179"/>
    <w:rsid w:val="00C96741"/>
    <w:rsid w:val="00C96A47"/>
    <w:rsid w:val="00C96AC7"/>
    <w:rsid w:val="00C9729F"/>
    <w:rsid w:val="00C97CAE"/>
    <w:rsid w:val="00CA00D1"/>
    <w:rsid w:val="00CA2D1B"/>
    <w:rsid w:val="00CA375D"/>
    <w:rsid w:val="00CA6586"/>
    <w:rsid w:val="00CA662A"/>
    <w:rsid w:val="00CA7AFD"/>
    <w:rsid w:val="00CA7C3C"/>
    <w:rsid w:val="00CB014A"/>
    <w:rsid w:val="00CB0189"/>
    <w:rsid w:val="00CB04AD"/>
    <w:rsid w:val="00CB0BA2"/>
    <w:rsid w:val="00CB12D1"/>
    <w:rsid w:val="00CB1A42"/>
    <w:rsid w:val="00CB1B0C"/>
    <w:rsid w:val="00CB1F60"/>
    <w:rsid w:val="00CB2C0B"/>
    <w:rsid w:val="00CB3111"/>
    <w:rsid w:val="00CB517D"/>
    <w:rsid w:val="00CB5EED"/>
    <w:rsid w:val="00CB724C"/>
    <w:rsid w:val="00CB7BE4"/>
    <w:rsid w:val="00CC038D"/>
    <w:rsid w:val="00CC08DB"/>
    <w:rsid w:val="00CC39FF"/>
    <w:rsid w:val="00CC3C2F"/>
    <w:rsid w:val="00CC428C"/>
    <w:rsid w:val="00CC4AC8"/>
    <w:rsid w:val="00CC5233"/>
    <w:rsid w:val="00CC5DE6"/>
    <w:rsid w:val="00CC6E4E"/>
    <w:rsid w:val="00CC6FE8"/>
    <w:rsid w:val="00CC7179"/>
    <w:rsid w:val="00CC7202"/>
    <w:rsid w:val="00CC7A37"/>
    <w:rsid w:val="00CC7C35"/>
    <w:rsid w:val="00CD0FCA"/>
    <w:rsid w:val="00CD2808"/>
    <w:rsid w:val="00CD28BF"/>
    <w:rsid w:val="00CD3A73"/>
    <w:rsid w:val="00CD3AA0"/>
    <w:rsid w:val="00CD3B8D"/>
    <w:rsid w:val="00CD3CB2"/>
    <w:rsid w:val="00CD4092"/>
    <w:rsid w:val="00CD45B2"/>
    <w:rsid w:val="00CD4A20"/>
    <w:rsid w:val="00CD50A1"/>
    <w:rsid w:val="00CD519E"/>
    <w:rsid w:val="00CD5418"/>
    <w:rsid w:val="00CD5806"/>
    <w:rsid w:val="00CD6248"/>
    <w:rsid w:val="00CE0C4F"/>
    <w:rsid w:val="00CE30EA"/>
    <w:rsid w:val="00CE3A82"/>
    <w:rsid w:val="00CE5F3D"/>
    <w:rsid w:val="00CE6C2C"/>
    <w:rsid w:val="00CF0354"/>
    <w:rsid w:val="00CF048A"/>
    <w:rsid w:val="00CF0A4C"/>
    <w:rsid w:val="00CF155A"/>
    <w:rsid w:val="00CF2947"/>
    <w:rsid w:val="00CF3684"/>
    <w:rsid w:val="00CF3B11"/>
    <w:rsid w:val="00CF3FEC"/>
    <w:rsid w:val="00CF49F0"/>
    <w:rsid w:val="00CF5396"/>
    <w:rsid w:val="00CF5874"/>
    <w:rsid w:val="00CF60F8"/>
    <w:rsid w:val="00CF686F"/>
    <w:rsid w:val="00CF6E60"/>
    <w:rsid w:val="00CF77DB"/>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23D"/>
    <w:rsid w:val="00D15448"/>
    <w:rsid w:val="00D15C27"/>
    <w:rsid w:val="00D20737"/>
    <w:rsid w:val="00D21E81"/>
    <w:rsid w:val="00D223DE"/>
    <w:rsid w:val="00D225AF"/>
    <w:rsid w:val="00D25E37"/>
    <w:rsid w:val="00D2661A"/>
    <w:rsid w:val="00D27582"/>
    <w:rsid w:val="00D27D4C"/>
    <w:rsid w:val="00D27EC4"/>
    <w:rsid w:val="00D30CD0"/>
    <w:rsid w:val="00D32719"/>
    <w:rsid w:val="00D32F8D"/>
    <w:rsid w:val="00D33333"/>
    <w:rsid w:val="00D33C68"/>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6AE"/>
    <w:rsid w:val="00D4734F"/>
    <w:rsid w:val="00D5082C"/>
    <w:rsid w:val="00D50E53"/>
    <w:rsid w:val="00D50F1A"/>
    <w:rsid w:val="00D51BF3"/>
    <w:rsid w:val="00D539F7"/>
    <w:rsid w:val="00D53D84"/>
    <w:rsid w:val="00D53F35"/>
    <w:rsid w:val="00D54D4D"/>
    <w:rsid w:val="00D560CB"/>
    <w:rsid w:val="00D56896"/>
    <w:rsid w:val="00D5743E"/>
    <w:rsid w:val="00D603E5"/>
    <w:rsid w:val="00D6078A"/>
    <w:rsid w:val="00D60A18"/>
    <w:rsid w:val="00D614D9"/>
    <w:rsid w:val="00D61B24"/>
    <w:rsid w:val="00D63D2A"/>
    <w:rsid w:val="00D66519"/>
    <w:rsid w:val="00D6655C"/>
    <w:rsid w:val="00D66846"/>
    <w:rsid w:val="00D675FB"/>
    <w:rsid w:val="00D707EA"/>
    <w:rsid w:val="00D71F25"/>
    <w:rsid w:val="00D72A9C"/>
    <w:rsid w:val="00D73466"/>
    <w:rsid w:val="00D740F4"/>
    <w:rsid w:val="00D75F75"/>
    <w:rsid w:val="00D766E2"/>
    <w:rsid w:val="00D77031"/>
    <w:rsid w:val="00D774AF"/>
    <w:rsid w:val="00D830BE"/>
    <w:rsid w:val="00D83706"/>
    <w:rsid w:val="00D83915"/>
    <w:rsid w:val="00D83B78"/>
    <w:rsid w:val="00D84578"/>
    <w:rsid w:val="00D846F3"/>
    <w:rsid w:val="00D847F1"/>
    <w:rsid w:val="00D84941"/>
    <w:rsid w:val="00D84A44"/>
    <w:rsid w:val="00D84FA1"/>
    <w:rsid w:val="00D851F0"/>
    <w:rsid w:val="00D85B70"/>
    <w:rsid w:val="00D86DB7"/>
    <w:rsid w:val="00D87A91"/>
    <w:rsid w:val="00D926D0"/>
    <w:rsid w:val="00D92EE5"/>
    <w:rsid w:val="00D93030"/>
    <w:rsid w:val="00D93FF0"/>
    <w:rsid w:val="00D94268"/>
    <w:rsid w:val="00D950E1"/>
    <w:rsid w:val="00D95174"/>
    <w:rsid w:val="00D952A6"/>
    <w:rsid w:val="00D95678"/>
    <w:rsid w:val="00D95F4C"/>
    <w:rsid w:val="00D96166"/>
    <w:rsid w:val="00D97212"/>
    <w:rsid w:val="00D97319"/>
    <w:rsid w:val="00D97AA0"/>
    <w:rsid w:val="00D97F1C"/>
    <w:rsid w:val="00D97F5F"/>
    <w:rsid w:val="00D97F99"/>
    <w:rsid w:val="00DA02E0"/>
    <w:rsid w:val="00DA0B19"/>
    <w:rsid w:val="00DA0C3C"/>
    <w:rsid w:val="00DA1E08"/>
    <w:rsid w:val="00DA24F8"/>
    <w:rsid w:val="00DA250B"/>
    <w:rsid w:val="00DA28E8"/>
    <w:rsid w:val="00DA38D3"/>
    <w:rsid w:val="00DA3932"/>
    <w:rsid w:val="00DA3AFC"/>
    <w:rsid w:val="00DA4CD2"/>
    <w:rsid w:val="00DA595D"/>
    <w:rsid w:val="00DA64F8"/>
    <w:rsid w:val="00DA6B53"/>
    <w:rsid w:val="00DA6C15"/>
    <w:rsid w:val="00DB0258"/>
    <w:rsid w:val="00DB269D"/>
    <w:rsid w:val="00DB38EE"/>
    <w:rsid w:val="00DB3C54"/>
    <w:rsid w:val="00DB498B"/>
    <w:rsid w:val="00DB66CA"/>
    <w:rsid w:val="00DB6BCA"/>
    <w:rsid w:val="00DB73F7"/>
    <w:rsid w:val="00DB7BB8"/>
    <w:rsid w:val="00DB7F7F"/>
    <w:rsid w:val="00DC0321"/>
    <w:rsid w:val="00DC12BC"/>
    <w:rsid w:val="00DC2A1B"/>
    <w:rsid w:val="00DC3067"/>
    <w:rsid w:val="00DC370B"/>
    <w:rsid w:val="00DC4410"/>
    <w:rsid w:val="00DC57E2"/>
    <w:rsid w:val="00DC5B90"/>
    <w:rsid w:val="00DC7DAD"/>
    <w:rsid w:val="00DD00FF"/>
    <w:rsid w:val="00DD0266"/>
    <w:rsid w:val="00DD0619"/>
    <w:rsid w:val="00DD07FB"/>
    <w:rsid w:val="00DD1BBF"/>
    <w:rsid w:val="00DD25C6"/>
    <w:rsid w:val="00DD2894"/>
    <w:rsid w:val="00DD3A40"/>
    <w:rsid w:val="00DD4945"/>
    <w:rsid w:val="00DD4FE5"/>
    <w:rsid w:val="00DD54B0"/>
    <w:rsid w:val="00DD57A7"/>
    <w:rsid w:val="00DD57EE"/>
    <w:rsid w:val="00DD5940"/>
    <w:rsid w:val="00DD5F19"/>
    <w:rsid w:val="00DD6BCC"/>
    <w:rsid w:val="00DD75F2"/>
    <w:rsid w:val="00DD7B4A"/>
    <w:rsid w:val="00DE07B6"/>
    <w:rsid w:val="00DE0A4B"/>
    <w:rsid w:val="00DE2410"/>
    <w:rsid w:val="00DE2647"/>
    <w:rsid w:val="00DE2939"/>
    <w:rsid w:val="00DE3E00"/>
    <w:rsid w:val="00DE56C8"/>
    <w:rsid w:val="00DE6E81"/>
    <w:rsid w:val="00DE703F"/>
    <w:rsid w:val="00DE7595"/>
    <w:rsid w:val="00DE79C4"/>
    <w:rsid w:val="00DF11E0"/>
    <w:rsid w:val="00DF141A"/>
    <w:rsid w:val="00DF1961"/>
    <w:rsid w:val="00DF2E06"/>
    <w:rsid w:val="00DF347B"/>
    <w:rsid w:val="00DF3BC9"/>
    <w:rsid w:val="00DF3DF1"/>
    <w:rsid w:val="00DF44DE"/>
    <w:rsid w:val="00DF5BCD"/>
    <w:rsid w:val="00E01138"/>
    <w:rsid w:val="00E01EE8"/>
    <w:rsid w:val="00E02145"/>
    <w:rsid w:val="00E02DFB"/>
    <w:rsid w:val="00E02E31"/>
    <w:rsid w:val="00E02FD0"/>
    <w:rsid w:val="00E030F9"/>
    <w:rsid w:val="00E0311A"/>
    <w:rsid w:val="00E03138"/>
    <w:rsid w:val="00E041F9"/>
    <w:rsid w:val="00E04943"/>
    <w:rsid w:val="00E06241"/>
    <w:rsid w:val="00E06404"/>
    <w:rsid w:val="00E06FD6"/>
    <w:rsid w:val="00E11A85"/>
    <w:rsid w:val="00E12495"/>
    <w:rsid w:val="00E131F4"/>
    <w:rsid w:val="00E15CCD"/>
    <w:rsid w:val="00E174A5"/>
    <w:rsid w:val="00E202EF"/>
    <w:rsid w:val="00E210B5"/>
    <w:rsid w:val="00E23D99"/>
    <w:rsid w:val="00E24068"/>
    <w:rsid w:val="00E2439F"/>
    <w:rsid w:val="00E2552F"/>
    <w:rsid w:val="00E279DB"/>
    <w:rsid w:val="00E27E20"/>
    <w:rsid w:val="00E30C31"/>
    <w:rsid w:val="00E3137A"/>
    <w:rsid w:val="00E32CCF"/>
    <w:rsid w:val="00E32FFE"/>
    <w:rsid w:val="00E33459"/>
    <w:rsid w:val="00E34736"/>
    <w:rsid w:val="00E34A98"/>
    <w:rsid w:val="00E35D1E"/>
    <w:rsid w:val="00E364F9"/>
    <w:rsid w:val="00E365FA"/>
    <w:rsid w:val="00E36789"/>
    <w:rsid w:val="00E44305"/>
    <w:rsid w:val="00E44449"/>
    <w:rsid w:val="00E44A83"/>
    <w:rsid w:val="00E45B76"/>
    <w:rsid w:val="00E45CF0"/>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81A"/>
    <w:rsid w:val="00E62FF9"/>
    <w:rsid w:val="00E62FFD"/>
    <w:rsid w:val="00E635D6"/>
    <w:rsid w:val="00E639BC"/>
    <w:rsid w:val="00E65CF1"/>
    <w:rsid w:val="00E66031"/>
    <w:rsid w:val="00E664CC"/>
    <w:rsid w:val="00E6755F"/>
    <w:rsid w:val="00E67BBE"/>
    <w:rsid w:val="00E70388"/>
    <w:rsid w:val="00E70685"/>
    <w:rsid w:val="00E70D0A"/>
    <w:rsid w:val="00E70F92"/>
    <w:rsid w:val="00E734AD"/>
    <w:rsid w:val="00E73F96"/>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87311"/>
    <w:rsid w:val="00E87AEB"/>
    <w:rsid w:val="00E90391"/>
    <w:rsid w:val="00E906C2"/>
    <w:rsid w:val="00E915D9"/>
    <w:rsid w:val="00E92493"/>
    <w:rsid w:val="00E9311F"/>
    <w:rsid w:val="00E934D1"/>
    <w:rsid w:val="00E94088"/>
    <w:rsid w:val="00E94AF0"/>
    <w:rsid w:val="00E959BC"/>
    <w:rsid w:val="00E95D13"/>
    <w:rsid w:val="00E95DD3"/>
    <w:rsid w:val="00E95DF8"/>
    <w:rsid w:val="00E969D5"/>
    <w:rsid w:val="00E96AEA"/>
    <w:rsid w:val="00EA2653"/>
    <w:rsid w:val="00EA58D1"/>
    <w:rsid w:val="00EA5FA1"/>
    <w:rsid w:val="00EA61BC"/>
    <w:rsid w:val="00EA668D"/>
    <w:rsid w:val="00EA681A"/>
    <w:rsid w:val="00EA735B"/>
    <w:rsid w:val="00EB1E69"/>
    <w:rsid w:val="00EB2086"/>
    <w:rsid w:val="00EB48F3"/>
    <w:rsid w:val="00EB5EDF"/>
    <w:rsid w:val="00EB60FE"/>
    <w:rsid w:val="00EB74DB"/>
    <w:rsid w:val="00EC139E"/>
    <w:rsid w:val="00EC15E0"/>
    <w:rsid w:val="00EC1EB9"/>
    <w:rsid w:val="00EC21FB"/>
    <w:rsid w:val="00EC252B"/>
    <w:rsid w:val="00EC27F2"/>
    <w:rsid w:val="00EC3E4B"/>
    <w:rsid w:val="00EC44F9"/>
    <w:rsid w:val="00EC4BAA"/>
    <w:rsid w:val="00EC5359"/>
    <w:rsid w:val="00EC562A"/>
    <w:rsid w:val="00EC58D3"/>
    <w:rsid w:val="00EC5FB9"/>
    <w:rsid w:val="00EC651C"/>
    <w:rsid w:val="00EC65E2"/>
    <w:rsid w:val="00EC6C56"/>
    <w:rsid w:val="00EC7D0F"/>
    <w:rsid w:val="00ED02CA"/>
    <w:rsid w:val="00ED067A"/>
    <w:rsid w:val="00ED142F"/>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8BA"/>
    <w:rsid w:val="00EF4C21"/>
    <w:rsid w:val="00EF5BF9"/>
    <w:rsid w:val="00EF7908"/>
    <w:rsid w:val="00EF7E72"/>
    <w:rsid w:val="00F00E62"/>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A25"/>
    <w:rsid w:val="00F17B93"/>
    <w:rsid w:val="00F17EE3"/>
    <w:rsid w:val="00F228C9"/>
    <w:rsid w:val="00F22D0A"/>
    <w:rsid w:val="00F23DDD"/>
    <w:rsid w:val="00F242EC"/>
    <w:rsid w:val="00F25324"/>
    <w:rsid w:val="00F25BB6"/>
    <w:rsid w:val="00F26209"/>
    <w:rsid w:val="00F26B7E"/>
    <w:rsid w:val="00F27577"/>
    <w:rsid w:val="00F27A3B"/>
    <w:rsid w:val="00F27AEE"/>
    <w:rsid w:val="00F31946"/>
    <w:rsid w:val="00F31EDB"/>
    <w:rsid w:val="00F31FC4"/>
    <w:rsid w:val="00F321A5"/>
    <w:rsid w:val="00F33817"/>
    <w:rsid w:val="00F33D1E"/>
    <w:rsid w:val="00F35078"/>
    <w:rsid w:val="00F403AC"/>
    <w:rsid w:val="00F40A94"/>
    <w:rsid w:val="00F4150A"/>
    <w:rsid w:val="00F41984"/>
    <w:rsid w:val="00F420D5"/>
    <w:rsid w:val="00F423E8"/>
    <w:rsid w:val="00F4270C"/>
    <w:rsid w:val="00F44019"/>
    <w:rsid w:val="00F44714"/>
    <w:rsid w:val="00F451EA"/>
    <w:rsid w:val="00F45447"/>
    <w:rsid w:val="00F456C6"/>
    <w:rsid w:val="00F4577B"/>
    <w:rsid w:val="00F46496"/>
    <w:rsid w:val="00F474D0"/>
    <w:rsid w:val="00F50179"/>
    <w:rsid w:val="00F51136"/>
    <w:rsid w:val="00F515EE"/>
    <w:rsid w:val="00F521D9"/>
    <w:rsid w:val="00F52A40"/>
    <w:rsid w:val="00F53D76"/>
    <w:rsid w:val="00F5516F"/>
    <w:rsid w:val="00F5542C"/>
    <w:rsid w:val="00F56511"/>
    <w:rsid w:val="00F56EAE"/>
    <w:rsid w:val="00F56F5A"/>
    <w:rsid w:val="00F60F9D"/>
    <w:rsid w:val="00F60FD4"/>
    <w:rsid w:val="00F6194E"/>
    <w:rsid w:val="00F61DBA"/>
    <w:rsid w:val="00F623AC"/>
    <w:rsid w:val="00F62429"/>
    <w:rsid w:val="00F627C3"/>
    <w:rsid w:val="00F63B6E"/>
    <w:rsid w:val="00F63C00"/>
    <w:rsid w:val="00F6412A"/>
    <w:rsid w:val="00F64C56"/>
    <w:rsid w:val="00F657DA"/>
    <w:rsid w:val="00F65893"/>
    <w:rsid w:val="00F66A4A"/>
    <w:rsid w:val="00F670C4"/>
    <w:rsid w:val="00F67BE7"/>
    <w:rsid w:val="00F71B5E"/>
    <w:rsid w:val="00F71E22"/>
    <w:rsid w:val="00F72142"/>
    <w:rsid w:val="00F72AE7"/>
    <w:rsid w:val="00F73436"/>
    <w:rsid w:val="00F735EA"/>
    <w:rsid w:val="00F759B1"/>
    <w:rsid w:val="00F814A8"/>
    <w:rsid w:val="00F816CB"/>
    <w:rsid w:val="00F81D44"/>
    <w:rsid w:val="00F833BA"/>
    <w:rsid w:val="00F83E84"/>
    <w:rsid w:val="00F84B42"/>
    <w:rsid w:val="00F84FD0"/>
    <w:rsid w:val="00F8597D"/>
    <w:rsid w:val="00F859A8"/>
    <w:rsid w:val="00F86D87"/>
    <w:rsid w:val="00F86D90"/>
    <w:rsid w:val="00F901F7"/>
    <w:rsid w:val="00F9108B"/>
    <w:rsid w:val="00F91349"/>
    <w:rsid w:val="00F92E91"/>
    <w:rsid w:val="00F939DE"/>
    <w:rsid w:val="00F93A8A"/>
    <w:rsid w:val="00F95113"/>
    <w:rsid w:val="00F95248"/>
    <w:rsid w:val="00F956A9"/>
    <w:rsid w:val="00F963ED"/>
    <w:rsid w:val="00F966CF"/>
    <w:rsid w:val="00F96CAE"/>
    <w:rsid w:val="00F96F24"/>
    <w:rsid w:val="00F9737D"/>
    <w:rsid w:val="00F97C99"/>
    <w:rsid w:val="00F97E88"/>
    <w:rsid w:val="00FA125F"/>
    <w:rsid w:val="00FA1622"/>
    <w:rsid w:val="00FA224A"/>
    <w:rsid w:val="00FA23DE"/>
    <w:rsid w:val="00FA2612"/>
    <w:rsid w:val="00FA4F3A"/>
    <w:rsid w:val="00FA5533"/>
    <w:rsid w:val="00FA5831"/>
    <w:rsid w:val="00FA662D"/>
    <w:rsid w:val="00FA73B1"/>
    <w:rsid w:val="00FB01FA"/>
    <w:rsid w:val="00FB0CB9"/>
    <w:rsid w:val="00FB231D"/>
    <w:rsid w:val="00FB2438"/>
    <w:rsid w:val="00FB2EC4"/>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4198"/>
    <w:rsid w:val="00FC55B4"/>
    <w:rsid w:val="00FC642D"/>
    <w:rsid w:val="00FD00E6"/>
    <w:rsid w:val="00FD09A1"/>
    <w:rsid w:val="00FD1080"/>
    <w:rsid w:val="00FD14C9"/>
    <w:rsid w:val="00FD2A7C"/>
    <w:rsid w:val="00FD3B3A"/>
    <w:rsid w:val="00FD3F7B"/>
    <w:rsid w:val="00FD47F5"/>
    <w:rsid w:val="00FD4933"/>
    <w:rsid w:val="00FD59EB"/>
    <w:rsid w:val="00FD6222"/>
    <w:rsid w:val="00FD6C8C"/>
    <w:rsid w:val="00FD7299"/>
    <w:rsid w:val="00FE04EA"/>
    <w:rsid w:val="00FE133B"/>
    <w:rsid w:val="00FE13A6"/>
    <w:rsid w:val="00FE1FBE"/>
    <w:rsid w:val="00FE1FFA"/>
    <w:rsid w:val="00FE228D"/>
    <w:rsid w:val="00FE2437"/>
    <w:rsid w:val="00FE3901"/>
    <w:rsid w:val="00FE39D3"/>
    <w:rsid w:val="00FE3BB0"/>
    <w:rsid w:val="00FE3D6F"/>
    <w:rsid w:val="00FE43D7"/>
    <w:rsid w:val="00FE4A89"/>
    <w:rsid w:val="00FE4BCE"/>
    <w:rsid w:val="00FE54AE"/>
    <w:rsid w:val="00FE576A"/>
    <w:rsid w:val="00FE57CF"/>
    <w:rsid w:val="00FE6250"/>
    <w:rsid w:val="00FE6441"/>
    <w:rsid w:val="00FE7E79"/>
    <w:rsid w:val="00FF0098"/>
    <w:rsid w:val="00FF0D4D"/>
    <w:rsid w:val="00FF1356"/>
    <w:rsid w:val="00FF13FC"/>
    <w:rsid w:val="00FF2FE4"/>
    <w:rsid w:val="00FF3850"/>
    <w:rsid w:val="00FF38A2"/>
    <w:rsid w:val="00FF3E7D"/>
    <w:rsid w:val="00FF451E"/>
    <w:rsid w:val="00FF46B9"/>
    <w:rsid w:val="00FF48C3"/>
    <w:rsid w:val="00FF5B99"/>
    <w:rsid w:val="00FF730C"/>
    <w:rsid w:val="00FF7395"/>
    <w:rsid w:val="00FF73F4"/>
    <w:rsid w:val="00FF776B"/>
    <w:rsid w:val="00FF7CE4"/>
    <w:rsid w:val="00FF7E39"/>
    <w:rsid w:val="107D5A85"/>
    <w:rsid w:val="2CF678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unhideWhenUsed/>
    <w:qFormat/>
    <w:uiPriority w:val="99"/>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rFonts w:ascii="Times New Roman" w:hAnsi="Times New Roman" w:eastAsia="宋体" w:cs="Times New Roman"/>
      <w:b/>
      <w:bCs/>
      <w:kern w:val="44"/>
      <w:sz w:val="44"/>
      <w:szCs w:val="44"/>
    </w:rPr>
  </w:style>
  <w:style w:type="character" w:customStyle="1" w:styleId="36">
    <w:name w:val="标题 2 字符"/>
    <w:link w:val="3"/>
    <w:qFormat/>
    <w:uiPriority w:val="0"/>
    <w:rPr>
      <w:rFonts w:ascii="Arial" w:hAnsi="Arial" w:eastAsia="黑体" w:cs="Times New Roman"/>
      <w:b/>
      <w:bCs/>
      <w:sz w:val="32"/>
      <w:szCs w:val="32"/>
    </w:rPr>
  </w:style>
  <w:style w:type="character" w:customStyle="1" w:styleId="37">
    <w:name w:val="标题 3 字符"/>
    <w:link w:val="4"/>
    <w:qFormat/>
    <w:uiPriority w:val="0"/>
    <w:rPr>
      <w:rFonts w:ascii="Times New Roman" w:hAnsi="Times New Roman" w:eastAsia="宋体" w:cs="Times New Roman"/>
      <w:b/>
      <w:bCs/>
      <w:sz w:val="32"/>
      <w:szCs w:val="32"/>
    </w:rPr>
  </w:style>
  <w:style w:type="character" w:customStyle="1" w:styleId="38">
    <w:name w:val="标题 4 字符"/>
    <w:link w:val="5"/>
    <w:qFormat/>
    <w:uiPriority w:val="0"/>
    <w:rPr>
      <w:rFonts w:ascii="Arial" w:hAnsi="Arial" w:eastAsia="黑体" w:cs="Times New Roman"/>
      <w:b/>
      <w:bCs/>
      <w:sz w:val="28"/>
      <w:szCs w:val="28"/>
    </w:rPr>
  </w:style>
  <w:style w:type="character" w:customStyle="1" w:styleId="39">
    <w:name w:val="标题 5 字符"/>
    <w:link w:val="6"/>
    <w:qFormat/>
    <w:uiPriority w:val="0"/>
    <w:rPr>
      <w:rFonts w:ascii="Times New Roman" w:hAnsi="Times New Roman" w:eastAsia="宋体" w:cs="Times New Roman"/>
      <w:b/>
      <w:bCs/>
      <w:sz w:val="28"/>
      <w:szCs w:val="28"/>
    </w:rPr>
  </w:style>
  <w:style w:type="character" w:customStyle="1" w:styleId="40">
    <w:name w:val="标题 6 字符"/>
    <w:link w:val="7"/>
    <w:qFormat/>
    <w:uiPriority w:val="0"/>
    <w:rPr>
      <w:rFonts w:ascii="Arial" w:hAnsi="Arial" w:eastAsia="黑体" w:cs="Times New Roman"/>
      <w:b/>
      <w:bCs/>
      <w:sz w:val="24"/>
      <w:szCs w:val="24"/>
    </w:rPr>
  </w:style>
  <w:style w:type="character" w:customStyle="1" w:styleId="41">
    <w:name w:val="标题 7 字符"/>
    <w:link w:val="8"/>
    <w:uiPriority w:val="0"/>
    <w:rPr>
      <w:rFonts w:ascii="Times New Roman" w:hAnsi="Times New Roman" w:eastAsia="宋体" w:cs="Times New Roman"/>
      <w:b/>
      <w:bCs/>
      <w:sz w:val="24"/>
      <w:szCs w:val="24"/>
    </w:rPr>
  </w:style>
  <w:style w:type="character" w:customStyle="1" w:styleId="42">
    <w:name w:val="标题 8 字符"/>
    <w:link w:val="9"/>
    <w:qFormat/>
    <w:uiPriority w:val="0"/>
    <w:rPr>
      <w:rFonts w:ascii="Arial" w:hAnsi="Arial" w:eastAsia="黑体" w:cs="Times New Roman"/>
      <w:sz w:val="24"/>
      <w:szCs w:val="24"/>
    </w:rPr>
  </w:style>
  <w:style w:type="character" w:customStyle="1" w:styleId="43">
    <w:name w:val="标题 9 字符"/>
    <w:link w:val="10"/>
    <w:qFormat/>
    <w:uiPriority w:val="0"/>
    <w:rPr>
      <w:rFonts w:ascii="Arial" w:hAnsi="Arial" w:eastAsia="黑体" w:cs="Times New Roman"/>
      <w:szCs w:val="21"/>
    </w:rPr>
  </w:style>
  <w:style w:type="character" w:customStyle="1" w:styleId="44">
    <w:name w:val="页眉 字符"/>
    <w:link w:val="18"/>
    <w:qFormat/>
    <w:uiPriority w:val="99"/>
    <w:rPr>
      <w:rFonts w:ascii="Times New Roman" w:hAnsi="Times New Roman" w:eastAsia="宋体" w:cs="Times New Roman"/>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批注框文本 字符"/>
    <w:link w:val="16"/>
    <w:semiHidden/>
    <w:qFormat/>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rPr>
  </w:style>
  <w:style w:type="character" w:customStyle="1" w:styleId="49">
    <w:name w:val="标题 字符"/>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pPr>
  </w:style>
  <w:style w:type="paragraph" w:customStyle="1" w:styleId="92">
    <w:name w:val="标准文件_目录标题"/>
    <w:basedOn w:val="1"/>
    <w:qFormat/>
    <w:uiPriority w:val="0"/>
    <w:pPr>
      <w:spacing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hAnsi="Times New Roman" w:eastAsia="宋体" w:cs="Times New Roman"/>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ind w:left="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ind w:left="425"/>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link w:val="240"/>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link w:val="241"/>
    <w:qFormat/>
    <w:uiPriority w:val="0"/>
    <w:pPr>
      <w:numPr>
        <w:ilvl w:val="2"/>
      </w:numPr>
      <w:spacing w:before="50" w:after="50"/>
      <w:outlineLvl w:val="3"/>
    </w:pPr>
  </w:style>
  <w:style w:type="paragraph" w:customStyle="1" w:styleId="236">
    <w:name w:val="三级条标题"/>
    <w:basedOn w:val="235"/>
    <w:next w:val="231"/>
    <w:qFormat/>
    <w:uiPriority w:val="0"/>
    <w:pPr>
      <w:numPr>
        <w:ilvl w:val="3"/>
      </w:numPr>
      <w:ind w:left="0"/>
      <w:outlineLvl w:val="4"/>
    </w:pPr>
  </w:style>
  <w:style w:type="paragraph" w:customStyle="1" w:styleId="237">
    <w:name w:val="四级条标题"/>
    <w:basedOn w:val="236"/>
    <w:next w:val="231"/>
    <w:qFormat/>
    <w:uiPriority w:val="0"/>
    <w:pPr>
      <w:numPr>
        <w:ilvl w:val="4"/>
      </w:numPr>
      <w:ind w:left="0"/>
      <w:outlineLvl w:val="5"/>
    </w:pPr>
  </w:style>
  <w:style w:type="paragraph" w:customStyle="1" w:styleId="238">
    <w:name w:val="五级条标题"/>
    <w:basedOn w:val="237"/>
    <w:next w:val="231"/>
    <w:qFormat/>
    <w:uiPriority w:val="0"/>
    <w:pPr>
      <w:numPr>
        <w:ilvl w:val="5"/>
      </w:numPr>
      <w:ind w:left="0"/>
      <w:outlineLvl w:val="6"/>
    </w:pPr>
  </w:style>
  <w:style w:type="paragraph" w:customStyle="1" w:styleId="239">
    <w:name w:val="前言、引言标题"/>
    <w:next w:val="23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240">
    <w:name w:val="一级条标题 Char"/>
    <w:link w:val="233"/>
    <w:qFormat/>
    <w:uiPriority w:val="0"/>
    <w:rPr>
      <w:rFonts w:ascii="黑体" w:hAnsi="Times New Roman" w:eastAsia="黑体"/>
      <w:sz w:val="21"/>
      <w:szCs w:val="21"/>
    </w:rPr>
  </w:style>
  <w:style w:type="character" w:customStyle="1" w:styleId="241">
    <w:name w:val="二级条标题 Char"/>
    <w:basedOn w:val="240"/>
    <w:link w:val="235"/>
    <w:qFormat/>
    <w:uiPriority w:val="0"/>
    <w:rPr>
      <w:rFonts w:ascii="黑体" w:hAnsi="Times New Roman" w:eastAsia="黑体"/>
      <w:sz w:val="21"/>
      <w:szCs w:val="21"/>
    </w:rPr>
  </w:style>
  <w:style w:type="character" w:customStyle="1" w:styleId="242">
    <w:name w:val="二级无 Char"/>
    <w:link w:val="243"/>
    <w:qFormat/>
    <w:uiPriority w:val="0"/>
    <w:rPr>
      <w:rFonts w:ascii="宋体"/>
      <w:sz w:val="21"/>
      <w:szCs w:val="21"/>
    </w:rPr>
  </w:style>
  <w:style w:type="paragraph" w:customStyle="1" w:styleId="243">
    <w:name w:val="二级无"/>
    <w:basedOn w:val="1"/>
    <w:link w:val="242"/>
    <w:qFormat/>
    <w:uiPriority w:val="0"/>
    <w:pPr>
      <w:widowControl/>
      <w:adjustRightInd/>
      <w:spacing w:line="240" w:lineRule="auto"/>
      <w:jc w:val="left"/>
      <w:outlineLvl w:val="3"/>
    </w:pPr>
    <w:rPr>
      <w:rFonts w:ascii="宋体"/>
      <w:kern w:val="0"/>
    </w:rPr>
  </w:style>
  <w:style w:type="character" w:customStyle="1" w:styleId="244">
    <w:name w:val="未处理的提及1"/>
    <w:basedOn w:val="2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55AB688F">
          <w:pPr>
            <w:pStyle w:val="5"/>
            <w:rPr>
              <w:rFonts w:hint="eastAsia"/>
            </w:rPr>
          </w:pPr>
          <w:r>
            <w:rPr>
              <w:rStyle w:val="4"/>
              <w:rFonts w:hint="eastAsia"/>
            </w:rPr>
            <w:t>单击或点击此处输入文字。</w:t>
          </w:r>
        </w:p>
      </w:docPartBody>
    </w:docPart>
    <w:docPart>
      <w:docPartPr>
        <w:name w:val="884199A17297406FA321D1C53A4BC5F6"/>
        <w:style w:val=""/>
        <w:category>
          <w:name w:val="常规"/>
          <w:gallery w:val="placeholder"/>
        </w:category>
        <w:types>
          <w:type w:val="bbPlcHdr"/>
        </w:types>
        <w:behaviors>
          <w:behavior w:val="content"/>
        </w:behaviors>
        <w:description w:val=""/>
        <w:guid w:val="{94E0FF5B-402D-4ABF-8A28-3ADF7FD5ABCA}"/>
      </w:docPartPr>
      <w:docPartBody>
        <w:p w14:paraId="43C0A2CB">
          <w:pPr>
            <w:pStyle w:val="6"/>
            <w:rPr>
              <w:rFonts w:hint="eastAsia"/>
            </w:rPr>
          </w:pPr>
          <w:r>
            <w:rPr>
              <w:rStyle w:val="4"/>
              <w:rFonts w:hint="eastAsia"/>
            </w:rPr>
            <w:t>选择一项。</w:t>
          </w:r>
        </w:p>
      </w:docPartBody>
    </w:docPart>
    <w:docPart>
      <w:docPartPr>
        <w:name w:val="2370AB3DE1204602B877E9BFD40E9C45"/>
        <w:style w:val=""/>
        <w:category>
          <w:name w:val="常规"/>
          <w:gallery w:val="placeholder"/>
        </w:category>
        <w:types>
          <w:type w:val="bbPlcHdr"/>
        </w:types>
        <w:behaviors>
          <w:behavior w:val="content"/>
        </w:behaviors>
        <w:description w:val=""/>
        <w:guid w:val="{DC187ECD-7ABA-4193-A168-10CFA175C32C}"/>
      </w:docPartPr>
      <w:docPartBody>
        <w:p w14:paraId="6AE2873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AC"/>
    <w:rsid w:val="0001699B"/>
    <w:rsid w:val="00027AEA"/>
    <w:rsid w:val="00030617"/>
    <w:rsid w:val="00056889"/>
    <w:rsid w:val="0006145A"/>
    <w:rsid w:val="00072661"/>
    <w:rsid w:val="00074B26"/>
    <w:rsid w:val="000D331D"/>
    <w:rsid w:val="000F5FC3"/>
    <w:rsid w:val="00132612"/>
    <w:rsid w:val="00153266"/>
    <w:rsid w:val="001A702B"/>
    <w:rsid w:val="001D32F4"/>
    <w:rsid w:val="001D52BD"/>
    <w:rsid w:val="001E3811"/>
    <w:rsid w:val="001E62F8"/>
    <w:rsid w:val="0020090F"/>
    <w:rsid w:val="002249A7"/>
    <w:rsid w:val="002347FC"/>
    <w:rsid w:val="00246495"/>
    <w:rsid w:val="0024789A"/>
    <w:rsid w:val="002600ED"/>
    <w:rsid w:val="00281C7A"/>
    <w:rsid w:val="00297853"/>
    <w:rsid w:val="002D508C"/>
    <w:rsid w:val="002F749F"/>
    <w:rsid w:val="0031610D"/>
    <w:rsid w:val="00323F6C"/>
    <w:rsid w:val="003429B6"/>
    <w:rsid w:val="0037088D"/>
    <w:rsid w:val="00371C08"/>
    <w:rsid w:val="003734FA"/>
    <w:rsid w:val="0038089F"/>
    <w:rsid w:val="00382FF5"/>
    <w:rsid w:val="0038401B"/>
    <w:rsid w:val="003B0021"/>
    <w:rsid w:val="003C3597"/>
    <w:rsid w:val="003C6E60"/>
    <w:rsid w:val="003C7CCD"/>
    <w:rsid w:val="003D4CB6"/>
    <w:rsid w:val="003D7D92"/>
    <w:rsid w:val="003E0251"/>
    <w:rsid w:val="003E0BE7"/>
    <w:rsid w:val="003F651F"/>
    <w:rsid w:val="003F7F4F"/>
    <w:rsid w:val="00412F5B"/>
    <w:rsid w:val="0041382D"/>
    <w:rsid w:val="00420D8F"/>
    <w:rsid w:val="00435D85"/>
    <w:rsid w:val="004378FE"/>
    <w:rsid w:val="00495FC9"/>
    <w:rsid w:val="004A7DDB"/>
    <w:rsid w:val="004B297C"/>
    <w:rsid w:val="004B79C0"/>
    <w:rsid w:val="004D7267"/>
    <w:rsid w:val="004E49C4"/>
    <w:rsid w:val="004E67A3"/>
    <w:rsid w:val="004F144D"/>
    <w:rsid w:val="00535FCC"/>
    <w:rsid w:val="00573622"/>
    <w:rsid w:val="005743C3"/>
    <w:rsid w:val="00575CF8"/>
    <w:rsid w:val="0059671F"/>
    <w:rsid w:val="00596C6F"/>
    <w:rsid w:val="005A4631"/>
    <w:rsid w:val="005C17A2"/>
    <w:rsid w:val="0061005F"/>
    <w:rsid w:val="006437AC"/>
    <w:rsid w:val="006637D3"/>
    <w:rsid w:val="00696562"/>
    <w:rsid w:val="006A354E"/>
    <w:rsid w:val="006B0113"/>
    <w:rsid w:val="0071423F"/>
    <w:rsid w:val="0074119E"/>
    <w:rsid w:val="007651D9"/>
    <w:rsid w:val="007A4FB5"/>
    <w:rsid w:val="007B7BB6"/>
    <w:rsid w:val="007C21F4"/>
    <w:rsid w:val="007F2B27"/>
    <w:rsid w:val="00804026"/>
    <w:rsid w:val="00804442"/>
    <w:rsid w:val="0081249B"/>
    <w:rsid w:val="00814D22"/>
    <w:rsid w:val="00882452"/>
    <w:rsid w:val="008949C5"/>
    <w:rsid w:val="008A60F9"/>
    <w:rsid w:val="008C2749"/>
    <w:rsid w:val="008C5F98"/>
    <w:rsid w:val="008D0910"/>
    <w:rsid w:val="008D1554"/>
    <w:rsid w:val="008E7A01"/>
    <w:rsid w:val="008E7BE9"/>
    <w:rsid w:val="008F76AB"/>
    <w:rsid w:val="009022C9"/>
    <w:rsid w:val="0090598B"/>
    <w:rsid w:val="00926460"/>
    <w:rsid w:val="00935CEC"/>
    <w:rsid w:val="00947D38"/>
    <w:rsid w:val="00961529"/>
    <w:rsid w:val="00962162"/>
    <w:rsid w:val="009A474A"/>
    <w:rsid w:val="009B6402"/>
    <w:rsid w:val="009C3050"/>
    <w:rsid w:val="009E7AA9"/>
    <w:rsid w:val="009F6066"/>
    <w:rsid w:val="00A3313D"/>
    <w:rsid w:val="00A401E1"/>
    <w:rsid w:val="00A7473B"/>
    <w:rsid w:val="00A80897"/>
    <w:rsid w:val="00A941E2"/>
    <w:rsid w:val="00A97403"/>
    <w:rsid w:val="00AA53A5"/>
    <w:rsid w:val="00AC621D"/>
    <w:rsid w:val="00AD7202"/>
    <w:rsid w:val="00AE0ACF"/>
    <w:rsid w:val="00B02A73"/>
    <w:rsid w:val="00B03A0C"/>
    <w:rsid w:val="00B623FB"/>
    <w:rsid w:val="00B7240F"/>
    <w:rsid w:val="00B73891"/>
    <w:rsid w:val="00B8672A"/>
    <w:rsid w:val="00B95DE5"/>
    <w:rsid w:val="00BD3A0C"/>
    <w:rsid w:val="00BE5B85"/>
    <w:rsid w:val="00BE67F9"/>
    <w:rsid w:val="00BE77D5"/>
    <w:rsid w:val="00BF4953"/>
    <w:rsid w:val="00C12B07"/>
    <w:rsid w:val="00C13D7D"/>
    <w:rsid w:val="00C828DC"/>
    <w:rsid w:val="00CB2152"/>
    <w:rsid w:val="00CC7179"/>
    <w:rsid w:val="00CD5E64"/>
    <w:rsid w:val="00CE1427"/>
    <w:rsid w:val="00CF0A4C"/>
    <w:rsid w:val="00CF3684"/>
    <w:rsid w:val="00D01B51"/>
    <w:rsid w:val="00D01D46"/>
    <w:rsid w:val="00D2514D"/>
    <w:rsid w:val="00D32A15"/>
    <w:rsid w:val="00D360AB"/>
    <w:rsid w:val="00D36491"/>
    <w:rsid w:val="00D63EA4"/>
    <w:rsid w:val="00D63F81"/>
    <w:rsid w:val="00D66CE8"/>
    <w:rsid w:val="00D740F4"/>
    <w:rsid w:val="00DA6B53"/>
    <w:rsid w:val="00DB5662"/>
    <w:rsid w:val="00DB736A"/>
    <w:rsid w:val="00DC7032"/>
    <w:rsid w:val="00DD0A33"/>
    <w:rsid w:val="00DD12D6"/>
    <w:rsid w:val="00DD3954"/>
    <w:rsid w:val="00DD3AD1"/>
    <w:rsid w:val="00DD61D1"/>
    <w:rsid w:val="00E05D3A"/>
    <w:rsid w:val="00E42D4C"/>
    <w:rsid w:val="00E73C53"/>
    <w:rsid w:val="00E940B1"/>
    <w:rsid w:val="00E97425"/>
    <w:rsid w:val="00EA715E"/>
    <w:rsid w:val="00EC46C4"/>
    <w:rsid w:val="00EC7482"/>
    <w:rsid w:val="00ED2DC9"/>
    <w:rsid w:val="00EE2892"/>
    <w:rsid w:val="00F226C3"/>
    <w:rsid w:val="00F26780"/>
    <w:rsid w:val="00F524A8"/>
    <w:rsid w:val="00F67C49"/>
    <w:rsid w:val="00F77BD4"/>
    <w:rsid w:val="00F8502A"/>
    <w:rsid w:val="00F8597D"/>
    <w:rsid w:val="00F929C7"/>
    <w:rsid w:val="00F978E3"/>
    <w:rsid w:val="00FB29C3"/>
    <w:rsid w:val="00FD14C9"/>
    <w:rsid w:val="00FD7794"/>
    <w:rsid w:val="00FE1EDE"/>
    <w:rsid w:val="00FE1FFA"/>
    <w:rsid w:val="00FE681D"/>
    <w:rsid w:val="00FE7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D0A9E6ED8E41A5BC258D89F7A9C4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199A17297406FA321D1C53A4BC5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0AB3DE1204602B877E9BFD40E9C4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2CC88-536E-4F90-B843-4FDC3A7BD194}">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13</Pages>
  <Words>2344</Words>
  <Characters>2649</Characters>
  <Lines>245</Lines>
  <Paragraphs>292</Paragraphs>
  <TotalTime>1</TotalTime>
  <ScaleCrop>false</ScaleCrop>
  <LinksUpToDate>false</LinksUpToDate>
  <CharactersWithSpaces>2760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2025-04-11T01:26:00Z</dcterms:created>
  <dc:creator>17323</dc:creator>
  <cp:lastModifiedBy>阿北</cp:lastModifiedBy>
  <cp:lastPrinted>2022-08-18T04:31:00Z</cp:lastPrinted>
  <dcterms:modified xsi:type="dcterms:W3CDTF">2025-04-23T02:19:48Z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eyJoZGlkIjoiODk4MzM4ZWM2YWJkMjFhM2M1YmVmNzk0ZDM4M2ExMWQiLCJ1c2VySWQiOiI0NDY1NjM4NjAifQ==</vt:lpwstr>
  </property>
  <property fmtid="{D5CDD505-2E9C-101B-9397-08002B2CF9AE}" pid="16" name="KSOProductBuildVer">
    <vt:lpwstr>2052-12.1.0.20784</vt:lpwstr>
  </property>
  <property fmtid="{D5CDD505-2E9C-101B-9397-08002B2CF9AE}" pid="17" name="ICV">
    <vt:lpwstr>7627C6D19546479C8FBFAC8A1E5DE724_12</vt:lpwstr>
  </property>
</Properties>
</file>