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r>
        <w:rPr>
          <w:rFonts w:hint="default" w:ascii="Times New Roman" w:hAnsi="Times New Roman" w:eastAsia="黑体" w:cs="Times New Roman"/>
          <w:b/>
          <w:sz w:val="52"/>
          <w:szCs w:val="52"/>
          <w:highlight w:val="none"/>
          <w:lang w:val="en-US" w:eastAsia="zh-CN"/>
        </w:rPr>
        <w:t>污泥干化焚烧系统集成装备工艺规范</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14AA5CF9">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污泥干化焚烧系统集成装备工艺规范</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eastAsia" w:ascii="Times New Roman" w:hAnsi="Times New Roman" w:eastAsia="楷体_GB2312" w:cs="Times New Roman"/>
          <w:b/>
          <w:sz w:val="36"/>
          <w:szCs w:val="36"/>
          <w:highlight w:val="none"/>
          <w:lang w:val="en-US" w:eastAsia="zh-CN"/>
        </w:rPr>
        <w:t>三</w:t>
      </w:r>
      <w:bookmarkStart w:id="73" w:name="_GoBack"/>
      <w:bookmarkEnd w:id="73"/>
      <w:r>
        <w:rPr>
          <w:rFonts w:hint="default" w:ascii="Times New Roman" w:hAnsi="Times New Roman" w:eastAsia="楷体_GB2312" w:cs="Times New Roman"/>
          <w:b/>
          <w:sz w:val="36"/>
          <w:szCs w:val="36"/>
          <w:highlight w:val="none"/>
        </w:rPr>
        <w:t>月</w:t>
      </w:r>
    </w:p>
    <w:p w14:paraId="6AF7A759">
      <w:pPr>
        <w:spacing w:line="360" w:lineRule="auto"/>
        <w:jc w:val="center"/>
        <w:rPr>
          <w:rFonts w:hint="default" w:ascii="Times New Roman" w:hAnsi="Times New Roman" w:eastAsia="楷体_GB2312" w:cs="Times New Roman"/>
          <w:b/>
          <w:sz w:val="36"/>
          <w:szCs w:val="36"/>
          <w:highlight w:val="none"/>
        </w:rPr>
      </w:pP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16</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17</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r>
        <w:rPr>
          <w:rFonts w:hint="default" w:ascii="Times New Roman" w:hAnsi="Times New Roman" w:eastAsia="黑体" w:cs="Times New Roman"/>
          <w:b/>
          <w:sz w:val="36"/>
          <w:szCs w:val="36"/>
          <w:highlight w:val="none"/>
          <w:lang w:val="en-US" w:eastAsia="zh-CN"/>
        </w:rPr>
        <w:t>污泥干化焚烧系统集成装备工艺规范</w:t>
      </w:r>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0EBD8A4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随着城市化进程的加快，污泥产量持续增加，给城市环境治理带来了巨大挑战。传统的污泥处理方法如填埋和堆肥等，存在占地面积大、易造成二次污染等问题。而污泥干化焚烧作为一种高效、减量化和无害化的处理方式，逐渐成为污泥处理领域的重要发展方向。然而，当前污泥干化焚烧系统集成装备的工艺水平参差不齐，缺乏统一的技术标准和规范，导致处理效果不稳定，能源消耗和排放也难以控制。在污泥干化焚烧系统集成装备工艺规范项目的推进过程中，存在一些问题亟待解决。一方面，由于污泥成分复杂，不同地区的污泥特性差异较大，导致工艺规范难以统一。另一方面，现有的污泥干化焚烧技术虽然取得了一定的进展，但仍存在能源消耗高、排放控制难度大等问题。此外，工艺规范的制定还需要考虑设备选型、运行维护、安全管理等多个方面，确保系统的稳定性和可靠性。</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因此，立项开展污泥干化焚烧系统集成装备工艺规范项目。污泥干化焚烧系统集成装备工艺规范项目的实施具有重要意义。首先，通过制定科学合理的工艺规范，可以统一污泥干化焚烧系统的技术标准，提升行业整体的技术水平和处理能力。其次，规范的实施有助于降低能源消耗和排放，减少对环境的影响，符合国家的环保政策和可持续发展战略。此外，工艺规范的制定还可以推动污泥处理技术的创新和升级，促进相关产业的发展和壮大。总之，污泥干化焚烧系统集成装备工艺规范项目的实施，对于推动污泥处理行业的绿色发展、提升行业整体竞争力具有重要意义。</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污泥干化焚烧</w:t>
      </w:r>
      <w:r>
        <w:rPr>
          <w:rFonts w:hint="default" w:ascii="Times New Roman" w:hAnsi="Times New Roman" w:cs="Times New Roman"/>
          <w:kern w:val="0"/>
          <w:sz w:val="28"/>
          <w:szCs w:val="28"/>
          <w:highlight w:val="none"/>
        </w:rPr>
        <w:t>市场管理工作中起到规范信息化管理作用，标准起草工作组力求科学性、可操作性，以科学、谨慎的态度，在对我国现有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污泥干化焚烧</w:t>
      </w:r>
      <w:r>
        <w:rPr>
          <w:rFonts w:hint="default" w:ascii="Times New Roman" w:hAnsi="Times New Roman" w:cs="Times New Roman"/>
          <w:kern w:val="0"/>
          <w:sz w:val="28"/>
          <w:szCs w:val="28"/>
          <w:highlight w:val="none"/>
        </w:rPr>
        <w:t>市场相关管理服务体系文件、模式基础上，经过综合分析、充分验证资料、反复讨论研究和修改，最终确定了本标准的主要内容。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污泥干化焚烧相关情况进行了深入的调查研究，同时广泛搜集相关标准和国外技术资料，进行了大量的研究分析、资料查证工作，确定了污泥干化焚烧市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标准起草组进一步研究了污泥干化焚烧需要具备的特殊条件，明确了技术要求和指标，为标准的具体起草指明了方向。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在理论研究基础上，起草组在标准编制过程中充分借鉴已有的理论研究和实践成果，基于我国市场行情，经过数次修订，形成了《污泥干化焚烧系统集成装备工艺规范》标准草案。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污泥干化焚烧系统集成装备工艺规范》（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企业</w:t>
      </w:r>
      <w:r>
        <w:rPr>
          <w:rFonts w:hint="default" w:ascii="Times New Roman" w:hAnsi="Times New Roman" w:cs="Times New Roman"/>
          <w:kern w:val="0"/>
          <w:sz w:val="28"/>
          <w:szCs w:val="28"/>
          <w:highlight w:val="none"/>
        </w:rPr>
        <w:t>等多家单位的专家成立了规范起草小组，开展标准的编制工作。</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3</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11</w:t>
      </w:r>
      <w:r>
        <w:rPr>
          <w:rFonts w:hint="default" w:ascii="Times New Roman" w:hAnsi="Times New Roman" w:cs="Times New Roman"/>
          <w:sz w:val="28"/>
          <w:szCs w:val="28"/>
          <w:highlight w:val="none"/>
        </w:rPr>
        <w:t>个部分，主要内容如下：</w:t>
      </w:r>
    </w:p>
    <w:p w14:paraId="74694CDB">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24884211"/>
      <w:bookmarkStart w:id="3" w:name="_Toc26986771"/>
      <w:bookmarkStart w:id="4" w:name="_Toc193382996"/>
      <w:bookmarkStart w:id="5" w:name="_Toc97192964"/>
      <w:bookmarkStart w:id="6" w:name="_Toc26648465"/>
      <w:bookmarkStart w:id="7" w:name="_Toc26718930"/>
      <w:bookmarkStart w:id="8" w:name="_Toc193296786"/>
      <w:bookmarkStart w:id="9" w:name="_Toc17233333"/>
      <w:bookmarkStart w:id="10" w:name="_Toc24884218"/>
      <w:bookmarkStart w:id="11" w:name="_Toc17233325"/>
      <w:bookmarkStart w:id="12" w:name="_Toc26986530"/>
      <w:bookmarkStart w:id="13" w:name="_Toc193295690"/>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bookmarkEnd w:id="13"/>
    </w:p>
    <w:p w14:paraId="2CA7F0E4">
      <w:pPr>
        <w:pStyle w:val="37"/>
        <w:widowControl/>
        <w:spacing w:line="360" w:lineRule="auto"/>
        <w:ind w:left="0" w:firstLine="420"/>
        <w:rPr>
          <w:rFonts w:hint="default" w:ascii="Times New Roman" w:hAnsi="Times New Roman" w:cs="Times New Roman"/>
          <w:sz w:val="28"/>
          <w:szCs w:val="28"/>
          <w:highlight w:val="none"/>
          <w:lang w:val="en-US"/>
        </w:rPr>
      </w:pPr>
      <w:bookmarkStart w:id="14" w:name="_Toc24884219"/>
      <w:bookmarkStart w:id="15" w:name="_Toc26648466"/>
      <w:bookmarkStart w:id="16" w:name="_Toc24884212"/>
      <w:bookmarkStart w:id="17" w:name="_Toc17233334"/>
      <w:bookmarkStart w:id="18" w:name="_Toc17233326"/>
      <w:r>
        <w:rPr>
          <w:rFonts w:hint="default" w:ascii="Times New Roman" w:hAnsi="Times New Roman" w:cs="Times New Roman"/>
          <w:sz w:val="28"/>
          <w:szCs w:val="28"/>
          <w:highlight w:val="none"/>
          <w:lang w:eastAsia="zh-CN"/>
        </w:rPr>
        <w:t>本文件规定了污泥干化焚烧系统集成装备工艺的术语和定义、工艺流程、污泥接收储运系统、污泥干化系统、污泥焚烧系统、烟气净化系统、污水处理系统、质量控制和维护相关内容。</w:t>
      </w:r>
    </w:p>
    <w:p w14:paraId="4FA5522B">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本文件适用于污水处理厂、工业污泥处理设施等污泥处理处置。</w:t>
      </w:r>
    </w:p>
    <w:p w14:paraId="3829BC04">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9" w:name="_Toc193296787"/>
      <w:bookmarkStart w:id="20" w:name="_Toc97192965"/>
      <w:bookmarkStart w:id="21" w:name="_Toc193295691"/>
      <w:bookmarkStart w:id="22" w:name="_Toc26986772"/>
      <w:bookmarkStart w:id="23" w:name="_Toc193382997"/>
      <w:bookmarkStart w:id="24" w:name="_Toc26986531"/>
      <w:bookmarkStart w:id="25" w:name="_Toc26718931"/>
      <w:r>
        <w:rPr>
          <w:rFonts w:hint="default" w:ascii="Times New Roman" w:hAnsi="Times New Roman" w:cs="Times New Roman"/>
          <w:sz w:val="28"/>
          <w:szCs w:val="28"/>
          <w:highlight w:val="none"/>
          <w:lang w:eastAsia="zh-CN"/>
        </w:rPr>
        <w:t>规范性引用文件</w:t>
      </w:r>
      <w:bookmarkEnd w:id="14"/>
      <w:bookmarkEnd w:id="15"/>
      <w:bookmarkEnd w:id="16"/>
      <w:bookmarkEnd w:id="17"/>
      <w:bookmarkEnd w:id="18"/>
      <w:bookmarkEnd w:id="19"/>
      <w:bookmarkEnd w:id="20"/>
      <w:bookmarkEnd w:id="21"/>
      <w:bookmarkEnd w:id="22"/>
      <w:bookmarkEnd w:id="23"/>
      <w:bookmarkEnd w:id="24"/>
      <w:bookmarkEnd w:id="25"/>
    </w:p>
    <w:p w14:paraId="5AD7FBA4">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F5EE256">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16889 </w:t>
      </w:r>
      <w:r>
        <w:rPr>
          <w:rFonts w:hint="default" w:ascii="Times New Roman" w:hAnsi="Times New Roman" w:cs="Times New Roman"/>
          <w:sz w:val="28"/>
          <w:szCs w:val="28"/>
          <w:highlight w:val="none"/>
          <w:lang w:eastAsia="zh-CN"/>
        </w:rPr>
        <w:t>生活垃圾填埋场污染控制标准</w:t>
      </w:r>
    </w:p>
    <w:p w14:paraId="146394CA">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18485 </w:t>
      </w:r>
      <w:r>
        <w:rPr>
          <w:rFonts w:hint="default" w:ascii="Times New Roman" w:hAnsi="Times New Roman" w:cs="Times New Roman"/>
          <w:sz w:val="28"/>
          <w:szCs w:val="28"/>
          <w:highlight w:val="none"/>
          <w:lang w:eastAsia="zh-CN"/>
        </w:rPr>
        <w:t>生活垃圾焚烧污染控制标准</w:t>
      </w:r>
    </w:p>
    <w:p w14:paraId="1789D5C7">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HG/T 3923 </w:t>
      </w:r>
      <w:r>
        <w:rPr>
          <w:rFonts w:hint="default" w:ascii="Times New Roman" w:hAnsi="Times New Roman" w:cs="Times New Roman"/>
          <w:sz w:val="28"/>
          <w:szCs w:val="28"/>
          <w:highlight w:val="none"/>
          <w:lang w:eastAsia="zh-CN"/>
        </w:rPr>
        <w:t>循环冷却水用再生水水质标准</w:t>
      </w:r>
    </w:p>
    <w:p w14:paraId="54ADBB84">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6" w:name="_Toc193382998"/>
      <w:bookmarkStart w:id="27" w:name="_Toc193295692"/>
      <w:bookmarkStart w:id="28" w:name="_Toc193296788"/>
      <w:bookmarkStart w:id="29" w:name="_Toc97192966"/>
      <w:r>
        <w:rPr>
          <w:rFonts w:hint="default" w:ascii="Times New Roman" w:hAnsi="Times New Roman" w:cs="Times New Roman"/>
          <w:sz w:val="28"/>
          <w:szCs w:val="28"/>
          <w:highlight w:val="none"/>
          <w:lang w:eastAsia="zh-CN"/>
        </w:rPr>
        <w:t>术语和定义</w:t>
      </w:r>
      <w:bookmarkEnd w:id="26"/>
      <w:bookmarkEnd w:id="27"/>
      <w:bookmarkEnd w:id="28"/>
      <w:bookmarkEnd w:id="29"/>
    </w:p>
    <w:p w14:paraId="40638A20">
      <w:pPr>
        <w:pStyle w:val="37"/>
        <w:widowControl/>
        <w:spacing w:line="360" w:lineRule="auto"/>
        <w:ind w:left="0" w:firstLine="420"/>
        <w:rPr>
          <w:rFonts w:hint="default" w:ascii="Times New Roman" w:hAnsi="Times New Roman" w:cs="Times New Roman"/>
          <w:sz w:val="28"/>
          <w:szCs w:val="28"/>
          <w:highlight w:val="none"/>
          <w:lang w:val="en-US"/>
        </w:rPr>
      </w:pPr>
      <w:bookmarkStart w:id="30" w:name="_Toc26986532"/>
      <w:bookmarkEnd w:id="30"/>
      <w:r>
        <w:rPr>
          <w:rFonts w:hint="default" w:ascii="Times New Roman" w:hAnsi="Times New Roman" w:cs="Times New Roman"/>
          <w:sz w:val="28"/>
          <w:szCs w:val="28"/>
          <w:highlight w:val="none"/>
          <w:lang w:eastAsia="zh-CN"/>
        </w:rPr>
        <w:t>下列术语和定义适用于本文件。</w:t>
      </w:r>
    </w:p>
    <w:p w14:paraId="73A751C6">
      <w:pPr>
        <w:pStyle w:val="41"/>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污泥干化</w:t>
      </w:r>
      <w:r>
        <w:rPr>
          <w:rFonts w:hint="default" w:ascii="Times New Roman" w:hAnsi="Times New Roman" w:eastAsia="黑体" w:cs="Times New Roman"/>
          <w:sz w:val="28"/>
          <w:szCs w:val="28"/>
          <w:highlight w:val="none"/>
          <w:lang w:val="en-US"/>
        </w:rPr>
        <w:t xml:space="preserve"> sludge drying</w:t>
      </w:r>
    </w:p>
    <w:p w14:paraId="3C60A339">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通过物理或化学方法降低污泥含水率的过程。</w:t>
      </w:r>
    </w:p>
    <w:p w14:paraId="48F06C3F">
      <w:pPr>
        <w:pStyle w:val="41"/>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焚烧</w:t>
      </w:r>
      <w:r>
        <w:rPr>
          <w:rFonts w:hint="default" w:ascii="Times New Roman" w:hAnsi="Times New Roman" w:eastAsia="黑体" w:cs="Times New Roman"/>
          <w:sz w:val="28"/>
          <w:szCs w:val="28"/>
          <w:highlight w:val="none"/>
          <w:lang w:val="en-US"/>
        </w:rPr>
        <w:t xml:space="preserve"> burning</w:t>
      </w:r>
    </w:p>
    <w:p w14:paraId="148737D3">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在高温条件下，将污泥中的可燃成分氧化分解，转化为灰渣和烟气的过程。</w:t>
      </w:r>
    </w:p>
    <w:p w14:paraId="35FDC71E">
      <w:pPr>
        <w:pStyle w:val="41"/>
        <w:widowControl/>
        <w:numPr>
          <w:ilvl w:val="2"/>
          <w:numId w:val="2"/>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系统集成装备</w:t>
      </w:r>
      <w:r>
        <w:rPr>
          <w:rFonts w:hint="default" w:ascii="Times New Roman" w:hAnsi="Times New Roman" w:eastAsia="黑体" w:cs="Times New Roman"/>
          <w:sz w:val="28"/>
          <w:szCs w:val="28"/>
          <w:highlight w:val="none"/>
          <w:lang w:val="en-US"/>
        </w:rPr>
        <w:t xml:space="preserve"> system integration equipment</w:t>
      </w:r>
    </w:p>
    <w:p w14:paraId="3326D74D">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指污泥干化、焚烧及辅助系统组成的完整工艺装备。</w:t>
      </w:r>
    </w:p>
    <w:p w14:paraId="7331AE22">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1" w:name="_Toc193382999"/>
      <w:bookmarkStart w:id="32" w:name="_Toc193295693"/>
      <w:bookmarkStart w:id="33" w:name="_Toc193296789"/>
      <w:r>
        <w:rPr>
          <w:rFonts w:hint="default" w:ascii="Times New Roman" w:hAnsi="Times New Roman" w:cs="Times New Roman"/>
          <w:sz w:val="28"/>
          <w:szCs w:val="28"/>
          <w:highlight w:val="none"/>
          <w:lang w:eastAsia="zh-CN"/>
        </w:rPr>
        <w:t>工艺流程</w:t>
      </w:r>
      <w:bookmarkEnd w:id="31"/>
      <w:bookmarkEnd w:id="32"/>
      <w:bookmarkEnd w:id="33"/>
    </w:p>
    <w:p w14:paraId="6667B07D">
      <w:pPr>
        <w:pStyle w:val="37"/>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污泥干化焚烧系统集成装备应包括污泥接收储运系统、污泥干化系统、污泥焚烧系统、烟气净化系统、污水处理系统等相关设备共同组成，工艺流程图见图</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p>
    <w:p w14:paraId="1E6D95CA">
      <w:pPr>
        <w:pStyle w:val="37"/>
        <w:widowControl/>
        <w:spacing w:before="120" w:beforeLines="50" w:beforeAutospacing="0" w:line="360" w:lineRule="auto"/>
        <w:ind w:lef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drawing>
          <wp:inline distT="0" distB="0" distL="114300" distR="114300">
            <wp:extent cx="4552950" cy="21145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552950" cy="2114550"/>
                    </a:xfrm>
                    <a:prstGeom prst="rect">
                      <a:avLst/>
                    </a:prstGeom>
                    <a:noFill/>
                    <a:ln>
                      <a:noFill/>
                    </a:ln>
                  </pic:spPr>
                </pic:pic>
              </a:graphicData>
            </a:graphic>
          </wp:inline>
        </w:drawing>
      </w:r>
    </w:p>
    <w:p w14:paraId="45E79582">
      <w:pPr>
        <w:pStyle w:val="42"/>
        <w:widowControl/>
        <w:numPr>
          <w:ilvl w:val="0"/>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污泥干化焚烧系统集成装备工艺流程图</w:t>
      </w:r>
    </w:p>
    <w:p w14:paraId="20DAD4DB">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4" w:name="_Toc193296790"/>
      <w:bookmarkStart w:id="35" w:name="_Toc193383000"/>
      <w:bookmarkStart w:id="36" w:name="OLE_LINK4"/>
      <w:bookmarkStart w:id="37" w:name="_Toc193295695"/>
      <w:r>
        <w:rPr>
          <w:rFonts w:hint="default" w:ascii="Times New Roman" w:hAnsi="Times New Roman" w:cs="Times New Roman"/>
          <w:sz w:val="28"/>
          <w:szCs w:val="28"/>
          <w:highlight w:val="none"/>
          <w:lang w:eastAsia="zh-CN"/>
        </w:rPr>
        <w:t>污泥接收储运系统</w:t>
      </w:r>
      <w:bookmarkEnd w:id="34"/>
      <w:bookmarkEnd w:id="35"/>
    </w:p>
    <w:p w14:paraId="54BE19A5">
      <w:pPr>
        <w:pStyle w:val="35"/>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污泥接收储运程序</w:t>
      </w:r>
    </w:p>
    <w:bookmarkEnd w:id="36"/>
    <w:p w14:paraId="55EDF4A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bookmarkStart w:id="38" w:name="OLE_LINK5"/>
      <w:r>
        <w:rPr>
          <w:rFonts w:hint="default" w:ascii="Times New Roman" w:hAnsi="Times New Roman" w:cs="Times New Roman"/>
          <w:sz w:val="28"/>
          <w:szCs w:val="28"/>
          <w:highlight w:val="none"/>
          <w:lang w:eastAsia="zh-CN"/>
        </w:rPr>
        <w:t>污泥接收储运系统</w:t>
      </w:r>
      <w:bookmarkEnd w:id="38"/>
      <w:r>
        <w:rPr>
          <w:rFonts w:hint="default" w:ascii="Times New Roman" w:hAnsi="Times New Roman" w:cs="Times New Roman"/>
          <w:sz w:val="28"/>
          <w:szCs w:val="28"/>
          <w:highlight w:val="none"/>
          <w:lang w:eastAsia="zh-CN"/>
        </w:rPr>
        <w:t>宜依次经过以下程序：</w:t>
      </w:r>
    </w:p>
    <w:p w14:paraId="21C620E7">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计重；</w:t>
      </w:r>
    </w:p>
    <w:p w14:paraId="61A23B9E">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卸料；</w:t>
      </w:r>
    </w:p>
    <w:p w14:paraId="2ED11537">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储存；</w:t>
      </w:r>
    </w:p>
    <w:p w14:paraId="7163B8CF">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螺杆泵输送。</w:t>
      </w:r>
    </w:p>
    <w:p w14:paraId="1AB6D01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污泥接收储运系统中卸料、储存程序宜采用负压收集处理系统。</w:t>
      </w:r>
    </w:p>
    <w:bookmarkEnd w:id="37"/>
    <w:p w14:paraId="13FD19FB">
      <w:pPr>
        <w:pStyle w:val="35"/>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污泥接收</w:t>
      </w:r>
    </w:p>
    <w:p w14:paraId="3CAEC56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根据污泥的来源、性质及处理规模，应选择合适的污泥接收设备，如污泥泵、输送带或装卸装置等。</w:t>
      </w:r>
    </w:p>
    <w:p w14:paraId="60E745E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接收设备的设计应满足污泥的连续稳定接收需求，宜具备自动调节功能，适应不同污泥流量的变化。</w:t>
      </w:r>
    </w:p>
    <w:p w14:paraId="5A132EB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在污泥接收点应设置质量检测装置，对污泥的含水率、有机质含量、重金属含量等指标进行实时监测。</w:t>
      </w:r>
    </w:p>
    <w:p w14:paraId="70E31947">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检测数据应及时反馈至控制系统，可根据污泥质量调整后续处理工艺参数。</w:t>
      </w:r>
    </w:p>
    <w:p w14:paraId="7A391796">
      <w:pPr>
        <w:pStyle w:val="35"/>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污泥储存</w:t>
      </w:r>
    </w:p>
    <w:p w14:paraId="0221FC4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根据污泥的储存周期、处理规模及场地条件，应选择合适的储存设施，如密闭式仓库、露天堆场或储存池等。</w:t>
      </w:r>
    </w:p>
    <w:p w14:paraId="2A4B3590">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储存设施的设计应满足防腐、防渗、防臭气扩散等要求，宜采用钢筋混凝土结构或具有相应防腐性能的材料。</w:t>
      </w:r>
    </w:p>
    <w:p w14:paraId="54ABEE2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应制定严格的污泥储存管理制度，对储存污泥进行分类、分区管理，避免不同性质污泥的交叉污染。</w:t>
      </w:r>
    </w:p>
    <w:p w14:paraId="1502D28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储存设施应定期清理和维护，宜设置通风换气装置，不应出现沼气积聚和异味散发。</w:t>
      </w:r>
    </w:p>
    <w:p w14:paraId="61366506">
      <w:pPr>
        <w:pStyle w:val="35"/>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污泥运输</w:t>
      </w:r>
    </w:p>
    <w:p w14:paraId="6790270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根据污泥的性质、运输距离及处理规模，应选择合适的运输设备，如密闭车辆、管道或密闭驳船等。</w:t>
      </w:r>
    </w:p>
    <w:p w14:paraId="11FA979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运输设备的设计应满足污泥的连续稳定运输需求，宜具备自动计量和监控功能，可实时掌握运输状态。</w:t>
      </w:r>
    </w:p>
    <w:p w14:paraId="4FC3EA20">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应制定严格的污泥运输管理制度，宜对运输过程进行全过程监控和管理，在运输过程中不应因暴露、洒落或滴漏造成环境二次污染。</w:t>
      </w:r>
    </w:p>
    <w:p w14:paraId="0020FE4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运输车辆或设备应定期清洗和维护，设置应急处理装置。</w:t>
      </w:r>
    </w:p>
    <w:p w14:paraId="303B2693">
      <w:pPr>
        <w:pStyle w:val="35"/>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安全要求</w:t>
      </w:r>
    </w:p>
    <w:p w14:paraId="1BCE78C8">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污泥接收储运系统的设计应充分考虑安全因素，宜设置防爆装置、火灾报警装置及紧急停机装置等。</w:t>
      </w:r>
    </w:p>
    <w:p w14:paraId="1F5D8DC3">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操作人员应接受专业培训，宜熟悉污泥接收储运系统的操作流程和安全规范。</w:t>
      </w:r>
    </w:p>
    <w:p w14:paraId="77B2D90E">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污泥接收储运系统应采取有效的环保措施，宜设置废气收集与处理装置，减少异味散发和有害气体排放。</w:t>
      </w:r>
    </w:p>
    <w:p w14:paraId="4089FCD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系统应定期检测废气排放指标，排放符合环保要求。</w:t>
      </w:r>
    </w:p>
    <w:p w14:paraId="3103B9FB">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9" w:name="_Toc193383001"/>
      <w:bookmarkStart w:id="40" w:name="_Toc193296791"/>
      <w:bookmarkStart w:id="41" w:name="_Toc193295696"/>
      <w:r>
        <w:rPr>
          <w:rFonts w:hint="default" w:ascii="Times New Roman" w:hAnsi="Times New Roman" w:cs="Times New Roman"/>
          <w:sz w:val="28"/>
          <w:szCs w:val="28"/>
          <w:highlight w:val="none"/>
          <w:lang w:eastAsia="zh-CN"/>
        </w:rPr>
        <w:t>污泥干化系统</w:t>
      </w:r>
      <w:bookmarkEnd w:id="39"/>
      <w:bookmarkEnd w:id="40"/>
      <w:bookmarkEnd w:id="41"/>
    </w:p>
    <w:p w14:paraId="405D1B77">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污泥干化设备的选型应根据干化的实际应要确定，宜采用空心桨叶干化机、干化尾气降温除湿系统等设备进行操作处理。</w:t>
      </w:r>
    </w:p>
    <w:p w14:paraId="505A1413">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在污泥干化处理过程中，污泥含水率可控制在</w:t>
      </w:r>
      <w:r>
        <w:rPr>
          <w:rFonts w:hint="default" w:ascii="Times New Roman" w:hAnsi="Times New Roman" w:cs="Times New Roman"/>
          <w:sz w:val="28"/>
          <w:szCs w:val="28"/>
          <w:highlight w:val="none"/>
          <w:lang w:val="en-US"/>
        </w:rPr>
        <w:t>80~87%</w:t>
      </w:r>
      <w:r>
        <w:rPr>
          <w:rFonts w:hint="default" w:ascii="Times New Roman" w:hAnsi="Times New Roman" w:cs="Times New Roman"/>
          <w:sz w:val="28"/>
          <w:szCs w:val="28"/>
          <w:highlight w:val="none"/>
          <w:lang w:eastAsia="zh-CN"/>
        </w:rPr>
        <w:t>。</w:t>
      </w:r>
    </w:p>
    <w:p w14:paraId="15601957">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规模较小、污泥含水率较低、连续运行时间较长的干燥设备宜采用间接加热系统，其他宜采用带有污泥混合器和气体循环装置的直接加热系统。间接加热方式可用包括污泥气、烟气、燃煤、蒸汽、燃油、沼气、天然气等能源，而直接加热方式不宜使用燃煤炉。</w:t>
      </w:r>
    </w:p>
    <w:p w14:paraId="41D22000">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防止干化设备爆炸，应控制好氧气、粉尘和颗粒的温度，其中氧气含量应小于</w:t>
      </w:r>
      <w:r>
        <w:rPr>
          <w:rFonts w:hint="default" w:ascii="Times New Roman" w:hAnsi="Times New Roman" w:cs="Times New Roman"/>
          <w:sz w:val="28"/>
          <w:szCs w:val="28"/>
          <w:highlight w:val="none"/>
          <w:lang w:val="en-US"/>
        </w:rPr>
        <w:t>12%</w:t>
      </w:r>
      <w:r>
        <w:rPr>
          <w:rFonts w:hint="default" w:ascii="Times New Roman" w:hAnsi="Times New Roman" w:cs="Times New Roman"/>
          <w:sz w:val="28"/>
          <w:szCs w:val="28"/>
          <w:highlight w:val="none"/>
          <w:lang w:eastAsia="zh-CN"/>
        </w:rPr>
        <w:t>，粉尘浓度应小于</w:t>
      </w:r>
      <w:r>
        <w:rPr>
          <w:rFonts w:hint="default" w:ascii="Times New Roman" w:hAnsi="Times New Roman" w:cs="Times New Roman"/>
          <w:sz w:val="28"/>
          <w:szCs w:val="28"/>
          <w:highlight w:val="none"/>
          <w:lang w:val="en-US"/>
        </w:rPr>
        <w:t>60 g/m³</w:t>
      </w:r>
      <w:r>
        <w:rPr>
          <w:rFonts w:hint="default" w:ascii="Times New Roman" w:hAnsi="Times New Roman" w:cs="Times New Roman"/>
          <w:sz w:val="28"/>
          <w:szCs w:val="28"/>
          <w:highlight w:val="none"/>
          <w:lang w:eastAsia="zh-CN"/>
        </w:rPr>
        <w:t>，颗粒温度应小于</w:t>
      </w:r>
      <w:r>
        <w:rPr>
          <w:rFonts w:hint="default" w:ascii="Times New Roman" w:hAnsi="Times New Roman" w:cs="Times New Roman"/>
          <w:sz w:val="28"/>
          <w:szCs w:val="28"/>
          <w:highlight w:val="none"/>
          <w:lang w:val="en-US"/>
        </w:rPr>
        <w:t>110℃</w:t>
      </w:r>
      <w:r>
        <w:rPr>
          <w:rFonts w:hint="default" w:ascii="Times New Roman" w:hAnsi="Times New Roman" w:cs="Times New Roman"/>
          <w:sz w:val="28"/>
          <w:szCs w:val="28"/>
          <w:highlight w:val="none"/>
          <w:lang w:eastAsia="zh-CN"/>
        </w:rPr>
        <w:t>。湿污泥仓中甲烷浓度应控制在</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以下，干泥仓中干泥颗粒温度应控制在</w:t>
      </w:r>
      <w:r>
        <w:rPr>
          <w:rFonts w:hint="default" w:ascii="Times New Roman" w:hAnsi="Times New Roman" w:cs="Times New Roman"/>
          <w:sz w:val="28"/>
          <w:szCs w:val="28"/>
          <w:highlight w:val="none"/>
          <w:lang w:val="en-US"/>
        </w:rPr>
        <w:t>40℃</w:t>
      </w:r>
      <w:r>
        <w:rPr>
          <w:rFonts w:hint="default" w:ascii="Times New Roman" w:hAnsi="Times New Roman" w:cs="Times New Roman"/>
          <w:sz w:val="28"/>
          <w:szCs w:val="28"/>
          <w:highlight w:val="none"/>
          <w:lang w:eastAsia="zh-CN"/>
        </w:rPr>
        <w:t>以下。</w:t>
      </w:r>
    </w:p>
    <w:p w14:paraId="4A32CB4E">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为避免湿污泥敞开式输送对环境造成影响，应采用污泥泵和管道将湿污泥密封输送至干化机。干化机出料口应设置事故储仓或紧急排放口，供污泥干化机停运或非正常运行时暂存或外排。</w:t>
      </w:r>
    </w:p>
    <w:p w14:paraId="33841D8E">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对于含砂量较大的污泥，可通过增加耐磨量、降低转动部件转速等方法。</w:t>
      </w:r>
    </w:p>
    <w:p w14:paraId="5BCCFBF8">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污泥热干化产品应妥善保存、利用或妥善处置，避免二次污染。</w:t>
      </w:r>
    </w:p>
    <w:p w14:paraId="717FBEF9">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污泥热干化的尾气烟气，应处理达标后排放。污泥干化后蒸发出的水蒸气和不可凝气体（臭气）应进行分离，水蒸气可通过冷凝装置冷凝后处理。</w:t>
      </w:r>
    </w:p>
    <w:p w14:paraId="4604B7CC">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干化装置应全封闭，污泥干化机内部和污泥干化间应保持微负压。</w:t>
      </w:r>
    </w:p>
    <w:p w14:paraId="73E806DE">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2" w:name="OLE_LINK6"/>
      <w:bookmarkStart w:id="43" w:name="_Toc193383002"/>
      <w:bookmarkStart w:id="44" w:name="_Toc193296792"/>
      <w:bookmarkStart w:id="45" w:name="_Toc193295697"/>
      <w:r>
        <w:rPr>
          <w:rFonts w:hint="default" w:ascii="Times New Roman" w:hAnsi="Times New Roman" w:cs="Times New Roman"/>
          <w:sz w:val="28"/>
          <w:szCs w:val="28"/>
          <w:highlight w:val="none"/>
          <w:lang w:eastAsia="zh-CN"/>
        </w:rPr>
        <w:t>污泥焚烧</w:t>
      </w:r>
      <w:bookmarkEnd w:id="42"/>
      <w:r>
        <w:rPr>
          <w:rFonts w:hint="default" w:ascii="Times New Roman" w:hAnsi="Times New Roman" w:cs="Times New Roman"/>
          <w:sz w:val="28"/>
          <w:szCs w:val="28"/>
          <w:highlight w:val="none"/>
          <w:lang w:eastAsia="zh-CN"/>
        </w:rPr>
        <w:t>系统</w:t>
      </w:r>
      <w:bookmarkEnd w:id="43"/>
      <w:bookmarkEnd w:id="44"/>
    </w:p>
    <w:p w14:paraId="365F0813">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污泥焚烧系统应包括污泥给料机、污泥焚烧炉、燃烧空气系统、出渣与加砂系统、保温系统、附属系统以及控制系统等关键组成部分。</w:t>
      </w:r>
    </w:p>
    <w:p w14:paraId="2F092786">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污泥给料机应连续、均匀、稳定地将半干污泥送入焚烧炉，给料机应具有足够的强度和刚度，并由钢结构架支撑，高度应根据焚烧炉进料要求配置。给料机与焚烧炉之间应密封衔接，并设有自动控制隔热闸门。</w:t>
      </w:r>
    </w:p>
    <w:p w14:paraId="104D52FC">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污泥焚烧炉应采用改进型鼓泡流化床焚烧炉等高效焚烧设备，并具有以下特点：</w:t>
      </w:r>
    </w:p>
    <w:p w14:paraId="6062D705">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集循环流化床和鼓泡流化床的优势；</w:t>
      </w:r>
    </w:p>
    <w:p w14:paraId="757F82F7">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废物适应性好，可焚烧低热值、高水分、在其他燃烧装置中难以稳定燃烧的废弃物；</w:t>
      </w:r>
    </w:p>
    <w:p w14:paraId="1B2B6E25">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焚烧效率高，处理高水分、低热值废料污泥。</w:t>
      </w:r>
    </w:p>
    <w:p w14:paraId="0EFC1537">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燃烧强度高，单位截面的废物处理量大，结构紧凑；</w:t>
      </w:r>
    </w:p>
    <w:p w14:paraId="258E07EF">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炉内无活动部件。</w:t>
      </w:r>
    </w:p>
    <w:p w14:paraId="4489F4C4">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bookmarkStart w:id="46" w:name="OLE_LINK3"/>
      <w:r>
        <w:rPr>
          <w:rFonts w:hint="default" w:ascii="Times New Roman" w:hAnsi="Times New Roman" w:cs="Times New Roman"/>
          <w:sz w:val="28"/>
          <w:szCs w:val="28"/>
          <w:highlight w:val="none"/>
          <w:lang w:eastAsia="zh-CN"/>
        </w:rPr>
        <w:t>焚烧炉的设计应保证其使用寿命不低于</w:t>
      </w:r>
      <w:r>
        <w:rPr>
          <w:rFonts w:hint="default" w:ascii="Times New Roman" w:hAnsi="Times New Roman" w:cs="Times New Roman"/>
          <w:sz w:val="28"/>
          <w:szCs w:val="28"/>
          <w:highlight w:val="none"/>
          <w:lang w:val="en-US"/>
        </w:rPr>
        <w:t>20</w:t>
      </w:r>
      <w:r>
        <w:rPr>
          <w:rFonts w:hint="default" w:ascii="Times New Roman" w:hAnsi="Times New Roman" w:cs="Times New Roman"/>
          <w:sz w:val="28"/>
          <w:szCs w:val="28"/>
          <w:highlight w:val="none"/>
          <w:lang w:eastAsia="zh-CN"/>
        </w:rPr>
        <w:t>年，并能适应每天连续</w:t>
      </w:r>
      <w:r>
        <w:rPr>
          <w:rFonts w:hint="default" w:ascii="Times New Roman" w:hAnsi="Times New Roman" w:cs="Times New Roman"/>
          <w:sz w:val="28"/>
          <w:szCs w:val="28"/>
          <w:highlight w:val="none"/>
          <w:lang w:val="en-US"/>
        </w:rPr>
        <w:t>24 h</w:t>
      </w:r>
      <w:r>
        <w:rPr>
          <w:rFonts w:hint="default" w:ascii="Times New Roman" w:hAnsi="Times New Roman" w:cs="Times New Roman"/>
          <w:sz w:val="28"/>
          <w:szCs w:val="28"/>
          <w:highlight w:val="none"/>
          <w:lang w:eastAsia="zh-CN"/>
        </w:rPr>
        <w:t>长期连续运行的工作条件。焚烧炉的炉膛设计温度应高于</w:t>
      </w:r>
      <w:r>
        <w:rPr>
          <w:rFonts w:hint="default" w:ascii="Times New Roman" w:hAnsi="Times New Roman" w:cs="Times New Roman"/>
          <w:sz w:val="28"/>
          <w:szCs w:val="28"/>
          <w:highlight w:val="none"/>
          <w:lang w:val="en-US"/>
        </w:rPr>
        <w:t>850℃</w:t>
      </w:r>
      <w:r>
        <w:rPr>
          <w:rFonts w:hint="default" w:ascii="Times New Roman" w:hAnsi="Times New Roman" w:cs="Times New Roman"/>
          <w:sz w:val="28"/>
          <w:szCs w:val="28"/>
          <w:highlight w:val="none"/>
          <w:lang w:eastAsia="zh-CN"/>
        </w:rPr>
        <w:t>，烟气在</w:t>
      </w:r>
      <w:r>
        <w:rPr>
          <w:rFonts w:hint="default" w:ascii="Times New Roman" w:hAnsi="Times New Roman" w:cs="Times New Roman"/>
          <w:sz w:val="28"/>
          <w:szCs w:val="28"/>
          <w:highlight w:val="none"/>
          <w:lang w:val="en-US"/>
        </w:rPr>
        <w:t>850℃</w:t>
      </w:r>
      <w:r>
        <w:rPr>
          <w:rFonts w:hint="default" w:ascii="Times New Roman" w:hAnsi="Times New Roman" w:cs="Times New Roman"/>
          <w:sz w:val="28"/>
          <w:szCs w:val="28"/>
          <w:highlight w:val="none"/>
          <w:lang w:eastAsia="zh-CN"/>
        </w:rPr>
        <w:t>以上停留时间应大于</w:t>
      </w:r>
      <w:r>
        <w:rPr>
          <w:rFonts w:hint="default" w:ascii="Times New Roman" w:hAnsi="Times New Roman" w:cs="Times New Roman"/>
          <w:sz w:val="28"/>
          <w:szCs w:val="28"/>
          <w:highlight w:val="none"/>
          <w:lang w:val="en-US"/>
        </w:rPr>
        <w:t>2 s</w:t>
      </w:r>
      <w:r>
        <w:rPr>
          <w:rFonts w:hint="default" w:ascii="Times New Roman" w:hAnsi="Times New Roman" w:cs="Times New Roman"/>
          <w:sz w:val="28"/>
          <w:szCs w:val="28"/>
          <w:highlight w:val="none"/>
          <w:lang w:eastAsia="zh-CN"/>
        </w:rPr>
        <w:t>。焚烧炉应设有排渣措施，排渣管应穿过风室将炉渣排入水冷滚筒。</w:t>
      </w:r>
    </w:p>
    <w:p w14:paraId="12D00C6B">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燃烧空气系统应包括一次风和二次风，其中一次风主要用于助燃，二次风可根据工艺特点进行设置。</w:t>
      </w:r>
    </w:p>
    <w:p w14:paraId="5B67AFF7">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空气预热系统应有效利用焚烧烟气余热，提高能源利用效率。</w:t>
      </w:r>
    </w:p>
    <w:p w14:paraId="1E8B0BF5">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出渣与加砂系统应间断性地排出床料（炉渣），并进行冷却、筛分、输送、储存。</w:t>
      </w:r>
    </w:p>
    <w:p w14:paraId="6A6896FE">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在焚烧过程中，首次石英砂补充应利用炉渣进行补充，后续阶段不需额外补充石英砂。</w:t>
      </w:r>
    </w:p>
    <w:p w14:paraId="6170AEEE">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保温系统应有效用于系统设备、管道等的保温，减少热损失。</w:t>
      </w:r>
    </w:p>
    <w:p w14:paraId="00CF33FB">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附属系统应包括设备支架、维修平台和阶梯、所有管线及支架、阀门、仪表、连接附件等必要设施。</w:t>
      </w:r>
    </w:p>
    <w:p w14:paraId="169A167F">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控制系统应实现对焚烧炉系统的全面监控和自动化控制，焚烧过程应稳定、安全。</w:t>
      </w:r>
    </w:p>
    <w:p w14:paraId="6D00E314">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在焚烧过程中，污泥热值指标应满足表</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的要求。</w:t>
      </w:r>
    </w:p>
    <w:p w14:paraId="2244DB26">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在焚烧过程中，</w:t>
      </w:r>
      <w:bookmarkEnd w:id="46"/>
      <w:r>
        <w:rPr>
          <w:rFonts w:hint="default" w:ascii="Times New Roman" w:hAnsi="Times New Roman" w:cs="Times New Roman"/>
          <w:sz w:val="28"/>
          <w:szCs w:val="28"/>
          <w:highlight w:val="none"/>
          <w:lang w:eastAsia="zh-CN"/>
        </w:rPr>
        <w:t xml:space="preserve">宜采用天然气作为辅助能源。 </w:t>
      </w:r>
    </w:p>
    <w:p w14:paraId="1DB95BC5">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焚烧灰渣宜依次经过以下程序：</w:t>
      </w:r>
    </w:p>
    <w:p w14:paraId="7FCD7BCF">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干化前污泥（</w:t>
      </w:r>
      <w:r>
        <w:rPr>
          <w:rFonts w:hint="default" w:ascii="Times New Roman" w:hAnsi="Times New Roman" w:cs="Times New Roman"/>
          <w:sz w:val="28"/>
          <w:szCs w:val="28"/>
          <w:highlight w:val="none"/>
          <w:lang w:val="en-US"/>
        </w:rPr>
        <w:t>83%~87%</w:t>
      </w:r>
      <w:r>
        <w:rPr>
          <w:rFonts w:hint="default" w:ascii="Times New Roman" w:hAnsi="Times New Roman" w:cs="Times New Roman"/>
          <w:sz w:val="28"/>
          <w:szCs w:val="28"/>
          <w:highlight w:val="none"/>
          <w:lang w:eastAsia="zh-CN"/>
        </w:rPr>
        <w:t>含水率）；</w:t>
      </w:r>
    </w:p>
    <w:p w14:paraId="05C32E26">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干化机出泥（</w:t>
      </w:r>
      <w:r>
        <w:rPr>
          <w:rFonts w:hint="default" w:ascii="Times New Roman" w:hAnsi="Times New Roman" w:cs="Times New Roman"/>
          <w:sz w:val="28"/>
          <w:szCs w:val="28"/>
          <w:highlight w:val="none"/>
          <w:lang w:val="en-US"/>
        </w:rPr>
        <w:t>35%</w:t>
      </w:r>
      <w:bookmarkStart w:id="47" w:name="OLE_LINK1"/>
      <w:r>
        <w:rPr>
          <w:rFonts w:hint="default" w:ascii="Times New Roman" w:hAnsi="Times New Roman" w:cs="Times New Roman"/>
          <w:sz w:val="28"/>
          <w:szCs w:val="28"/>
          <w:highlight w:val="none"/>
          <w:lang w:val="en-US"/>
        </w:rPr>
        <w:t>~</w:t>
      </w:r>
      <w:bookmarkEnd w:id="47"/>
      <w:r>
        <w:rPr>
          <w:rFonts w:hint="default" w:ascii="Times New Roman" w:hAnsi="Times New Roman" w:cs="Times New Roman"/>
          <w:sz w:val="28"/>
          <w:szCs w:val="28"/>
          <w:highlight w:val="none"/>
          <w:lang w:val="en-US"/>
        </w:rPr>
        <w:t>40%</w:t>
      </w:r>
      <w:r>
        <w:rPr>
          <w:rFonts w:hint="default" w:ascii="Times New Roman" w:hAnsi="Times New Roman" w:cs="Times New Roman"/>
          <w:sz w:val="28"/>
          <w:szCs w:val="28"/>
          <w:highlight w:val="none"/>
          <w:lang w:eastAsia="zh-CN"/>
        </w:rPr>
        <w:t>含水率）；</w:t>
      </w:r>
    </w:p>
    <w:p w14:paraId="5A24BFD8">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焚烧后底渣、焚烧后飞灰。</w:t>
      </w:r>
    </w:p>
    <w:p w14:paraId="551F3193">
      <w:pPr>
        <w:pStyle w:val="39"/>
        <w:widowControl/>
        <w:numPr>
          <w:ilvl w:val="0"/>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48" w:name="_Hlk193293249"/>
      <w:r>
        <w:rPr>
          <w:rFonts w:hint="default" w:ascii="Times New Roman" w:hAnsi="Times New Roman" w:cs="Times New Roman"/>
          <w:sz w:val="28"/>
          <w:szCs w:val="28"/>
          <w:highlight w:val="none"/>
          <w:lang w:eastAsia="zh-CN"/>
        </w:rPr>
        <w:t>设计污泥热值指标</w:t>
      </w:r>
    </w:p>
    <w:bookmarkEnd w:id="48"/>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470"/>
        <w:gridCol w:w="1439"/>
        <w:gridCol w:w="1443"/>
        <w:gridCol w:w="1454"/>
        <w:gridCol w:w="1461"/>
        <w:gridCol w:w="1444"/>
      </w:tblGrid>
      <w:tr w14:paraId="36B90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3112"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38122A5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项目</w:t>
            </w:r>
          </w:p>
        </w:tc>
        <w:tc>
          <w:tcPr>
            <w:tcW w:w="1555" w:type="dxa"/>
            <w:tcBorders>
              <w:top w:val="single" w:color="auto" w:sz="8" w:space="0"/>
              <w:left w:val="single" w:color="auto" w:sz="4" w:space="0"/>
              <w:bottom w:val="single" w:color="auto" w:sz="8" w:space="0"/>
              <w:right w:val="single" w:color="auto" w:sz="4" w:space="0"/>
            </w:tcBorders>
            <w:shd w:val="clear" w:color="auto" w:fill="auto"/>
            <w:vAlign w:val="center"/>
          </w:tcPr>
          <w:p w14:paraId="6C6F06F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空气干燥基</w:t>
            </w:r>
          </w:p>
        </w:tc>
        <w:tc>
          <w:tcPr>
            <w:tcW w:w="1555" w:type="dxa"/>
            <w:tcBorders>
              <w:top w:val="single" w:color="auto" w:sz="8" w:space="0"/>
              <w:left w:val="single" w:color="auto" w:sz="4" w:space="0"/>
              <w:bottom w:val="single" w:color="auto" w:sz="8" w:space="0"/>
              <w:right w:val="single" w:color="auto" w:sz="4" w:space="0"/>
            </w:tcBorders>
            <w:shd w:val="clear" w:color="auto" w:fill="auto"/>
            <w:vAlign w:val="center"/>
          </w:tcPr>
          <w:p w14:paraId="6A121B6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收到基</w:t>
            </w:r>
          </w:p>
        </w:tc>
        <w:tc>
          <w:tcPr>
            <w:tcW w:w="1556" w:type="dxa"/>
            <w:tcBorders>
              <w:top w:val="single" w:color="auto" w:sz="8" w:space="0"/>
              <w:left w:val="single" w:color="auto" w:sz="4" w:space="0"/>
              <w:bottom w:val="single" w:color="auto" w:sz="8" w:space="0"/>
              <w:right w:val="single" w:color="auto" w:sz="4" w:space="0"/>
            </w:tcBorders>
            <w:shd w:val="clear" w:color="auto" w:fill="auto"/>
            <w:vAlign w:val="center"/>
          </w:tcPr>
          <w:p w14:paraId="57037D9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干基</w:t>
            </w:r>
          </w:p>
        </w:tc>
        <w:tc>
          <w:tcPr>
            <w:tcW w:w="1556" w:type="dxa"/>
            <w:tcBorders>
              <w:top w:val="single" w:color="auto" w:sz="8" w:space="0"/>
              <w:left w:val="single" w:color="auto" w:sz="4" w:space="0"/>
              <w:bottom w:val="single" w:color="auto" w:sz="8" w:space="0"/>
              <w:right w:val="single" w:color="auto" w:sz="8" w:space="0"/>
            </w:tcBorders>
            <w:shd w:val="clear" w:color="auto" w:fill="auto"/>
            <w:vAlign w:val="center"/>
          </w:tcPr>
          <w:p w14:paraId="70141C2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干燥无灰基</w:t>
            </w:r>
          </w:p>
        </w:tc>
      </w:tr>
      <w:tr w14:paraId="0085E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470F46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水分</w:t>
            </w:r>
            <w:r>
              <w:rPr>
                <w:rFonts w:hint="default" w:ascii="Times New Roman" w:hAnsi="Times New Roman" w:cs="Times New Roman"/>
                <w:sz w:val="28"/>
                <w:szCs w:val="28"/>
                <w:highlight w:val="none"/>
                <w:lang w:val="en-US"/>
              </w:rPr>
              <w:t>/%</w:t>
            </w:r>
          </w:p>
        </w:tc>
        <w:tc>
          <w:tcPr>
            <w:tcW w:w="1555" w:type="dxa"/>
            <w:tcBorders>
              <w:top w:val="single" w:color="auto" w:sz="8" w:space="0"/>
              <w:left w:val="single" w:color="auto" w:sz="4" w:space="0"/>
              <w:bottom w:val="single" w:color="auto" w:sz="4" w:space="0"/>
              <w:right w:val="single" w:color="auto" w:sz="4" w:space="0"/>
            </w:tcBorders>
            <w:shd w:val="clear" w:color="auto" w:fill="auto"/>
            <w:vAlign w:val="center"/>
          </w:tcPr>
          <w:p w14:paraId="557CA50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c>
          <w:tcPr>
            <w:tcW w:w="1555" w:type="dxa"/>
            <w:tcBorders>
              <w:top w:val="single" w:color="auto" w:sz="8" w:space="0"/>
              <w:left w:val="single" w:color="auto" w:sz="4" w:space="0"/>
              <w:bottom w:val="single" w:color="auto" w:sz="4" w:space="0"/>
              <w:right w:val="single" w:color="auto" w:sz="4" w:space="0"/>
            </w:tcBorders>
            <w:shd w:val="clear" w:color="auto" w:fill="auto"/>
            <w:vAlign w:val="center"/>
          </w:tcPr>
          <w:p w14:paraId="03B72A7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82.2</w:t>
            </w:r>
          </w:p>
        </w:tc>
        <w:tc>
          <w:tcPr>
            <w:tcW w:w="1556" w:type="dxa"/>
            <w:tcBorders>
              <w:top w:val="single" w:color="auto" w:sz="8" w:space="0"/>
              <w:left w:val="single" w:color="auto" w:sz="4" w:space="0"/>
              <w:bottom w:val="single" w:color="auto" w:sz="4" w:space="0"/>
              <w:right w:val="single" w:color="auto" w:sz="4" w:space="0"/>
            </w:tcBorders>
            <w:shd w:val="clear" w:color="auto" w:fill="auto"/>
            <w:vAlign w:val="top"/>
          </w:tcPr>
          <w:p w14:paraId="625084D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c>
          <w:tcPr>
            <w:tcW w:w="1556" w:type="dxa"/>
            <w:tcBorders>
              <w:top w:val="single" w:color="auto" w:sz="8" w:space="0"/>
              <w:left w:val="single" w:color="auto" w:sz="4" w:space="0"/>
              <w:bottom w:val="single" w:color="auto" w:sz="4" w:space="0"/>
              <w:right w:val="single" w:color="auto" w:sz="8" w:space="0"/>
            </w:tcBorders>
            <w:shd w:val="clear" w:color="auto" w:fill="auto"/>
            <w:vAlign w:val="top"/>
          </w:tcPr>
          <w:p w14:paraId="27A4EDE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52E7F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C5ECEF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工业分析</w:t>
            </w:r>
            <w:r>
              <w:rPr>
                <w:rFonts w:hint="default" w:ascii="Times New Roman" w:hAnsi="Times New Roman" w:cs="Times New Roman"/>
                <w:sz w:val="28"/>
                <w:szCs w:val="28"/>
                <w:highlight w:val="none"/>
                <w:lang w:val="en-US"/>
              </w:rPr>
              <w:t>/%</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7FD5DFD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水分</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2A29B20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5.36</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16C54C5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top"/>
          </w:tcPr>
          <w:p w14:paraId="5F66034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top"/>
          </w:tcPr>
          <w:p w14:paraId="6E268A4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0EC6E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1ECCF9C">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29CD2AB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灰分</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738F71A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48.16</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6EF4CFD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8.87</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5555394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49.83</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top"/>
          </w:tcPr>
          <w:p w14:paraId="2F146B2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0284D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4ACF2E0">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4D254AB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挥发分</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654A5E9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44.53</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15A1031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8.38</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70F778B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47.05</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75DCCBB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93.79</w:t>
            </w:r>
          </w:p>
        </w:tc>
      </w:tr>
      <w:tr w14:paraId="1B84F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5A525BAE">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4FB144A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固定碳</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71DCEBC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2.95</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349D94E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0.55</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5B4182E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3.12</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top"/>
          </w:tcPr>
          <w:p w14:paraId="31295DB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534F21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CFBB9E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高位发热量</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MJ·kg</w:t>
            </w:r>
            <w:r>
              <w:rPr>
                <w:rFonts w:hint="default" w:ascii="Times New Roman" w:hAnsi="Times New Roman" w:cs="Times New Roman"/>
                <w:sz w:val="28"/>
                <w:szCs w:val="28"/>
                <w:highlight w:val="none"/>
                <w:vertAlign w:val="superscript"/>
                <w:lang w:val="en-US"/>
              </w:rPr>
              <w:t>-1</w:t>
            </w:r>
            <w:r>
              <w:rPr>
                <w:rFonts w:hint="default" w:ascii="Times New Roman" w:hAnsi="Times New Roman" w:cs="Times New Roman"/>
                <w:sz w:val="28"/>
                <w:szCs w:val="28"/>
                <w:highlight w:val="none"/>
              </w:rPr>
              <w:t>）</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5F51B8E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10.40</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676A46E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4B04551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/10.99</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top"/>
          </w:tcPr>
          <w:p w14:paraId="2A09263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09B37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BAA0E6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低位发热量</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MJ·kg</w:t>
            </w:r>
            <w:r>
              <w:rPr>
                <w:rFonts w:hint="default" w:ascii="Times New Roman" w:hAnsi="Times New Roman" w:cs="Times New Roman"/>
                <w:sz w:val="28"/>
                <w:szCs w:val="28"/>
                <w:highlight w:val="none"/>
                <w:vertAlign w:val="superscript"/>
                <w:lang w:val="en-US"/>
              </w:rPr>
              <w:t>-1</w:t>
            </w:r>
            <w:r>
              <w:rPr>
                <w:rFonts w:hint="default" w:ascii="Times New Roman" w:hAnsi="Times New Roman" w:cs="Times New Roman"/>
                <w:sz w:val="28"/>
                <w:szCs w:val="28"/>
                <w:highlight w:val="none"/>
              </w:rPr>
              <w:t>）</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78AF5D3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9.587</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32F7EB6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-0.064</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5B21510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10.188</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top"/>
          </w:tcPr>
          <w:p w14:paraId="2EDFAE8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44A36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1AB9EF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全硫</w:t>
            </w:r>
            <w:r>
              <w:rPr>
                <w:rFonts w:hint="default" w:ascii="Times New Roman" w:hAnsi="Times New Roman" w:cs="Times New Roman"/>
                <w:sz w:val="28"/>
                <w:szCs w:val="28"/>
                <w:highlight w:val="none"/>
                <w:lang w:val="en-US"/>
              </w:rPr>
              <w:t>/%</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574229B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0.61</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0726FEE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0.11</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35615B7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0.64</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top"/>
          </w:tcPr>
          <w:p w14:paraId="4BF50BD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tr w14:paraId="389DF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restart"/>
            <w:tcBorders>
              <w:top w:val="single" w:color="auto" w:sz="4" w:space="0"/>
              <w:left w:val="single" w:color="auto" w:sz="8" w:space="0"/>
              <w:bottom w:val="single" w:color="auto" w:sz="8" w:space="0"/>
              <w:right w:val="single" w:color="auto" w:sz="4" w:space="0"/>
            </w:tcBorders>
            <w:shd w:val="clear" w:color="auto" w:fill="auto"/>
            <w:vAlign w:val="center"/>
          </w:tcPr>
          <w:p w14:paraId="65767EA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元素分析</w:t>
            </w:r>
            <w:r>
              <w:rPr>
                <w:rFonts w:hint="default" w:ascii="Times New Roman" w:hAnsi="Times New Roman" w:cs="Times New Roman"/>
                <w:sz w:val="28"/>
                <w:szCs w:val="28"/>
                <w:highlight w:val="none"/>
                <w:lang w:val="en-US"/>
              </w:rPr>
              <w:t>/%</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3FAC3EC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碳</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37CB28B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23.35</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7ED4206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4.39</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5509182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24.67</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13A8F95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49.18</w:t>
            </w:r>
          </w:p>
        </w:tc>
      </w:tr>
      <w:tr w14:paraId="3A93F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268D185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3660DFC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氢</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5A56890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3.36</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190958A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0.63</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4BAC3AB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3.55</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71E5179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7.08</w:t>
            </w:r>
          </w:p>
        </w:tc>
      </w:tr>
      <w:tr w14:paraId="04D55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36B0389D">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72690C3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氮</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7B113D6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3.87</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055D5B1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0.73</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5691871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4.09</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678F7BD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8.15</w:t>
            </w:r>
          </w:p>
        </w:tc>
      </w:tr>
      <w:tr w14:paraId="04065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17AFD7F4">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5803BA2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氧</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14B849B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16.29</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14:paraId="4C6A7E4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3.06</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14:paraId="4950E9C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17.21</w:t>
            </w:r>
          </w:p>
        </w:tc>
        <w:tc>
          <w:tcPr>
            <w:tcW w:w="1556" w:type="dxa"/>
            <w:tcBorders>
              <w:top w:val="single" w:color="auto" w:sz="4" w:space="0"/>
              <w:left w:val="single" w:color="auto" w:sz="4" w:space="0"/>
              <w:bottom w:val="single" w:color="auto" w:sz="4" w:space="0"/>
              <w:right w:val="single" w:color="auto" w:sz="8" w:space="0"/>
            </w:tcBorders>
            <w:shd w:val="clear" w:color="auto" w:fill="auto"/>
            <w:vAlign w:val="center"/>
          </w:tcPr>
          <w:p w14:paraId="4A470F2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34.31</w:t>
            </w:r>
          </w:p>
        </w:tc>
      </w:tr>
      <w:tr w14:paraId="3FC12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6"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503DF869">
            <w:pPr>
              <w:keepNext w:val="0"/>
              <w:keepLines w:val="0"/>
              <w:suppressLineNumbers w:val="0"/>
              <w:spacing w:before="0" w:beforeAutospacing="0" w:after="0" w:afterAutospacing="0" w:line="360" w:lineRule="auto"/>
              <w:ind w:left="0" w:right="0"/>
              <w:rPr>
                <w:rFonts w:hint="default" w:ascii="Times New Roman" w:hAnsi="Times New Roman" w:cs="Times New Roman"/>
                <w:sz w:val="28"/>
                <w:szCs w:val="28"/>
                <w:highlight w:val="none"/>
              </w:rPr>
            </w:pPr>
          </w:p>
        </w:tc>
        <w:tc>
          <w:tcPr>
            <w:tcW w:w="1556" w:type="dxa"/>
            <w:tcBorders>
              <w:top w:val="single" w:color="auto" w:sz="4" w:space="0"/>
              <w:left w:val="single" w:color="auto" w:sz="4" w:space="0"/>
              <w:bottom w:val="single" w:color="auto" w:sz="8" w:space="0"/>
              <w:right w:val="single" w:color="auto" w:sz="4" w:space="0"/>
            </w:tcBorders>
            <w:shd w:val="clear" w:color="auto" w:fill="auto"/>
            <w:vAlign w:val="center"/>
          </w:tcPr>
          <w:p w14:paraId="0FBC551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氯</w:t>
            </w:r>
          </w:p>
        </w:tc>
        <w:tc>
          <w:tcPr>
            <w:tcW w:w="1555" w:type="dxa"/>
            <w:tcBorders>
              <w:top w:val="single" w:color="auto" w:sz="4" w:space="0"/>
              <w:left w:val="single" w:color="auto" w:sz="4" w:space="0"/>
              <w:bottom w:val="single" w:color="auto" w:sz="8" w:space="0"/>
              <w:right w:val="single" w:color="auto" w:sz="4" w:space="0"/>
            </w:tcBorders>
            <w:shd w:val="clear" w:color="auto" w:fill="auto"/>
            <w:vAlign w:val="center"/>
          </w:tcPr>
          <w:p w14:paraId="298469F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0.154</w:t>
            </w:r>
          </w:p>
        </w:tc>
        <w:tc>
          <w:tcPr>
            <w:tcW w:w="1555" w:type="dxa"/>
            <w:tcBorders>
              <w:top w:val="single" w:color="auto" w:sz="4" w:space="0"/>
              <w:left w:val="single" w:color="auto" w:sz="4" w:space="0"/>
              <w:bottom w:val="single" w:color="auto" w:sz="8" w:space="0"/>
              <w:right w:val="single" w:color="auto" w:sz="4" w:space="0"/>
            </w:tcBorders>
            <w:shd w:val="clear" w:color="auto" w:fill="auto"/>
            <w:vAlign w:val="top"/>
          </w:tcPr>
          <w:p w14:paraId="5524CC4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c>
          <w:tcPr>
            <w:tcW w:w="1556" w:type="dxa"/>
            <w:tcBorders>
              <w:top w:val="single" w:color="auto" w:sz="4" w:space="0"/>
              <w:left w:val="single" w:color="auto" w:sz="4" w:space="0"/>
              <w:bottom w:val="single" w:color="auto" w:sz="8" w:space="0"/>
              <w:right w:val="single" w:color="auto" w:sz="4" w:space="0"/>
            </w:tcBorders>
            <w:shd w:val="clear" w:color="auto" w:fill="auto"/>
            <w:vAlign w:val="top"/>
          </w:tcPr>
          <w:p w14:paraId="3E9478B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c>
          <w:tcPr>
            <w:tcW w:w="1556" w:type="dxa"/>
            <w:tcBorders>
              <w:top w:val="single" w:color="auto" w:sz="4" w:space="0"/>
              <w:left w:val="single" w:color="auto" w:sz="4" w:space="0"/>
              <w:bottom w:val="single" w:color="auto" w:sz="8" w:space="0"/>
              <w:right w:val="single" w:color="auto" w:sz="8" w:space="0"/>
            </w:tcBorders>
            <w:shd w:val="clear" w:color="auto" w:fill="auto"/>
            <w:vAlign w:val="top"/>
          </w:tcPr>
          <w:p w14:paraId="0FFE784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r>
      <w:bookmarkEnd w:id="45"/>
    </w:tbl>
    <w:p w14:paraId="78623DB8">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9" w:name="_Toc193383003"/>
      <w:bookmarkStart w:id="50" w:name="_Toc193296793"/>
      <w:bookmarkStart w:id="51" w:name="_Toc193295698"/>
      <w:r>
        <w:rPr>
          <w:rFonts w:hint="default" w:ascii="Times New Roman" w:hAnsi="Times New Roman" w:cs="Times New Roman"/>
          <w:sz w:val="28"/>
          <w:szCs w:val="28"/>
          <w:highlight w:val="none"/>
          <w:lang w:eastAsia="zh-CN"/>
        </w:rPr>
        <w:t>烟气净化系统</w:t>
      </w:r>
      <w:bookmarkEnd w:id="49"/>
      <w:bookmarkEnd w:id="50"/>
    </w:p>
    <w:p w14:paraId="44A4C4C8">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烟气净化系统应有效去除烟气中的氯化氢、氟化氢、硫氧化物、氮氧化物等酸性污染物，以及二英类和重金属等有害物质。</w:t>
      </w:r>
    </w:p>
    <w:p w14:paraId="56686E2A">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应根据烟气特性和除尘要求选择合适的除尘设备，一级除尘可采用旋风除尘或电除尘，二级除尘应采用袋式除尘器。除尘器内烟气温度应高于烟气中腐蚀气体的露点温度</w:t>
      </w:r>
      <w:r>
        <w:rPr>
          <w:rFonts w:hint="default" w:ascii="Times New Roman" w:hAnsi="Times New Roman" w:cs="Times New Roman"/>
          <w:sz w:val="28"/>
          <w:szCs w:val="28"/>
          <w:highlight w:val="none"/>
          <w:lang w:val="en-US"/>
        </w:rPr>
        <w:t>20℃~30℃</w:t>
      </w:r>
      <w:r>
        <w:rPr>
          <w:rFonts w:hint="default" w:ascii="Times New Roman" w:hAnsi="Times New Roman" w:cs="Times New Roman"/>
          <w:sz w:val="28"/>
          <w:szCs w:val="28"/>
          <w:highlight w:val="none"/>
          <w:lang w:eastAsia="zh-CN"/>
        </w:rPr>
        <w:t>。</w:t>
      </w:r>
    </w:p>
    <w:p w14:paraId="21BAF792">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可采用焚烧炉内脱硫或尾部脱硫法去除硫氧化物等酸性污染物。酸性气体吸收剂储存罐的容量宜按</w:t>
      </w:r>
      <w:r>
        <w:rPr>
          <w:rFonts w:hint="default" w:ascii="Times New Roman" w:hAnsi="Times New Roman" w:cs="Times New Roman"/>
          <w:sz w:val="28"/>
          <w:szCs w:val="28"/>
          <w:highlight w:val="none"/>
          <w:lang w:val="en-US"/>
        </w:rPr>
        <w:t>7d~10d</w:t>
      </w:r>
      <w:r>
        <w:rPr>
          <w:rFonts w:hint="default" w:ascii="Times New Roman" w:hAnsi="Times New Roman" w:cs="Times New Roman"/>
          <w:sz w:val="28"/>
          <w:szCs w:val="28"/>
          <w:highlight w:val="none"/>
          <w:lang w:eastAsia="zh-CN"/>
        </w:rPr>
        <w:t>的用量设计。</w:t>
      </w:r>
    </w:p>
    <w:p w14:paraId="56F36D81">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烟气净化系统应设置安全保护装置，如超温报警、超压报警等。应安装在线监测设备，实时监测烟气排放参数，如颗粒物浓度、二氧化硫浓度、氮氧化物浓度等，并将数据上传至环保部门。</w:t>
      </w:r>
    </w:p>
    <w:p w14:paraId="74F31CFF">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烟气净化系统焚烧后的烟气宜依次经过以下净化程序，见图</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 xml:space="preserve">： </w:t>
      </w:r>
    </w:p>
    <w:p w14:paraId="23F7BBD3">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半干法脱酸塔；</w:t>
      </w:r>
    </w:p>
    <w:p w14:paraId="02DD7A0C">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湿法脱酸塔；</w:t>
      </w:r>
    </w:p>
    <w:p w14:paraId="42D63125">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布袋除尘器；</w:t>
      </w:r>
    </w:p>
    <w:p w14:paraId="743D7E63">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湿电除尘器；</w:t>
      </w:r>
    </w:p>
    <w:p w14:paraId="168DDD53">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烟气再热器；</w:t>
      </w:r>
    </w:p>
    <w:p w14:paraId="02E99350">
      <w:pPr>
        <w:pStyle w:val="38"/>
        <w:widowControl/>
        <w:numPr>
          <w:ilvl w:val="0"/>
          <w:numId w:val="3"/>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烟囱。</w:t>
      </w:r>
    </w:p>
    <w:p w14:paraId="6023A28A">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烟气净化系统调试前，应对各设备进行单机试车。系统调试时，应逐步调整各工艺参数。</w:t>
      </w:r>
    </w:p>
    <w:p w14:paraId="7DFADD6A">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应定期对烟气净化系统进行维护保养，清洗除尘器、更换吸收剂等。烟气净化过程中捕集的飞灰应单独储存，并按危险废物处理。</w:t>
      </w:r>
    </w:p>
    <w:p w14:paraId="3C0FBA21">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排烟系统应设置引风机，风量宜按最大计算烟气量加</w:t>
      </w:r>
      <w:r>
        <w:rPr>
          <w:rFonts w:hint="default" w:ascii="Times New Roman" w:hAnsi="Times New Roman" w:cs="Times New Roman"/>
          <w:sz w:val="28"/>
          <w:szCs w:val="28"/>
          <w:highlight w:val="none"/>
          <w:lang w:val="en-US"/>
        </w:rPr>
        <w:t>20%~30%</w:t>
      </w:r>
      <w:r>
        <w:rPr>
          <w:rFonts w:hint="default" w:ascii="Times New Roman" w:hAnsi="Times New Roman" w:cs="Times New Roman"/>
          <w:sz w:val="28"/>
          <w:szCs w:val="28"/>
          <w:highlight w:val="none"/>
          <w:lang w:eastAsia="zh-CN"/>
        </w:rPr>
        <w:t>的余量确定。</w:t>
      </w:r>
    </w:p>
    <w:p w14:paraId="104DFF23">
      <w:pPr>
        <w:pStyle w:val="37"/>
        <w:widowControl/>
        <w:spacing w:before="120" w:beforeLines="50" w:beforeAutospacing="0" w:after="120" w:afterLines="50" w:afterAutospacing="0" w:line="360" w:lineRule="auto"/>
        <w:ind w:left="0" w:righ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drawing>
          <wp:inline distT="0" distB="0" distL="114300" distR="114300">
            <wp:extent cx="3438525" cy="1238250"/>
            <wp:effectExtent l="0" t="0" r="9525"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7"/>
                    <a:stretch>
                      <a:fillRect/>
                    </a:stretch>
                  </pic:blipFill>
                  <pic:spPr>
                    <a:xfrm>
                      <a:off x="0" y="0"/>
                      <a:ext cx="3438525" cy="1238250"/>
                    </a:xfrm>
                    <a:prstGeom prst="rect">
                      <a:avLst/>
                    </a:prstGeom>
                    <a:noFill/>
                    <a:ln>
                      <a:noFill/>
                    </a:ln>
                  </pic:spPr>
                </pic:pic>
              </a:graphicData>
            </a:graphic>
          </wp:inline>
        </w:drawing>
      </w:r>
    </w:p>
    <w:p w14:paraId="2CB93C33">
      <w:pPr>
        <w:pStyle w:val="42"/>
        <w:widowControl/>
        <w:numPr>
          <w:ilvl w:val="0"/>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52" w:name="_Hlk193296062"/>
      <w:r>
        <w:rPr>
          <w:rFonts w:hint="default" w:ascii="Times New Roman" w:hAnsi="Times New Roman" w:cs="Times New Roman"/>
          <w:sz w:val="28"/>
          <w:szCs w:val="28"/>
          <w:highlight w:val="none"/>
          <w:lang w:eastAsia="zh-CN"/>
        </w:rPr>
        <w:t>焚烧烟气净化程序</w:t>
      </w:r>
    </w:p>
    <w:bookmarkEnd w:id="52"/>
    <w:p w14:paraId="15D0087E">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烟气净化系统排放烟气应满足</w:t>
      </w:r>
      <w:r>
        <w:rPr>
          <w:rFonts w:hint="default" w:ascii="Times New Roman" w:hAnsi="Times New Roman" w:cs="Times New Roman"/>
          <w:sz w:val="28"/>
          <w:szCs w:val="28"/>
          <w:highlight w:val="none"/>
          <w:lang w:val="en-US"/>
        </w:rPr>
        <w:t>GB 18485</w:t>
      </w:r>
      <w:r>
        <w:rPr>
          <w:rFonts w:hint="default" w:ascii="Times New Roman" w:hAnsi="Times New Roman" w:cs="Times New Roman"/>
          <w:sz w:val="28"/>
          <w:szCs w:val="28"/>
          <w:highlight w:val="none"/>
          <w:lang w:eastAsia="zh-CN"/>
        </w:rPr>
        <w:t>、欧盟工业排放指令（</w:t>
      </w:r>
      <w:r>
        <w:rPr>
          <w:rFonts w:hint="default" w:ascii="Times New Roman" w:hAnsi="Times New Roman" w:cs="Times New Roman"/>
          <w:sz w:val="28"/>
          <w:szCs w:val="28"/>
          <w:highlight w:val="none"/>
          <w:lang w:val="en-US"/>
        </w:rPr>
        <w:t>2010/75/EU</w:t>
      </w:r>
      <w:r>
        <w:rPr>
          <w:rFonts w:hint="default" w:ascii="Times New Roman" w:hAnsi="Times New Roman" w:cs="Times New Roman"/>
          <w:sz w:val="28"/>
          <w:szCs w:val="28"/>
          <w:highlight w:val="none"/>
          <w:lang w:eastAsia="zh-CN"/>
        </w:rPr>
        <w:t>）的要求，具体指标要求见表</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w:t>
      </w:r>
    </w:p>
    <w:p w14:paraId="177B25EC">
      <w:pPr>
        <w:pStyle w:val="39"/>
        <w:widowControl/>
        <w:numPr>
          <w:ilvl w:val="0"/>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bookmarkStart w:id="53" w:name="_Hlk193293031"/>
      <w:r>
        <w:rPr>
          <w:rFonts w:hint="default" w:ascii="Times New Roman" w:hAnsi="Times New Roman" w:cs="Times New Roman"/>
          <w:sz w:val="28"/>
          <w:szCs w:val="28"/>
          <w:highlight w:val="none"/>
          <w:lang w:eastAsia="zh-CN"/>
        </w:rPr>
        <w:t>烟气排放指标</w:t>
      </w:r>
      <w:bookmarkEnd w:id="53"/>
      <w:r>
        <w:rPr>
          <w:rFonts w:hint="default" w:ascii="Times New Roman" w:hAnsi="Times New Roman" w:cs="Times New Roman"/>
          <w:sz w:val="28"/>
          <w:szCs w:val="28"/>
          <w:highlight w:val="none"/>
          <w:lang w:eastAsia="zh-CN"/>
        </w:rPr>
        <w:t>要求</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73"/>
        <w:gridCol w:w="3131"/>
        <w:gridCol w:w="2247"/>
        <w:gridCol w:w="2160"/>
      </w:tblGrid>
      <w:tr w14:paraId="68F5C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1266" w:type="dxa"/>
            <w:tcBorders>
              <w:top w:val="single" w:color="auto" w:sz="8" w:space="0"/>
              <w:left w:val="single" w:color="auto" w:sz="8" w:space="0"/>
              <w:bottom w:val="single" w:color="auto" w:sz="8" w:space="0"/>
              <w:right w:val="single" w:color="auto" w:sz="4" w:space="0"/>
            </w:tcBorders>
            <w:shd w:val="clear" w:color="auto" w:fill="auto"/>
            <w:vAlign w:val="center"/>
          </w:tcPr>
          <w:p w14:paraId="36555C1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序号</w:t>
            </w:r>
          </w:p>
        </w:tc>
        <w:tc>
          <w:tcPr>
            <w:tcW w:w="3401" w:type="dxa"/>
            <w:tcBorders>
              <w:top w:val="single" w:color="auto" w:sz="8" w:space="0"/>
              <w:left w:val="single" w:color="auto" w:sz="4" w:space="0"/>
              <w:bottom w:val="single" w:color="auto" w:sz="8" w:space="0"/>
              <w:right w:val="single" w:color="auto" w:sz="4" w:space="0"/>
            </w:tcBorders>
            <w:shd w:val="clear" w:color="auto" w:fill="auto"/>
            <w:vAlign w:val="center"/>
          </w:tcPr>
          <w:p w14:paraId="066020F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污染物名称</w:t>
            </w:r>
          </w:p>
        </w:tc>
        <w:tc>
          <w:tcPr>
            <w:tcW w:w="2333" w:type="dxa"/>
            <w:tcBorders>
              <w:top w:val="single" w:color="auto" w:sz="8" w:space="0"/>
              <w:left w:val="single" w:color="auto" w:sz="4" w:space="0"/>
              <w:bottom w:val="single" w:color="auto" w:sz="8" w:space="0"/>
              <w:right w:val="single" w:color="auto" w:sz="4" w:space="0"/>
            </w:tcBorders>
            <w:shd w:val="clear" w:color="auto" w:fill="auto"/>
            <w:vAlign w:val="center"/>
          </w:tcPr>
          <w:p w14:paraId="1676EB9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单位</w:t>
            </w:r>
          </w:p>
        </w:tc>
        <w:tc>
          <w:tcPr>
            <w:tcW w:w="2334" w:type="dxa"/>
            <w:tcBorders>
              <w:top w:val="single" w:color="auto" w:sz="8" w:space="0"/>
              <w:left w:val="single" w:color="auto" w:sz="4" w:space="0"/>
              <w:bottom w:val="single" w:color="auto" w:sz="8" w:space="0"/>
              <w:right w:val="single" w:color="auto" w:sz="8" w:space="0"/>
            </w:tcBorders>
            <w:shd w:val="clear" w:color="auto" w:fill="auto"/>
            <w:vAlign w:val="center"/>
          </w:tcPr>
          <w:p w14:paraId="6B5469D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要求</w:t>
            </w:r>
          </w:p>
        </w:tc>
      </w:tr>
      <w:tr w14:paraId="78F85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left w:val="single" w:color="auto" w:sz="8" w:space="0"/>
              <w:bottom w:val="single" w:color="auto" w:sz="4" w:space="0"/>
              <w:right w:val="single" w:color="auto" w:sz="4" w:space="0"/>
            </w:tcBorders>
            <w:shd w:val="clear" w:color="auto" w:fill="auto"/>
            <w:vAlign w:val="center"/>
          </w:tcPr>
          <w:p w14:paraId="6BA609B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3401" w:type="dxa"/>
            <w:tcBorders>
              <w:top w:val="single" w:color="auto" w:sz="8" w:space="0"/>
              <w:left w:val="single" w:color="auto" w:sz="4" w:space="0"/>
              <w:bottom w:val="single" w:color="auto" w:sz="4" w:space="0"/>
              <w:right w:val="single" w:color="auto" w:sz="4" w:space="0"/>
            </w:tcBorders>
            <w:shd w:val="clear" w:color="auto" w:fill="auto"/>
            <w:vAlign w:val="center"/>
          </w:tcPr>
          <w:p w14:paraId="200F3C3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颗粒物</w:t>
            </w:r>
          </w:p>
        </w:tc>
        <w:tc>
          <w:tcPr>
            <w:tcW w:w="2333" w:type="dxa"/>
            <w:tcBorders>
              <w:top w:val="single" w:color="auto" w:sz="8" w:space="0"/>
              <w:left w:val="single" w:color="auto" w:sz="4" w:space="0"/>
              <w:bottom w:val="single" w:color="auto" w:sz="4" w:space="0"/>
              <w:right w:val="single" w:color="auto" w:sz="4" w:space="0"/>
            </w:tcBorders>
            <w:shd w:val="clear" w:color="auto" w:fill="auto"/>
            <w:vAlign w:val="center"/>
          </w:tcPr>
          <w:p w14:paraId="48A7CA0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mg/Nm</w:t>
            </w:r>
            <w:r>
              <w:rPr>
                <w:rFonts w:hint="default" w:ascii="Times New Roman" w:hAnsi="Times New Roman" w:cs="Times New Roman"/>
                <w:sz w:val="28"/>
                <w:szCs w:val="28"/>
                <w:highlight w:val="none"/>
                <w:vertAlign w:val="superscript"/>
                <w:lang w:val="en-US"/>
              </w:rPr>
              <w:t>3</w:t>
            </w:r>
          </w:p>
        </w:tc>
        <w:tc>
          <w:tcPr>
            <w:tcW w:w="2334" w:type="dxa"/>
            <w:tcBorders>
              <w:top w:val="single" w:color="auto" w:sz="8" w:space="0"/>
              <w:left w:val="single" w:color="auto" w:sz="4" w:space="0"/>
              <w:bottom w:val="single" w:color="auto" w:sz="4" w:space="0"/>
              <w:right w:val="single" w:color="auto" w:sz="8" w:space="0"/>
            </w:tcBorders>
            <w:shd w:val="clear" w:color="auto" w:fill="auto"/>
            <w:vAlign w:val="center"/>
          </w:tcPr>
          <w:p w14:paraId="411EDC9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20</w:t>
            </w:r>
          </w:p>
        </w:tc>
      </w:tr>
      <w:tr w14:paraId="42C346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617FDB2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7E4F9B9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HCl</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top"/>
          </w:tcPr>
          <w:p w14:paraId="324A4AD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mg/Nm</w:t>
            </w:r>
            <w:r>
              <w:rPr>
                <w:rFonts w:hint="default" w:ascii="Times New Roman" w:hAnsi="Times New Roman" w:cs="Times New Roman"/>
                <w:sz w:val="28"/>
                <w:szCs w:val="28"/>
                <w:highlight w:val="none"/>
                <w:vertAlign w:val="superscript"/>
                <w:lang w:val="en-US"/>
              </w:rPr>
              <w:t>3</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4D2A294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50</w:t>
            </w:r>
          </w:p>
        </w:tc>
      </w:tr>
      <w:tr w14:paraId="341DD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5400C44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40D9A18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SO</w:t>
            </w:r>
            <w:r>
              <w:rPr>
                <w:rFonts w:hint="default" w:ascii="Times New Roman" w:hAnsi="Times New Roman" w:cs="Times New Roman"/>
                <w:sz w:val="28"/>
                <w:szCs w:val="28"/>
                <w:highlight w:val="none"/>
                <w:vertAlign w:val="subscript"/>
                <w:lang w:val="en-US"/>
              </w:rPr>
              <w:t>2</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top"/>
          </w:tcPr>
          <w:p w14:paraId="2DCEC13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mg/Nm</w:t>
            </w:r>
            <w:r>
              <w:rPr>
                <w:rFonts w:hint="default" w:ascii="Times New Roman" w:hAnsi="Times New Roman" w:cs="Times New Roman"/>
                <w:sz w:val="28"/>
                <w:szCs w:val="28"/>
                <w:highlight w:val="none"/>
                <w:vertAlign w:val="superscript"/>
                <w:lang w:val="en-US"/>
              </w:rPr>
              <w:t>3</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704C0E2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80</w:t>
            </w:r>
          </w:p>
        </w:tc>
      </w:tr>
      <w:tr w14:paraId="5E2C3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12C9FB8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34D62A6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NOx</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top"/>
          </w:tcPr>
          <w:p w14:paraId="112DB79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mg/Nm</w:t>
            </w:r>
            <w:r>
              <w:rPr>
                <w:rFonts w:hint="default" w:ascii="Times New Roman" w:hAnsi="Times New Roman" w:cs="Times New Roman"/>
                <w:sz w:val="28"/>
                <w:szCs w:val="28"/>
                <w:highlight w:val="none"/>
                <w:vertAlign w:val="superscript"/>
                <w:lang w:val="en-US"/>
              </w:rPr>
              <w:t>3</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175BA69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250</w:t>
            </w:r>
          </w:p>
        </w:tc>
      </w:tr>
      <w:tr w14:paraId="490CE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588870C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685B53F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CO</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top"/>
          </w:tcPr>
          <w:p w14:paraId="3FAAAFE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mg/Nm</w:t>
            </w:r>
            <w:r>
              <w:rPr>
                <w:rFonts w:hint="default" w:ascii="Times New Roman" w:hAnsi="Times New Roman" w:cs="Times New Roman"/>
                <w:sz w:val="28"/>
                <w:szCs w:val="28"/>
                <w:highlight w:val="none"/>
                <w:vertAlign w:val="superscript"/>
                <w:lang w:val="en-US"/>
              </w:rPr>
              <w:t>3</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28B95D0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55</w:t>
            </w:r>
          </w:p>
        </w:tc>
      </w:tr>
      <w:tr w14:paraId="12BCEE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1B1EFEA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6</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759D0D2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Hg</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top"/>
          </w:tcPr>
          <w:p w14:paraId="6D93867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mg/Nm</w:t>
            </w:r>
            <w:r>
              <w:rPr>
                <w:rFonts w:hint="default" w:ascii="Times New Roman" w:hAnsi="Times New Roman" w:cs="Times New Roman"/>
                <w:sz w:val="28"/>
                <w:szCs w:val="28"/>
                <w:highlight w:val="none"/>
                <w:vertAlign w:val="superscript"/>
                <w:lang w:val="en-US"/>
              </w:rPr>
              <w:t>3</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0CC6798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0.05</w:t>
            </w:r>
          </w:p>
        </w:tc>
      </w:tr>
      <w:tr w14:paraId="3C250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57997F7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7</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23DF11C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Cd</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top"/>
          </w:tcPr>
          <w:p w14:paraId="2069EB8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mg/Nm</w:t>
            </w:r>
            <w:r>
              <w:rPr>
                <w:rFonts w:hint="default" w:ascii="Times New Roman" w:hAnsi="Times New Roman" w:cs="Times New Roman"/>
                <w:sz w:val="28"/>
                <w:szCs w:val="28"/>
                <w:highlight w:val="none"/>
                <w:vertAlign w:val="superscript"/>
                <w:lang w:val="en-US"/>
              </w:rPr>
              <w:t>3</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527A45B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0.1</w:t>
            </w:r>
          </w:p>
        </w:tc>
      </w:tr>
      <w:tr w14:paraId="60380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7CFBE0F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8</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29ED281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Pb</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top"/>
          </w:tcPr>
          <w:p w14:paraId="743B673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mg/Nm</w:t>
            </w:r>
            <w:r>
              <w:rPr>
                <w:rFonts w:hint="default" w:ascii="Times New Roman" w:hAnsi="Times New Roman" w:cs="Times New Roman"/>
                <w:sz w:val="28"/>
                <w:szCs w:val="28"/>
                <w:highlight w:val="none"/>
                <w:vertAlign w:val="superscript"/>
                <w:lang w:val="en-US"/>
              </w:rPr>
              <w:t>3</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289D2AD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1.0</w:t>
            </w:r>
          </w:p>
        </w:tc>
      </w:tr>
      <w:tr w14:paraId="3D2944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22C321C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250B3D2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二噁英类</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D01E35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TEQng/Nm</w:t>
            </w:r>
            <w:r>
              <w:rPr>
                <w:rFonts w:hint="default" w:ascii="Times New Roman" w:hAnsi="Times New Roman" w:cs="Times New Roman"/>
                <w:sz w:val="28"/>
                <w:szCs w:val="28"/>
                <w:highlight w:val="none"/>
                <w:vertAlign w:val="superscript"/>
                <w:lang w:val="en-US"/>
              </w:rPr>
              <w:t>3</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6FA9554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0.1</w:t>
            </w:r>
          </w:p>
        </w:tc>
      </w:tr>
      <w:tr w14:paraId="230D9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8" w:space="0"/>
              <w:right w:val="single" w:color="auto" w:sz="4" w:space="0"/>
            </w:tcBorders>
            <w:shd w:val="clear" w:color="auto" w:fill="auto"/>
            <w:vAlign w:val="center"/>
          </w:tcPr>
          <w:p w14:paraId="3D9261A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p>
        </w:tc>
        <w:tc>
          <w:tcPr>
            <w:tcW w:w="3401" w:type="dxa"/>
            <w:tcBorders>
              <w:top w:val="single" w:color="auto" w:sz="4" w:space="0"/>
              <w:left w:val="single" w:color="auto" w:sz="4" w:space="0"/>
              <w:bottom w:val="single" w:color="auto" w:sz="8" w:space="0"/>
              <w:right w:val="single" w:color="auto" w:sz="4" w:space="0"/>
            </w:tcBorders>
            <w:shd w:val="clear" w:color="auto" w:fill="auto"/>
            <w:vAlign w:val="center"/>
          </w:tcPr>
          <w:p w14:paraId="102FF19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炉粒温度</w:t>
            </w:r>
          </w:p>
        </w:tc>
        <w:tc>
          <w:tcPr>
            <w:tcW w:w="2333" w:type="dxa"/>
            <w:tcBorders>
              <w:top w:val="single" w:color="auto" w:sz="4" w:space="0"/>
              <w:left w:val="single" w:color="auto" w:sz="4" w:space="0"/>
              <w:bottom w:val="single" w:color="auto" w:sz="8" w:space="0"/>
              <w:right w:val="single" w:color="auto" w:sz="4" w:space="0"/>
            </w:tcBorders>
            <w:shd w:val="clear" w:color="auto" w:fill="auto"/>
            <w:vAlign w:val="center"/>
          </w:tcPr>
          <w:p w14:paraId="2E0CF32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c>
          <w:tcPr>
            <w:tcW w:w="2334" w:type="dxa"/>
            <w:tcBorders>
              <w:top w:val="single" w:color="auto" w:sz="4" w:space="0"/>
              <w:left w:val="single" w:color="auto" w:sz="4" w:space="0"/>
              <w:bottom w:val="single" w:color="auto" w:sz="8" w:space="0"/>
              <w:right w:val="single" w:color="auto" w:sz="8" w:space="0"/>
            </w:tcBorders>
            <w:shd w:val="clear" w:color="auto" w:fill="auto"/>
            <w:vAlign w:val="center"/>
          </w:tcPr>
          <w:p w14:paraId="7ECCAB8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rPr>
              <w:t>850</w:t>
            </w:r>
          </w:p>
        </w:tc>
      </w:tr>
      <w:bookmarkEnd w:id="51"/>
    </w:tbl>
    <w:p w14:paraId="65C589F6">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54" w:name="_Toc193383004"/>
      <w:bookmarkStart w:id="55" w:name="_Toc193296794"/>
      <w:bookmarkStart w:id="56" w:name="_Toc193295699"/>
      <w:r>
        <w:rPr>
          <w:rFonts w:hint="default" w:ascii="Times New Roman" w:hAnsi="Times New Roman" w:cs="Times New Roman"/>
          <w:sz w:val="28"/>
          <w:szCs w:val="28"/>
          <w:highlight w:val="none"/>
          <w:lang w:eastAsia="zh-CN"/>
        </w:rPr>
        <w:t>污水处理系统</w:t>
      </w:r>
      <w:bookmarkEnd w:id="54"/>
      <w:bookmarkEnd w:id="55"/>
    </w:p>
    <w:p w14:paraId="3054E716">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明确污泥污水的水质指标，应包括各项污染物的浓度、</w:t>
      </w:r>
      <w:r>
        <w:rPr>
          <w:rFonts w:hint="default" w:ascii="Times New Roman" w:hAnsi="Times New Roman" w:cs="Times New Roman"/>
          <w:sz w:val="28"/>
          <w:szCs w:val="28"/>
          <w:highlight w:val="none"/>
          <w:lang w:val="en-US"/>
        </w:rPr>
        <w:t>pH</w:t>
      </w:r>
      <w:r>
        <w:rPr>
          <w:rFonts w:hint="default" w:ascii="Times New Roman" w:hAnsi="Times New Roman" w:cs="Times New Roman"/>
          <w:sz w:val="28"/>
          <w:szCs w:val="28"/>
          <w:highlight w:val="none"/>
          <w:lang w:eastAsia="zh-CN"/>
        </w:rPr>
        <w:t>值等。</w:t>
      </w:r>
    </w:p>
    <w:p w14:paraId="3B5B4EB9">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根据污泥产生的实际情况，应合理确定污水处理系统的处理规模。宜采用成熟、可靠的污水处理工艺，如生物处理、化学处理或物理化学处理等。根据污泥的特性和处理要求，应对处理工艺进行优化组合。</w:t>
      </w:r>
    </w:p>
    <w:p w14:paraId="61D81E8F">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污水处理设备的配置应合理，宜选择综合污水处理站，具体工艺流程见图</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，满足污水处理系统的整体运行。</w:t>
      </w:r>
    </w:p>
    <w:p w14:paraId="141EE020">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应对污水处理系统的关键参数进行在线监测，如进水水质、处理效果、设备运行状态等。宜采用自动化控制系统，实现污水处理系统的远程监控和智能调节。</w:t>
      </w:r>
    </w:p>
    <w:p w14:paraId="76FC0296">
      <w:pPr>
        <w:pStyle w:val="37"/>
        <w:widowControl/>
        <w:spacing w:before="240" w:beforeLines="100" w:beforeAutospacing="0" w:after="240" w:afterLines="100" w:afterAutospacing="0" w:line="360" w:lineRule="auto"/>
        <w:ind w:left="0" w:right="0" w:firstLine="0" w:firstLineChars="0"/>
        <w:jc w:val="center"/>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drawing>
          <wp:inline distT="0" distB="0" distL="114300" distR="114300">
            <wp:extent cx="4752975" cy="26193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752975" cy="2619375"/>
                    </a:xfrm>
                    <a:prstGeom prst="rect">
                      <a:avLst/>
                    </a:prstGeom>
                    <a:noFill/>
                    <a:ln>
                      <a:noFill/>
                    </a:ln>
                  </pic:spPr>
                </pic:pic>
              </a:graphicData>
            </a:graphic>
          </wp:inline>
        </w:drawing>
      </w:r>
    </w:p>
    <w:p w14:paraId="0F0A9B84">
      <w:pPr>
        <w:pStyle w:val="42"/>
        <w:widowControl/>
        <w:numPr>
          <w:ilvl w:val="0"/>
          <w:numId w:val="5"/>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污水处理站工艺流程</w:t>
      </w:r>
    </w:p>
    <w:p w14:paraId="47477EF1">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污水经过污水处理后指标见表</w:t>
      </w:r>
      <w:r>
        <w:rPr>
          <w:rFonts w:hint="default" w:ascii="Times New Roman" w:hAnsi="Times New Roman" w:cs="Times New Roman"/>
          <w:sz w:val="28"/>
          <w:szCs w:val="28"/>
          <w:highlight w:val="none"/>
          <w:lang w:val="en-US"/>
        </w:rPr>
        <w:t>3</w:t>
      </w:r>
      <w:r>
        <w:rPr>
          <w:rFonts w:hint="default" w:ascii="Times New Roman" w:hAnsi="Times New Roman" w:cs="Times New Roman"/>
          <w:sz w:val="28"/>
          <w:szCs w:val="28"/>
          <w:highlight w:val="none"/>
          <w:lang w:eastAsia="zh-CN"/>
        </w:rPr>
        <w:t>，应满足</w:t>
      </w:r>
      <w:bookmarkStart w:id="57" w:name="_Hlk193375428"/>
      <w:r>
        <w:rPr>
          <w:rFonts w:hint="default" w:ascii="Times New Roman" w:hAnsi="Times New Roman" w:cs="Times New Roman"/>
          <w:sz w:val="28"/>
          <w:szCs w:val="28"/>
          <w:highlight w:val="none"/>
          <w:lang w:val="en-US"/>
        </w:rPr>
        <w:t>GB 16889</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HG/T 3923</w:t>
      </w:r>
      <w:bookmarkEnd w:id="57"/>
      <w:r>
        <w:rPr>
          <w:rFonts w:hint="default" w:ascii="Times New Roman" w:hAnsi="Times New Roman" w:cs="Times New Roman"/>
          <w:sz w:val="28"/>
          <w:szCs w:val="28"/>
          <w:highlight w:val="none"/>
          <w:lang w:eastAsia="zh-CN"/>
        </w:rPr>
        <w:t>的要求。</w:t>
      </w:r>
    </w:p>
    <w:p w14:paraId="29C01506">
      <w:pPr>
        <w:pStyle w:val="34"/>
        <w:widowControl/>
        <w:numPr>
          <w:ilvl w:val="2"/>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污水处理后洁净水应满足厂区回收可用要求。</w:t>
      </w:r>
    </w:p>
    <w:p w14:paraId="5B6AC742">
      <w:pPr>
        <w:pStyle w:val="39"/>
        <w:widowControl/>
        <w:numPr>
          <w:ilvl w:val="0"/>
          <w:numId w:val="4"/>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污水处理后指标</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73"/>
        <w:gridCol w:w="3156"/>
        <w:gridCol w:w="2170"/>
        <w:gridCol w:w="2212"/>
      </w:tblGrid>
      <w:tr w14:paraId="43B93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blHeader/>
          <w:jc w:val="center"/>
        </w:trPr>
        <w:tc>
          <w:tcPr>
            <w:tcW w:w="1266" w:type="dxa"/>
            <w:tcBorders>
              <w:top w:val="single" w:color="auto" w:sz="8" w:space="0"/>
              <w:left w:val="single" w:color="auto" w:sz="8" w:space="0"/>
              <w:bottom w:val="single" w:color="auto" w:sz="8" w:space="0"/>
              <w:right w:val="single" w:color="auto" w:sz="4" w:space="0"/>
            </w:tcBorders>
            <w:shd w:val="clear" w:color="auto" w:fill="auto"/>
            <w:vAlign w:val="center"/>
          </w:tcPr>
          <w:p w14:paraId="58091D7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序号</w:t>
            </w:r>
          </w:p>
        </w:tc>
        <w:tc>
          <w:tcPr>
            <w:tcW w:w="3401" w:type="dxa"/>
            <w:tcBorders>
              <w:top w:val="single" w:color="auto" w:sz="8" w:space="0"/>
              <w:left w:val="single" w:color="auto" w:sz="4" w:space="0"/>
              <w:bottom w:val="single" w:color="auto" w:sz="8" w:space="0"/>
              <w:right w:val="single" w:color="auto" w:sz="4" w:space="0"/>
            </w:tcBorders>
            <w:shd w:val="clear" w:color="auto" w:fill="auto"/>
            <w:vAlign w:val="center"/>
          </w:tcPr>
          <w:p w14:paraId="200BA2D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指标</w:t>
            </w:r>
          </w:p>
        </w:tc>
        <w:tc>
          <w:tcPr>
            <w:tcW w:w="2333" w:type="dxa"/>
            <w:tcBorders>
              <w:top w:val="single" w:color="auto" w:sz="8" w:space="0"/>
              <w:left w:val="single" w:color="auto" w:sz="4" w:space="0"/>
              <w:bottom w:val="single" w:color="auto" w:sz="8" w:space="0"/>
              <w:right w:val="single" w:color="auto" w:sz="4" w:space="0"/>
            </w:tcBorders>
            <w:shd w:val="clear" w:color="auto" w:fill="auto"/>
            <w:vAlign w:val="center"/>
          </w:tcPr>
          <w:p w14:paraId="575840E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单位</w:t>
            </w:r>
          </w:p>
        </w:tc>
        <w:tc>
          <w:tcPr>
            <w:tcW w:w="2334" w:type="dxa"/>
            <w:tcBorders>
              <w:top w:val="single" w:color="auto" w:sz="8" w:space="0"/>
              <w:left w:val="single" w:color="auto" w:sz="4" w:space="0"/>
              <w:bottom w:val="single" w:color="auto" w:sz="8" w:space="0"/>
              <w:right w:val="single" w:color="auto" w:sz="8" w:space="0"/>
            </w:tcBorders>
            <w:shd w:val="clear" w:color="auto" w:fill="auto"/>
            <w:vAlign w:val="center"/>
          </w:tcPr>
          <w:p w14:paraId="3C00D99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要求</w:t>
            </w:r>
          </w:p>
        </w:tc>
      </w:tr>
      <w:tr w14:paraId="7AEE5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left w:val="single" w:color="auto" w:sz="8" w:space="0"/>
              <w:bottom w:val="single" w:color="auto" w:sz="4" w:space="0"/>
              <w:right w:val="single" w:color="auto" w:sz="4" w:space="0"/>
            </w:tcBorders>
            <w:shd w:val="clear" w:color="auto" w:fill="auto"/>
            <w:vAlign w:val="center"/>
          </w:tcPr>
          <w:p w14:paraId="7A751A7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w:t>
            </w:r>
          </w:p>
        </w:tc>
        <w:tc>
          <w:tcPr>
            <w:tcW w:w="3401" w:type="dxa"/>
            <w:tcBorders>
              <w:top w:val="single" w:color="auto" w:sz="8" w:space="0"/>
              <w:left w:val="single" w:color="auto" w:sz="4" w:space="0"/>
              <w:bottom w:val="single" w:color="auto" w:sz="4" w:space="0"/>
              <w:right w:val="single" w:color="auto" w:sz="4" w:space="0"/>
            </w:tcBorders>
            <w:shd w:val="clear" w:color="auto" w:fill="auto"/>
            <w:vAlign w:val="center"/>
          </w:tcPr>
          <w:p w14:paraId="70B4625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pH</w:t>
            </w:r>
          </w:p>
        </w:tc>
        <w:tc>
          <w:tcPr>
            <w:tcW w:w="2333" w:type="dxa"/>
            <w:tcBorders>
              <w:top w:val="single" w:color="auto" w:sz="8" w:space="0"/>
              <w:left w:val="single" w:color="auto" w:sz="4" w:space="0"/>
              <w:bottom w:val="single" w:color="auto" w:sz="4" w:space="0"/>
              <w:right w:val="single" w:color="auto" w:sz="4" w:space="0"/>
            </w:tcBorders>
            <w:shd w:val="clear" w:color="auto" w:fill="auto"/>
            <w:vAlign w:val="center"/>
          </w:tcPr>
          <w:p w14:paraId="65A8DE2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w:t>
            </w:r>
          </w:p>
        </w:tc>
        <w:tc>
          <w:tcPr>
            <w:tcW w:w="2334" w:type="dxa"/>
            <w:tcBorders>
              <w:top w:val="single" w:color="auto" w:sz="8" w:space="0"/>
              <w:left w:val="single" w:color="auto" w:sz="4" w:space="0"/>
              <w:bottom w:val="single" w:color="auto" w:sz="4" w:space="0"/>
              <w:right w:val="single" w:color="auto" w:sz="8" w:space="0"/>
            </w:tcBorders>
            <w:shd w:val="clear" w:color="auto" w:fill="auto"/>
            <w:vAlign w:val="center"/>
          </w:tcPr>
          <w:p w14:paraId="40A0E03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6.0~9.9</w:t>
            </w:r>
          </w:p>
        </w:tc>
      </w:tr>
      <w:tr w14:paraId="78C210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6FD79A7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1EB8EF6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SS</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top"/>
          </w:tcPr>
          <w:p w14:paraId="555AEC7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mg/L</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69800FB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≤30</w:t>
            </w:r>
          </w:p>
        </w:tc>
      </w:tr>
      <w:tr w14:paraId="7BACB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0CD2A70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3</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26608D9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BOD</w:t>
            </w:r>
            <w:r>
              <w:rPr>
                <w:rFonts w:hint="default" w:ascii="Times New Roman" w:hAnsi="Times New Roman" w:cs="Times New Roman"/>
                <w:sz w:val="28"/>
                <w:szCs w:val="28"/>
                <w:highlight w:val="none"/>
                <w:vertAlign w:val="subscript"/>
                <w:lang w:val="en-US"/>
              </w:rPr>
              <w:t>5</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top"/>
          </w:tcPr>
          <w:p w14:paraId="658ADE5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mg/L</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center"/>
          </w:tcPr>
          <w:p w14:paraId="0083CC0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≤15</w:t>
            </w:r>
          </w:p>
        </w:tc>
      </w:tr>
      <w:tr w14:paraId="36601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128185B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4</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59B109D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CODcr</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074C3E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mg/L</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top"/>
          </w:tcPr>
          <w:p w14:paraId="3929C03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≤50</w:t>
            </w:r>
          </w:p>
        </w:tc>
      </w:tr>
      <w:tr w14:paraId="07788B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70DC5099">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5C3A6B0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NH</w:t>
            </w:r>
            <w:r>
              <w:rPr>
                <w:rFonts w:hint="default" w:ascii="Times New Roman" w:hAnsi="Times New Roman" w:cs="Times New Roman"/>
                <w:sz w:val="28"/>
                <w:szCs w:val="28"/>
                <w:highlight w:val="none"/>
                <w:vertAlign w:val="subscript"/>
                <w:lang w:val="en-US"/>
              </w:rPr>
              <w:t>3</w:t>
            </w:r>
            <w:r>
              <w:rPr>
                <w:rFonts w:hint="default" w:ascii="Times New Roman" w:hAnsi="Times New Roman" w:cs="Times New Roman"/>
                <w:sz w:val="28"/>
                <w:szCs w:val="28"/>
                <w:highlight w:val="none"/>
                <w:lang w:val="en-US"/>
              </w:rPr>
              <w:t>-N</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CBE9DBA">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mg/L</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top"/>
          </w:tcPr>
          <w:p w14:paraId="4C8701E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≤5.0</w:t>
            </w:r>
          </w:p>
        </w:tc>
      </w:tr>
      <w:tr w14:paraId="204EE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0E63E26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6</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413CF9A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TN</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79E0A6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mg/L</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top"/>
          </w:tcPr>
          <w:p w14:paraId="4A02935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≤20</w:t>
            </w:r>
          </w:p>
        </w:tc>
      </w:tr>
      <w:tr w14:paraId="35E1D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5AA3683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7</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65A1A38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TP</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2738576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mg/L</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top"/>
          </w:tcPr>
          <w:p w14:paraId="70839F28">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≤0.5</w:t>
            </w:r>
          </w:p>
        </w:tc>
      </w:tr>
      <w:tr w14:paraId="75034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252FAD6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8</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6EFD29B3">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浊度</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221455BF">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NTU</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top"/>
          </w:tcPr>
          <w:p w14:paraId="73DCA2E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p>
        </w:tc>
      </w:tr>
      <w:tr w14:paraId="6FA21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450A9A5B">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9</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0629361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总碱度</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rPr>
              <w:t>总硬度</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7F5CDB9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mg/L</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top"/>
          </w:tcPr>
          <w:p w14:paraId="24A47145">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≤700</w:t>
            </w:r>
          </w:p>
        </w:tc>
      </w:tr>
      <w:tr w14:paraId="07A3D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1D2CEFB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216CB3A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硫化物</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E804000">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mg/L</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top"/>
          </w:tcPr>
          <w:p w14:paraId="44674AC2">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≤0.1</w:t>
            </w:r>
          </w:p>
        </w:tc>
      </w:tr>
      <w:tr w14:paraId="1F2DC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0A98229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11</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040E9217">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油含量</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2EBE19F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mg/L</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top"/>
          </w:tcPr>
          <w:p w14:paraId="194AB61D">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≤0.5</w:t>
            </w:r>
          </w:p>
        </w:tc>
      </w:tr>
      <w:tr w14:paraId="6703B0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4" w:space="0"/>
              <w:right w:val="single" w:color="auto" w:sz="4" w:space="0"/>
            </w:tcBorders>
            <w:shd w:val="clear" w:color="auto" w:fill="auto"/>
            <w:vAlign w:val="center"/>
          </w:tcPr>
          <w:p w14:paraId="297D030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12</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03DDEA4C">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总溶固</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9127FFE">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mg/L</w:t>
            </w:r>
          </w:p>
        </w:tc>
        <w:tc>
          <w:tcPr>
            <w:tcW w:w="2334" w:type="dxa"/>
            <w:tcBorders>
              <w:top w:val="single" w:color="auto" w:sz="4" w:space="0"/>
              <w:left w:val="single" w:color="auto" w:sz="4" w:space="0"/>
              <w:bottom w:val="single" w:color="auto" w:sz="4" w:space="0"/>
              <w:right w:val="single" w:color="auto" w:sz="8" w:space="0"/>
            </w:tcBorders>
            <w:shd w:val="clear" w:color="auto" w:fill="auto"/>
            <w:vAlign w:val="top"/>
          </w:tcPr>
          <w:p w14:paraId="6AFD680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≤1000</w:t>
            </w:r>
          </w:p>
        </w:tc>
      </w:tr>
      <w:tr w14:paraId="3B124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4" w:space="0"/>
              <w:left w:val="single" w:color="auto" w:sz="8" w:space="0"/>
              <w:bottom w:val="single" w:color="auto" w:sz="8" w:space="0"/>
              <w:right w:val="single" w:color="auto" w:sz="4" w:space="0"/>
            </w:tcBorders>
            <w:shd w:val="clear" w:color="auto" w:fill="auto"/>
            <w:vAlign w:val="center"/>
          </w:tcPr>
          <w:p w14:paraId="0E4F7C9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13</w:t>
            </w:r>
          </w:p>
        </w:tc>
        <w:tc>
          <w:tcPr>
            <w:tcW w:w="3401" w:type="dxa"/>
            <w:tcBorders>
              <w:top w:val="single" w:color="auto" w:sz="4" w:space="0"/>
              <w:left w:val="single" w:color="auto" w:sz="4" w:space="0"/>
              <w:bottom w:val="single" w:color="auto" w:sz="8" w:space="0"/>
              <w:right w:val="single" w:color="auto" w:sz="4" w:space="0"/>
            </w:tcBorders>
            <w:shd w:val="clear" w:color="auto" w:fill="auto"/>
            <w:vAlign w:val="center"/>
          </w:tcPr>
          <w:p w14:paraId="2A7D1034">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细菌总数</w:t>
            </w:r>
          </w:p>
        </w:tc>
        <w:tc>
          <w:tcPr>
            <w:tcW w:w="2333" w:type="dxa"/>
            <w:tcBorders>
              <w:top w:val="single" w:color="auto" w:sz="4" w:space="0"/>
              <w:left w:val="single" w:color="auto" w:sz="4" w:space="0"/>
              <w:bottom w:val="single" w:color="auto" w:sz="8" w:space="0"/>
              <w:right w:val="single" w:color="auto" w:sz="4" w:space="0"/>
            </w:tcBorders>
            <w:shd w:val="clear" w:color="auto" w:fill="auto"/>
            <w:vAlign w:val="center"/>
          </w:tcPr>
          <w:p w14:paraId="737328A6">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rPr>
              <w:t>个</w:t>
            </w:r>
            <w:r>
              <w:rPr>
                <w:rFonts w:hint="default" w:ascii="Times New Roman" w:hAnsi="Times New Roman" w:cs="Times New Roman"/>
                <w:sz w:val="28"/>
                <w:szCs w:val="28"/>
                <w:highlight w:val="none"/>
                <w:lang w:val="en-US"/>
              </w:rPr>
              <w:t>/L</w:t>
            </w:r>
          </w:p>
        </w:tc>
        <w:tc>
          <w:tcPr>
            <w:tcW w:w="2334" w:type="dxa"/>
            <w:tcBorders>
              <w:top w:val="single" w:color="auto" w:sz="4" w:space="0"/>
              <w:left w:val="single" w:color="auto" w:sz="4" w:space="0"/>
              <w:bottom w:val="single" w:color="auto" w:sz="8" w:space="0"/>
              <w:right w:val="single" w:color="auto" w:sz="8" w:space="0"/>
            </w:tcBorders>
            <w:shd w:val="clear" w:color="auto" w:fill="auto"/>
            <w:vAlign w:val="center"/>
          </w:tcPr>
          <w:p w14:paraId="21E862B1">
            <w:pPr>
              <w:pStyle w:val="43"/>
              <w:widowControl/>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≤1.0×10</w:t>
            </w:r>
            <w:r>
              <w:rPr>
                <w:rFonts w:hint="default" w:ascii="Times New Roman" w:hAnsi="Times New Roman" w:cs="Times New Roman"/>
                <w:sz w:val="28"/>
                <w:szCs w:val="28"/>
                <w:highlight w:val="none"/>
                <w:vertAlign w:val="superscript"/>
                <w:lang w:val="en-US"/>
              </w:rPr>
              <w:t>4</w:t>
            </w:r>
          </w:p>
        </w:tc>
      </w:tr>
      <w:bookmarkEnd w:id="56"/>
    </w:tbl>
    <w:p w14:paraId="7A6AC2A2">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58" w:name="_Toc193383005"/>
      <w:bookmarkStart w:id="59" w:name="_Toc193295700"/>
      <w:bookmarkStart w:id="60" w:name="_Toc193296795"/>
      <w:r>
        <w:rPr>
          <w:rFonts w:hint="default" w:ascii="Times New Roman" w:hAnsi="Times New Roman" w:cs="Times New Roman"/>
          <w:sz w:val="28"/>
          <w:szCs w:val="28"/>
          <w:highlight w:val="none"/>
          <w:lang w:eastAsia="zh-CN"/>
        </w:rPr>
        <w:t>质量控制</w:t>
      </w:r>
      <w:bookmarkEnd w:id="58"/>
      <w:bookmarkEnd w:id="59"/>
      <w:bookmarkEnd w:id="60"/>
    </w:p>
    <w:p w14:paraId="247CCC8A">
      <w:pPr>
        <w:pStyle w:val="35"/>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干化工艺控制</w:t>
      </w:r>
    </w:p>
    <w:p w14:paraId="589DBD3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 xml:space="preserve">应严格控制干化设备的温度，避免温度过高引发爆炸等安全事故。宜采用自动化控制系统对温度进行实时监测和调节。 </w:t>
      </w:r>
    </w:p>
    <w:p w14:paraId="6865B8B3">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根据污泥的性质和用途，应合理设定污泥的含水率和含固率目标值。宜采用先进的干化技术，污泥应达到设定的含水率和含固率要求。</w:t>
      </w:r>
    </w:p>
    <w:p w14:paraId="7F75EB7C">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应采取有效措施防止粉尘爆炸，如安装粉尘浓度监测装置、采用负压操作等。宜选用防爆型电气设备，系统可安全运行。</w:t>
      </w:r>
    </w:p>
    <w:p w14:paraId="3A0AF1AA">
      <w:pPr>
        <w:pStyle w:val="35"/>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焚烧工艺控制</w:t>
      </w:r>
    </w:p>
    <w:p w14:paraId="7C81601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应选用技术成熟、运行稳定的焚烧炉，如鼓泡流化床焚烧炉，并根据污泥的热值和含固率，选择合适的焚烧炉类型和运行参数。</w:t>
      </w:r>
    </w:p>
    <w:p w14:paraId="42EBBE1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焚烧炉内的燃烧应充分、稳定，避免产生不完全燃烧产物，宜采用自动化控制系统对燃烧过程进行实时监测和调节。</w:t>
      </w:r>
    </w:p>
    <w:p w14:paraId="51BDCF1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应安装烟气净化装置，对焚烧产生的烟气进行净化处理，并选用高效、节能的烟气净化技术，降低运行成本。</w:t>
      </w:r>
    </w:p>
    <w:p w14:paraId="04A5496F">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应对焚烧产生的灰渣进行妥善处理，避免造成二次污染，并对灰渣进行资源化利用，如用于建筑材料等。</w:t>
      </w:r>
    </w:p>
    <w:p w14:paraId="30F55BE2">
      <w:pPr>
        <w:pStyle w:val="35"/>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自动化与监测</w:t>
      </w:r>
    </w:p>
    <w:p w14:paraId="45A051A3">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应安装自动化控制系统，对整个污泥干化焚烧系统进行实时监测和控制，并采用先进的自动化技术和设备，提高系统的运行效率和稳定性。</w:t>
      </w:r>
    </w:p>
    <w:p w14:paraId="4746925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应安装必要的监测装置，如温度、湿度、粉尘浓度、烟气成分等监测装置，并采用在线监测技术，实时掌握系统的运行状态和排放情况。</w:t>
      </w:r>
    </w:p>
    <w:p w14:paraId="5EEEFA92">
      <w:pPr>
        <w:pStyle w:val="36"/>
        <w:widowControl/>
        <w:numPr>
          <w:ilvl w:val="1"/>
          <w:numId w:val="2"/>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61" w:name="_Toc193295701"/>
      <w:bookmarkStart w:id="62" w:name="_Toc193296796"/>
      <w:bookmarkStart w:id="63" w:name="_Toc193383006"/>
      <w:r>
        <w:rPr>
          <w:rFonts w:hint="default" w:ascii="Times New Roman" w:hAnsi="Times New Roman" w:cs="Times New Roman"/>
          <w:sz w:val="28"/>
          <w:szCs w:val="28"/>
          <w:highlight w:val="none"/>
          <w:lang w:eastAsia="zh-CN"/>
        </w:rPr>
        <w:t>维护</w:t>
      </w:r>
      <w:bookmarkEnd w:id="61"/>
      <w:bookmarkEnd w:id="62"/>
      <w:r>
        <w:rPr>
          <w:rFonts w:hint="default" w:ascii="Times New Roman" w:hAnsi="Times New Roman" w:cs="Times New Roman"/>
          <w:sz w:val="28"/>
          <w:szCs w:val="28"/>
          <w:highlight w:val="none"/>
          <w:lang w:eastAsia="zh-CN"/>
        </w:rPr>
        <w:t>要求</w:t>
      </w:r>
      <w:bookmarkEnd w:id="63"/>
    </w:p>
    <w:p w14:paraId="77ACE066">
      <w:pPr>
        <w:pStyle w:val="35"/>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基本要求</w:t>
      </w:r>
    </w:p>
    <w:p w14:paraId="41A8B90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应定期对污泥干化焚烧系统进行全面检查，包括各设备、管道、阀门、仪表等。</w:t>
      </w:r>
    </w:p>
    <w:p w14:paraId="2FA86728">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宜建立详细的维护记录，记录每次维护的时间、内容、发现的问题及解决方案等。</w:t>
      </w:r>
    </w:p>
    <w:p w14:paraId="386BE2F5">
      <w:pPr>
        <w:pStyle w:val="35"/>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干化系统</w:t>
      </w:r>
    </w:p>
    <w:p w14:paraId="184E128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应定期清理干化机的外表面和内部，去除灰尘、污垢和物料残留，并检查干化机的密封性，门、管道接口等部位应密封良好。</w:t>
      </w:r>
    </w:p>
    <w:p w14:paraId="561C41D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应定期检查干化机的加热元件和温度传感器，如有损坏应及时更换。</w:t>
      </w:r>
    </w:p>
    <w:p w14:paraId="5F98E13D">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应对干化机的传动部件进行定期检查和维护，包括电机、皮带、链条等，并定期检查风机的运行状况，包括风量、风压、振动、噪音等，同时，定期清理风机和通风管道的积尘。</w:t>
      </w:r>
    </w:p>
    <w:p w14:paraId="5D701F43">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风机的轴承、润滑系统等部位应进行定期检查和维护，其运转应正常、无磨损。</w:t>
      </w:r>
    </w:p>
    <w:p w14:paraId="1D5DFF04">
      <w:pPr>
        <w:pStyle w:val="35"/>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焚烧系统</w:t>
      </w:r>
    </w:p>
    <w:p w14:paraId="76222E8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应定期检查焚烧炉的炉体、炉衬、燃烧器等部位，不应出现损坏、变形现象，并定期清理焚烧炉内的积灰和焦渣，同时，焚烧炉的点火系统、燃烧控制系统等进行定期检查和维护。</w:t>
      </w:r>
    </w:p>
    <w:p w14:paraId="7B35A221">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应定期检查烟气净化设备的运行状态，包括除尘器、脱硫脱硝装置等，并定期清理烟气净化设备的积灰和污垢。</w:t>
      </w:r>
    </w:p>
    <w:p w14:paraId="5A470120">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烟气净化系统的仪表、阀门等应进行定期检查和维护。</w:t>
      </w:r>
    </w:p>
    <w:p w14:paraId="23815CB0">
      <w:pPr>
        <w:pStyle w:val="35"/>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电气控制系统</w:t>
      </w:r>
    </w:p>
    <w:p w14:paraId="5D1C84C5">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应定期检查电气设备的运行状态，包括电机、电缆、开关等，并定期对电气设备进行清洁和保养，同时，应对电气设备的接地系统进行定期检查，接地应良好、无松动。</w:t>
      </w:r>
    </w:p>
    <w:p w14:paraId="1AFEC04A">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应定期检查控制系统的运行状态，包括</w:t>
      </w:r>
      <w:r>
        <w:rPr>
          <w:rFonts w:hint="default" w:ascii="Times New Roman" w:hAnsi="Times New Roman" w:cs="Times New Roman"/>
          <w:sz w:val="28"/>
          <w:szCs w:val="28"/>
          <w:highlight w:val="none"/>
          <w:lang w:val="en-US"/>
        </w:rPr>
        <w:t>PLC</w:t>
      </w:r>
      <w:r>
        <w:rPr>
          <w:rFonts w:hint="default" w:ascii="Times New Roman" w:hAnsi="Times New Roman" w:cs="Times New Roman"/>
          <w:sz w:val="28"/>
          <w:szCs w:val="28"/>
          <w:highlight w:val="none"/>
          <w:lang w:eastAsia="zh-CN"/>
        </w:rPr>
        <w:t>、触摸屏、传感器等，并定期对控制系统进行备份和恢复测试，数据处理应具有完整性、安全性，同时，对控制系统的软件进行定期更新和升级。</w:t>
      </w:r>
    </w:p>
    <w:p w14:paraId="4FDE8AAE">
      <w:pPr>
        <w:pStyle w:val="35"/>
        <w:widowControl/>
        <w:numPr>
          <w:ilvl w:val="2"/>
          <w:numId w:val="2"/>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安全维护</w:t>
      </w:r>
    </w:p>
    <w:p w14:paraId="7DDB7A12">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定期检查安全设施的运行状态，应包括消防系统、报警系统、紧急停机按钮等。</w:t>
      </w:r>
    </w:p>
    <w:p w14:paraId="2F646969">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宜定期对操作人员进行安全培训和演练，提高其安全意识和应急处理能力。</w:t>
      </w:r>
    </w:p>
    <w:p w14:paraId="233163C3">
      <w:pPr>
        <w:pStyle w:val="40"/>
        <w:widowControl/>
        <w:numPr>
          <w:ilvl w:val="3"/>
          <w:numId w:val="2"/>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宜定期对排放物进行监测和分析，采取必要的措施减少对周围环境的影响，尤其是噪音、振动和废气排放等。</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4"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64"/>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5"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65"/>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6"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66"/>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污泥干化焚烧</w:t>
      </w:r>
      <w:r>
        <w:rPr>
          <w:rFonts w:hint="default" w:ascii="Times New Roman" w:hAnsi="Times New Roman" w:cs="Times New Roman" w:eastAsiaTheme="minorEastAsia"/>
          <w:kern w:val="0"/>
          <w:sz w:val="28"/>
          <w:szCs w:val="28"/>
          <w:highlight w:val="none"/>
          <w:lang w:val="en-US" w:eastAsia="zh-CN" w:bidi="ar-SA"/>
        </w:rPr>
        <w:t>企业规范运营，在国际市场上有机会与其他各国（相关）企业竞争。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67"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67"/>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8"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68"/>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69"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69"/>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0"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70"/>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1"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71"/>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72"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72"/>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92CF6"/>
    <w:multiLevelType w:val="multilevel"/>
    <w:tmpl w:val="B6D92CF6"/>
    <w:lvl w:ilvl="0" w:tentative="0">
      <w:start w:val="1"/>
      <w:numFmt w:val="decimal"/>
      <w:pStyle w:val="3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5"/>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C299F0D9"/>
    <w:multiLevelType w:val="multilevel"/>
    <w:tmpl w:val="C299F0D9"/>
    <w:lvl w:ilvl="0" w:tentative="0">
      <w:start w:val="1"/>
      <w:numFmt w:val="decimal"/>
      <w:pStyle w:val="42"/>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72" w:hanging="1418"/>
      </w:pPr>
    </w:lvl>
    <w:lvl w:ilvl="8" w:tentative="0">
      <w:start w:val="1"/>
      <w:numFmt w:val="decimal"/>
      <w:lvlText w:val="%1.%2.%3.%4.%5.%6.%7.%8.%9"/>
      <w:lvlJc w:val="left"/>
      <w:pPr>
        <w:tabs>
          <w:tab w:val="left" w:pos="4774"/>
        </w:tabs>
        <w:ind w:left="4677" w:hanging="1702"/>
      </w:pPr>
    </w:lvl>
  </w:abstractNum>
  <w:abstractNum w:abstractNumId="2">
    <w:nsid w:val="E32FBB42"/>
    <w:multiLevelType w:val="multilevel"/>
    <w:tmpl w:val="E32FBB42"/>
    <w:lvl w:ilvl="0" w:tentative="0">
      <w:start w:val="1"/>
      <w:numFmt w:val="none"/>
      <w:pStyle w:val="38"/>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lvlText w:val=""/>
      <w:lvlJc w:val="left"/>
      <w:pPr>
        <w:ind w:left="851" w:hanging="431"/>
      </w:pPr>
      <w:rPr>
        <w:rFonts w:ascii="Symbol" w:hAnsi="Symbol" w:cs="Symbol"/>
        <w:sz w:val="21"/>
      </w:rPr>
    </w:lvl>
    <w:lvl w:ilvl="2" w:tentative="0">
      <w:start w:val="1"/>
      <w:numFmt w:val="bullet"/>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3">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5DB89909"/>
    <w:multiLevelType w:val="multilevel"/>
    <w:tmpl w:val="5DB89909"/>
    <w:lvl w:ilvl="0" w:tentative="0">
      <w:start w:val="1"/>
      <w:numFmt w:val="none"/>
      <w:suff w:val="nothing"/>
      <w:lvlText w:val="%1"/>
      <w:lvlJc w:val="left"/>
      <w:pPr>
        <w:ind w:left="0" w:firstLine="0"/>
      </w:pPr>
    </w:lvl>
    <w:lvl w:ilvl="1" w:tentative="0">
      <w:start w:val="1"/>
      <w:numFmt w:val="decimal"/>
      <w:pStyle w:val="36"/>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41"/>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0"/>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10F4177"/>
    <w:rsid w:val="169901DF"/>
    <w:rsid w:val="170D2EB2"/>
    <w:rsid w:val="18E71105"/>
    <w:rsid w:val="19312DFE"/>
    <w:rsid w:val="1F15287C"/>
    <w:rsid w:val="255B6B18"/>
    <w:rsid w:val="2C2D1EE2"/>
    <w:rsid w:val="2C6E2F20"/>
    <w:rsid w:val="2D467F37"/>
    <w:rsid w:val="2DAD6C8F"/>
    <w:rsid w:val="388D3042"/>
    <w:rsid w:val="3AFC0F1D"/>
    <w:rsid w:val="40E14CE3"/>
    <w:rsid w:val="419D47CB"/>
    <w:rsid w:val="542D0422"/>
    <w:rsid w:val="57BF1D4F"/>
    <w:rsid w:val="663F4E49"/>
    <w:rsid w:val="67A80C44"/>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一级无标题"/>
    <w:basedOn w:val="35"/>
    <w:qFormat/>
    <w:uiPriority w:val="0"/>
    <w:pPr>
      <w:keepNext w:val="0"/>
      <w:keepLines w:val="0"/>
      <w:widowControl/>
      <w:numPr>
        <w:ilvl w:val="2"/>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35">
    <w:name w:val="标准文件_一级条标题"/>
    <w:basedOn w:val="36"/>
    <w:next w:val="37"/>
    <w:qFormat/>
    <w:uiPriority w:val="0"/>
    <w:pPr>
      <w:keepNext w:val="0"/>
      <w:keepLines w:val="0"/>
      <w:widowControl/>
      <w:numPr>
        <w:ilvl w:val="2"/>
        <w:numId w:val="2"/>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36">
    <w:name w:val="标准文件_章标题"/>
    <w:basedOn w:val="1"/>
    <w:next w:val="37"/>
    <w:qFormat/>
    <w:uiPriority w:val="0"/>
    <w:pPr>
      <w:keepNext w:val="0"/>
      <w:keepLines w:val="0"/>
      <w:widowControl/>
      <w:numPr>
        <w:ilvl w:val="1"/>
        <w:numId w:val="2"/>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37">
    <w:name w:val="标准文件_段"/>
    <w:basedOn w:val="1"/>
    <w:link w:val="44"/>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38">
    <w:name w:val="标准文件_一级项"/>
    <w:basedOn w:val="1"/>
    <w:qFormat/>
    <w:uiPriority w:val="0"/>
    <w:pPr>
      <w:keepNext w:val="0"/>
      <w:keepLines w:val="0"/>
      <w:widowControl/>
      <w:numPr>
        <w:ilvl w:val="0"/>
        <w:numId w:val="3"/>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39">
    <w:name w:val="标准文件_正文表标题"/>
    <w:basedOn w:val="1"/>
    <w:next w:val="37"/>
    <w:qFormat/>
    <w:uiPriority w:val="0"/>
    <w:pPr>
      <w:keepNext w:val="0"/>
      <w:keepLines w:val="0"/>
      <w:widowControl/>
      <w:numPr>
        <w:ilvl w:val="0"/>
        <w:numId w:val="4"/>
      </w:numPr>
      <w:suppressLineNumbers w:val="0"/>
      <w:tabs>
        <w:tab w:val="left" w:pos="0"/>
      </w:tabs>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40">
    <w:name w:val="标准文件_二级无标题"/>
    <w:qFormat/>
    <w:uiPriority w:val="0"/>
    <w:pPr>
      <w:keepNext w:val="0"/>
      <w:keepLines w:val="0"/>
      <w:widowControl w:val="0"/>
      <w:numPr>
        <w:ilvl w:val="3"/>
        <w:numId w:val="2"/>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paragraph" w:customStyle="1" w:styleId="41">
    <w:name w:val="标准文件_术语条一"/>
    <w:basedOn w:val="34"/>
    <w:next w:val="37"/>
    <w:uiPriority w:val="0"/>
    <w:pPr>
      <w:keepNext w:val="0"/>
      <w:keepLines w:val="0"/>
      <w:widowControl/>
      <w:numPr>
        <w:ilvl w:val="2"/>
        <w:numId w:val="2"/>
      </w:numPr>
      <w:suppressLineNumbers w:val="0"/>
      <w:spacing w:before="0" w:beforeAutospacing="0" w:after="0" w:afterAutospacing="0"/>
      <w:ind w:left="0" w:right="0" w:firstLine="0"/>
      <w:jc w:val="both"/>
    </w:pPr>
    <w:rPr>
      <w:rFonts w:hint="eastAsia" w:ascii="宋体" w:hAnsi="Times New Roman" w:eastAsia="宋体" w:cs="Times New Roman"/>
      <w:kern w:val="0"/>
      <w:sz w:val="21"/>
      <w:szCs w:val="20"/>
      <w:lang w:val="en-US" w:eastAsia="zh-CN" w:bidi="ar"/>
    </w:rPr>
  </w:style>
  <w:style w:type="paragraph" w:customStyle="1" w:styleId="42">
    <w:name w:val="标准文件_正文图标题"/>
    <w:basedOn w:val="1"/>
    <w:next w:val="37"/>
    <w:uiPriority w:val="0"/>
    <w:pPr>
      <w:keepNext w:val="0"/>
      <w:keepLines w:val="0"/>
      <w:widowControl/>
      <w:numPr>
        <w:ilvl w:val="0"/>
        <w:numId w:val="5"/>
      </w:numPr>
      <w:suppressLineNumbers w:val="0"/>
      <w:adjustRightInd/>
      <w:spacing w:before="50" w:beforeLines="50" w:beforeAutospacing="0" w:after="50" w:afterLines="50" w:afterAutospacing="0" w:line="240" w:lineRule="auto"/>
      <w:ind w:left="0" w:right="0" w:firstLine="0"/>
      <w:jc w:val="center"/>
    </w:pPr>
    <w:rPr>
      <w:rFonts w:hint="eastAsia" w:ascii="黑体" w:hAnsi="Times New Roman" w:eastAsia="黑体" w:cs="Times New Roman"/>
      <w:kern w:val="0"/>
      <w:sz w:val="21"/>
      <w:szCs w:val="20"/>
      <w:lang w:val="en-US" w:eastAsia="zh-CN" w:bidi="ar"/>
    </w:rPr>
  </w:style>
  <w:style w:type="paragraph" w:customStyle="1" w:styleId="43">
    <w:name w:val="标准文件_表格"/>
    <w:basedOn w:val="37"/>
    <w:uiPriority w:val="0"/>
    <w:pPr>
      <w:keepNext w:val="0"/>
      <w:keepLines w:val="0"/>
      <w:widowControl/>
      <w:suppressLineNumbers w:val="0"/>
      <w:autoSpaceDE w:val="0"/>
      <w:autoSpaceDN w:val="0"/>
      <w:spacing w:before="0" w:beforeAutospacing="0" w:after="0" w:afterAutospacing="0"/>
      <w:ind w:left="0" w:right="0" w:firstLine="0" w:firstLineChars="0"/>
      <w:jc w:val="center"/>
    </w:pPr>
    <w:rPr>
      <w:rFonts w:hint="eastAsia" w:ascii="宋体" w:hAnsi="Times New Roman" w:eastAsia="宋体" w:cs="Times New Roman"/>
      <w:kern w:val="0"/>
      <w:sz w:val="18"/>
      <w:szCs w:val="20"/>
      <w:lang w:val="en-US" w:eastAsia="zh-CN" w:bidi="ar"/>
    </w:rPr>
  </w:style>
  <w:style w:type="character" w:customStyle="1" w:styleId="44">
    <w:name w:val="标准文件_段 Char"/>
    <w:basedOn w:val="14"/>
    <w:link w:val="37"/>
    <w:uiPriority w:val="0"/>
    <w:rPr>
      <w:rFonts w:hint="eastAsia" w:ascii="宋体" w:hAnsi="Times New Roman" w:eastAsia="宋体" w:cs="宋体"/>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4873</Words>
  <Characters>5159</Characters>
  <Lines>62</Lines>
  <Paragraphs>17</Paragraphs>
  <TotalTime>5</TotalTime>
  <ScaleCrop>false</ScaleCrop>
  <LinksUpToDate>false</LinksUpToDate>
  <CharactersWithSpaces>5221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Shimmer</cp:lastModifiedBy>
  <dcterms:modified xsi:type="dcterms:W3CDTF">2025-04-01T07:22:03Z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286513CB856B4AD4B4C264CC0310DEB1</vt:lpwstr>
  </property>
  <property fmtid="{D5CDD505-2E9C-101B-9397-08002B2CF9AE}" pid="4" name="KSOTemplateDocerSaveRecord">
    <vt:lpwstr>eyJoZGlkIjoiNWM1ZWJkMDNjYTg1YjI2NDAwOWJhMDU5YTVlYzY4MGYiLCJ1c2VySWQiOiIxNjEyNTI2NzM3In0=</vt:lpwstr>
  </property>
</Properties>
</file>