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92F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C108F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B821A1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13.030.40</w:t>
            </w:r>
            <w:r>
              <w:rPr>
                <w:rFonts w:ascii="黑体" w:hAnsi="黑体" w:eastAsia="黑体"/>
                <w:sz w:val="21"/>
                <w:szCs w:val="21"/>
              </w:rPr>
              <w:fldChar w:fldCharType="end"/>
            </w:r>
            <w:bookmarkEnd w:id="0"/>
          </w:p>
        </w:tc>
      </w:tr>
      <w:tr w14:paraId="62FB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C8EB0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F05A1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7EDF61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560D9AD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05</w:t>
            </w:r>
            <w:r>
              <w:rPr>
                <w:rFonts w:ascii="黑体" w:hAnsi="黑体" w:eastAsia="黑体"/>
                <w:sz w:val="21"/>
                <w:szCs w:val="21"/>
              </w:rPr>
              <w:fldChar w:fldCharType="end"/>
            </w:r>
            <w:bookmarkEnd w:id="2"/>
          </w:p>
        </w:tc>
      </w:tr>
    </w:tbl>
    <w:p w14:paraId="5E00720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222457D">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7D09DF0">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947A54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C9C6B42">
      <w:pPr>
        <w:pStyle w:val="50"/>
        <w:framePr w:w="9639" w:h="6976" w:hRule="exact" w:hSpace="0" w:vSpace="0" w:wrap="around" w:hAnchor="page" w:y="6408"/>
        <w:jc w:val="center"/>
        <w:rPr>
          <w:rFonts w:hint="eastAsia" w:ascii="黑体" w:hAnsi="黑体" w:eastAsia="黑体"/>
          <w:b w:val="0"/>
          <w:bCs w:val="0"/>
          <w:w w:val="100"/>
        </w:rPr>
      </w:pPr>
    </w:p>
    <w:p w14:paraId="17CBB45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污泥干化焚烧系统集成装备工艺规范</w:t>
      </w:r>
      <w:r>
        <w:fldChar w:fldCharType="end"/>
      </w:r>
      <w:bookmarkEnd w:id="9"/>
    </w:p>
    <w:p w14:paraId="7CD26710">
      <w:pPr>
        <w:framePr w:w="9639" w:h="6974" w:hRule="exact" w:wrap="around" w:vAnchor="page" w:hAnchor="page" w:x="1419" w:y="6408" w:anchorLock="1"/>
        <w:ind w:left="-1418"/>
      </w:pPr>
    </w:p>
    <w:p w14:paraId="2EC8BB8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Sludge drying and incineration system integrated equipment process specification</w:t>
      </w:r>
      <w:r>
        <w:rPr>
          <w:rFonts w:eastAsia="黑体"/>
          <w:szCs w:val="28"/>
        </w:rPr>
        <w:fldChar w:fldCharType="end"/>
      </w:r>
      <w:bookmarkEnd w:id="10"/>
    </w:p>
    <w:p w14:paraId="65CE5D3D">
      <w:pPr>
        <w:framePr w:w="9639" w:h="6974" w:hRule="exact" w:wrap="around" w:vAnchor="page" w:hAnchor="page" w:x="1419" w:y="6408" w:anchorLock="1"/>
        <w:spacing w:line="760" w:lineRule="exact"/>
        <w:ind w:left="-1418"/>
      </w:pPr>
    </w:p>
    <w:p w14:paraId="38DBE665">
      <w:pPr>
        <w:pStyle w:val="125"/>
        <w:framePr w:w="9639" w:h="6974" w:hRule="exact" w:wrap="around" w:vAnchor="page" w:hAnchor="page" w:x="1419" w:y="6408" w:anchorLock="1"/>
        <w:textAlignment w:val="bottom"/>
        <w:rPr>
          <w:rFonts w:eastAsia="黑体"/>
          <w:szCs w:val="28"/>
        </w:rPr>
      </w:pPr>
    </w:p>
    <w:p w14:paraId="6722867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28E1C1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0D7639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213454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856B1CE">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0EFF7F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108873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899934">
      <w:pPr>
        <w:pStyle w:val="91"/>
        <w:spacing w:after="360"/>
        <w:rPr>
          <w:rFonts w:ascii="Times New Roman" w:hAnsi="Times New Roman"/>
        </w:rPr>
      </w:pPr>
      <w:bookmarkStart w:id="21" w:name="BookMark1"/>
      <w:bookmarkStart w:id="22" w:name="_Toc193296785"/>
      <w:r>
        <w:rPr>
          <w:rFonts w:ascii="Times New Roman" w:hAnsi="Times New Roman"/>
          <w:spacing w:val="320"/>
        </w:rPr>
        <w:t>目</w:t>
      </w:r>
      <w:r>
        <w:rPr>
          <w:rFonts w:ascii="Times New Roman" w:hAnsi="Times New Roman"/>
        </w:rPr>
        <w:t>次</w:t>
      </w:r>
    </w:p>
    <w:p w14:paraId="7E8D72AD">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"_Toc193382995"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_Toc193382995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137562D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"_Toc193382996"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_Toc193382996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95CAB1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"_Toc193382997"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_Toc193382997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31C6FE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"_Toc193382998"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_Toc193382998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4FE46B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"_Toc193382999" </w:instrText>
      </w:r>
      <w:r>
        <w:fldChar w:fldCharType="separate"/>
      </w:r>
      <w:r>
        <w:rPr>
          <w:rStyle w:val="32"/>
          <w:rFonts w:ascii="Times New Roman"/>
        </w:rPr>
        <w:t>4  工艺流程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_Toc193382999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9EAB03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"_Toc193383000" </w:instrText>
      </w:r>
      <w:r>
        <w:fldChar w:fldCharType="separate"/>
      </w:r>
      <w:r>
        <w:rPr>
          <w:rStyle w:val="32"/>
          <w:rFonts w:ascii="Times New Roman"/>
        </w:rPr>
        <w:t>5  污泥接收储运系统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B78205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"_Toc193383001" </w:instrText>
      </w:r>
      <w:r>
        <w:fldChar w:fldCharType="separate"/>
      </w:r>
      <w:r>
        <w:rPr>
          <w:rStyle w:val="32"/>
          <w:rFonts w:ascii="Times New Roman"/>
        </w:rPr>
        <w:t>6  污泥干化系统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A7DF0C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"_Toc193383002" </w:instrText>
      </w:r>
      <w:r>
        <w:fldChar w:fldCharType="separate"/>
      </w:r>
      <w:r>
        <w:rPr>
          <w:rStyle w:val="32"/>
          <w:rFonts w:ascii="Times New Roman"/>
        </w:rPr>
        <w:t>7  污泥焚烧系统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_Toc193383002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C8A618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"_Toc193383003" </w:instrText>
      </w:r>
      <w:r>
        <w:fldChar w:fldCharType="separate"/>
      </w:r>
      <w:r>
        <w:rPr>
          <w:rStyle w:val="32"/>
          <w:rFonts w:ascii="Times New Roman"/>
        </w:rPr>
        <w:t>8  烟气净化系统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73CD29A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"_Toc193383004" </w:instrText>
      </w:r>
      <w:r>
        <w:fldChar w:fldCharType="separate"/>
      </w:r>
      <w:r>
        <w:rPr>
          <w:rStyle w:val="32"/>
          <w:rFonts w:ascii="Times New Roman"/>
        </w:rPr>
        <w:t>9  污水处理系统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C4A85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"_Toc193383005" </w:instrText>
      </w:r>
      <w:r>
        <w:fldChar w:fldCharType="separate"/>
      </w:r>
      <w:r>
        <w:rPr>
          <w:rStyle w:val="32"/>
          <w:rFonts w:ascii="Times New Roman"/>
        </w:rPr>
        <w:t>10  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379F69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"_Toc193383006" </w:instrText>
      </w:r>
      <w:r>
        <w:fldChar w:fldCharType="separate"/>
      </w:r>
      <w:r>
        <w:rPr>
          <w:rStyle w:val="32"/>
          <w:rFonts w:ascii="Times New Roman"/>
        </w:rPr>
        <w:t>11  维护要求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_Toc193383006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FF7DC0B">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375684D">
      <w:pPr>
        <w:pStyle w:val="89"/>
        <w:spacing w:before="900" w:after="360"/>
        <w:rPr>
          <w:rFonts w:ascii="Times New Roman"/>
        </w:rPr>
      </w:pPr>
      <w:bookmarkStart w:id="23" w:name="_Toc193382995"/>
      <w:bookmarkStart w:id="24" w:name="BookMark2"/>
      <w:r>
        <w:rPr>
          <w:rFonts w:ascii="Times New Roman"/>
          <w:spacing w:val="320"/>
        </w:rPr>
        <w:t>前</w:t>
      </w:r>
      <w:r>
        <w:rPr>
          <w:rFonts w:ascii="Times New Roman"/>
        </w:rPr>
        <w:t>言</w:t>
      </w:r>
      <w:bookmarkEnd w:id="22"/>
      <w:bookmarkEnd w:id="23"/>
    </w:p>
    <w:p w14:paraId="54AB4A10">
      <w:pPr>
        <w:pStyle w:val="56"/>
        <w:ind w:firstLine="420"/>
        <w:rPr>
          <w:rFonts w:ascii="Times New Roman"/>
        </w:rPr>
      </w:pPr>
      <w:r>
        <w:rPr>
          <w:rFonts w:ascii="Times New Roman"/>
        </w:rPr>
        <w:t>本文件按照GB/T 1.1—2020《标准化工作导则  第1部分：标准化文件的结构和起草规则》的规定起草。</w:t>
      </w:r>
    </w:p>
    <w:p w14:paraId="3600BCD4">
      <w:pPr>
        <w:pStyle w:val="56"/>
        <w:ind w:firstLine="420"/>
        <w:rPr>
          <w:rFonts w:ascii="Times New Roman"/>
        </w:rPr>
      </w:pPr>
      <w:r>
        <w:rPr>
          <w:rFonts w:ascii="Times New Roman"/>
        </w:rPr>
        <w:t>请注意本文件的某些内容可能涉及专利。本文件的发布机构不承担识别专利的责任。</w:t>
      </w:r>
    </w:p>
    <w:p w14:paraId="50A3B4CE">
      <w:pPr>
        <w:pStyle w:val="56"/>
        <w:ind w:firstLine="420"/>
        <w:rPr>
          <w:rFonts w:ascii="Times New Roman"/>
        </w:rPr>
      </w:pPr>
      <w:r>
        <w:rPr>
          <w:rFonts w:ascii="Times New Roman"/>
        </w:rPr>
        <w:t>本文件由</w:t>
      </w:r>
      <w:r>
        <w:rPr>
          <w:rFonts w:hint="eastAsia" w:ascii="Times New Roman"/>
        </w:rPr>
        <w:t>绿水股份有限公司</w:t>
      </w:r>
      <w:r>
        <w:rPr>
          <w:rFonts w:ascii="Times New Roman"/>
        </w:rPr>
        <w:t>提出。</w:t>
      </w:r>
    </w:p>
    <w:p w14:paraId="71C1B3A0">
      <w:pPr>
        <w:pStyle w:val="56"/>
        <w:ind w:firstLine="420"/>
        <w:rPr>
          <w:rFonts w:ascii="Times New Roman"/>
        </w:rPr>
      </w:pPr>
      <w:r>
        <w:rPr>
          <w:rFonts w:ascii="Times New Roman"/>
        </w:rPr>
        <w:t>本文件由</w:t>
      </w:r>
      <w:r>
        <w:rPr>
          <w:rFonts w:hint="eastAsia" w:ascii="Times New Roman"/>
          <w:lang w:eastAsia="zh-CN"/>
        </w:rPr>
        <w:t>中国中小企业协会</w:t>
      </w:r>
      <w:r>
        <w:rPr>
          <w:rFonts w:ascii="Times New Roman"/>
        </w:rPr>
        <w:t>归口。</w:t>
      </w:r>
    </w:p>
    <w:p w14:paraId="53BB6705">
      <w:pPr>
        <w:pStyle w:val="56"/>
        <w:ind w:firstLine="420"/>
        <w:rPr>
          <w:rFonts w:hint="eastAsia" w:ascii="Times New Roman" w:eastAsia="宋体"/>
          <w:lang w:eastAsia="zh-CN"/>
        </w:rPr>
      </w:pPr>
      <w:r>
        <w:rPr>
          <w:rFonts w:ascii="Times New Roman"/>
        </w:rPr>
        <w:t>本文件起草单位：</w:t>
      </w:r>
      <w:r>
        <w:rPr>
          <w:rFonts w:hint="eastAsia" w:ascii="Times New Roman"/>
        </w:rPr>
        <w:t>绿水股份有限公司</w:t>
      </w:r>
      <w:r>
        <w:rPr>
          <w:rFonts w:hint="eastAsia" w:ascii="Times New Roman"/>
          <w:lang w:eastAsia="zh-CN"/>
        </w:rPr>
        <w:t>。</w:t>
      </w:r>
      <w:bookmarkStart w:id="90" w:name="_GoBack"/>
      <w:bookmarkEnd w:id="90"/>
    </w:p>
    <w:p w14:paraId="7304A016">
      <w:pPr>
        <w:pStyle w:val="56"/>
        <w:ind w:firstLine="420"/>
        <w:rPr>
          <w:rFonts w:ascii="Times New Roman"/>
        </w:rPr>
      </w:pPr>
      <w:r>
        <w:rPr>
          <w:rFonts w:ascii="Times New Roman"/>
        </w:rPr>
        <w:t>本文件主要起草人：</w:t>
      </w:r>
    </w:p>
    <w:p w14:paraId="4780AFBD">
      <w:pPr>
        <w:pStyle w:val="56"/>
        <w:ind w:firstLine="420"/>
        <w:rPr>
          <w:rFonts w:ascii="Times New Roman"/>
        </w:rPr>
      </w:pPr>
    </w:p>
    <w:p w14:paraId="4016AB0A">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2F3708B7">
      <w:pPr>
        <w:spacing w:line="20" w:lineRule="exact"/>
        <w:jc w:val="center"/>
        <w:rPr>
          <w:rFonts w:ascii="Times New Roman" w:hAnsi="Times New Roman" w:eastAsia="黑体"/>
          <w:sz w:val="32"/>
          <w:szCs w:val="32"/>
        </w:rPr>
      </w:pPr>
      <w:bookmarkStart w:id="25" w:name="BookMark4"/>
    </w:p>
    <w:p w14:paraId="6D562ADF">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FED81A8C4BB9413AB56834C894BBEB1D"/>
        </w:placeholder>
      </w:sdtPr>
      <w:sdtEndPr>
        <w:rPr>
          <w:rFonts w:ascii="Times New Roman" w:hAnsi="Times New Roman"/>
        </w:rPr>
      </w:sdtEndPr>
      <w:sdtContent>
        <w:p w14:paraId="1DB7976A">
          <w:pPr>
            <w:pStyle w:val="177"/>
            <w:spacing w:before="240" w:beforeLines="100" w:after="528" w:afterLines="220"/>
            <w:rPr>
              <w:rFonts w:ascii="Times New Roman" w:hAnsi="Times New Roman"/>
            </w:rPr>
          </w:pPr>
          <w:bookmarkStart w:id="26" w:name="NEW_STAND_NAME"/>
          <w:r>
            <w:rPr>
              <w:rFonts w:ascii="Times New Roman" w:hAnsi="Times New Roman"/>
            </w:rPr>
            <w:t>污泥干化焚烧系统集成装备工艺规范</w:t>
          </w:r>
        </w:p>
      </w:sdtContent>
    </w:sdt>
    <w:bookmarkEnd w:id="26"/>
    <w:p w14:paraId="27386E4A">
      <w:pPr>
        <w:pStyle w:val="104"/>
        <w:spacing w:before="240" w:after="240"/>
        <w:rPr>
          <w:rFonts w:ascii="Times New Roman"/>
        </w:rPr>
      </w:pPr>
      <w:bookmarkStart w:id="27" w:name="_Toc26648465"/>
      <w:bookmarkStart w:id="28" w:name="_Toc26986530"/>
      <w:bookmarkStart w:id="29" w:name="_Toc26718930"/>
      <w:bookmarkStart w:id="30" w:name="_Toc193382996"/>
      <w:bookmarkStart w:id="31" w:name="_Toc193296786"/>
      <w:bookmarkStart w:id="32" w:name="_Toc17233325"/>
      <w:bookmarkStart w:id="33" w:name="_Toc97192964"/>
      <w:bookmarkStart w:id="34" w:name="_Toc17233333"/>
      <w:bookmarkStart w:id="35" w:name="_Toc24884218"/>
      <w:bookmarkStart w:id="36" w:name="_Toc24884211"/>
      <w:bookmarkStart w:id="37" w:name="_Toc26986771"/>
      <w:bookmarkStart w:id="38" w:name="_Toc193295690"/>
      <w:r>
        <w:rPr>
          <w:rFonts w:ascii="Times New Roman"/>
        </w:rPr>
        <w:t>范围</w:t>
      </w:r>
      <w:bookmarkEnd w:id="27"/>
      <w:bookmarkEnd w:id="28"/>
      <w:bookmarkEnd w:id="29"/>
      <w:bookmarkEnd w:id="30"/>
      <w:bookmarkEnd w:id="31"/>
      <w:bookmarkEnd w:id="32"/>
      <w:bookmarkEnd w:id="33"/>
      <w:bookmarkEnd w:id="34"/>
      <w:bookmarkEnd w:id="35"/>
      <w:bookmarkEnd w:id="36"/>
      <w:bookmarkEnd w:id="37"/>
      <w:bookmarkEnd w:id="38"/>
    </w:p>
    <w:p w14:paraId="61FCF7FA">
      <w:pPr>
        <w:pStyle w:val="56"/>
        <w:ind w:firstLine="420"/>
        <w:rPr>
          <w:rFonts w:ascii="Times New Roman"/>
        </w:rPr>
      </w:pPr>
      <w:bookmarkStart w:id="39" w:name="_Toc17233326"/>
      <w:bookmarkStart w:id="40" w:name="_Toc24884212"/>
      <w:bookmarkStart w:id="41" w:name="_Toc24884219"/>
      <w:bookmarkStart w:id="42" w:name="_Toc26648466"/>
      <w:bookmarkStart w:id="43" w:name="_Toc17233334"/>
      <w:r>
        <w:rPr>
          <w:rFonts w:ascii="Times New Roman"/>
        </w:rPr>
        <w:t>本文件规定了污泥干化焚烧系统集成装备工艺的术语和定义、工艺流程、污泥接收储运系统、污泥干化系统、污泥焚烧系统、烟气净化系统、污水处理系统、质量控制和维护相关内容。</w:t>
      </w:r>
    </w:p>
    <w:p w14:paraId="40C20A63">
      <w:pPr>
        <w:pStyle w:val="56"/>
        <w:ind w:firstLine="420"/>
        <w:rPr>
          <w:rFonts w:ascii="Times New Roman"/>
        </w:rPr>
      </w:pPr>
      <w:r>
        <w:rPr>
          <w:rFonts w:ascii="Times New Roman"/>
        </w:rPr>
        <w:t>本文件适用于污水处理厂、工业污泥处理设施等污泥处理处置。</w:t>
      </w:r>
    </w:p>
    <w:p w14:paraId="02AC6AAC">
      <w:pPr>
        <w:pStyle w:val="104"/>
        <w:spacing w:before="240" w:after="240"/>
        <w:rPr>
          <w:rFonts w:ascii="Times New Roman"/>
        </w:rPr>
      </w:pPr>
      <w:bookmarkStart w:id="44" w:name="_Toc26986531"/>
      <w:bookmarkStart w:id="45" w:name="_Toc193382997"/>
      <w:bookmarkStart w:id="46" w:name="_Toc26718931"/>
      <w:bookmarkStart w:id="47" w:name="_Toc193296787"/>
      <w:bookmarkStart w:id="48" w:name="_Toc97192965"/>
      <w:bookmarkStart w:id="49" w:name="_Toc193295691"/>
      <w:bookmarkStart w:id="50" w:name="_Toc26986772"/>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ascii="Times New Roman"/>
        </w:rPr>
        <w:id w:val="715848253"/>
        <w:placeholder>
          <w:docPart w:val="EC8634C843C544979A983072810478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2B850939">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A82CA3F">
      <w:pPr>
        <w:pStyle w:val="56"/>
        <w:ind w:firstLine="420"/>
        <w:rPr>
          <w:rFonts w:ascii="Times New Roman"/>
        </w:rPr>
      </w:pPr>
      <w:r>
        <w:rPr>
          <w:rFonts w:ascii="Times New Roman"/>
        </w:rPr>
        <w:t>GB 16889 生活垃圾填埋场污染控制标准</w:t>
      </w:r>
    </w:p>
    <w:p w14:paraId="29BFA727">
      <w:pPr>
        <w:pStyle w:val="56"/>
        <w:ind w:firstLine="420"/>
        <w:rPr>
          <w:rFonts w:ascii="Times New Roman"/>
        </w:rPr>
      </w:pPr>
      <w:r>
        <w:rPr>
          <w:rFonts w:ascii="Times New Roman"/>
        </w:rPr>
        <w:t>GB 18485 生活垃圾焚烧污染控制标准</w:t>
      </w:r>
    </w:p>
    <w:p w14:paraId="53391D05">
      <w:pPr>
        <w:pStyle w:val="56"/>
        <w:ind w:firstLine="420"/>
        <w:rPr>
          <w:rFonts w:ascii="Times New Roman"/>
        </w:rPr>
      </w:pPr>
      <w:r>
        <w:rPr>
          <w:rFonts w:ascii="Times New Roman"/>
        </w:rPr>
        <w:t>HG/T 3923 循环冷却水用再生水水质标准</w:t>
      </w:r>
    </w:p>
    <w:p w14:paraId="387C4CAC">
      <w:pPr>
        <w:pStyle w:val="104"/>
        <w:spacing w:before="240" w:after="240"/>
        <w:rPr>
          <w:rFonts w:ascii="Times New Roman"/>
        </w:rPr>
      </w:pPr>
      <w:bookmarkStart w:id="51" w:name="_Toc193295692"/>
      <w:bookmarkStart w:id="52" w:name="_Toc193296788"/>
      <w:bookmarkStart w:id="53" w:name="_Toc193382998"/>
      <w:bookmarkStart w:id="54" w:name="_Toc97192966"/>
      <w:r>
        <w:rPr>
          <w:rFonts w:ascii="Times New Roman"/>
          <w:szCs w:val="21"/>
        </w:rPr>
        <w:t>术语和定义</w:t>
      </w:r>
      <w:bookmarkEnd w:id="51"/>
      <w:bookmarkEnd w:id="52"/>
      <w:bookmarkEnd w:id="53"/>
      <w:bookmarkEnd w:id="54"/>
    </w:p>
    <w:sdt>
      <w:sdtPr>
        <w:rPr>
          <w:rFonts w:ascii="Times New Roman"/>
        </w:rPr>
        <w:id w:val="-1909835108"/>
        <w:placeholder>
          <w:docPart w:val="5A7935FBCFDD48B78D08F5A81CFEA2E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3964398">
          <w:pPr>
            <w:pStyle w:val="56"/>
            <w:ind w:firstLine="420"/>
            <w:rPr>
              <w:rFonts w:ascii="Times New Roman"/>
            </w:rPr>
          </w:pPr>
          <w:bookmarkStart w:id="55" w:name="_Toc26986532"/>
          <w:bookmarkEnd w:id="55"/>
          <w:r>
            <w:rPr>
              <w:rFonts w:ascii="Times New Roman"/>
            </w:rPr>
            <w:t>下列术语和定义适用于本文件。</w:t>
          </w:r>
        </w:p>
      </w:sdtContent>
    </w:sdt>
    <w:p w14:paraId="7EB6EA74">
      <w:pPr>
        <w:pStyle w:val="223"/>
        <w:ind w:left="420" w:hanging="420" w:hangingChars="200"/>
        <w:rPr>
          <w:rFonts w:ascii="Times New Roman" w:eastAsia="黑体"/>
        </w:rPr>
      </w:pPr>
      <w:r>
        <w:rPr>
          <w:rFonts w:ascii="Times New Roman" w:eastAsia="黑体"/>
        </w:rPr>
        <w:br w:type="textWrapping"/>
      </w:r>
      <w:r>
        <w:rPr>
          <w:rFonts w:ascii="Times New Roman" w:eastAsia="黑体"/>
        </w:rPr>
        <w:t>污泥干化 sludge drying</w:t>
      </w:r>
    </w:p>
    <w:p w14:paraId="3924E8C4">
      <w:pPr>
        <w:pStyle w:val="56"/>
        <w:ind w:firstLine="420"/>
        <w:rPr>
          <w:rFonts w:ascii="Times New Roman"/>
        </w:rPr>
      </w:pPr>
      <w:r>
        <w:rPr>
          <w:rFonts w:ascii="Times New Roman"/>
        </w:rPr>
        <w:t>通过物理或化学方法降低污泥含水率的过程。</w:t>
      </w:r>
    </w:p>
    <w:p w14:paraId="5D0EB8E3">
      <w:pPr>
        <w:pStyle w:val="223"/>
        <w:ind w:left="420" w:hanging="420" w:hangingChars="200"/>
        <w:rPr>
          <w:rFonts w:ascii="Times New Roman" w:eastAsia="黑体"/>
        </w:rPr>
      </w:pPr>
      <w:r>
        <w:rPr>
          <w:rFonts w:ascii="Times New Roman" w:eastAsia="黑体"/>
        </w:rPr>
        <w:br w:type="textWrapping"/>
      </w:r>
      <w:r>
        <w:rPr>
          <w:rFonts w:ascii="Times New Roman" w:eastAsia="黑体"/>
        </w:rPr>
        <w:t>焚烧 burning</w:t>
      </w:r>
    </w:p>
    <w:p w14:paraId="580275F4">
      <w:pPr>
        <w:pStyle w:val="56"/>
        <w:ind w:firstLine="420"/>
        <w:rPr>
          <w:rFonts w:ascii="Times New Roman"/>
        </w:rPr>
      </w:pPr>
      <w:r>
        <w:rPr>
          <w:rFonts w:ascii="Times New Roman"/>
        </w:rPr>
        <w:t>在高温条件下，将污泥中的可燃成分氧化分解，转化为灰渣和烟气的过程。</w:t>
      </w:r>
    </w:p>
    <w:p w14:paraId="75985A71">
      <w:pPr>
        <w:pStyle w:val="223"/>
        <w:ind w:left="420" w:hanging="420" w:hangingChars="200"/>
        <w:rPr>
          <w:rFonts w:ascii="Times New Roman" w:eastAsia="黑体"/>
        </w:rPr>
      </w:pPr>
      <w:r>
        <w:rPr>
          <w:rFonts w:ascii="Times New Roman" w:eastAsia="黑体"/>
        </w:rPr>
        <w:br w:type="textWrapping"/>
      </w:r>
      <w:r>
        <w:rPr>
          <w:rFonts w:ascii="Times New Roman" w:eastAsia="黑体"/>
        </w:rPr>
        <w:t>系统集成装备 system integration equipment</w:t>
      </w:r>
    </w:p>
    <w:p w14:paraId="0AEE5071">
      <w:pPr>
        <w:pStyle w:val="56"/>
        <w:ind w:firstLine="420"/>
        <w:rPr>
          <w:rFonts w:ascii="Times New Roman"/>
        </w:rPr>
      </w:pPr>
      <w:r>
        <w:rPr>
          <w:rFonts w:ascii="Times New Roman"/>
        </w:rPr>
        <w:t>指污泥干化、焚烧及辅助系统组成的完整工艺装备。</w:t>
      </w:r>
    </w:p>
    <w:p w14:paraId="7390A4E3">
      <w:pPr>
        <w:pStyle w:val="104"/>
        <w:spacing w:before="240" w:after="240"/>
        <w:rPr>
          <w:rFonts w:ascii="Times New Roman"/>
        </w:rPr>
      </w:pPr>
      <w:bookmarkStart w:id="56" w:name="_Toc193382999"/>
      <w:bookmarkStart w:id="57" w:name="_Toc193296789"/>
      <w:bookmarkStart w:id="58" w:name="_Toc193295693"/>
      <w:r>
        <w:rPr>
          <w:rFonts w:ascii="Times New Roman"/>
        </w:rPr>
        <w:t>工艺流程</w:t>
      </w:r>
      <w:bookmarkEnd w:id="56"/>
      <w:bookmarkEnd w:id="57"/>
      <w:bookmarkEnd w:id="58"/>
    </w:p>
    <w:p w14:paraId="59B35218">
      <w:pPr>
        <w:pStyle w:val="56"/>
        <w:ind w:firstLine="420"/>
        <w:rPr>
          <w:rFonts w:ascii="Times New Roman"/>
        </w:rPr>
      </w:pPr>
      <w:r>
        <w:rPr>
          <w:rFonts w:ascii="Times New Roman"/>
        </w:rPr>
        <w:t>污泥干化焚烧系统集成装备应包括污泥接收储运系统、污泥干化系统、污泥焚烧系统、烟气净化系统、污水处理系统等相关设备共同组成，工艺流程图见图1。</w:t>
      </w:r>
    </w:p>
    <w:p w14:paraId="0F128E41">
      <w:pPr>
        <w:pStyle w:val="56"/>
        <w:spacing w:before="120" w:beforeLines="50"/>
        <w:ind w:firstLine="0" w:firstLineChars="0"/>
        <w:jc w:val="center"/>
        <w:rPr>
          <w:rFonts w:ascii="Times New Roman"/>
        </w:rPr>
      </w:pPr>
      <w:r>
        <w:rPr>
          <w:rFonts w:ascii="Times New Roman"/>
        </w:rPr>
        <w:drawing>
          <wp:inline distT="0" distB="0" distL="0" distR="0">
            <wp:extent cx="4551045" cy="2110740"/>
            <wp:effectExtent l="0" t="0" r="1905" b="3810"/>
            <wp:docPr id="13553900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90071" name="图片 1"/>
                    <pic:cNvPicPr>
                      <a:picLocks noChangeAspect="1"/>
                    </pic:cNvPicPr>
                  </pic:nvPicPr>
                  <pic:blipFill>
                    <a:blip r:embed="rId17"/>
                    <a:stretch>
                      <a:fillRect/>
                    </a:stretch>
                  </pic:blipFill>
                  <pic:spPr>
                    <a:xfrm>
                      <a:off x="0" y="0"/>
                      <a:ext cx="4584019" cy="2125880"/>
                    </a:xfrm>
                    <a:prstGeom prst="rect">
                      <a:avLst/>
                    </a:prstGeom>
                  </pic:spPr>
                </pic:pic>
              </a:graphicData>
            </a:graphic>
          </wp:inline>
        </w:drawing>
      </w:r>
    </w:p>
    <w:p w14:paraId="18A7C418">
      <w:pPr>
        <w:pStyle w:val="114"/>
        <w:spacing w:before="120" w:after="120"/>
        <w:rPr>
          <w:rFonts w:ascii="Times New Roman"/>
        </w:rPr>
      </w:pPr>
      <w:r>
        <w:rPr>
          <w:rFonts w:ascii="Times New Roman"/>
        </w:rPr>
        <w:t>污泥干化焚烧系统集成装备工艺流程图</w:t>
      </w:r>
    </w:p>
    <w:p w14:paraId="0EEE4EEE">
      <w:pPr>
        <w:pStyle w:val="104"/>
        <w:spacing w:before="240" w:after="240"/>
        <w:rPr>
          <w:rFonts w:ascii="Times New Roman"/>
        </w:rPr>
      </w:pPr>
      <w:bookmarkStart w:id="59" w:name="_Toc193383000"/>
      <w:bookmarkStart w:id="60" w:name="_Toc193296790"/>
      <w:bookmarkStart w:id="61" w:name="OLE_LINK4"/>
      <w:bookmarkStart w:id="62" w:name="_Toc193295695"/>
      <w:r>
        <w:rPr>
          <w:rFonts w:ascii="Times New Roman"/>
        </w:rPr>
        <w:t>污泥接收储运系统</w:t>
      </w:r>
      <w:bookmarkEnd w:id="59"/>
      <w:bookmarkEnd w:id="60"/>
    </w:p>
    <w:p w14:paraId="42A59D28">
      <w:pPr>
        <w:pStyle w:val="105"/>
        <w:spacing w:before="120" w:after="120"/>
        <w:rPr>
          <w:rFonts w:ascii="Times New Roman"/>
        </w:rPr>
      </w:pPr>
      <w:r>
        <w:rPr>
          <w:rFonts w:ascii="Times New Roman"/>
        </w:rPr>
        <w:t>污泥接收储运程序</w:t>
      </w:r>
    </w:p>
    <w:bookmarkEnd w:id="61"/>
    <w:p w14:paraId="6756C83D">
      <w:pPr>
        <w:pStyle w:val="165"/>
        <w:rPr>
          <w:rFonts w:ascii="Times New Roman"/>
        </w:rPr>
      </w:pPr>
      <w:bookmarkStart w:id="63" w:name="OLE_LINK5"/>
      <w:r>
        <w:rPr>
          <w:rFonts w:ascii="Times New Roman"/>
        </w:rPr>
        <w:t>污泥接收储运系统</w:t>
      </w:r>
      <w:bookmarkEnd w:id="63"/>
      <w:r>
        <w:rPr>
          <w:rFonts w:ascii="Times New Roman"/>
        </w:rPr>
        <w:t>宜依次经过以下程序：</w:t>
      </w:r>
    </w:p>
    <w:p w14:paraId="074CCCD1">
      <w:pPr>
        <w:pStyle w:val="132"/>
        <w:rPr>
          <w:rFonts w:ascii="Times New Roman"/>
        </w:rPr>
      </w:pPr>
      <w:r>
        <w:rPr>
          <w:rFonts w:ascii="Times New Roman"/>
        </w:rPr>
        <w:t>计重；</w:t>
      </w:r>
    </w:p>
    <w:p w14:paraId="285A1CAF">
      <w:pPr>
        <w:pStyle w:val="132"/>
        <w:rPr>
          <w:rFonts w:ascii="Times New Roman"/>
        </w:rPr>
      </w:pPr>
      <w:r>
        <w:rPr>
          <w:rFonts w:ascii="Times New Roman"/>
        </w:rPr>
        <w:t>卸料；</w:t>
      </w:r>
    </w:p>
    <w:p w14:paraId="240B263D">
      <w:pPr>
        <w:pStyle w:val="132"/>
        <w:rPr>
          <w:rFonts w:ascii="Times New Roman"/>
        </w:rPr>
      </w:pPr>
      <w:r>
        <w:rPr>
          <w:rFonts w:ascii="Times New Roman"/>
        </w:rPr>
        <w:t>储存；</w:t>
      </w:r>
    </w:p>
    <w:p w14:paraId="5AC6C2A2">
      <w:pPr>
        <w:pStyle w:val="132"/>
        <w:rPr>
          <w:rFonts w:ascii="Times New Roman"/>
        </w:rPr>
      </w:pPr>
      <w:r>
        <w:rPr>
          <w:rFonts w:ascii="Times New Roman"/>
        </w:rPr>
        <w:t>螺杆泵输送。</w:t>
      </w:r>
    </w:p>
    <w:p w14:paraId="16259DD7">
      <w:pPr>
        <w:pStyle w:val="165"/>
        <w:rPr>
          <w:rFonts w:ascii="Times New Roman"/>
        </w:rPr>
      </w:pPr>
      <w:r>
        <w:rPr>
          <w:rFonts w:ascii="Times New Roman"/>
        </w:rPr>
        <w:t>污泥接收储运系统中卸料、储存程序宜采用负压收集处理系统。</w:t>
      </w:r>
    </w:p>
    <w:bookmarkEnd w:id="62"/>
    <w:p w14:paraId="0BD565A5">
      <w:pPr>
        <w:pStyle w:val="105"/>
        <w:spacing w:before="120" w:after="120"/>
        <w:rPr>
          <w:rFonts w:ascii="Times New Roman"/>
        </w:rPr>
      </w:pPr>
      <w:r>
        <w:rPr>
          <w:rFonts w:ascii="Times New Roman"/>
        </w:rPr>
        <w:t>污泥接收</w:t>
      </w:r>
    </w:p>
    <w:p w14:paraId="7B3835F5">
      <w:pPr>
        <w:pStyle w:val="165"/>
        <w:rPr>
          <w:rFonts w:ascii="Times New Roman"/>
        </w:rPr>
      </w:pPr>
      <w:r>
        <w:rPr>
          <w:rFonts w:ascii="Times New Roman"/>
        </w:rPr>
        <w:t>根据污泥的来源、性质及处理规模，应选择合适的污泥接收设备，如污泥泵、输送带或装卸装置等。</w:t>
      </w:r>
    </w:p>
    <w:p w14:paraId="367AE6E6">
      <w:pPr>
        <w:pStyle w:val="165"/>
        <w:rPr>
          <w:rFonts w:ascii="Times New Roman"/>
        </w:rPr>
      </w:pPr>
      <w:r>
        <w:rPr>
          <w:rFonts w:ascii="Times New Roman"/>
        </w:rPr>
        <w:t>接收设备的设计应满足污泥的连续稳定接收</w:t>
      </w:r>
      <w:r>
        <w:rPr>
          <w:rFonts w:hint="eastAsia" w:ascii="Times New Roman"/>
          <w:lang w:eastAsia="zh-CN"/>
        </w:rPr>
        <w:t>需求</w:t>
      </w:r>
      <w:r>
        <w:rPr>
          <w:rFonts w:ascii="Times New Roman"/>
        </w:rPr>
        <w:t>，宜具备自动调节功能，适应不同污泥流量的变化。</w:t>
      </w:r>
    </w:p>
    <w:p w14:paraId="0E501DCD">
      <w:pPr>
        <w:pStyle w:val="165"/>
        <w:rPr>
          <w:rFonts w:ascii="Times New Roman"/>
        </w:rPr>
      </w:pPr>
      <w:r>
        <w:rPr>
          <w:rFonts w:ascii="Times New Roman"/>
        </w:rPr>
        <w:t>在污泥接收点应设置质量检测装置，对污泥的含水率、有机质含量、重金属含量等指标进行实时监测。</w:t>
      </w:r>
    </w:p>
    <w:p w14:paraId="3293EEBB">
      <w:pPr>
        <w:pStyle w:val="165"/>
        <w:rPr>
          <w:rFonts w:ascii="Times New Roman"/>
        </w:rPr>
      </w:pPr>
      <w:r>
        <w:rPr>
          <w:rFonts w:ascii="Times New Roman"/>
        </w:rPr>
        <w:t>检测数据应及时反馈至控制系统，可根据污泥质量调整后续处理工艺参数。</w:t>
      </w:r>
    </w:p>
    <w:p w14:paraId="703A4AAE">
      <w:pPr>
        <w:pStyle w:val="105"/>
        <w:spacing w:before="120" w:after="120"/>
        <w:rPr>
          <w:rFonts w:ascii="Times New Roman"/>
        </w:rPr>
      </w:pPr>
      <w:r>
        <w:rPr>
          <w:rFonts w:ascii="Times New Roman"/>
        </w:rPr>
        <w:t>污泥储存</w:t>
      </w:r>
    </w:p>
    <w:p w14:paraId="2C6CFA33">
      <w:pPr>
        <w:pStyle w:val="165"/>
        <w:rPr>
          <w:rFonts w:ascii="Times New Roman"/>
        </w:rPr>
      </w:pPr>
      <w:r>
        <w:rPr>
          <w:rFonts w:ascii="Times New Roman"/>
        </w:rPr>
        <w:t>根据污泥的储存周期、处理规模及场地条件，应选择合适的储存设施，如密闭式仓库、露天堆场或储存池等。</w:t>
      </w:r>
    </w:p>
    <w:p w14:paraId="6BC75084">
      <w:pPr>
        <w:pStyle w:val="165"/>
        <w:rPr>
          <w:rFonts w:ascii="Times New Roman"/>
        </w:rPr>
      </w:pPr>
      <w:r>
        <w:rPr>
          <w:rFonts w:ascii="Times New Roman"/>
        </w:rPr>
        <w:t>储存设施的设计应满足防腐、防渗、防臭气扩散等要求，宜采用钢筋混凝土结构或具有相应防腐性能的材料。</w:t>
      </w:r>
    </w:p>
    <w:p w14:paraId="53EDDDD7">
      <w:pPr>
        <w:pStyle w:val="165"/>
        <w:rPr>
          <w:rFonts w:ascii="Times New Roman"/>
        </w:rPr>
      </w:pPr>
      <w:r>
        <w:rPr>
          <w:rFonts w:ascii="Times New Roman"/>
        </w:rPr>
        <w:t>应制定严格的污泥储存管理制度，对储存污泥进行分类、分区管理，避免不同性质污泥的交叉污染。</w:t>
      </w:r>
    </w:p>
    <w:p w14:paraId="67646C2D">
      <w:pPr>
        <w:pStyle w:val="165"/>
        <w:rPr>
          <w:rFonts w:ascii="Times New Roman"/>
        </w:rPr>
      </w:pPr>
      <w:r>
        <w:rPr>
          <w:rFonts w:ascii="Times New Roman"/>
        </w:rPr>
        <w:t>储存设施应定期清理和维护，宜设置通风换气装置，不应出现沼气积聚和异味散发。</w:t>
      </w:r>
    </w:p>
    <w:p w14:paraId="1296E9D8">
      <w:pPr>
        <w:pStyle w:val="105"/>
        <w:spacing w:before="120" w:after="120"/>
        <w:rPr>
          <w:rFonts w:ascii="Times New Roman"/>
        </w:rPr>
      </w:pPr>
      <w:r>
        <w:rPr>
          <w:rFonts w:ascii="Times New Roman"/>
        </w:rPr>
        <w:t>污泥运输</w:t>
      </w:r>
    </w:p>
    <w:p w14:paraId="659B6B23">
      <w:pPr>
        <w:pStyle w:val="165"/>
        <w:rPr>
          <w:rFonts w:ascii="Times New Roman"/>
        </w:rPr>
      </w:pPr>
      <w:r>
        <w:rPr>
          <w:rFonts w:ascii="Times New Roman"/>
        </w:rPr>
        <w:t>根据污泥的性质、运输距离及处理规模，应选择合适的运输设备，如密闭车辆、管道或密闭驳船等。</w:t>
      </w:r>
    </w:p>
    <w:p w14:paraId="1669FB87">
      <w:pPr>
        <w:pStyle w:val="165"/>
        <w:rPr>
          <w:rFonts w:ascii="Times New Roman"/>
        </w:rPr>
      </w:pPr>
      <w:r>
        <w:rPr>
          <w:rFonts w:ascii="Times New Roman"/>
        </w:rPr>
        <w:t>运输设备的设计应满足污泥的连续稳定运输</w:t>
      </w:r>
      <w:r>
        <w:rPr>
          <w:rFonts w:hint="eastAsia" w:ascii="Times New Roman"/>
          <w:lang w:eastAsia="zh-CN"/>
        </w:rPr>
        <w:t>需求</w:t>
      </w:r>
      <w:r>
        <w:rPr>
          <w:rFonts w:ascii="Times New Roman"/>
        </w:rPr>
        <w:t>，宜具备自动计量和监控功能，可实时掌握运输状态。</w:t>
      </w:r>
    </w:p>
    <w:p w14:paraId="707C9C44">
      <w:pPr>
        <w:pStyle w:val="165"/>
        <w:rPr>
          <w:rFonts w:ascii="Times New Roman"/>
        </w:rPr>
      </w:pPr>
      <w:r>
        <w:rPr>
          <w:rFonts w:ascii="Times New Roman"/>
        </w:rPr>
        <w:t>应制定严格的污泥运输管理制度，宜对运输过程进行全过程监控和管理，在运输过程中不应因暴露、洒落或滴漏造成环境二次污染。</w:t>
      </w:r>
    </w:p>
    <w:p w14:paraId="7783E1FF">
      <w:pPr>
        <w:pStyle w:val="165"/>
        <w:rPr>
          <w:rFonts w:ascii="Times New Roman"/>
        </w:rPr>
      </w:pPr>
      <w:r>
        <w:rPr>
          <w:rFonts w:ascii="Times New Roman"/>
        </w:rPr>
        <w:t>运输车辆或设备应定期清洗和维护，设置应急处理装置。</w:t>
      </w:r>
    </w:p>
    <w:p w14:paraId="1981F93D">
      <w:pPr>
        <w:pStyle w:val="105"/>
        <w:spacing w:before="120" w:after="120"/>
        <w:rPr>
          <w:rFonts w:ascii="Times New Roman"/>
        </w:rPr>
      </w:pPr>
      <w:r>
        <w:rPr>
          <w:rFonts w:ascii="Times New Roman"/>
        </w:rPr>
        <w:t>安全要求</w:t>
      </w:r>
    </w:p>
    <w:p w14:paraId="4628EF4A">
      <w:pPr>
        <w:pStyle w:val="165"/>
        <w:rPr>
          <w:rFonts w:ascii="Times New Roman"/>
        </w:rPr>
      </w:pPr>
      <w:r>
        <w:rPr>
          <w:rFonts w:ascii="Times New Roman"/>
        </w:rPr>
        <w:t>污泥接收储运系统的设计应充分考虑安全因素，宜设置防爆装置、火灾报警装置及紧急停机装置等。</w:t>
      </w:r>
    </w:p>
    <w:p w14:paraId="2B70C512">
      <w:pPr>
        <w:pStyle w:val="165"/>
        <w:rPr>
          <w:rFonts w:ascii="Times New Roman"/>
        </w:rPr>
      </w:pPr>
      <w:r>
        <w:rPr>
          <w:rFonts w:ascii="Times New Roman"/>
        </w:rPr>
        <w:t>操作人员应接受专业培训，宜熟悉污泥接收储运系统的操作流程和安全规范。</w:t>
      </w:r>
    </w:p>
    <w:p w14:paraId="012239DE">
      <w:pPr>
        <w:pStyle w:val="165"/>
        <w:rPr>
          <w:rFonts w:ascii="Times New Roman"/>
        </w:rPr>
      </w:pPr>
      <w:r>
        <w:rPr>
          <w:rFonts w:ascii="Times New Roman"/>
        </w:rPr>
        <w:t>污泥接收储运系统应采取有效的环保措施，宜设置废气收集与处理装置，减少异味散发和有害气体排放。</w:t>
      </w:r>
    </w:p>
    <w:p w14:paraId="1912AC61">
      <w:pPr>
        <w:pStyle w:val="165"/>
        <w:rPr>
          <w:rFonts w:ascii="Times New Roman"/>
        </w:rPr>
      </w:pPr>
      <w:r>
        <w:rPr>
          <w:rFonts w:ascii="Times New Roman"/>
        </w:rPr>
        <w:t>系统应定期检测废气排放指标，排放符合环保要求。</w:t>
      </w:r>
    </w:p>
    <w:p w14:paraId="40387D0D">
      <w:pPr>
        <w:pStyle w:val="104"/>
        <w:spacing w:before="240" w:after="240"/>
        <w:rPr>
          <w:rFonts w:ascii="Times New Roman"/>
        </w:rPr>
      </w:pPr>
      <w:bookmarkStart w:id="64" w:name="_Toc193296791"/>
      <w:bookmarkStart w:id="65" w:name="_Toc193295696"/>
      <w:bookmarkStart w:id="66" w:name="_Toc193383001"/>
      <w:r>
        <w:rPr>
          <w:rFonts w:ascii="Times New Roman"/>
        </w:rPr>
        <w:t>污泥干化系统</w:t>
      </w:r>
      <w:bookmarkEnd w:id="64"/>
      <w:bookmarkEnd w:id="65"/>
      <w:bookmarkEnd w:id="66"/>
    </w:p>
    <w:p w14:paraId="23212F56">
      <w:pPr>
        <w:pStyle w:val="162"/>
        <w:rPr>
          <w:rFonts w:ascii="Times New Roman"/>
        </w:rPr>
      </w:pPr>
      <w:r>
        <w:rPr>
          <w:rFonts w:ascii="Times New Roman"/>
        </w:rPr>
        <w:t>污泥干化设备的选型应根据干化的实际应要确定，宜采用空心桨叶干化机、干化尾气降温除湿系统等设备进行操作处理。</w:t>
      </w:r>
    </w:p>
    <w:p w14:paraId="1173551E">
      <w:pPr>
        <w:pStyle w:val="162"/>
        <w:rPr>
          <w:rFonts w:ascii="Times New Roman"/>
        </w:rPr>
      </w:pPr>
      <w:r>
        <w:rPr>
          <w:rFonts w:ascii="Times New Roman"/>
        </w:rPr>
        <w:t>在污泥干化处理过程中，污泥含水率可控制在80~87%。</w:t>
      </w:r>
    </w:p>
    <w:p w14:paraId="5CF4407A">
      <w:pPr>
        <w:pStyle w:val="162"/>
        <w:rPr>
          <w:rFonts w:ascii="Times New Roman"/>
        </w:rPr>
      </w:pPr>
      <w:r>
        <w:rPr>
          <w:rFonts w:ascii="Times New Roman"/>
        </w:rPr>
        <w:t>规模较小、污泥含水率较低、连续运行时间较长的干燥设备宜采用间接加热系统，其他宜采用带有污泥混合器和气体循环装置的直接加热系统。间接加热方式可用包括污泥气、烟气、燃煤、蒸汽、燃油、沼气、天然气等能源，而直接加热方式不宜使用燃煤炉。</w:t>
      </w:r>
    </w:p>
    <w:p w14:paraId="2B75EA59">
      <w:pPr>
        <w:pStyle w:val="162"/>
        <w:rPr>
          <w:rFonts w:ascii="Times New Roman"/>
        </w:rPr>
      </w:pPr>
      <w:r>
        <w:rPr>
          <w:rFonts w:ascii="Times New Roman"/>
        </w:rPr>
        <w:t>防止干化设备爆炸，应控制好氧气、粉尘和颗粒的温度，其中氧气含量应小于12%，粉尘浓度应小于60</w:t>
      </w:r>
      <w:r>
        <w:rPr>
          <w:rFonts w:hint="eastAsia" w:ascii="Times New Roman"/>
          <w:lang w:val="en-US" w:eastAsia="zh-CN"/>
        </w:rPr>
        <w:t xml:space="preserve"> </w:t>
      </w:r>
      <w:r>
        <w:rPr>
          <w:rFonts w:ascii="Times New Roman"/>
        </w:rPr>
        <w:t>g/m³，颗粒温度应小于110℃。湿污泥仓中甲烷浓度应控制在1%以下，干泥仓中干泥颗粒温度应控制在40℃以下。</w:t>
      </w:r>
    </w:p>
    <w:p w14:paraId="42EB5F4F">
      <w:pPr>
        <w:pStyle w:val="162"/>
        <w:rPr>
          <w:rFonts w:ascii="Times New Roman"/>
        </w:rPr>
      </w:pPr>
      <w:r>
        <w:rPr>
          <w:rFonts w:ascii="Times New Roman"/>
        </w:rPr>
        <w:t>为避免湿污泥敞开式输送对环境造成影响，应采用污泥泵和管道将湿污泥密封输送至干化机。干化机出料口应设置事故储仓或紧急排放口，供污泥干化机停运或非正常运行时暂存或外排。</w:t>
      </w:r>
    </w:p>
    <w:p w14:paraId="35E423EF">
      <w:pPr>
        <w:pStyle w:val="162"/>
        <w:rPr>
          <w:rFonts w:ascii="Times New Roman"/>
        </w:rPr>
      </w:pPr>
      <w:r>
        <w:rPr>
          <w:rFonts w:ascii="Times New Roman"/>
        </w:rPr>
        <w:t>对于含砂量较大的污泥，可通过增加耐磨量、降低转动部件转速等方法。</w:t>
      </w:r>
    </w:p>
    <w:p w14:paraId="1FA3F049">
      <w:pPr>
        <w:pStyle w:val="162"/>
        <w:rPr>
          <w:rFonts w:ascii="Times New Roman"/>
        </w:rPr>
      </w:pPr>
      <w:r>
        <w:rPr>
          <w:rFonts w:ascii="Times New Roman"/>
        </w:rPr>
        <w:t>污泥热干化产品应妥善保存、利用或妥善处置，避免二次污染。</w:t>
      </w:r>
    </w:p>
    <w:p w14:paraId="75223169">
      <w:pPr>
        <w:pStyle w:val="162"/>
        <w:rPr>
          <w:rFonts w:ascii="Times New Roman"/>
        </w:rPr>
      </w:pPr>
      <w:r>
        <w:rPr>
          <w:rFonts w:ascii="Times New Roman"/>
        </w:rPr>
        <w:t>污泥热干化的尾气烟气，应处理达标后排放。污泥干化后蒸发出的水蒸气和不可凝气体（臭气）应进行分离，水蒸气可通过冷凝装置冷凝后处理。</w:t>
      </w:r>
    </w:p>
    <w:p w14:paraId="77CB819C">
      <w:pPr>
        <w:pStyle w:val="162"/>
        <w:rPr>
          <w:rFonts w:ascii="Times New Roman"/>
        </w:rPr>
      </w:pPr>
      <w:r>
        <w:rPr>
          <w:rFonts w:ascii="Times New Roman"/>
        </w:rPr>
        <w:t>干化装置应全封闭，污泥干化机内部和污泥干化间应保持微负压。</w:t>
      </w:r>
    </w:p>
    <w:p w14:paraId="5D15FB8E">
      <w:pPr>
        <w:pStyle w:val="104"/>
        <w:spacing w:before="240" w:after="240"/>
        <w:rPr>
          <w:rFonts w:ascii="Times New Roman"/>
        </w:rPr>
      </w:pPr>
      <w:bookmarkStart w:id="67" w:name="OLE_LINK6"/>
      <w:bookmarkStart w:id="68" w:name="_Toc193383002"/>
      <w:bookmarkStart w:id="69" w:name="_Toc193296792"/>
      <w:bookmarkStart w:id="70" w:name="_Toc193295697"/>
      <w:r>
        <w:rPr>
          <w:rFonts w:ascii="Times New Roman"/>
        </w:rPr>
        <w:t>污泥焚烧</w:t>
      </w:r>
      <w:bookmarkEnd w:id="67"/>
      <w:r>
        <w:rPr>
          <w:rFonts w:ascii="Times New Roman"/>
        </w:rPr>
        <w:t>系统</w:t>
      </w:r>
      <w:bookmarkEnd w:id="68"/>
      <w:bookmarkEnd w:id="69"/>
    </w:p>
    <w:p w14:paraId="2571DDF5">
      <w:pPr>
        <w:pStyle w:val="162"/>
        <w:rPr>
          <w:rFonts w:ascii="Times New Roman"/>
        </w:rPr>
      </w:pPr>
      <w:r>
        <w:rPr>
          <w:rFonts w:ascii="Times New Roman"/>
        </w:rPr>
        <w:t>污泥焚烧系统应包括污泥给料机、污泥焚烧炉、燃烧空气系统、出渣与加砂系统、保温系统、附属系统以及控制系统等关键组成部分。</w:t>
      </w:r>
    </w:p>
    <w:p w14:paraId="6938772E">
      <w:pPr>
        <w:pStyle w:val="162"/>
        <w:rPr>
          <w:rFonts w:ascii="Times New Roman"/>
        </w:rPr>
      </w:pPr>
      <w:r>
        <w:rPr>
          <w:rFonts w:ascii="Times New Roman"/>
        </w:rPr>
        <w:t>污泥给料机应连续、均匀、稳定地将半干污泥送入焚烧炉，给料机应具有足够的强度和刚度，并由钢结构架支撑，高度应根据焚烧炉进料要求配置。给料机与焚烧炉之间应密封衔接，并设有自动控制隔热闸门。</w:t>
      </w:r>
    </w:p>
    <w:p w14:paraId="2F60536D">
      <w:pPr>
        <w:pStyle w:val="162"/>
        <w:rPr>
          <w:rFonts w:ascii="Times New Roman"/>
        </w:rPr>
      </w:pPr>
      <w:r>
        <w:rPr>
          <w:rFonts w:ascii="Times New Roman"/>
        </w:rPr>
        <w:t>污泥焚烧炉应采用改进型鼓泡流化床焚烧炉等高效焚烧设备，并具有以下特点：</w:t>
      </w:r>
    </w:p>
    <w:p w14:paraId="1D6D491A">
      <w:pPr>
        <w:pStyle w:val="132"/>
        <w:rPr>
          <w:rFonts w:ascii="Times New Roman"/>
        </w:rPr>
      </w:pPr>
      <w:r>
        <w:rPr>
          <w:rFonts w:ascii="Times New Roman"/>
        </w:rPr>
        <w:t>集循环流化床和鼓泡流化床的优势；</w:t>
      </w:r>
    </w:p>
    <w:p w14:paraId="049A2F62">
      <w:pPr>
        <w:pStyle w:val="132"/>
        <w:rPr>
          <w:rFonts w:ascii="Times New Roman"/>
        </w:rPr>
      </w:pPr>
      <w:r>
        <w:rPr>
          <w:rFonts w:ascii="Times New Roman"/>
        </w:rPr>
        <w:t>废物适应性好，可焚烧低热值、高水分、在其他燃烧装置中难以稳定燃烧的废弃物；</w:t>
      </w:r>
    </w:p>
    <w:p w14:paraId="2A187A46">
      <w:pPr>
        <w:pStyle w:val="132"/>
        <w:rPr>
          <w:rFonts w:ascii="Times New Roman"/>
        </w:rPr>
      </w:pPr>
      <w:r>
        <w:rPr>
          <w:rFonts w:ascii="Times New Roman"/>
        </w:rPr>
        <w:t>焚烧效率高，处理高水分、低热值废料污泥。</w:t>
      </w:r>
    </w:p>
    <w:p w14:paraId="0817A7B3">
      <w:pPr>
        <w:pStyle w:val="132"/>
        <w:rPr>
          <w:rFonts w:ascii="Times New Roman"/>
        </w:rPr>
      </w:pPr>
      <w:r>
        <w:rPr>
          <w:rFonts w:ascii="Times New Roman"/>
        </w:rPr>
        <w:t>燃烧强度高，单位截面的废物处理量大，结构紧凑；</w:t>
      </w:r>
    </w:p>
    <w:p w14:paraId="0E893075">
      <w:pPr>
        <w:pStyle w:val="132"/>
        <w:rPr>
          <w:rFonts w:ascii="Times New Roman"/>
        </w:rPr>
      </w:pPr>
      <w:r>
        <w:rPr>
          <w:rFonts w:ascii="Times New Roman"/>
        </w:rPr>
        <w:t>炉内无活动部件。</w:t>
      </w:r>
    </w:p>
    <w:p w14:paraId="32B28E6B">
      <w:pPr>
        <w:pStyle w:val="162"/>
        <w:rPr>
          <w:rFonts w:ascii="Times New Roman"/>
        </w:rPr>
      </w:pPr>
      <w:bookmarkStart w:id="71" w:name="OLE_LINK3"/>
      <w:r>
        <w:rPr>
          <w:rFonts w:ascii="Times New Roman"/>
        </w:rPr>
        <w:t>焚烧炉的设计应保证其使用寿命不低于20年，并能适应每天连续24 h长期连续运行的工作条件。焚烧炉的炉膛设计温度应高于850℃，烟气在850℃以上停留时间应大于2 s。焚烧炉应设有排渣措施，排渣管应穿过风室将炉渣排入水冷滚筒。</w:t>
      </w:r>
    </w:p>
    <w:p w14:paraId="4F370477">
      <w:pPr>
        <w:pStyle w:val="162"/>
        <w:rPr>
          <w:rFonts w:ascii="Times New Roman"/>
        </w:rPr>
      </w:pPr>
      <w:r>
        <w:rPr>
          <w:rFonts w:ascii="Times New Roman"/>
        </w:rPr>
        <w:t>燃烧空气系统应包括一次风和二次风，其中一次风主要用于助燃，二次风可根据工艺特点进行设置。</w:t>
      </w:r>
    </w:p>
    <w:p w14:paraId="0CB31908">
      <w:pPr>
        <w:pStyle w:val="162"/>
        <w:rPr>
          <w:rFonts w:ascii="Times New Roman"/>
        </w:rPr>
      </w:pPr>
      <w:r>
        <w:rPr>
          <w:rFonts w:ascii="Times New Roman"/>
        </w:rPr>
        <w:t>空气预热系统应有效利用焚烧烟气余热，提高能源利用效率。</w:t>
      </w:r>
    </w:p>
    <w:p w14:paraId="4DD40C8A">
      <w:pPr>
        <w:pStyle w:val="162"/>
        <w:rPr>
          <w:rFonts w:ascii="Times New Roman"/>
        </w:rPr>
      </w:pPr>
      <w:r>
        <w:rPr>
          <w:rFonts w:ascii="Times New Roman"/>
        </w:rPr>
        <w:t>出渣与加砂系统应间断性地排出床料（炉渣），并进行冷却、筛分、输送、储存。</w:t>
      </w:r>
    </w:p>
    <w:p w14:paraId="193853BE">
      <w:pPr>
        <w:pStyle w:val="162"/>
        <w:rPr>
          <w:rFonts w:ascii="Times New Roman"/>
        </w:rPr>
      </w:pPr>
      <w:r>
        <w:rPr>
          <w:rFonts w:ascii="Times New Roman"/>
        </w:rPr>
        <w:t>在焚烧过程中，首次石英砂补充应利用炉渣进行补充，后续阶段不需额外补充石英砂。</w:t>
      </w:r>
    </w:p>
    <w:p w14:paraId="5AF1F2A8">
      <w:pPr>
        <w:pStyle w:val="162"/>
        <w:rPr>
          <w:rFonts w:ascii="Times New Roman"/>
        </w:rPr>
      </w:pPr>
      <w:r>
        <w:rPr>
          <w:rFonts w:ascii="Times New Roman"/>
        </w:rPr>
        <w:t>保温系统应有效用于系统设备、管道等的保温，减少热损失。</w:t>
      </w:r>
    </w:p>
    <w:p w14:paraId="0EF6FFC9">
      <w:pPr>
        <w:pStyle w:val="162"/>
        <w:rPr>
          <w:rFonts w:ascii="Times New Roman"/>
        </w:rPr>
      </w:pPr>
      <w:r>
        <w:rPr>
          <w:rFonts w:ascii="Times New Roman"/>
        </w:rPr>
        <w:t>附属系统应包括设备支架、维修平台和阶梯、所有管线及支架、阀门、仪表、连接附件等必要设施。</w:t>
      </w:r>
    </w:p>
    <w:p w14:paraId="34BF72F3">
      <w:pPr>
        <w:pStyle w:val="162"/>
        <w:rPr>
          <w:rFonts w:ascii="Times New Roman"/>
        </w:rPr>
      </w:pPr>
      <w:r>
        <w:rPr>
          <w:rFonts w:ascii="Times New Roman"/>
        </w:rPr>
        <w:t>控制系统应实现对焚烧炉系统的全面监控和自动化控制，焚烧过程应稳定、安全。</w:t>
      </w:r>
    </w:p>
    <w:p w14:paraId="4014B559">
      <w:pPr>
        <w:pStyle w:val="162"/>
        <w:rPr>
          <w:rFonts w:ascii="Times New Roman"/>
        </w:rPr>
      </w:pPr>
      <w:r>
        <w:rPr>
          <w:rFonts w:ascii="Times New Roman"/>
        </w:rPr>
        <w:t>在焚烧过程中，污泥热值指标应满足表1的要求。</w:t>
      </w:r>
    </w:p>
    <w:p w14:paraId="757DDDB0">
      <w:pPr>
        <w:pStyle w:val="162"/>
        <w:rPr>
          <w:rFonts w:ascii="Times New Roman"/>
        </w:rPr>
      </w:pPr>
      <w:r>
        <w:rPr>
          <w:rFonts w:ascii="Times New Roman"/>
        </w:rPr>
        <w:t>在焚烧过程中，</w:t>
      </w:r>
      <w:bookmarkEnd w:id="71"/>
      <w:r>
        <w:rPr>
          <w:rFonts w:ascii="Times New Roman"/>
        </w:rPr>
        <w:t xml:space="preserve">宜采用天然气作为辅助能源。 </w:t>
      </w:r>
    </w:p>
    <w:p w14:paraId="5D14D8FF">
      <w:pPr>
        <w:pStyle w:val="162"/>
        <w:rPr>
          <w:rFonts w:ascii="Times New Roman"/>
        </w:rPr>
      </w:pPr>
      <w:r>
        <w:rPr>
          <w:rFonts w:ascii="Times New Roman"/>
        </w:rPr>
        <w:t>焚烧灰渣宜依次经过以下程序：</w:t>
      </w:r>
    </w:p>
    <w:p w14:paraId="03D59C8F">
      <w:pPr>
        <w:pStyle w:val="132"/>
        <w:rPr>
          <w:rFonts w:ascii="Times New Roman"/>
        </w:rPr>
      </w:pPr>
      <w:r>
        <w:rPr>
          <w:rFonts w:ascii="Times New Roman"/>
        </w:rPr>
        <w:t>干化前污泥（83%~87%含水率）；</w:t>
      </w:r>
    </w:p>
    <w:p w14:paraId="34E3DF55">
      <w:pPr>
        <w:pStyle w:val="132"/>
        <w:rPr>
          <w:rFonts w:ascii="Times New Roman"/>
        </w:rPr>
      </w:pPr>
      <w:r>
        <w:rPr>
          <w:rFonts w:ascii="Times New Roman"/>
        </w:rPr>
        <w:t>干化机出泥（35%</w:t>
      </w:r>
      <w:bookmarkStart w:id="72" w:name="OLE_LINK1"/>
      <w:r>
        <w:rPr>
          <w:rFonts w:ascii="Times New Roman"/>
        </w:rPr>
        <w:t>~</w:t>
      </w:r>
      <w:bookmarkEnd w:id="72"/>
      <w:r>
        <w:rPr>
          <w:rFonts w:ascii="Times New Roman"/>
        </w:rPr>
        <w:t>40%含水率）；</w:t>
      </w:r>
    </w:p>
    <w:p w14:paraId="24FBA15D">
      <w:pPr>
        <w:pStyle w:val="132"/>
        <w:rPr>
          <w:rFonts w:ascii="Times New Roman"/>
        </w:rPr>
      </w:pPr>
      <w:r>
        <w:rPr>
          <w:rFonts w:ascii="Times New Roman"/>
        </w:rPr>
        <w:t>焚烧后底渣、焚烧后飞灰。</w:t>
      </w:r>
    </w:p>
    <w:p w14:paraId="646A2C53">
      <w:pPr>
        <w:pStyle w:val="112"/>
        <w:spacing w:before="120" w:after="120"/>
        <w:rPr>
          <w:rFonts w:ascii="Times New Roman"/>
        </w:rPr>
      </w:pPr>
      <w:bookmarkStart w:id="73" w:name="_Hlk193293249"/>
      <w:r>
        <w:rPr>
          <w:rFonts w:ascii="Times New Roman"/>
        </w:rPr>
        <w:t>设计污泥热值指标</w:t>
      </w:r>
    </w:p>
    <w:bookmarkEnd w:id="73"/>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43427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tcBorders>
              <w:top w:val="single" w:color="auto" w:sz="8" w:space="0"/>
              <w:bottom w:val="single" w:color="auto" w:sz="8" w:space="0"/>
            </w:tcBorders>
            <w:shd w:val="clear" w:color="auto" w:fill="auto"/>
            <w:vAlign w:val="center"/>
          </w:tcPr>
          <w:p w14:paraId="58334730">
            <w:pPr>
              <w:pStyle w:val="178"/>
              <w:rPr>
                <w:rFonts w:ascii="Times New Roman"/>
              </w:rPr>
            </w:pPr>
            <w:r>
              <w:rPr>
                <w:rFonts w:ascii="Times New Roman"/>
              </w:rPr>
              <w:t>项目</w:t>
            </w:r>
          </w:p>
        </w:tc>
        <w:tc>
          <w:tcPr>
            <w:tcW w:w="1555" w:type="dxa"/>
            <w:tcBorders>
              <w:top w:val="single" w:color="auto" w:sz="8" w:space="0"/>
              <w:bottom w:val="single" w:color="auto" w:sz="8" w:space="0"/>
            </w:tcBorders>
            <w:shd w:val="clear" w:color="auto" w:fill="auto"/>
            <w:vAlign w:val="center"/>
          </w:tcPr>
          <w:p w14:paraId="423EF0E0">
            <w:pPr>
              <w:pStyle w:val="178"/>
              <w:rPr>
                <w:rFonts w:ascii="Times New Roman"/>
              </w:rPr>
            </w:pPr>
            <w:r>
              <w:rPr>
                <w:rFonts w:ascii="Times New Roman"/>
              </w:rPr>
              <w:t>空气干燥基</w:t>
            </w:r>
          </w:p>
        </w:tc>
        <w:tc>
          <w:tcPr>
            <w:tcW w:w="1555" w:type="dxa"/>
            <w:tcBorders>
              <w:top w:val="single" w:color="auto" w:sz="8" w:space="0"/>
              <w:bottom w:val="single" w:color="auto" w:sz="8" w:space="0"/>
            </w:tcBorders>
            <w:shd w:val="clear" w:color="auto" w:fill="auto"/>
            <w:vAlign w:val="center"/>
          </w:tcPr>
          <w:p w14:paraId="03ABA58F">
            <w:pPr>
              <w:pStyle w:val="178"/>
              <w:rPr>
                <w:rFonts w:ascii="Times New Roman"/>
              </w:rPr>
            </w:pPr>
            <w:r>
              <w:rPr>
                <w:rFonts w:ascii="Times New Roman"/>
              </w:rPr>
              <w:t>收到基</w:t>
            </w:r>
          </w:p>
        </w:tc>
        <w:tc>
          <w:tcPr>
            <w:tcW w:w="1556" w:type="dxa"/>
            <w:tcBorders>
              <w:top w:val="single" w:color="auto" w:sz="8" w:space="0"/>
              <w:bottom w:val="single" w:color="auto" w:sz="8" w:space="0"/>
            </w:tcBorders>
            <w:shd w:val="clear" w:color="auto" w:fill="auto"/>
            <w:vAlign w:val="center"/>
          </w:tcPr>
          <w:p w14:paraId="6AFB0CCE">
            <w:pPr>
              <w:pStyle w:val="178"/>
              <w:rPr>
                <w:rFonts w:ascii="Times New Roman"/>
              </w:rPr>
            </w:pPr>
            <w:r>
              <w:rPr>
                <w:rFonts w:ascii="Times New Roman"/>
              </w:rPr>
              <w:t>干基</w:t>
            </w:r>
          </w:p>
        </w:tc>
        <w:tc>
          <w:tcPr>
            <w:tcW w:w="1556" w:type="dxa"/>
            <w:tcBorders>
              <w:top w:val="single" w:color="auto" w:sz="8" w:space="0"/>
              <w:bottom w:val="single" w:color="auto" w:sz="8" w:space="0"/>
            </w:tcBorders>
            <w:shd w:val="clear" w:color="auto" w:fill="auto"/>
            <w:vAlign w:val="center"/>
          </w:tcPr>
          <w:p w14:paraId="3C271AF8">
            <w:pPr>
              <w:pStyle w:val="178"/>
              <w:rPr>
                <w:rFonts w:ascii="Times New Roman"/>
              </w:rPr>
            </w:pPr>
            <w:r>
              <w:rPr>
                <w:rFonts w:ascii="Times New Roman"/>
              </w:rPr>
              <w:t>干燥无灰基</w:t>
            </w:r>
          </w:p>
        </w:tc>
      </w:tr>
      <w:tr w14:paraId="003FC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8" w:space="0"/>
            </w:tcBorders>
            <w:shd w:val="clear" w:color="auto" w:fill="auto"/>
            <w:vAlign w:val="center"/>
          </w:tcPr>
          <w:p w14:paraId="67F82064">
            <w:pPr>
              <w:pStyle w:val="178"/>
              <w:rPr>
                <w:rFonts w:ascii="Times New Roman"/>
              </w:rPr>
            </w:pPr>
            <w:r>
              <w:rPr>
                <w:rFonts w:ascii="Times New Roman"/>
              </w:rPr>
              <w:t>水分/%</w:t>
            </w:r>
          </w:p>
        </w:tc>
        <w:tc>
          <w:tcPr>
            <w:tcW w:w="1555" w:type="dxa"/>
            <w:tcBorders>
              <w:top w:val="single" w:color="auto" w:sz="8" w:space="0"/>
            </w:tcBorders>
            <w:shd w:val="clear" w:color="auto" w:fill="auto"/>
            <w:vAlign w:val="center"/>
          </w:tcPr>
          <w:p w14:paraId="34FF85E7">
            <w:pPr>
              <w:pStyle w:val="178"/>
              <w:rPr>
                <w:rFonts w:ascii="Times New Roman"/>
              </w:rPr>
            </w:pPr>
            <w:r>
              <w:rPr>
                <w:rFonts w:ascii="Times New Roman"/>
              </w:rPr>
              <w:t>/</w:t>
            </w:r>
          </w:p>
        </w:tc>
        <w:tc>
          <w:tcPr>
            <w:tcW w:w="1555" w:type="dxa"/>
            <w:tcBorders>
              <w:top w:val="single" w:color="auto" w:sz="8" w:space="0"/>
            </w:tcBorders>
            <w:shd w:val="clear" w:color="auto" w:fill="auto"/>
            <w:vAlign w:val="center"/>
          </w:tcPr>
          <w:p w14:paraId="49C0C622">
            <w:pPr>
              <w:pStyle w:val="178"/>
              <w:rPr>
                <w:rFonts w:ascii="Times New Roman"/>
              </w:rPr>
            </w:pPr>
            <w:r>
              <w:rPr>
                <w:rFonts w:ascii="Times New Roman"/>
              </w:rPr>
              <w:t>82.2</w:t>
            </w:r>
          </w:p>
        </w:tc>
        <w:tc>
          <w:tcPr>
            <w:tcW w:w="1556" w:type="dxa"/>
            <w:tcBorders>
              <w:top w:val="single" w:color="auto" w:sz="8" w:space="0"/>
            </w:tcBorders>
            <w:shd w:val="clear" w:color="auto" w:fill="auto"/>
          </w:tcPr>
          <w:p w14:paraId="037DF0AE">
            <w:pPr>
              <w:pStyle w:val="178"/>
              <w:rPr>
                <w:rFonts w:ascii="Times New Roman"/>
              </w:rPr>
            </w:pPr>
            <w:r>
              <w:rPr>
                <w:rFonts w:ascii="Times New Roman"/>
              </w:rPr>
              <w:t>/</w:t>
            </w:r>
          </w:p>
        </w:tc>
        <w:tc>
          <w:tcPr>
            <w:tcW w:w="1556" w:type="dxa"/>
            <w:tcBorders>
              <w:top w:val="single" w:color="auto" w:sz="8" w:space="0"/>
            </w:tcBorders>
            <w:shd w:val="clear" w:color="auto" w:fill="auto"/>
          </w:tcPr>
          <w:p w14:paraId="1186ED06">
            <w:pPr>
              <w:pStyle w:val="178"/>
              <w:rPr>
                <w:rFonts w:ascii="Times New Roman"/>
              </w:rPr>
            </w:pPr>
            <w:r>
              <w:rPr>
                <w:rFonts w:ascii="Times New Roman"/>
              </w:rPr>
              <w:t>/</w:t>
            </w:r>
          </w:p>
        </w:tc>
      </w:tr>
      <w:tr w14:paraId="19122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28C0D12B">
            <w:pPr>
              <w:pStyle w:val="178"/>
              <w:rPr>
                <w:rFonts w:ascii="Times New Roman"/>
              </w:rPr>
            </w:pPr>
            <w:r>
              <w:rPr>
                <w:rFonts w:ascii="Times New Roman"/>
              </w:rPr>
              <w:t>工业分析/%</w:t>
            </w:r>
          </w:p>
        </w:tc>
        <w:tc>
          <w:tcPr>
            <w:tcW w:w="1556" w:type="dxa"/>
            <w:shd w:val="clear" w:color="auto" w:fill="auto"/>
            <w:vAlign w:val="center"/>
          </w:tcPr>
          <w:p w14:paraId="082522E3">
            <w:pPr>
              <w:pStyle w:val="178"/>
              <w:rPr>
                <w:rFonts w:ascii="Times New Roman"/>
              </w:rPr>
            </w:pPr>
            <w:r>
              <w:rPr>
                <w:rFonts w:ascii="Times New Roman"/>
              </w:rPr>
              <w:t>水分</w:t>
            </w:r>
          </w:p>
        </w:tc>
        <w:tc>
          <w:tcPr>
            <w:tcW w:w="1555" w:type="dxa"/>
            <w:shd w:val="clear" w:color="auto" w:fill="auto"/>
            <w:vAlign w:val="center"/>
          </w:tcPr>
          <w:p w14:paraId="13B80C2D">
            <w:pPr>
              <w:pStyle w:val="178"/>
              <w:rPr>
                <w:rFonts w:ascii="Times New Roman"/>
              </w:rPr>
            </w:pPr>
            <w:r>
              <w:rPr>
                <w:rFonts w:ascii="Times New Roman"/>
              </w:rPr>
              <w:t>5.36</w:t>
            </w:r>
          </w:p>
        </w:tc>
        <w:tc>
          <w:tcPr>
            <w:tcW w:w="1555" w:type="dxa"/>
            <w:shd w:val="clear" w:color="auto" w:fill="auto"/>
            <w:vAlign w:val="center"/>
          </w:tcPr>
          <w:p w14:paraId="16B7C62F">
            <w:pPr>
              <w:pStyle w:val="178"/>
              <w:rPr>
                <w:rFonts w:ascii="Times New Roman"/>
              </w:rPr>
            </w:pPr>
            <w:r>
              <w:rPr>
                <w:rFonts w:ascii="Times New Roman"/>
              </w:rPr>
              <w:t>/</w:t>
            </w:r>
          </w:p>
        </w:tc>
        <w:tc>
          <w:tcPr>
            <w:tcW w:w="1556" w:type="dxa"/>
            <w:shd w:val="clear" w:color="auto" w:fill="auto"/>
          </w:tcPr>
          <w:p w14:paraId="233AB684">
            <w:pPr>
              <w:pStyle w:val="178"/>
              <w:rPr>
                <w:rFonts w:ascii="Times New Roman"/>
              </w:rPr>
            </w:pPr>
            <w:r>
              <w:rPr>
                <w:rFonts w:ascii="Times New Roman"/>
              </w:rPr>
              <w:t>/</w:t>
            </w:r>
          </w:p>
        </w:tc>
        <w:tc>
          <w:tcPr>
            <w:tcW w:w="1556" w:type="dxa"/>
            <w:shd w:val="clear" w:color="auto" w:fill="auto"/>
          </w:tcPr>
          <w:p w14:paraId="1E78BDB2">
            <w:pPr>
              <w:pStyle w:val="178"/>
              <w:rPr>
                <w:rFonts w:ascii="Times New Roman"/>
              </w:rPr>
            </w:pPr>
            <w:r>
              <w:rPr>
                <w:rFonts w:ascii="Times New Roman"/>
              </w:rPr>
              <w:t>/</w:t>
            </w:r>
          </w:p>
        </w:tc>
      </w:tr>
      <w:tr w14:paraId="4707F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67FD6D52">
            <w:pPr>
              <w:pStyle w:val="178"/>
              <w:rPr>
                <w:rFonts w:ascii="Times New Roman"/>
              </w:rPr>
            </w:pPr>
          </w:p>
        </w:tc>
        <w:tc>
          <w:tcPr>
            <w:tcW w:w="1556" w:type="dxa"/>
            <w:shd w:val="clear" w:color="auto" w:fill="auto"/>
            <w:vAlign w:val="center"/>
          </w:tcPr>
          <w:p w14:paraId="0057CCE4">
            <w:pPr>
              <w:pStyle w:val="178"/>
              <w:rPr>
                <w:rFonts w:ascii="Times New Roman"/>
              </w:rPr>
            </w:pPr>
            <w:r>
              <w:rPr>
                <w:rFonts w:ascii="Times New Roman"/>
              </w:rPr>
              <w:t>灰分</w:t>
            </w:r>
          </w:p>
        </w:tc>
        <w:tc>
          <w:tcPr>
            <w:tcW w:w="1555" w:type="dxa"/>
            <w:shd w:val="clear" w:color="auto" w:fill="auto"/>
            <w:vAlign w:val="center"/>
          </w:tcPr>
          <w:p w14:paraId="435C0219">
            <w:pPr>
              <w:pStyle w:val="178"/>
              <w:rPr>
                <w:rFonts w:ascii="Times New Roman"/>
              </w:rPr>
            </w:pPr>
            <w:r>
              <w:rPr>
                <w:rFonts w:ascii="Times New Roman"/>
              </w:rPr>
              <w:t>48.16</w:t>
            </w:r>
          </w:p>
        </w:tc>
        <w:tc>
          <w:tcPr>
            <w:tcW w:w="1555" w:type="dxa"/>
            <w:shd w:val="clear" w:color="auto" w:fill="auto"/>
            <w:vAlign w:val="center"/>
          </w:tcPr>
          <w:p w14:paraId="3BC9468F">
            <w:pPr>
              <w:pStyle w:val="178"/>
              <w:rPr>
                <w:rFonts w:ascii="Times New Roman"/>
              </w:rPr>
            </w:pPr>
            <w:r>
              <w:rPr>
                <w:rFonts w:ascii="Times New Roman"/>
              </w:rPr>
              <w:t>8.87</w:t>
            </w:r>
          </w:p>
        </w:tc>
        <w:tc>
          <w:tcPr>
            <w:tcW w:w="1556" w:type="dxa"/>
            <w:shd w:val="clear" w:color="auto" w:fill="auto"/>
            <w:vAlign w:val="center"/>
          </w:tcPr>
          <w:p w14:paraId="33A4BD22">
            <w:pPr>
              <w:pStyle w:val="178"/>
              <w:rPr>
                <w:rFonts w:ascii="Times New Roman"/>
              </w:rPr>
            </w:pPr>
            <w:r>
              <w:rPr>
                <w:rFonts w:ascii="Times New Roman"/>
              </w:rPr>
              <w:t>49.83</w:t>
            </w:r>
          </w:p>
        </w:tc>
        <w:tc>
          <w:tcPr>
            <w:tcW w:w="1556" w:type="dxa"/>
            <w:shd w:val="clear" w:color="auto" w:fill="auto"/>
          </w:tcPr>
          <w:p w14:paraId="51F88B61">
            <w:pPr>
              <w:pStyle w:val="178"/>
              <w:rPr>
                <w:rFonts w:ascii="Times New Roman"/>
              </w:rPr>
            </w:pPr>
            <w:r>
              <w:rPr>
                <w:rFonts w:ascii="Times New Roman"/>
              </w:rPr>
              <w:t>/</w:t>
            </w:r>
          </w:p>
        </w:tc>
      </w:tr>
      <w:tr w14:paraId="0CCD4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171F4C6B">
            <w:pPr>
              <w:pStyle w:val="178"/>
              <w:rPr>
                <w:rFonts w:ascii="Times New Roman"/>
              </w:rPr>
            </w:pPr>
          </w:p>
        </w:tc>
        <w:tc>
          <w:tcPr>
            <w:tcW w:w="1556" w:type="dxa"/>
            <w:shd w:val="clear" w:color="auto" w:fill="auto"/>
            <w:vAlign w:val="center"/>
          </w:tcPr>
          <w:p w14:paraId="26C370C6">
            <w:pPr>
              <w:pStyle w:val="178"/>
              <w:rPr>
                <w:rFonts w:ascii="Times New Roman"/>
              </w:rPr>
            </w:pPr>
            <w:r>
              <w:rPr>
                <w:rFonts w:ascii="Times New Roman"/>
              </w:rPr>
              <w:t>挥发分</w:t>
            </w:r>
          </w:p>
        </w:tc>
        <w:tc>
          <w:tcPr>
            <w:tcW w:w="1555" w:type="dxa"/>
            <w:shd w:val="clear" w:color="auto" w:fill="auto"/>
            <w:vAlign w:val="center"/>
          </w:tcPr>
          <w:p w14:paraId="32CA35D8">
            <w:pPr>
              <w:pStyle w:val="178"/>
              <w:rPr>
                <w:rFonts w:ascii="Times New Roman"/>
              </w:rPr>
            </w:pPr>
            <w:r>
              <w:rPr>
                <w:rFonts w:ascii="Times New Roman"/>
              </w:rPr>
              <w:t>44.53</w:t>
            </w:r>
          </w:p>
        </w:tc>
        <w:tc>
          <w:tcPr>
            <w:tcW w:w="1555" w:type="dxa"/>
            <w:shd w:val="clear" w:color="auto" w:fill="auto"/>
            <w:vAlign w:val="center"/>
          </w:tcPr>
          <w:p w14:paraId="1280781D">
            <w:pPr>
              <w:pStyle w:val="178"/>
              <w:rPr>
                <w:rFonts w:ascii="Times New Roman"/>
              </w:rPr>
            </w:pPr>
            <w:r>
              <w:rPr>
                <w:rFonts w:ascii="Times New Roman"/>
              </w:rPr>
              <w:t>8.38</w:t>
            </w:r>
          </w:p>
        </w:tc>
        <w:tc>
          <w:tcPr>
            <w:tcW w:w="1556" w:type="dxa"/>
            <w:shd w:val="clear" w:color="auto" w:fill="auto"/>
            <w:vAlign w:val="center"/>
          </w:tcPr>
          <w:p w14:paraId="658C9F70">
            <w:pPr>
              <w:pStyle w:val="178"/>
              <w:rPr>
                <w:rFonts w:ascii="Times New Roman"/>
              </w:rPr>
            </w:pPr>
            <w:r>
              <w:rPr>
                <w:rFonts w:ascii="Times New Roman"/>
              </w:rPr>
              <w:t>47.05</w:t>
            </w:r>
          </w:p>
        </w:tc>
        <w:tc>
          <w:tcPr>
            <w:tcW w:w="1556" w:type="dxa"/>
            <w:shd w:val="clear" w:color="auto" w:fill="auto"/>
            <w:vAlign w:val="center"/>
          </w:tcPr>
          <w:p w14:paraId="5ECD80A6">
            <w:pPr>
              <w:pStyle w:val="178"/>
              <w:rPr>
                <w:rFonts w:ascii="Times New Roman"/>
              </w:rPr>
            </w:pPr>
            <w:r>
              <w:rPr>
                <w:rFonts w:ascii="Times New Roman"/>
              </w:rPr>
              <w:t>93.79</w:t>
            </w:r>
          </w:p>
        </w:tc>
      </w:tr>
      <w:tr w14:paraId="732D7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3B58AB4A">
            <w:pPr>
              <w:pStyle w:val="178"/>
              <w:rPr>
                <w:rFonts w:ascii="Times New Roman"/>
              </w:rPr>
            </w:pPr>
          </w:p>
        </w:tc>
        <w:tc>
          <w:tcPr>
            <w:tcW w:w="1556" w:type="dxa"/>
            <w:shd w:val="clear" w:color="auto" w:fill="auto"/>
            <w:vAlign w:val="center"/>
          </w:tcPr>
          <w:p w14:paraId="53B018A3">
            <w:pPr>
              <w:pStyle w:val="178"/>
              <w:rPr>
                <w:rFonts w:ascii="Times New Roman"/>
              </w:rPr>
            </w:pPr>
            <w:r>
              <w:rPr>
                <w:rFonts w:ascii="Times New Roman"/>
              </w:rPr>
              <w:t>固定碳</w:t>
            </w:r>
          </w:p>
        </w:tc>
        <w:tc>
          <w:tcPr>
            <w:tcW w:w="1555" w:type="dxa"/>
            <w:shd w:val="clear" w:color="auto" w:fill="auto"/>
            <w:vAlign w:val="center"/>
          </w:tcPr>
          <w:p w14:paraId="25AE0E7E">
            <w:pPr>
              <w:pStyle w:val="178"/>
              <w:rPr>
                <w:rFonts w:ascii="Times New Roman"/>
              </w:rPr>
            </w:pPr>
            <w:r>
              <w:rPr>
                <w:rFonts w:ascii="Times New Roman"/>
              </w:rPr>
              <w:t>2.95</w:t>
            </w:r>
          </w:p>
        </w:tc>
        <w:tc>
          <w:tcPr>
            <w:tcW w:w="1555" w:type="dxa"/>
            <w:shd w:val="clear" w:color="auto" w:fill="auto"/>
            <w:vAlign w:val="center"/>
          </w:tcPr>
          <w:p w14:paraId="216EB31E">
            <w:pPr>
              <w:pStyle w:val="178"/>
              <w:rPr>
                <w:rFonts w:ascii="Times New Roman"/>
              </w:rPr>
            </w:pPr>
            <w:r>
              <w:rPr>
                <w:rFonts w:ascii="Times New Roman"/>
              </w:rPr>
              <w:t>0.55</w:t>
            </w:r>
          </w:p>
        </w:tc>
        <w:tc>
          <w:tcPr>
            <w:tcW w:w="1556" w:type="dxa"/>
            <w:shd w:val="clear" w:color="auto" w:fill="auto"/>
            <w:vAlign w:val="center"/>
          </w:tcPr>
          <w:p w14:paraId="2EDA5A58">
            <w:pPr>
              <w:pStyle w:val="178"/>
              <w:rPr>
                <w:rFonts w:ascii="Times New Roman"/>
              </w:rPr>
            </w:pPr>
            <w:r>
              <w:rPr>
                <w:rFonts w:ascii="Times New Roman"/>
              </w:rPr>
              <w:t>3.12</w:t>
            </w:r>
          </w:p>
        </w:tc>
        <w:tc>
          <w:tcPr>
            <w:tcW w:w="1556" w:type="dxa"/>
            <w:shd w:val="clear" w:color="auto" w:fill="auto"/>
          </w:tcPr>
          <w:p w14:paraId="09C8B0A6">
            <w:pPr>
              <w:pStyle w:val="178"/>
              <w:rPr>
                <w:rFonts w:ascii="Times New Roman"/>
              </w:rPr>
            </w:pPr>
            <w:r>
              <w:rPr>
                <w:rFonts w:ascii="Times New Roman"/>
              </w:rPr>
              <w:t>/</w:t>
            </w:r>
          </w:p>
        </w:tc>
      </w:tr>
      <w:tr w14:paraId="5449A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328D33B2">
            <w:pPr>
              <w:pStyle w:val="178"/>
              <w:rPr>
                <w:rFonts w:ascii="Times New Roman"/>
              </w:rPr>
            </w:pPr>
            <w:r>
              <w:rPr>
                <w:rFonts w:ascii="Times New Roman"/>
              </w:rPr>
              <w:t>高位发热量/（MJ·kg</w:t>
            </w:r>
            <w:r>
              <w:rPr>
                <w:rFonts w:ascii="Times New Roman"/>
                <w:vertAlign w:val="superscript"/>
              </w:rPr>
              <w:t>-1</w:t>
            </w:r>
            <w:r>
              <w:rPr>
                <w:rFonts w:ascii="Times New Roman"/>
              </w:rPr>
              <w:t>）</w:t>
            </w:r>
          </w:p>
        </w:tc>
        <w:tc>
          <w:tcPr>
            <w:tcW w:w="1555" w:type="dxa"/>
            <w:shd w:val="clear" w:color="auto" w:fill="auto"/>
            <w:vAlign w:val="center"/>
          </w:tcPr>
          <w:p w14:paraId="6E04F06E">
            <w:pPr>
              <w:pStyle w:val="178"/>
              <w:rPr>
                <w:rFonts w:ascii="Times New Roman"/>
              </w:rPr>
            </w:pPr>
            <w:r>
              <w:rPr>
                <w:rFonts w:ascii="Times New Roman"/>
              </w:rPr>
              <w:t>10.40</w:t>
            </w:r>
          </w:p>
        </w:tc>
        <w:tc>
          <w:tcPr>
            <w:tcW w:w="1555" w:type="dxa"/>
            <w:shd w:val="clear" w:color="auto" w:fill="auto"/>
            <w:vAlign w:val="center"/>
          </w:tcPr>
          <w:p w14:paraId="4E8891B7">
            <w:pPr>
              <w:pStyle w:val="178"/>
              <w:rPr>
                <w:rFonts w:ascii="Times New Roman"/>
              </w:rPr>
            </w:pPr>
            <w:r>
              <w:rPr>
                <w:rFonts w:ascii="Times New Roman"/>
              </w:rPr>
              <w:t>/</w:t>
            </w:r>
          </w:p>
        </w:tc>
        <w:tc>
          <w:tcPr>
            <w:tcW w:w="1556" w:type="dxa"/>
            <w:shd w:val="clear" w:color="auto" w:fill="auto"/>
            <w:vAlign w:val="center"/>
          </w:tcPr>
          <w:p w14:paraId="684AE6BB">
            <w:pPr>
              <w:pStyle w:val="178"/>
              <w:rPr>
                <w:rFonts w:ascii="Times New Roman"/>
              </w:rPr>
            </w:pPr>
            <w:r>
              <w:rPr>
                <w:rFonts w:ascii="Times New Roman"/>
              </w:rPr>
              <w:t>/10.99</w:t>
            </w:r>
          </w:p>
        </w:tc>
        <w:tc>
          <w:tcPr>
            <w:tcW w:w="1556" w:type="dxa"/>
            <w:shd w:val="clear" w:color="auto" w:fill="auto"/>
          </w:tcPr>
          <w:p w14:paraId="1C827831">
            <w:pPr>
              <w:pStyle w:val="178"/>
              <w:rPr>
                <w:rFonts w:ascii="Times New Roman"/>
              </w:rPr>
            </w:pPr>
            <w:r>
              <w:rPr>
                <w:rFonts w:ascii="Times New Roman"/>
              </w:rPr>
              <w:t>/</w:t>
            </w:r>
          </w:p>
        </w:tc>
      </w:tr>
      <w:tr w14:paraId="4B062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283D6A24">
            <w:pPr>
              <w:pStyle w:val="178"/>
              <w:rPr>
                <w:rFonts w:ascii="Times New Roman"/>
              </w:rPr>
            </w:pPr>
            <w:r>
              <w:rPr>
                <w:rFonts w:ascii="Times New Roman"/>
              </w:rPr>
              <w:t>低位发热量/（MJ·kg</w:t>
            </w:r>
            <w:r>
              <w:rPr>
                <w:rFonts w:ascii="Times New Roman"/>
                <w:vertAlign w:val="superscript"/>
              </w:rPr>
              <w:t>-1</w:t>
            </w:r>
            <w:r>
              <w:rPr>
                <w:rFonts w:ascii="Times New Roman"/>
              </w:rPr>
              <w:t>）</w:t>
            </w:r>
          </w:p>
        </w:tc>
        <w:tc>
          <w:tcPr>
            <w:tcW w:w="1555" w:type="dxa"/>
            <w:shd w:val="clear" w:color="auto" w:fill="auto"/>
            <w:vAlign w:val="center"/>
          </w:tcPr>
          <w:p w14:paraId="571D9CA7">
            <w:pPr>
              <w:pStyle w:val="178"/>
              <w:rPr>
                <w:rFonts w:ascii="Times New Roman"/>
              </w:rPr>
            </w:pPr>
            <w:r>
              <w:rPr>
                <w:rFonts w:ascii="Times New Roman"/>
              </w:rPr>
              <w:t>9.587</w:t>
            </w:r>
          </w:p>
        </w:tc>
        <w:tc>
          <w:tcPr>
            <w:tcW w:w="1555" w:type="dxa"/>
            <w:shd w:val="clear" w:color="auto" w:fill="auto"/>
            <w:vAlign w:val="center"/>
          </w:tcPr>
          <w:p w14:paraId="260F87A3">
            <w:pPr>
              <w:pStyle w:val="178"/>
              <w:rPr>
                <w:rFonts w:ascii="Times New Roman"/>
              </w:rPr>
            </w:pPr>
            <w:r>
              <w:rPr>
                <w:rFonts w:ascii="Times New Roman"/>
              </w:rPr>
              <w:t>-0.064</w:t>
            </w:r>
          </w:p>
        </w:tc>
        <w:tc>
          <w:tcPr>
            <w:tcW w:w="1556" w:type="dxa"/>
            <w:shd w:val="clear" w:color="auto" w:fill="auto"/>
            <w:vAlign w:val="center"/>
          </w:tcPr>
          <w:p w14:paraId="3CD3514E">
            <w:pPr>
              <w:pStyle w:val="178"/>
              <w:rPr>
                <w:rFonts w:ascii="Times New Roman"/>
              </w:rPr>
            </w:pPr>
            <w:r>
              <w:rPr>
                <w:rFonts w:ascii="Times New Roman"/>
              </w:rPr>
              <w:t>10.188</w:t>
            </w:r>
          </w:p>
        </w:tc>
        <w:tc>
          <w:tcPr>
            <w:tcW w:w="1556" w:type="dxa"/>
            <w:shd w:val="clear" w:color="auto" w:fill="auto"/>
          </w:tcPr>
          <w:p w14:paraId="11E2F60E">
            <w:pPr>
              <w:pStyle w:val="178"/>
              <w:rPr>
                <w:rFonts w:ascii="Times New Roman"/>
              </w:rPr>
            </w:pPr>
            <w:r>
              <w:rPr>
                <w:rFonts w:ascii="Times New Roman"/>
              </w:rPr>
              <w:t>/</w:t>
            </w:r>
          </w:p>
        </w:tc>
      </w:tr>
      <w:tr w14:paraId="416A3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shd w:val="clear" w:color="auto" w:fill="auto"/>
            <w:vAlign w:val="center"/>
          </w:tcPr>
          <w:p w14:paraId="46F7A3D9">
            <w:pPr>
              <w:pStyle w:val="178"/>
              <w:rPr>
                <w:rFonts w:ascii="Times New Roman"/>
              </w:rPr>
            </w:pPr>
            <w:r>
              <w:rPr>
                <w:rFonts w:ascii="Times New Roman"/>
              </w:rPr>
              <w:t>全硫/%</w:t>
            </w:r>
          </w:p>
        </w:tc>
        <w:tc>
          <w:tcPr>
            <w:tcW w:w="1555" w:type="dxa"/>
            <w:shd w:val="clear" w:color="auto" w:fill="auto"/>
            <w:vAlign w:val="center"/>
          </w:tcPr>
          <w:p w14:paraId="25558471">
            <w:pPr>
              <w:pStyle w:val="178"/>
              <w:rPr>
                <w:rFonts w:ascii="Times New Roman"/>
              </w:rPr>
            </w:pPr>
            <w:r>
              <w:rPr>
                <w:rFonts w:ascii="Times New Roman"/>
              </w:rPr>
              <w:t>0.61</w:t>
            </w:r>
          </w:p>
        </w:tc>
        <w:tc>
          <w:tcPr>
            <w:tcW w:w="1555" w:type="dxa"/>
            <w:shd w:val="clear" w:color="auto" w:fill="auto"/>
            <w:vAlign w:val="center"/>
          </w:tcPr>
          <w:p w14:paraId="5CC696E6">
            <w:pPr>
              <w:pStyle w:val="178"/>
              <w:rPr>
                <w:rFonts w:ascii="Times New Roman"/>
              </w:rPr>
            </w:pPr>
            <w:r>
              <w:rPr>
                <w:rFonts w:ascii="Times New Roman"/>
              </w:rPr>
              <w:t>0.11</w:t>
            </w:r>
          </w:p>
        </w:tc>
        <w:tc>
          <w:tcPr>
            <w:tcW w:w="1556" w:type="dxa"/>
            <w:shd w:val="clear" w:color="auto" w:fill="auto"/>
            <w:vAlign w:val="center"/>
          </w:tcPr>
          <w:p w14:paraId="4997EA11">
            <w:pPr>
              <w:pStyle w:val="178"/>
              <w:rPr>
                <w:rFonts w:ascii="Times New Roman"/>
              </w:rPr>
            </w:pPr>
            <w:r>
              <w:rPr>
                <w:rFonts w:ascii="Times New Roman"/>
              </w:rPr>
              <w:t>0.64</w:t>
            </w:r>
          </w:p>
        </w:tc>
        <w:tc>
          <w:tcPr>
            <w:tcW w:w="1556" w:type="dxa"/>
            <w:shd w:val="clear" w:color="auto" w:fill="auto"/>
          </w:tcPr>
          <w:p w14:paraId="63FB7952">
            <w:pPr>
              <w:pStyle w:val="178"/>
              <w:rPr>
                <w:rFonts w:ascii="Times New Roman"/>
              </w:rPr>
            </w:pPr>
            <w:r>
              <w:rPr>
                <w:rFonts w:ascii="Times New Roman"/>
              </w:rPr>
              <w:t>/</w:t>
            </w:r>
          </w:p>
        </w:tc>
      </w:tr>
      <w:tr w14:paraId="1021E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shd w:val="clear" w:color="auto" w:fill="auto"/>
            <w:vAlign w:val="center"/>
          </w:tcPr>
          <w:p w14:paraId="2289B8C2">
            <w:pPr>
              <w:pStyle w:val="178"/>
              <w:rPr>
                <w:rFonts w:ascii="Times New Roman"/>
              </w:rPr>
            </w:pPr>
            <w:r>
              <w:rPr>
                <w:rFonts w:ascii="Times New Roman"/>
              </w:rPr>
              <w:t>元素分析/%</w:t>
            </w:r>
          </w:p>
        </w:tc>
        <w:tc>
          <w:tcPr>
            <w:tcW w:w="1556" w:type="dxa"/>
            <w:shd w:val="clear" w:color="auto" w:fill="auto"/>
            <w:vAlign w:val="center"/>
          </w:tcPr>
          <w:p w14:paraId="1881C285">
            <w:pPr>
              <w:pStyle w:val="178"/>
              <w:rPr>
                <w:rFonts w:ascii="Times New Roman"/>
              </w:rPr>
            </w:pPr>
            <w:r>
              <w:rPr>
                <w:rFonts w:ascii="Times New Roman"/>
              </w:rPr>
              <w:t>碳</w:t>
            </w:r>
          </w:p>
        </w:tc>
        <w:tc>
          <w:tcPr>
            <w:tcW w:w="1555" w:type="dxa"/>
            <w:shd w:val="clear" w:color="auto" w:fill="auto"/>
            <w:vAlign w:val="center"/>
          </w:tcPr>
          <w:p w14:paraId="45102C34">
            <w:pPr>
              <w:pStyle w:val="178"/>
              <w:rPr>
                <w:rFonts w:ascii="Times New Roman"/>
              </w:rPr>
            </w:pPr>
            <w:r>
              <w:rPr>
                <w:rFonts w:ascii="Times New Roman"/>
              </w:rPr>
              <w:t>23.35</w:t>
            </w:r>
          </w:p>
        </w:tc>
        <w:tc>
          <w:tcPr>
            <w:tcW w:w="1555" w:type="dxa"/>
            <w:shd w:val="clear" w:color="auto" w:fill="auto"/>
            <w:vAlign w:val="center"/>
          </w:tcPr>
          <w:p w14:paraId="187C9019">
            <w:pPr>
              <w:pStyle w:val="178"/>
              <w:rPr>
                <w:rFonts w:ascii="Times New Roman"/>
              </w:rPr>
            </w:pPr>
            <w:r>
              <w:rPr>
                <w:rFonts w:ascii="Times New Roman"/>
              </w:rPr>
              <w:t>4.39</w:t>
            </w:r>
          </w:p>
        </w:tc>
        <w:tc>
          <w:tcPr>
            <w:tcW w:w="1556" w:type="dxa"/>
            <w:shd w:val="clear" w:color="auto" w:fill="auto"/>
            <w:vAlign w:val="center"/>
          </w:tcPr>
          <w:p w14:paraId="7DB0D450">
            <w:pPr>
              <w:pStyle w:val="178"/>
              <w:rPr>
                <w:rFonts w:ascii="Times New Roman"/>
              </w:rPr>
            </w:pPr>
            <w:r>
              <w:rPr>
                <w:rFonts w:ascii="Times New Roman"/>
              </w:rPr>
              <w:t>24.67</w:t>
            </w:r>
          </w:p>
        </w:tc>
        <w:tc>
          <w:tcPr>
            <w:tcW w:w="1556" w:type="dxa"/>
            <w:shd w:val="clear" w:color="auto" w:fill="auto"/>
            <w:vAlign w:val="center"/>
          </w:tcPr>
          <w:p w14:paraId="03CDFAFA">
            <w:pPr>
              <w:pStyle w:val="178"/>
              <w:rPr>
                <w:rFonts w:ascii="Times New Roman"/>
              </w:rPr>
            </w:pPr>
            <w:r>
              <w:rPr>
                <w:rFonts w:ascii="Times New Roman"/>
              </w:rPr>
              <w:t>49.18</w:t>
            </w:r>
          </w:p>
        </w:tc>
      </w:tr>
      <w:tr w14:paraId="161F5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0026E053">
            <w:pPr>
              <w:pStyle w:val="178"/>
              <w:rPr>
                <w:rFonts w:ascii="Times New Roman"/>
              </w:rPr>
            </w:pPr>
          </w:p>
        </w:tc>
        <w:tc>
          <w:tcPr>
            <w:tcW w:w="1556" w:type="dxa"/>
            <w:shd w:val="clear" w:color="auto" w:fill="auto"/>
            <w:vAlign w:val="center"/>
          </w:tcPr>
          <w:p w14:paraId="6E787AC9">
            <w:pPr>
              <w:pStyle w:val="178"/>
              <w:rPr>
                <w:rFonts w:ascii="Times New Roman"/>
              </w:rPr>
            </w:pPr>
            <w:r>
              <w:rPr>
                <w:rFonts w:ascii="Times New Roman"/>
              </w:rPr>
              <w:t>氢</w:t>
            </w:r>
          </w:p>
        </w:tc>
        <w:tc>
          <w:tcPr>
            <w:tcW w:w="1555" w:type="dxa"/>
            <w:shd w:val="clear" w:color="auto" w:fill="auto"/>
            <w:vAlign w:val="center"/>
          </w:tcPr>
          <w:p w14:paraId="1F0B586D">
            <w:pPr>
              <w:pStyle w:val="178"/>
              <w:rPr>
                <w:rFonts w:ascii="Times New Roman"/>
              </w:rPr>
            </w:pPr>
            <w:r>
              <w:rPr>
                <w:rFonts w:ascii="Times New Roman"/>
              </w:rPr>
              <w:t>3.36</w:t>
            </w:r>
          </w:p>
        </w:tc>
        <w:tc>
          <w:tcPr>
            <w:tcW w:w="1555" w:type="dxa"/>
            <w:shd w:val="clear" w:color="auto" w:fill="auto"/>
            <w:vAlign w:val="center"/>
          </w:tcPr>
          <w:p w14:paraId="114C0293">
            <w:pPr>
              <w:pStyle w:val="178"/>
              <w:rPr>
                <w:rFonts w:ascii="Times New Roman"/>
              </w:rPr>
            </w:pPr>
            <w:r>
              <w:rPr>
                <w:rFonts w:ascii="Times New Roman"/>
              </w:rPr>
              <w:t>0.63</w:t>
            </w:r>
          </w:p>
        </w:tc>
        <w:tc>
          <w:tcPr>
            <w:tcW w:w="1556" w:type="dxa"/>
            <w:shd w:val="clear" w:color="auto" w:fill="auto"/>
            <w:vAlign w:val="center"/>
          </w:tcPr>
          <w:p w14:paraId="2C0B84FD">
            <w:pPr>
              <w:pStyle w:val="178"/>
              <w:rPr>
                <w:rFonts w:ascii="Times New Roman"/>
              </w:rPr>
            </w:pPr>
            <w:r>
              <w:rPr>
                <w:rFonts w:ascii="Times New Roman"/>
              </w:rPr>
              <w:t>3.55</w:t>
            </w:r>
          </w:p>
        </w:tc>
        <w:tc>
          <w:tcPr>
            <w:tcW w:w="1556" w:type="dxa"/>
            <w:shd w:val="clear" w:color="auto" w:fill="auto"/>
            <w:vAlign w:val="center"/>
          </w:tcPr>
          <w:p w14:paraId="50F9B19B">
            <w:pPr>
              <w:pStyle w:val="178"/>
              <w:rPr>
                <w:rFonts w:ascii="Times New Roman"/>
              </w:rPr>
            </w:pPr>
            <w:r>
              <w:rPr>
                <w:rFonts w:ascii="Times New Roman"/>
              </w:rPr>
              <w:t>7.08</w:t>
            </w:r>
          </w:p>
        </w:tc>
      </w:tr>
      <w:tr w14:paraId="621FB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4C40A797">
            <w:pPr>
              <w:pStyle w:val="178"/>
              <w:rPr>
                <w:rFonts w:ascii="Times New Roman"/>
              </w:rPr>
            </w:pPr>
          </w:p>
        </w:tc>
        <w:tc>
          <w:tcPr>
            <w:tcW w:w="1556" w:type="dxa"/>
            <w:shd w:val="clear" w:color="auto" w:fill="auto"/>
            <w:vAlign w:val="center"/>
          </w:tcPr>
          <w:p w14:paraId="676A21B9">
            <w:pPr>
              <w:pStyle w:val="178"/>
              <w:rPr>
                <w:rFonts w:ascii="Times New Roman"/>
              </w:rPr>
            </w:pPr>
            <w:r>
              <w:rPr>
                <w:rFonts w:ascii="Times New Roman"/>
              </w:rPr>
              <w:t>氮</w:t>
            </w:r>
          </w:p>
        </w:tc>
        <w:tc>
          <w:tcPr>
            <w:tcW w:w="1555" w:type="dxa"/>
            <w:shd w:val="clear" w:color="auto" w:fill="auto"/>
            <w:vAlign w:val="center"/>
          </w:tcPr>
          <w:p w14:paraId="6D9C9630">
            <w:pPr>
              <w:pStyle w:val="178"/>
              <w:rPr>
                <w:rFonts w:ascii="Times New Roman"/>
              </w:rPr>
            </w:pPr>
            <w:r>
              <w:rPr>
                <w:rFonts w:ascii="Times New Roman"/>
              </w:rPr>
              <w:t>3.87</w:t>
            </w:r>
          </w:p>
        </w:tc>
        <w:tc>
          <w:tcPr>
            <w:tcW w:w="1555" w:type="dxa"/>
            <w:shd w:val="clear" w:color="auto" w:fill="auto"/>
            <w:vAlign w:val="center"/>
          </w:tcPr>
          <w:p w14:paraId="2B3AA36E">
            <w:pPr>
              <w:pStyle w:val="178"/>
              <w:rPr>
                <w:rFonts w:ascii="Times New Roman"/>
              </w:rPr>
            </w:pPr>
            <w:r>
              <w:rPr>
                <w:rFonts w:ascii="Times New Roman"/>
              </w:rPr>
              <w:t>0.73</w:t>
            </w:r>
          </w:p>
        </w:tc>
        <w:tc>
          <w:tcPr>
            <w:tcW w:w="1556" w:type="dxa"/>
            <w:shd w:val="clear" w:color="auto" w:fill="auto"/>
            <w:vAlign w:val="center"/>
          </w:tcPr>
          <w:p w14:paraId="039C6D56">
            <w:pPr>
              <w:pStyle w:val="178"/>
              <w:rPr>
                <w:rFonts w:ascii="Times New Roman"/>
              </w:rPr>
            </w:pPr>
            <w:r>
              <w:rPr>
                <w:rFonts w:ascii="Times New Roman"/>
              </w:rPr>
              <w:t>4.09</w:t>
            </w:r>
          </w:p>
        </w:tc>
        <w:tc>
          <w:tcPr>
            <w:tcW w:w="1556" w:type="dxa"/>
            <w:shd w:val="clear" w:color="auto" w:fill="auto"/>
            <w:vAlign w:val="center"/>
          </w:tcPr>
          <w:p w14:paraId="231B1C77">
            <w:pPr>
              <w:pStyle w:val="178"/>
              <w:rPr>
                <w:rFonts w:ascii="Times New Roman"/>
              </w:rPr>
            </w:pPr>
            <w:r>
              <w:rPr>
                <w:rFonts w:ascii="Times New Roman"/>
              </w:rPr>
              <w:t>8.15</w:t>
            </w:r>
          </w:p>
        </w:tc>
      </w:tr>
      <w:tr w14:paraId="62BD2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75FF8E70">
            <w:pPr>
              <w:pStyle w:val="178"/>
              <w:rPr>
                <w:rFonts w:ascii="Times New Roman"/>
              </w:rPr>
            </w:pPr>
          </w:p>
        </w:tc>
        <w:tc>
          <w:tcPr>
            <w:tcW w:w="1556" w:type="dxa"/>
            <w:shd w:val="clear" w:color="auto" w:fill="auto"/>
            <w:vAlign w:val="center"/>
          </w:tcPr>
          <w:p w14:paraId="68086615">
            <w:pPr>
              <w:pStyle w:val="178"/>
              <w:rPr>
                <w:rFonts w:ascii="Times New Roman"/>
              </w:rPr>
            </w:pPr>
            <w:r>
              <w:rPr>
                <w:rFonts w:ascii="Times New Roman"/>
              </w:rPr>
              <w:t>氧</w:t>
            </w:r>
          </w:p>
        </w:tc>
        <w:tc>
          <w:tcPr>
            <w:tcW w:w="1555" w:type="dxa"/>
            <w:shd w:val="clear" w:color="auto" w:fill="auto"/>
            <w:vAlign w:val="center"/>
          </w:tcPr>
          <w:p w14:paraId="25411629">
            <w:pPr>
              <w:pStyle w:val="178"/>
              <w:rPr>
                <w:rFonts w:ascii="Times New Roman"/>
              </w:rPr>
            </w:pPr>
            <w:r>
              <w:rPr>
                <w:rFonts w:ascii="Times New Roman"/>
              </w:rPr>
              <w:t>16.29</w:t>
            </w:r>
          </w:p>
        </w:tc>
        <w:tc>
          <w:tcPr>
            <w:tcW w:w="1555" w:type="dxa"/>
            <w:shd w:val="clear" w:color="auto" w:fill="auto"/>
            <w:vAlign w:val="center"/>
          </w:tcPr>
          <w:p w14:paraId="4CFBF743">
            <w:pPr>
              <w:pStyle w:val="178"/>
              <w:rPr>
                <w:rFonts w:ascii="Times New Roman"/>
              </w:rPr>
            </w:pPr>
            <w:r>
              <w:rPr>
                <w:rFonts w:ascii="Times New Roman"/>
              </w:rPr>
              <w:t>3.06</w:t>
            </w:r>
          </w:p>
        </w:tc>
        <w:tc>
          <w:tcPr>
            <w:tcW w:w="1556" w:type="dxa"/>
            <w:shd w:val="clear" w:color="auto" w:fill="auto"/>
            <w:vAlign w:val="center"/>
          </w:tcPr>
          <w:p w14:paraId="7949B368">
            <w:pPr>
              <w:pStyle w:val="178"/>
              <w:rPr>
                <w:rFonts w:ascii="Times New Roman"/>
              </w:rPr>
            </w:pPr>
            <w:r>
              <w:rPr>
                <w:rFonts w:ascii="Times New Roman"/>
              </w:rPr>
              <w:t>17.21</w:t>
            </w:r>
          </w:p>
        </w:tc>
        <w:tc>
          <w:tcPr>
            <w:tcW w:w="1556" w:type="dxa"/>
            <w:shd w:val="clear" w:color="auto" w:fill="auto"/>
            <w:vAlign w:val="center"/>
          </w:tcPr>
          <w:p w14:paraId="1B749678">
            <w:pPr>
              <w:pStyle w:val="178"/>
              <w:rPr>
                <w:rFonts w:ascii="Times New Roman"/>
              </w:rPr>
            </w:pPr>
            <w:r>
              <w:rPr>
                <w:rFonts w:ascii="Times New Roman"/>
              </w:rPr>
              <w:t>34.31</w:t>
            </w:r>
          </w:p>
        </w:tc>
      </w:tr>
      <w:tr w14:paraId="55267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14:paraId="0E5FDE40">
            <w:pPr>
              <w:pStyle w:val="178"/>
              <w:rPr>
                <w:rFonts w:ascii="Times New Roman"/>
              </w:rPr>
            </w:pPr>
          </w:p>
        </w:tc>
        <w:tc>
          <w:tcPr>
            <w:tcW w:w="1556" w:type="dxa"/>
            <w:shd w:val="clear" w:color="auto" w:fill="auto"/>
            <w:vAlign w:val="center"/>
          </w:tcPr>
          <w:p w14:paraId="0EDDEAE2">
            <w:pPr>
              <w:pStyle w:val="178"/>
              <w:rPr>
                <w:rFonts w:ascii="Times New Roman"/>
              </w:rPr>
            </w:pPr>
            <w:r>
              <w:rPr>
                <w:rFonts w:ascii="Times New Roman"/>
              </w:rPr>
              <w:t>氯</w:t>
            </w:r>
          </w:p>
        </w:tc>
        <w:tc>
          <w:tcPr>
            <w:tcW w:w="1555" w:type="dxa"/>
            <w:shd w:val="clear" w:color="auto" w:fill="auto"/>
            <w:vAlign w:val="center"/>
          </w:tcPr>
          <w:p w14:paraId="7288AB54">
            <w:pPr>
              <w:pStyle w:val="178"/>
              <w:rPr>
                <w:rFonts w:ascii="Times New Roman"/>
              </w:rPr>
            </w:pPr>
            <w:r>
              <w:rPr>
                <w:rFonts w:ascii="Times New Roman"/>
              </w:rPr>
              <w:t>0.154</w:t>
            </w:r>
          </w:p>
        </w:tc>
        <w:tc>
          <w:tcPr>
            <w:tcW w:w="1555" w:type="dxa"/>
            <w:shd w:val="clear" w:color="auto" w:fill="auto"/>
          </w:tcPr>
          <w:p w14:paraId="00219D72">
            <w:pPr>
              <w:pStyle w:val="178"/>
              <w:rPr>
                <w:rFonts w:ascii="Times New Roman"/>
              </w:rPr>
            </w:pPr>
            <w:r>
              <w:rPr>
                <w:rFonts w:ascii="Times New Roman"/>
              </w:rPr>
              <w:t>/</w:t>
            </w:r>
          </w:p>
        </w:tc>
        <w:tc>
          <w:tcPr>
            <w:tcW w:w="1556" w:type="dxa"/>
            <w:shd w:val="clear" w:color="auto" w:fill="auto"/>
          </w:tcPr>
          <w:p w14:paraId="24A1CF7E">
            <w:pPr>
              <w:pStyle w:val="178"/>
              <w:rPr>
                <w:rFonts w:ascii="Times New Roman"/>
              </w:rPr>
            </w:pPr>
            <w:r>
              <w:rPr>
                <w:rFonts w:ascii="Times New Roman"/>
              </w:rPr>
              <w:t>/</w:t>
            </w:r>
          </w:p>
        </w:tc>
        <w:tc>
          <w:tcPr>
            <w:tcW w:w="1556" w:type="dxa"/>
            <w:shd w:val="clear" w:color="auto" w:fill="auto"/>
          </w:tcPr>
          <w:p w14:paraId="6EA1EDA3">
            <w:pPr>
              <w:pStyle w:val="178"/>
              <w:rPr>
                <w:rFonts w:ascii="Times New Roman"/>
              </w:rPr>
            </w:pPr>
            <w:r>
              <w:rPr>
                <w:rFonts w:ascii="Times New Roman"/>
              </w:rPr>
              <w:t>/</w:t>
            </w:r>
          </w:p>
        </w:tc>
      </w:tr>
      <w:bookmarkEnd w:id="70"/>
    </w:tbl>
    <w:p w14:paraId="59FE440A">
      <w:pPr>
        <w:pStyle w:val="104"/>
        <w:spacing w:before="240" w:after="240"/>
        <w:rPr>
          <w:rFonts w:ascii="Times New Roman"/>
        </w:rPr>
      </w:pPr>
      <w:bookmarkStart w:id="74" w:name="_Toc193296793"/>
      <w:bookmarkStart w:id="75" w:name="_Toc193383003"/>
      <w:bookmarkStart w:id="76" w:name="_Toc193295698"/>
      <w:r>
        <w:rPr>
          <w:rFonts w:ascii="Times New Roman"/>
        </w:rPr>
        <w:t>烟气净化系统</w:t>
      </w:r>
      <w:bookmarkEnd w:id="74"/>
      <w:bookmarkEnd w:id="75"/>
    </w:p>
    <w:p w14:paraId="07C0968A">
      <w:pPr>
        <w:pStyle w:val="162"/>
        <w:rPr>
          <w:rFonts w:ascii="Times New Roman"/>
        </w:rPr>
      </w:pPr>
      <w:r>
        <w:rPr>
          <w:rFonts w:ascii="Times New Roman"/>
        </w:rPr>
        <w:t>烟气净化系统应有效去除烟气中的氯化氢、氟化氢、硫氧化物、氮氧化物等酸性污染物，以及二英类和重金属等有害物质。</w:t>
      </w:r>
    </w:p>
    <w:p w14:paraId="025BF258">
      <w:pPr>
        <w:pStyle w:val="162"/>
        <w:rPr>
          <w:rFonts w:ascii="Times New Roman"/>
        </w:rPr>
      </w:pPr>
      <w:r>
        <w:rPr>
          <w:rFonts w:ascii="Times New Roman"/>
        </w:rPr>
        <w:t>应根据烟气特性和除尘要求选择合适的除尘设备，一级除尘可采用旋风除尘或电除尘，二级除尘应采用袋式除尘器。除尘器内烟气温度应高于烟气中腐蚀气体的露点温度20℃~30℃。</w:t>
      </w:r>
    </w:p>
    <w:p w14:paraId="1C6CD504">
      <w:pPr>
        <w:pStyle w:val="162"/>
        <w:rPr>
          <w:rFonts w:ascii="Times New Roman"/>
        </w:rPr>
      </w:pPr>
      <w:r>
        <w:rPr>
          <w:rFonts w:ascii="Times New Roman"/>
        </w:rPr>
        <w:t>可采用焚烧炉内脱硫或尾部脱硫法去除硫氧化物等酸性污染物。酸性气体吸收剂储存罐的容量宜按7d~10d的用量设计。</w:t>
      </w:r>
    </w:p>
    <w:p w14:paraId="1634B307">
      <w:pPr>
        <w:pStyle w:val="162"/>
        <w:rPr>
          <w:rFonts w:ascii="Times New Roman"/>
        </w:rPr>
      </w:pPr>
      <w:r>
        <w:rPr>
          <w:rFonts w:ascii="Times New Roman"/>
        </w:rPr>
        <w:t>烟气净化系统应设置安全保护装置，如超温报警、超压报警等。应安装在线监测设备，实时监测烟气排放参数，如颗粒物浓度、二氧化硫浓度、氮氧化物浓度等，并将数据上传至环保部门。</w:t>
      </w:r>
    </w:p>
    <w:p w14:paraId="3E21883C">
      <w:pPr>
        <w:pStyle w:val="162"/>
        <w:rPr>
          <w:rFonts w:ascii="Times New Roman"/>
        </w:rPr>
      </w:pPr>
      <w:r>
        <w:rPr>
          <w:rFonts w:ascii="Times New Roman"/>
        </w:rPr>
        <w:t xml:space="preserve">烟气净化系统焚烧后的烟气宜依次经过以下净化程序，见图2： </w:t>
      </w:r>
    </w:p>
    <w:p w14:paraId="27742B8F">
      <w:pPr>
        <w:pStyle w:val="132"/>
        <w:rPr>
          <w:rFonts w:ascii="Times New Roman"/>
        </w:rPr>
      </w:pPr>
      <w:r>
        <w:rPr>
          <w:rFonts w:ascii="Times New Roman"/>
        </w:rPr>
        <w:t>半干法脱酸塔；</w:t>
      </w:r>
    </w:p>
    <w:p w14:paraId="2EB7C48C">
      <w:pPr>
        <w:pStyle w:val="132"/>
        <w:rPr>
          <w:rFonts w:ascii="Times New Roman"/>
        </w:rPr>
      </w:pPr>
      <w:r>
        <w:rPr>
          <w:rFonts w:ascii="Times New Roman"/>
        </w:rPr>
        <w:t>湿法脱酸塔；</w:t>
      </w:r>
    </w:p>
    <w:p w14:paraId="5AFC0028">
      <w:pPr>
        <w:pStyle w:val="132"/>
        <w:rPr>
          <w:rFonts w:ascii="Times New Roman"/>
        </w:rPr>
      </w:pPr>
      <w:r>
        <w:rPr>
          <w:rFonts w:ascii="Times New Roman"/>
        </w:rPr>
        <w:t>布袋除尘器；</w:t>
      </w:r>
    </w:p>
    <w:p w14:paraId="109EDB72">
      <w:pPr>
        <w:pStyle w:val="132"/>
        <w:rPr>
          <w:rFonts w:ascii="Times New Roman"/>
        </w:rPr>
      </w:pPr>
      <w:r>
        <w:rPr>
          <w:rFonts w:ascii="Times New Roman"/>
        </w:rPr>
        <w:t>湿电除尘器；</w:t>
      </w:r>
    </w:p>
    <w:p w14:paraId="395560E2">
      <w:pPr>
        <w:pStyle w:val="132"/>
        <w:rPr>
          <w:rFonts w:ascii="Times New Roman"/>
        </w:rPr>
      </w:pPr>
      <w:r>
        <w:rPr>
          <w:rFonts w:ascii="Times New Roman"/>
        </w:rPr>
        <w:t>烟气再热器；</w:t>
      </w:r>
    </w:p>
    <w:p w14:paraId="1B7287FC">
      <w:pPr>
        <w:pStyle w:val="132"/>
        <w:rPr>
          <w:rFonts w:ascii="Times New Roman"/>
        </w:rPr>
      </w:pPr>
      <w:r>
        <w:rPr>
          <w:rFonts w:ascii="Times New Roman"/>
        </w:rPr>
        <w:t>烟囱。</w:t>
      </w:r>
    </w:p>
    <w:p w14:paraId="7EC4E357">
      <w:pPr>
        <w:pStyle w:val="162"/>
        <w:rPr>
          <w:rFonts w:ascii="Times New Roman"/>
        </w:rPr>
      </w:pPr>
      <w:r>
        <w:rPr>
          <w:rFonts w:ascii="Times New Roman"/>
        </w:rPr>
        <w:t>烟气净化系统调试前，应对各设备进行单机试车。系统调试时，应逐步调整各工艺参数。</w:t>
      </w:r>
    </w:p>
    <w:p w14:paraId="62526B9A">
      <w:pPr>
        <w:pStyle w:val="162"/>
        <w:rPr>
          <w:rFonts w:ascii="Times New Roman"/>
        </w:rPr>
      </w:pPr>
      <w:r>
        <w:rPr>
          <w:rFonts w:ascii="Times New Roman"/>
        </w:rPr>
        <w:t>应定期对烟气净化系统进行维护保养，清洗除尘器、更换吸收剂等。烟气净化过程中捕集的飞灰应单独储存，并按危险废物处理。</w:t>
      </w:r>
    </w:p>
    <w:p w14:paraId="0EF6DB79">
      <w:pPr>
        <w:pStyle w:val="162"/>
        <w:rPr>
          <w:rFonts w:ascii="Times New Roman"/>
        </w:rPr>
      </w:pPr>
      <w:r>
        <w:rPr>
          <w:rFonts w:ascii="Times New Roman"/>
        </w:rPr>
        <w:t>排烟系统应设置引风机，风量宜按最大计算烟气量加20%~30%的余量确定。</w:t>
      </w:r>
    </w:p>
    <w:p w14:paraId="4098BCB2">
      <w:pPr>
        <w:pStyle w:val="56"/>
        <w:spacing w:before="120" w:beforeLines="50" w:after="120" w:afterLines="50"/>
        <w:ind w:firstLine="0" w:firstLineChars="0"/>
        <w:jc w:val="center"/>
        <w:rPr>
          <w:rFonts w:ascii="Times New Roman"/>
        </w:rPr>
      </w:pPr>
      <w:r>
        <w:rPr>
          <w:rFonts w:ascii="Times New Roman"/>
        </w:rPr>
        <w:drawing>
          <wp:inline distT="0" distB="0" distL="0" distR="0">
            <wp:extent cx="3439160" cy="1240790"/>
            <wp:effectExtent l="0" t="0" r="8890" b="0"/>
            <wp:docPr id="6568266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26612"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456646" cy="1247186"/>
                    </a:xfrm>
                    <a:prstGeom prst="rect">
                      <a:avLst/>
                    </a:prstGeom>
                    <a:noFill/>
                    <a:ln>
                      <a:noFill/>
                    </a:ln>
                  </pic:spPr>
                </pic:pic>
              </a:graphicData>
            </a:graphic>
          </wp:inline>
        </w:drawing>
      </w:r>
    </w:p>
    <w:p w14:paraId="3E8BD3A1">
      <w:pPr>
        <w:pStyle w:val="114"/>
        <w:spacing w:before="120" w:after="120"/>
        <w:rPr>
          <w:rFonts w:ascii="Times New Roman"/>
        </w:rPr>
      </w:pPr>
      <w:bookmarkStart w:id="77" w:name="_Hlk193296062"/>
      <w:r>
        <w:rPr>
          <w:rFonts w:ascii="Times New Roman"/>
        </w:rPr>
        <w:t>焚烧烟气净化程序</w:t>
      </w:r>
    </w:p>
    <w:bookmarkEnd w:id="77"/>
    <w:p w14:paraId="0928D32A">
      <w:pPr>
        <w:pStyle w:val="162"/>
        <w:rPr>
          <w:rFonts w:ascii="Times New Roman"/>
        </w:rPr>
      </w:pPr>
      <w:r>
        <w:rPr>
          <w:rFonts w:ascii="Times New Roman"/>
        </w:rPr>
        <w:t>烟气净化系统排放烟气应满足GB 18485、欧盟工业排放指令（2010/75/EU）的要求，具体指标要求见表2。</w:t>
      </w:r>
    </w:p>
    <w:p w14:paraId="7E39AF8C">
      <w:pPr>
        <w:pStyle w:val="112"/>
        <w:spacing w:before="120" w:after="120"/>
        <w:rPr>
          <w:rFonts w:ascii="Times New Roman"/>
        </w:rPr>
      </w:pPr>
      <w:bookmarkStart w:id="78" w:name="_Hlk193293031"/>
      <w:r>
        <w:rPr>
          <w:rFonts w:ascii="Times New Roman"/>
        </w:rPr>
        <w:t>烟气排放指标</w:t>
      </w:r>
      <w:bookmarkEnd w:id="78"/>
      <w:r>
        <w:rPr>
          <w:rFonts w:ascii="Times New Roman"/>
        </w:rPr>
        <w:t>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3401"/>
        <w:gridCol w:w="2333"/>
        <w:gridCol w:w="2334"/>
      </w:tblGrid>
      <w:tr w14:paraId="7FD90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14:paraId="06107E08">
            <w:pPr>
              <w:pStyle w:val="178"/>
              <w:rPr>
                <w:rFonts w:ascii="Times New Roman"/>
              </w:rPr>
            </w:pPr>
            <w:r>
              <w:rPr>
                <w:rFonts w:ascii="Times New Roman"/>
              </w:rPr>
              <w:t>序号</w:t>
            </w:r>
          </w:p>
        </w:tc>
        <w:tc>
          <w:tcPr>
            <w:tcW w:w="3401" w:type="dxa"/>
            <w:tcBorders>
              <w:top w:val="single" w:color="auto" w:sz="8" w:space="0"/>
              <w:bottom w:val="single" w:color="auto" w:sz="8" w:space="0"/>
            </w:tcBorders>
            <w:shd w:val="clear" w:color="auto" w:fill="auto"/>
            <w:vAlign w:val="center"/>
          </w:tcPr>
          <w:p w14:paraId="41BFA93C">
            <w:pPr>
              <w:pStyle w:val="178"/>
              <w:rPr>
                <w:rFonts w:ascii="Times New Roman"/>
              </w:rPr>
            </w:pPr>
            <w:r>
              <w:rPr>
                <w:rFonts w:ascii="Times New Roman"/>
              </w:rPr>
              <w:t>污染物名称</w:t>
            </w:r>
          </w:p>
        </w:tc>
        <w:tc>
          <w:tcPr>
            <w:tcW w:w="2333" w:type="dxa"/>
            <w:tcBorders>
              <w:top w:val="single" w:color="auto" w:sz="8" w:space="0"/>
              <w:bottom w:val="single" w:color="auto" w:sz="8" w:space="0"/>
            </w:tcBorders>
            <w:shd w:val="clear" w:color="auto" w:fill="auto"/>
            <w:vAlign w:val="center"/>
          </w:tcPr>
          <w:p w14:paraId="70CC42B4">
            <w:pPr>
              <w:pStyle w:val="178"/>
              <w:rPr>
                <w:rFonts w:ascii="Times New Roman"/>
              </w:rPr>
            </w:pPr>
            <w:r>
              <w:rPr>
                <w:rFonts w:ascii="Times New Roman"/>
              </w:rPr>
              <w:t>单位</w:t>
            </w:r>
          </w:p>
        </w:tc>
        <w:tc>
          <w:tcPr>
            <w:tcW w:w="2334" w:type="dxa"/>
            <w:tcBorders>
              <w:top w:val="single" w:color="auto" w:sz="8" w:space="0"/>
              <w:bottom w:val="single" w:color="auto" w:sz="8" w:space="0"/>
            </w:tcBorders>
            <w:shd w:val="clear" w:color="auto" w:fill="auto"/>
            <w:vAlign w:val="center"/>
          </w:tcPr>
          <w:p w14:paraId="6727E069">
            <w:pPr>
              <w:pStyle w:val="178"/>
              <w:rPr>
                <w:rFonts w:ascii="Times New Roman"/>
              </w:rPr>
            </w:pPr>
            <w:r>
              <w:rPr>
                <w:rFonts w:ascii="Times New Roman"/>
              </w:rPr>
              <w:t>要求</w:t>
            </w:r>
          </w:p>
        </w:tc>
      </w:tr>
      <w:tr w14:paraId="1CDC0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14:paraId="430B0314">
            <w:pPr>
              <w:pStyle w:val="178"/>
              <w:rPr>
                <w:rFonts w:ascii="Times New Roman"/>
              </w:rPr>
            </w:pPr>
            <w:r>
              <w:rPr>
                <w:rFonts w:ascii="Times New Roman"/>
              </w:rPr>
              <w:t>1</w:t>
            </w:r>
          </w:p>
        </w:tc>
        <w:tc>
          <w:tcPr>
            <w:tcW w:w="3401" w:type="dxa"/>
            <w:tcBorders>
              <w:top w:val="single" w:color="auto" w:sz="8" w:space="0"/>
            </w:tcBorders>
            <w:shd w:val="clear" w:color="auto" w:fill="auto"/>
            <w:vAlign w:val="center"/>
          </w:tcPr>
          <w:p w14:paraId="1881F3B4">
            <w:pPr>
              <w:pStyle w:val="178"/>
              <w:rPr>
                <w:rFonts w:ascii="Times New Roman"/>
              </w:rPr>
            </w:pPr>
            <w:r>
              <w:rPr>
                <w:rFonts w:ascii="Times New Roman"/>
              </w:rPr>
              <w:t>颗粒物</w:t>
            </w:r>
          </w:p>
        </w:tc>
        <w:tc>
          <w:tcPr>
            <w:tcW w:w="2333" w:type="dxa"/>
            <w:tcBorders>
              <w:top w:val="single" w:color="auto" w:sz="8" w:space="0"/>
            </w:tcBorders>
            <w:shd w:val="clear" w:color="auto" w:fill="auto"/>
            <w:vAlign w:val="center"/>
          </w:tcPr>
          <w:p w14:paraId="4C6F0746">
            <w:pPr>
              <w:pStyle w:val="178"/>
              <w:rPr>
                <w:rFonts w:ascii="Times New Roman"/>
              </w:rPr>
            </w:pPr>
            <w:r>
              <w:rPr>
                <w:rFonts w:ascii="Times New Roman"/>
              </w:rPr>
              <w:t>mg/Nm</w:t>
            </w:r>
            <w:r>
              <w:rPr>
                <w:rFonts w:ascii="Times New Roman"/>
                <w:vertAlign w:val="superscript"/>
              </w:rPr>
              <w:t>3</w:t>
            </w:r>
          </w:p>
        </w:tc>
        <w:tc>
          <w:tcPr>
            <w:tcW w:w="2334" w:type="dxa"/>
            <w:tcBorders>
              <w:top w:val="single" w:color="auto" w:sz="8" w:space="0"/>
            </w:tcBorders>
            <w:shd w:val="clear" w:color="auto" w:fill="auto"/>
            <w:vAlign w:val="center"/>
          </w:tcPr>
          <w:p w14:paraId="5A76DBD3">
            <w:pPr>
              <w:pStyle w:val="178"/>
              <w:rPr>
                <w:rFonts w:ascii="Times New Roman"/>
              </w:rPr>
            </w:pPr>
            <w:r>
              <w:rPr>
                <w:rFonts w:ascii="Times New Roman"/>
              </w:rPr>
              <w:t>＜20</w:t>
            </w:r>
          </w:p>
        </w:tc>
      </w:tr>
      <w:tr w14:paraId="4A27A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410C9374">
            <w:pPr>
              <w:pStyle w:val="178"/>
              <w:rPr>
                <w:rFonts w:ascii="Times New Roman"/>
              </w:rPr>
            </w:pPr>
            <w:r>
              <w:rPr>
                <w:rFonts w:ascii="Times New Roman"/>
              </w:rPr>
              <w:t>2</w:t>
            </w:r>
          </w:p>
        </w:tc>
        <w:tc>
          <w:tcPr>
            <w:tcW w:w="3401" w:type="dxa"/>
            <w:shd w:val="clear" w:color="auto" w:fill="auto"/>
            <w:vAlign w:val="center"/>
          </w:tcPr>
          <w:p w14:paraId="1A819D83">
            <w:pPr>
              <w:pStyle w:val="178"/>
              <w:rPr>
                <w:rFonts w:ascii="Times New Roman"/>
              </w:rPr>
            </w:pPr>
            <w:r>
              <w:rPr>
                <w:rFonts w:ascii="Times New Roman"/>
              </w:rPr>
              <w:t>HCl</w:t>
            </w:r>
          </w:p>
        </w:tc>
        <w:tc>
          <w:tcPr>
            <w:tcW w:w="2333" w:type="dxa"/>
            <w:shd w:val="clear" w:color="auto" w:fill="auto"/>
          </w:tcPr>
          <w:p w14:paraId="7984724B">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6921A0ED">
            <w:pPr>
              <w:pStyle w:val="178"/>
              <w:rPr>
                <w:rFonts w:ascii="Times New Roman"/>
              </w:rPr>
            </w:pPr>
            <w:r>
              <w:rPr>
                <w:rFonts w:ascii="Times New Roman"/>
              </w:rPr>
              <w:t>＜50</w:t>
            </w:r>
          </w:p>
        </w:tc>
      </w:tr>
      <w:tr w14:paraId="0524C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6DBFF0AD">
            <w:pPr>
              <w:pStyle w:val="178"/>
              <w:rPr>
                <w:rFonts w:ascii="Times New Roman"/>
              </w:rPr>
            </w:pPr>
            <w:r>
              <w:rPr>
                <w:rFonts w:ascii="Times New Roman"/>
              </w:rPr>
              <w:t>3</w:t>
            </w:r>
          </w:p>
        </w:tc>
        <w:tc>
          <w:tcPr>
            <w:tcW w:w="3401" w:type="dxa"/>
            <w:shd w:val="clear" w:color="auto" w:fill="auto"/>
            <w:vAlign w:val="center"/>
          </w:tcPr>
          <w:p w14:paraId="77811734">
            <w:pPr>
              <w:pStyle w:val="178"/>
              <w:rPr>
                <w:rFonts w:ascii="Times New Roman"/>
              </w:rPr>
            </w:pPr>
            <w:r>
              <w:rPr>
                <w:rFonts w:ascii="Times New Roman"/>
              </w:rPr>
              <w:t>SO</w:t>
            </w:r>
            <w:r>
              <w:rPr>
                <w:rFonts w:ascii="Times New Roman"/>
                <w:sz w:val="16"/>
                <w:szCs w:val="18"/>
                <w:vertAlign w:val="subscript"/>
              </w:rPr>
              <w:t>2</w:t>
            </w:r>
          </w:p>
        </w:tc>
        <w:tc>
          <w:tcPr>
            <w:tcW w:w="2333" w:type="dxa"/>
            <w:shd w:val="clear" w:color="auto" w:fill="auto"/>
          </w:tcPr>
          <w:p w14:paraId="2E64178F">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50E8918E">
            <w:pPr>
              <w:pStyle w:val="178"/>
              <w:rPr>
                <w:rFonts w:ascii="Times New Roman"/>
              </w:rPr>
            </w:pPr>
            <w:r>
              <w:rPr>
                <w:rFonts w:ascii="Times New Roman"/>
              </w:rPr>
              <w:t>＜80</w:t>
            </w:r>
          </w:p>
        </w:tc>
      </w:tr>
      <w:tr w14:paraId="69A93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701E5C9F">
            <w:pPr>
              <w:pStyle w:val="178"/>
              <w:rPr>
                <w:rFonts w:ascii="Times New Roman"/>
              </w:rPr>
            </w:pPr>
            <w:r>
              <w:rPr>
                <w:rFonts w:ascii="Times New Roman"/>
              </w:rPr>
              <w:t>4</w:t>
            </w:r>
          </w:p>
        </w:tc>
        <w:tc>
          <w:tcPr>
            <w:tcW w:w="3401" w:type="dxa"/>
            <w:shd w:val="clear" w:color="auto" w:fill="auto"/>
            <w:vAlign w:val="center"/>
          </w:tcPr>
          <w:p w14:paraId="57D42AE8">
            <w:pPr>
              <w:pStyle w:val="178"/>
              <w:rPr>
                <w:rFonts w:ascii="Times New Roman"/>
              </w:rPr>
            </w:pPr>
            <w:r>
              <w:rPr>
                <w:rFonts w:ascii="Times New Roman"/>
              </w:rPr>
              <w:t>NOx</w:t>
            </w:r>
          </w:p>
        </w:tc>
        <w:tc>
          <w:tcPr>
            <w:tcW w:w="2333" w:type="dxa"/>
            <w:shd w:val="clear" w:color="auto" w:fill="auto"/>
          </w:tcPr>
          <w:p w14:paraId="017EFCE6">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7FB8A545">
            <w:pPr>
              <w:pStyle w:val="178"/>
              <w:rPr>
                <w:rFonts w:ascii="Times New Roman"/>
              </w:rPr>
            </w:pPr>
            <w:r>
              <w:rPr>
                <w:rFonts w:ascii="Times New Roman"/>
              </w:rPr>
              <w:t>＜250</w:t>
            </w:r>
          </w:p>
        </w:tc>
      </w:tr>
      <w:tr w14:paraId="41E7E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1CC52DAF">
            <w:pPr>
              <w:pStyle w:val="178"/>
              <w:rPr>
                <w:rFonts w:ascii="Times New Roman"/>
              </w:rPr>
            </w:pPr>
            <w:r>
              <w:rPr>
                <w:rFonts w:ascii="Times New Roman"/>
              </w:rPr>
              <w:t>5</w:t>
            </w:r>
          </w:p>
        </w:tc>
        <w:tc>
          <w:tcPr>
            <w:tcW w:w="3401" w:type="dxa"/>
            <w:shd w:val="clear" w:color="auto" w:fill="auto"/>
            <w:vAlign w:val="center"/>
          </w:tcPr>
          <w:p w14:paraId="53765AA8">
            <w:pPr>
              <w:pStyle w:val="178"/>
              <w:rPr>
                <w:rFonts w:ascii="Times New Roman"/>
              </w:rPr>
            </w:pPr>
            <w:r>
              <w:rPr>
                <w:rFonts w:ascii="Times New Roman"/>
              </w:rPr>
              <w:t>CO</w:t>
            </w:r>
          </w:p>
        </w:tc>
        <w:tc>
          <w:tcPr>
            <w:tcW w:w="2333" w:type="dxa"/>
            <w:shd w:val="clear" w:color="auto" w:fill="auto"/>
          </w:tcPr>
          <w:p w14:paraId="7E80AED4">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29BFE604">
            <w:pPr>
              <w:pStyle w:val="178"/>
              <w:rPr>
                <w:rFonts w:ascii="Times New Roman"/>
              </w:rPr>
            </w:pPr>
            <w:r>
              <w:rPr>
                <w:rFonts w:ascii="Times New Roman"/>
              </w:rPr>
              <w:t>＜55</w:t>
            </w:r>
          </w:p>
        </w:tc>
      </w:tr>
      <w:tr w14:paraId="3E1E0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78FA14C8">
            <w:pPr>
              <w:pStyle w:val="178"/>
              <w:rPr>
                <w:rFonts w:ascii="Times New Roman"/>
              </w:rPr>
            </w:pPr>
            <w:r>
              <w:rPr>
                <w:rFonts w:ascii="Times New Roman"/>
              </w:rPr>
              <w:t>6</w:t>
            </w:r>
          </w:p>
        </w:tc>
        <w:tc>
          <w:tcPr>
            <w:tcW w:w="3401" w:type="dxa"/>
            <w:shd w:val="clear" w:color="auto" w:fill="auto"/>
            <w:vAlign w:val="center"/>
          </w:tcPr>
          <w:p w14:paraId="2CFC3A50">
            <w:pPr>
              <w:pStyle w:val="178"/>
              <w:rPr>
                <w:rFonts w:ascii="Times New Roman"/>
              </w:rPr>
            </w:pPr>
            <w:r>
              <w:rPr>
                <w:rFonts w:ascii="Times New Roman"/>
              </w:rPr>
              <w:t>Hg</w:t>
            </w:r>
          </w:p>
        </w:tc>
        <w:tc>
          <w:tcPr>
            <w:tcW w:w="2333" w:type="dxa"/>
            <w:shd w:val="clear" w:color="auto" w:fill="auto"/>
          </w:tcPr>
          <w:p w14:paraId="6355DA10">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6F9B9132">
            <w:pPr>
              <w:pStyle w:val="178"/>
              <w:rPr>
                <w:rFonts w:ascii="Times New Roman"/>
              </w:rPr>
            </w:pPr>
            <w:r>
              <w:rPr>
                <w:rFonts w:ascii="Times New Roman"/>
              </w:rPr>
              <w:t>＜0.05</w:t>
            </w:r>
          </w:p>
        </w:tc>
      </w:tr>
      <w:tr w14:paraId="6DDCA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222E380B">
            <w:pPr>
              <w:pStyle w:val="178"/>
              <w:rPr>
                <w:rFonts w:ascii="Times New Roman"/>
              </w:rPr>
            </w:pPr>
            <w:r>
              <w:rPr>
                <w:rFonts w:ascii="Times New Roman"/>
              </w:rPr>
              <w:t>7</w:t>
            </w:r>
          </w:p>
        </w:tc>
        <w:tc>
          <w:tcPr>
            <w:tcW w:w="3401" w:type="dxa"/>
            <w:shd w:val="clear" w:color="auto" w:fill="auto"/>
            <w:vAlign w:val="center"/>
          </w:tcPr>
          <w:p w14:paraId="6228B118">
            <w:pPr>
              <w:pStyle w:val="178"/>
              <w:rPr>
                <w:rFonts w:ascii="Times New Roman"/>
              </w:rPr>
            </w:pPr>
            <w:r>
              <w:rPr>
                <w:rFonts w:ascii="Times New Roman"/>
              </w:rPr>
              <w:t>Cd</w:t>
            </w:r>
          </w:p>
        </w:tc>
        <w:tc>
          <w:tcPr>
            <w:tcW w:w="2333" w:type="dxa"/>
            <w:shd w:val="clear" w:color="auto" w:fill="auto"/>
          </w:tcPr>
          <w:p w14:paraId="4E1EE146">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11B5286D">
            <w:pPr>
              <w:pStyle w:val="178"/>
              <w:rPr>
                <w:rFonts w:ascii="Times New Roman"/>
              </w:rPr>
            </w:pPr>
            <w:r>
              <w:rPr>
                <w:rFonts w:ascii="Times New Roman"/>
              </w:rPr>
              <w:t>＜0.1</w:t>
            </w:r>
          </w:p>
        </w:tc>
      </w:tr>
      <w:tr w14:paraId="66399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4570ACA3">
            <w:pPr>
              <w:pStyle w:val="178"/>
              <w:rPr>
                <w:rFonts w:ascii="Times New Roman"/>
              </w:rPr>
            </w:pPr>
            <w:r>
              <w:rPr>
                <w:rFonts w:ascii="Times New Roman"/>
              </w:rPr>
              <w:t>8</w:t>
            </w:r>
          </w:p>
        </w:tc>
        <w:tc>
          <w:tcPr>
            <w:tcW w:w="3401" w:type="dxa"/>
            <w:shd w:val="clear" w:color="auto" w:fill="auto"/>
            <w:vAlign w:val="center"/>
          </w:tcPr>
          <w:p w14:paraId="0E9BCFA5">
            <w:pPr>
              <w:pStyle w:val="178"/>
              <w:rPr>
                <w:rFonts w:ascii="Times New Roman"/>
              </w:rPr>
            </w:pPr>
            <w:r>
              <w:rPr>
                <w:rFonts w:ascii="Times New Roman"/>
              </w:rPr>
              <w:t>Pb</w:t>
            </w:r>
          </w:p>
        </w:tc>
        <w:tc>
          <w:tcPr>
            <w:tcW w:w="2333" w:type="dxa"/>
            <w:shd w:val="clear" w:color="auto" w:fill="auto"/>
          </w:tcPr>
          <w:p w14:paraId="0A79AC09">
            <w:pPr>
              <w:pStyle w:val="178"/>
              <w:rPr>
                <w:rFonts w:ascii="Times New Roman"/>
              </w:rPr>
            </w:pPr>
            <w:r>
              <w:rPr>
                <w:rFonts w:ascii="Times New Roman"/>
              </w:rPr>
              <w:t>mg/Nm</w:t>
            </w:r>
            <w:r>
              <w:rPr>
                <w:rFonts w:ascii="Times New Roman"/>
                <w:vertAlign w:val="superscript"/>
              </w:rPr>
              <w:t>3</w:t>
            </w:r>
          </w:p>
        </w:tc>
        <w:tc>
          <w:tcPr>
            <w:tcW w:w="2334" w:type="dxa"/>
            <w:shd w:val="clear" w:color="auto" w:fill="auto"/>
            <w:vAlign w:val="center"/>
          </w:tcPr>
          <w:p w14:paraId="78C9867F">
            <w:pPr>
              <w:pStyle w:val="178"/>
              <w:rPr>
                <w:rFonts w:ascii="Times New Roman"/>
              </w:rPr>
            </w:pPr>
            <w:r>
              <w:rPr>
                <w:rFonts w:ascii="Times New Roman"/>
              </w:rPr>
              <w:t>＜1.0</w:t>
            </w:r>
          </w:p>
        </w:tc>
      </w:tr>
      <w:tr w14:paraId="096BE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4B46851E">
            <w:pPr>
              <w:pStyle w:val="178"/>
              <w:rPr>
                <w:rFonts w:ascii="Times New Roman"/>
              </w:rPr>
            </w:pPr>
            <w:r>
              <w:rPr>
                <w:rFonts w:ascii="Times New Roman"/>
              </w:rPr>
              <w:t>9</w:t>
            </w:r>
          </w:p>
        </w:tc>
        <w:tc>
          <w:tcPr>
            <w:tcW w:w="3401" w:type="dxa"/>
            <w:shd w:val="clear" w:color="auto" w:fill="auto"/>
            <w:vAlign w:val="center"/>
          </w:tcPr>
          <w:p w14:paraId="6B6DB93F">
            <w:pPr>
              <w:pStyle w:val="178"/>
              <w:rPr>
                <w:rFonts w:ascii="Times New Roman"/>
              </w:rPr>
            </w:pPr>
            <w:r>
              <w:rPr>
                <w:rFonts w:ascii="Times New Roman"/>
              </w:rPr>
              <w:t>二噁英类</w:t>
            </w:r>
          </w:p>
        </w:tc>
        <w:tc>
          <w:tcPr>
            <w:tcW w:w="2333" w:type="dxa"/>
            <w:shd w:val="clear" w:color="auto" w:fill="auto"/>
            <w:vAlign w:val="center"/>
          </w:tcPr>
          <w:p w14:paraId="6B688E8F">
            <w:pPr>
              <w:pStyle w:val="178"/>
              <w:rPr>
                <w:rFonts w:ascii="Times New Roman"/>
              </w:rPr>
            </w:pPr>
            <w:r>
              <w:rPr>
                <w:rFonts w:ascii="Times New Roman"/>
              </w:rPr>
              <w:t>TEQng/Nm</w:t>
            </w:r>
            <w:r>
              <w:rPr>
                <w:rFonts w:ascii="Times New Roman"/>
                <w:vertAlign w:val="superscript"/>
              </w:rPr>
              <w:t>3</w:t>
            </w:r>
          </w:p>
        </w:tc>
        <w:tc>
          <w:tcPr>
            <w:tcW w:w="2334" w:type="dxa"/>
            <w:shd w:val="clear" w:color="auto" w:fill="auto"/>
            <w:vAlign w:val="center"/>
          </w:tcPr>
          <w:p w14:paraId="2531FAB6">
            <w:pPr>
              <w:pStyle w:val="178"/>
              <w:rPr>
                <w:rFonts w:ascii="Times New Roman"/>
              </w:rPr>
            </w:pPr>
            <w:r>
              <w:rPr>
                <w:rFonts w:ascii="Times New Roman"/>
              </w:rPr>
              <w:t>＜0.1</w:t>
            </w:r>
          </w:p>
        </w:tc>
      </w:tr>
      <w:tr w14:paraId="6187C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0C9E5C25">
            <w:pPr>
              <w:pStyle w:val="178"/>
              <w:rPr>
                <w:rFonts w:ascii="Times New Roman"/>
              </w:rPr>
            </w:pPr>
            <w:r>
              <w:rPr>
                <w:rFonts w:ascii="Times New Roman"/>
              </w:rPr>
              <w:t>10</w:t>
            </w:r>
          </w:p>
        </w:tc>
        <w:tc>
          <w:tcPr>
            <w:tcW w:w="3401" w:type="dxa"/>
            <w:shd w:val="clear" w:color="auto" w:fill="auto"/>
            <w:vAlign w:val="center"/>
          </w:tcPr>
          <w:p w14:paraId="3241B8B5">
            <w:pPr>
              <w:pStyle w:val="178"/>
              <w:rPr>
                <w:rFonts w:ascii="Times New Roman"/>
              </w:rPr>
            </w:pPr>
            <w:r>
              <w:rPr>
                <w:rFonts w:ascii="Times New Roman"/>
              </w:rPr>
              <w:t>炉粒温度</w:t>
            </w:r>
          </w:p>
        </w:tc>
        <w:tc>
          <w:tcPr>
            <w:tcW w:w="2333" w:type="dxa"/>
            <w:shd w:val="clear" w:color="auto" w:fill="auto"/>
            <w:vAlign w:val="center"/>
          </w:tcPr>
          <w:p w14:paraId="1E57B340">
            <w:pPr>
              <w:pStyle w:val="178"/>
              <w:rPr>
                <w:rFonts w:ascii="Times New Roman"/>
              </w:rPr>
            </w:pPr>
            <w:r>
              <w:rPr>
                <w:rFonts w:ascii="Times New Roman"/>
              </w:rPr>
              <w:t>℃</w:t>
            </w:r>
          </w:p>
        </w:tc>
        <w:tc>
          <w:tcPr>
            <w:tcW w:w="2334" w:type="dxa"/>
            <w:shd w:val="clear" w:color="auto" w:fill="auto"/>
            <w:vAlign w:val="center"/>
          </w:tcPr>
          <w:p w14:paraId="25845A45">
            <w:pPr>
              <w:pStyle w:val="178"/>
              <w:rPr>
                <w:rFonts w:ascii="Times New Roman"/>
              </w:rPr>
            </w:pPr>
            <w:r>
              <w:rPr>
                <w:rFonts w:ascii="Times New Roman"/>
              </w:rPr>
              <w:t>＞850</w:t>
            </w:r>
          </w:p>
        </w:tc>
      </w:tr>
      <w:bookmarkEnd w:id="76"/>
    </w:tbl>
    <w:p w14:paraId="7F912CAE">
      <w:pPr>
        <w:pStyle w:val="104"/>
        <w:spacing w:before="240" w:after="240"/>
        <w:rPr>
          <w:rFonts w:ascii="Times New Roman"/>
        </w:rPr>
      </w:pPr>
      <w:bookmarkStart w:id="79" w:name="_Toc193296794"/>
      <w:bookmarkStart w:id="80" w:name="_Toc193383004"/>
      <w:bookmarkStart w:id="81" w:name="_Toc193295699"/>
      <w:r>
        <w:rPr>
          <w:rFonts w:ascii="Times New Roman"/>
        </w:rPr>
        <w:t>污水处理系统</w:t>
      </w:r>
      <w:bookmarkEnd w:id="79"/>
      <w:bookmarkEnd w:id="80"/>
    </w:p>
    <w:p w14:paraId="0C14AC04">
      <w:pPr>
        <w:pStyle w:val="162"/>
        <w:rPr>
          <w:rFonts w:ascii="Times New Roman"/>
        </w:rPr>
      </w:pPr>
      <w:r>
        <w:rPr>
          <w:rFonts w:ascii="Times New Roman"/>
        </w:rPr>
        <w:t>明确污泥污水的水质指标，应包括各项污染物的浓度、pH值等。</w:t>
      </w:r>
    </w:p>
    <w:p w14:paraId="1017BA2C">
      <w:pPr>
        <w:pStyle w:val="162"/>
        <w:rPr>
          <w:rFonts w:ascii="Times New Roman"/>
        </w:rPr>
      </w:pPr>
      <w:r>
        <w:rPr>
          <w:rFonts w:ascii="Times New Roman"/>
        </w:rPr>
        <w:t>根据污泥产生的实际情况，应合理确定污水处理系统的处理规模。宜采用成熟、可靠的污水处理工艺，如生物处理、化学处理或物理化学处理等。根据污泥的特性和处理要求，应对处理工艺进行优化组合。</w:t>
      </w:r>
    </w:p>
    <w:p w14:paraId="794DDD9B">
      <w:pPr>
        <w:pStyle w:val="162"/>
        <w:rPr>
          <w:rFonts w:ascii="Times New Roman"/>
        </w:rPr>
      </w:pPr>
      <w:r>
        <w:rPr>
          <w:rFonts w:ascii="Times New Roman"/>
        </w:rPr>
        <w:t>污水处理设备的配置应合理，宜选择综合污水处理站，具体工艺流程见图3，满足污水处理系统的整体运行。</w:t>
      </w:r>
    </w:p>
    <w:p w14:paraId="3B3B8948">
      <w:pPr>
        <w:pStyle w:val="162"/>
        <w:rPr>
          <w:rFonts w:ascii="Times New Roman"/>
        </w:rPr>
      </w:pPr>
      <w:r>
        <w:rPr>
          <w:rFonts w:ascii="Times New Roman"/>
        </w:rPr>
        <w:t>应对污水处理系统的关键参数进行在线监测，如进水水质、处理效果、设备运行状态等。宜采用自动化控制系统，实现污水处理系统的远程监控和智能调节。</w:t>
      </w:r>
    </w:p>
    <w:p w14:paraId="6D11646D">
      <w:pPr>
        <w:pStyle w:val="56"/>
        <w:spacing w:before="240" w:beforeLines="100" w:after="240" w:afterLines="100"/>
        <w:ind w:firstLine="0" w:firstLineChars="0"/>
        <w:jc w:val="center"/>
        <w:rPr>
          <w:rFonts w:ascii="Times New Roman"/>
        </w:rPr>
      </w:pPr>
      <w:r>
        <w:rPr>
          <w:rFonts w:ascii="Times New Roman"/>
        </w:rPr>
        <w:drawing>
          <wp:inline distT="0" distB="0" distL="0" distR="0">
            <wp:extent cx="4749165" cy="2614930"/>
            <wp:effectExtent l="0" t="0" r="0" b="0"/>
            <wp:docPr id="1789862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62115" name="图片 1"/>
                    <pic:cNvPicPr>
                      <a:picLocks noChangeAspect="1"/>
                    </pic:cNvPicPr>
                  </pic:nvPicPr>
                  <pic:blipFill>
                    <a:blip r:embed="rId19"/>
                    <a:stretch>
                      <a:fillRect/>
                    </a:stretch>
                  </pic:blipFill>
                  <pic:spPr>
                    <a:xfrm>
                      <a:off x="0" y="0"/>
                      <a:ext cx="4757583" cy="2619780"/>
                    </a:xfrm>
                    <a:prstGeom prst="rect">
                      <a:avLst/>
                    </a:prstGeom>
                  </pic:spPr>
                </pic:pic>
              </a:graphicData>
            </a:graphic>
          </wp:inline>
        </w:drawing>
      </w:r>
    </w:p>
    <w:p w14:paraId="4F469784">
      <w:pPr>
        <w:pStyle w:val="114"/>
        <w:spacing w:before="120" w:after="120"/>
        <w:rPr>
          <w:rFonts w:ascii="Times New Roman"/>
        </w:rPr>
      </w:pPr>
      <w:r>
        <w:rPr>
          <w:rFonts w:ascii="Times New Roman"/>
        </w:rPr>
        <w:t>污水处理站工艺流程</w:t>
      </w:r>
    </w:p>
    <w:p w14:paraId="622F8EC6">
      <w:pPr>
        <w:pStyle w:val="162"/>
        <w:rPr>
          <w:rFonts w:ascii="Times New Roman"/>
        </w:rPr>
      </w:pPr>
      <w:r>
        <w:rPr>
          <w:rFonts w:ascii="Times New Roman"/>
        </w:rPr>
        <w:t>污水经过污水处理后指标见表3，应满足</w:t>
      </w:r>
      <w:bookmarkStart w:id="82" w:name="_Hlk193375428"/>
      <w:r>
        <w:rPr>
          <w:rFonts w:ascii="Times New Roman"/>
        </w:rPr>
        <w:t>GB 16889、HG/T 3923</w:t>
      </w:r>
      <w:bookmarkEnd w:id="82"/>
      <w:r>
        <w:rPr>
          <w:rFonts w:ascii="Times New Roman"/>
        </w:rPr>
        <w:t>的要求。</w:t>
      </w:r>
    </w:p>
    <w:p w14:paraId="55852A61">
      <w:pPr>
        <w:pStyle w:val="162"/>
        <w:rPr>
          <w:rFonts w:ascii="Times New Roman"/>
        </w:rPr>
      </w:pPr>
      <w:r>
        <w:rPr>
          <w:rFonts w:ascii="Times New Roman"/>
        </w:rPr>
        <w:t>污水处理后洁净水应满足厂区回收可用</w:t>
      </w:r>
      <w:r>
        <w:rPr>
          <w:rFonts w:hint="eastAsia" w:ascii="Times New Roman"/>
          <w:lang w:val="en-US" w:eastAsia="zh-CN"/>
        </w:rPr>
        <w:t>要求</w:t>
      </w:r>
      <w:r>
        <w:rPr>
          <w:rFonts w:ascii="Times New Roman"/>
        </w:rPr>
        <w:t>。</w:t>
      </w:r>
    </w:p>
    <w:p w14:paraId="70B7AD04">
      <w:pPr>
        <w:pStyle w:val="112"/>
        <w:spacing w:before="120" w:after="120"/>
        <w:rPr>
          <w:rFonts w:ascii="Times New Roman"/>
        </w:rPr>
      </w:pPr>
      <w:r>
        <w:rPr>
          <w:rFonts w:ascii="Times New Roman"/>
        </w:rPr>
        <w:t>污水处理后指标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3401"/>
        <w:gridCol w:w="2333"/>
        <w:gridCol w:w="2334"/>
      </w:tblGrid>
      <w:tr w14:paraId="568A2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14:paraId="5175743A">
            <w:pPr>
              <w:pStyle w:val="178"/>
              <w:rPr>
                <w:rFonts w:ascii="Times New Roman"/>
              </w:rPr>
            </w:pPr>
            <w:r>
              <w:rPr>
                <w:rFonts w:ascii="Times New Roman"/>
              </w:rPr>
              <w:t>序号</w:t>
            </w:r>
          </w:p>
        </w:tc>
        <w:tc>
          <w:tcPr>
            <w:tcW w:w="3401" w:type="dxa"/>
            <w:tcBorders>
              <w:top w:val="single" w:color="auto" w:sz="8" w:space="0"/>
              <w:bottom w:val="single" w:color="auto" w:sz="8" w:space="0"/>
            </w:tcBorders>
            <w:shd w:val="clear" w:color="auto" w:fill="auto"/>
            <w:vAlign w:val="center"/>
          </w:tcPr>
          <w:p w14:paraId="21F8C5FD">
            <w:pPr>
              <w:pStyle w:val="178"/>
              <w:rPr>
                <w:rFonts w:ascii="Times New Roman"/>
              </w:rPr>
            </w:pPr>
            <w:r>
              <w:rPr>
                <w:rFonts w:ascii="Times New Roman"/>
              </w:rPr>
              <w:t>指标</w:t>
            </w:r>
          </w:p>
        </w:tc>
        <w:tc>
          <w:tcPr>
            <w:tcW w:w="2333" w:type="dxa"/>
            <w:tcBorders>
              <w:top w:val="single" w:color="auto" w:sz="8" w:space="0"/>
              <w:bottom w:val="single" w:color="auto" w:sz="8" w:space="0"/>
            </w:tcBorders>
            <w:shd w:val="clear" w:color="auto" w:fill="auto"/>
            <w:vAlign w:val="center"/>
          </w:tcPr>
          <w:p w14:paraId="5FD04A7B">
            <w:pPr>
              <w:pStyle w:val="178"/>
              <w:rPr>
                <w:rFonts w:ascii="Times New Roman"/>
              </w:rPr>
            </w:pPr>
            <w:r>
              <w:rPr>
                <w:rFonts w:ascii="Times New Roman"/>
              </w:rPr>
              <w:t>单位</w:t>
            </w:r>
          </w:p>
        </w:tc>
        <w:tc>
          <w:tcPr>
            <w:tcW w:w="2334" w:type="dxa"/>
            <w:tcBorders>
              <w:top w:val="single" w:color="auto" w:sz="8" w:space="0"/>
              <w:bottom w:val="single" w:color="auto" w:sz="8" w:space="0"/>
            </w:tcBorders>
            <w:shd w:val="clear" w:color="auto" w:fill="auto"/>
            <w:vAlign w:val="center"/>
          </w:tcPr>
          <w:p w14:paraId="54C64D23">
            <w:pPr>
              <w:pStyle w:val="178"/>
              <w:rPr>
                <w:rFonts w:ascii="Times New Roman"/>
              </w:rPr>
            </w:pPr>
            <w:r>
              <w:rPr>
                <w:rFonts w:ascii="Times New Roman"/>
              </w:rPr>
              <w:t>要求</w:t>
            </w:r>
          </w:p>
        </w:tc>
      </w:tr>
      <w:tr w14:paraId="74CAD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14:paraId="0DDDF793">
            <w:pPr>
              <w:pStyle w:val="178"/>
              <w:rPr>
                <w:rFonts w:ascii="Times New Roman"/>
              </w:rPr>
            </w:pPr>
            <w:r>
              <w:rPr>
                <w:rFonts w:ascii="Times New Roman"/>
              </w:rPr>
              <w:t>1</w:t>
            </w:r>
          </w:p>
        </w:tc>
        <w:tc>
          <w:tcPr>
            <w:tcW w:w="3401" w:type="dxa"/>
            <w:tcBorders>
              <w:top w:val="single" w:color="auto" w:sz="8" w:space="0"/>
            </w:tcBorders>
            <w:shd w:val="clear" w:color="auto" w:fill="auto"/>
            <w:vAlign w:val="center"/>
          </w:tcPr>
          <w:p w14:paraId="176F7DE6">
            <w:pPr>
              <w:pStyle w:val="178"/>
              <w:rPr>
                <w:rFonts w:ascii="Times New Roman"/>
              </w:rPr>
            </w:pPr>
            <w:r>
              <w:rPr>
                <w:rFonts w:ascii="Times New Roman"/>
              </w:rPr>
              <w:t>pH</w:t>
            </w:r>
          </w:p>
        </w:tc>
        <w:tc>
          <w:tcPr>
            <w:tcW w:w="2333" w:type="dxa"/>
            <w:tcBorders>
              <w:top w:val="single" w:color="auto" w:sz="8" w:space="0"/>
            </w:tcBorders>
            <w:shd w:val="clear" w:color="auto" w:fill="auto"/>
            <w:vAlign w:val="center"/>
          </w:tcPr>
          <w:p w14:paraId="2B3D9C93">
            <w:pPr>
              <w:pStyle w:val="178"/>
              <w:rPr>
                <w:rFonts w:ascii="Times New Roman"/>
              </w:rPr>
            </w:pPr>
            <w:r>
              <w:rPr>
                <w:rFonts w:ascii="Times New Roman"/>
              </w:rPr>
              <w:t>/</w:t>
            </w:r>
          </w:p>
        </w:tc>
        <w:tc>
          <w:tcPr>
            <w:tcW w:w="2334" w:type="dxa"/>
            <w:tcBorders>
              <w:top w:val="single" w:color="auto" w:sz="8" w:space="0"/>
            </w:tcBorders>
            <w:shd w:val="clear" w:color="auto" w:fill="auto"/>
            <w:vAlign w:val="center"/>
          </w:tcPr>
          <w:p w14:paraId="75AC79D5">
            <w:pPr>
              <w:pStyle w:val="178"/>
              <w:rPr>
                <w:rFonts w:ascii="Times New Roman"/>
              </w:rPr>
            </w:pPr>
            <w:r>
              <w:rPr>
                <w:rFonts w:ascii="Times New Roman"/>
              </w:rPr>
              <w:t>6.0~9.9</w:t>
            </w:r>
          </w:p>
        </w:tc>
      </w:tr>
      <w:tr w14:paraId="2999B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249B16F3">
            <w:pPr>
              <w:pStyle w:val="178"/>
              <w:rPr>
                <w:rFonts w:ascii="Times New Roman"/>
              </w:rPr>
            </w:pPr>
            <w:r>
              <w:rPr>
                <w:rFonts w:ascii="Times New Roman"/>
              </w:rPr>
              <w:t>2</w:t>
            </w:r>
          </w:p>
        </w:tc>
        <w:tc>
          <w:tcPr>
            <w:tcW w:w="3401" w:type="dxa"/>
            <w:shd w:val="clear" w:color="auto" w:fill="auto"/>
            <w:vAlign w:val="center"/>
          </w:tcPr>
          <w:p w14:paraId="6CCC293D">
            <w:pPr>
              <w:pStyle w:val="178"/>
              <w:rPr>
                <w:rFonts w:ascii="Times New Roman"/>
              </w:rPr>
            </w:pPr>
            <w:r>
              <w:rPr>
                <w:rFonts w:ascii="Times New Roman"/>
              </w:rPr>
              <w:t>SS</w:t>
            </w:r>
          </w:p>
        </w:tc>
        <w:tc>
          <w:tcPr>
            <w:tcW w:w="2333" w:type="dxa"/>
            <w:shd w:val="clear" w:color="auto" w:fill="auto"/>
          </w:tcPr>
          <w:p w14:paraId="6F56F581">
            <w:pPr>
              <w:pStyle w:val="178"/>
              <w:rPr>
                <w:rFonts w:ascii="Times New Roman"/>
              </w:rPr>
            </w:pPr>
            <w:r>
              <w:rPr>
                <w:rFonts w:ascii="Times New Roman"/>
              </w:rPr>
              <w:t>mg/L</w:t>
            </w:r>
          </w:p>
        </w:tc>
        <w:tc>
          <w:tcPr>
            <w:tcW w:w="2334" w:type="dxa"/>
            <w:shd w:val="clear" w:color="auto" w:fill="auto"/>
            <w:vAlign w:val="center"/>
          </w:tcPr>
          <w:p w14:paraId="761548E0">
            <w:pPr>
              <w:pStyle w:val="178"/>
              <w:rPr>
                <w:rFonts w:ascii="Times New Roman"/>
              </w:rPr>
            </w:pPr>
            <w:r>
              <w:rPr>
                <w:rFonts w:ascii="Times New Roman"/>
              </w:rPr>
              <w:t>≤30</w:t>
            </w:r>
          </w:p>
        </w:tc>
      </w:tr>
      <w:tr w14:paraId="7D6E3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0868C06A">
            <w:pPr>
              <w:pStyle w:val="178"/>
              <w:rPr>
                <w:rFonts w:ascii="Times New Roman"/>
              </w:rPr>
            </w:pPr>
            <w:r>
              <w:rPr>
                <w:rFonts w:ascii="Times New Roman"/>
              </w:rPr>
              <w:t>3</w:t>
            </w:r>
          </w:p>
        </w:tc>
        <w:tc>
          <w:tcPr>
            <w:tcW w:w="3401" w:type="dxa"/>
            <w:shd w:val="clear" w:color="auto" w:fill="auto"/>
            <w:vAlign w:val="center"/>
          </w:tcPr>
          <w:p w14:paraId="35AA5802">
            <w:pPr>
              <w:pStyle w:val="178"/>
              <w:rPr>
                <w:rFonts w:ascii="Times New Roman"/>
              </w:rPr>
            </w:pPr>
            <w:r>
              <w:rPr>
                <w:rFonts w:ascii="Times New Roman"/>
              </w:rPr>
              <w:t>BOD</w:t>
            </w:r>
            <w:r>
              <w:rPr>
                <w:rFonts w:ascii="Times New Roman"/>
                <w:vertAlign w:val="subscript"/>
              </w:rPr>
              <w:t>5</w:t>
            </w:r>
          </w:p>
        </w:tc>
        <w:tc>
          <w:tcPr>
            <w:tcW w:w="2333" w:type="dxa"/>
            <w:shd w:val="clear" w:color="auto" w:fill="auto"/>
          </w:tcPr>
          <w:p w14:paraId="62FF12BA">
            <w:pPr>
              <w:pStyle w:val="178"/>
              <w:rPr>
                <w:rFonts w:ascii="Times New Roman"/>
              </w:rPr>
            </w:pPr>
            <w:r>
              <w:rPr>
                <w:rFonts w:ascii="Times New Roman"/>
              </w:rPr>
              <w:t>mg/L</w:t>
            </w:r>
          </w:p>
        </w:tc>
        <w:tc>
          <w:tcPr>
            <w:tcW w:w="2334" w:type="dxa"/>
            <w:shd w:val="clear" w:color="auto" w:fill="auto"/>
            <w:vAlign w:val="center"/>
          </w:tcPr>
          <w:p w14:paraId="6E7E46C7">
            <w:pPr>
              <w:pStyle w:val="178"/>
              <w:rPr>
                <w:rFonts w:ascii="Times New Roman"/>
              </w:rPr>
            </w:pPr>
            <w:r>
              <w:rPr>
                <w:rFonts w:ascii="Times New Roman"/>
              </w:rPr>
              <w:t>≤15</w:t>
            </w:r>
          </w:p>
        </w:tc>
      </w:tr>
      <w:tr w14:paraId="6B0CD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09739C79">
            <w:pPr>
              <w:pStyle w:val="178"/>
              <w:rPr>
                <w:rFonts w:ascii="Times New Roman"/>
              </w:rPr>
            </w:pPr>
            <w:r>
              <w:rPr>
                <w:rFonts w:ascii="Times New Roman"/>
              </w:rPr>
              <w:t>4</w:t>
            </w:r>
          </w:p>
        </w:tc>
        <w:tc>
          <w:tcPr>
            <w:tcW w:w="3401" w:type="dxa"/>
            <w:shd w:val="clear" w:color="auto" w:fill="auto"/>
            <w:vAlign w:val="center"/>
          </w:tcPr>
          <w:p w14:paraId="33468DB9">
            <w:pPr>
              <w:pStyle w:val="178"/>
              <w:rPr>
                <w:rFonts w:ascii="Times New Roman"/>
              </w:rPr>
            </w:pPr>
            <w:r>
              <w:rPr>
                <w:rFonts w:ascii="Times New Roman"/>
              </w:rPr>
              <w:t>CODcr</w:t>
            </w:r>
          </w:p>
        </w:tc>
        <w:tc>
          <w:tcPr>
            <w:tcW w:w="2333" w:type="dxa"/>
            <w:shd w:val="clear" w:color="auto" w:fill="auto"/>
            <w:vAlign w:val="center"/>
          </w:tcPr>
          <w:p w14:paraId="34B7BBCA">
            <w:pPr>
              <w:pStyle w:val="178"/>
              <w:rPr>
                <w:rFonts w:ascii="Times New Roman"/>
              </w:rPr>
            </w:pPr>
            <w:r>
              <w:rPr>
                <w:rFonts w:ascii="Times New Roman"/>
              </w:rPr>
              <w:t>mg/L</w:t>
            </w:r>
          </w:p>
        </w:tc>
        <w:tc>
          <w:tcPr>
            <w:tcW w:w="2334" w:type="dxa"/>
            <w:shd w:val="clear" w:color="auto" w:fill="auto"/>
          </w:tcPr>
          <w:p w14:paraId="07ABF619">
            <w:pPr>
              <w:pStyle w:val="178"/>
              <w:rPr>
                <w:rFonts w:ascii="Times New Roman"/>
              </w:rPr>
            </w:pPr>
            <w:r>
              <w:rPr>
                <w:rFonts w:ascii="Times New Roman"/>
              </w:rPr>
              <w:t>≤50</w:t>
            </w:r>
          </w:p>
        </w:tc>
      </w:tr>
      <w:tr w14:paraId="39FE5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67619BD5">
            <w:pPr>
              <w:pStyle w:val="178"/>
              <w:rPr>
                <w:rFonts w:ascii="Times New Roman"/>
              </w:rPr>
            </w:pPr>
            <w:r>
              <w:rPr>
                <w:rFonts w:ascii="Times New Roman"/>
              </w:rPr>
              <w:t>5</w:t>
            </w:r>
          </w:p>
        </w:tc>
        <w:tc>
          <w:tcPr>
            <w:tcW w:w="3401" w:type="dxa"/>
            <w:shd w:val="clear" w:color="auto" w:fill="auto"/>
            <w:vAlign w:val="center"/>
          </w:tcPr>
          <w:p w14:paraId="26A42980">
            <w:pPr>
              <w:pStyle w:val="178"/>
              <w:rPr>
                <w:rFonts w:ascii="Times New Roman"/>
              </w:rPr>
            </w:pPr>
            <w:r>
              <w:rPr>
                <w:rFonts w:ascii="Times New Roman"/>
              </w:rPr>
              <w:t>NH</w:t>
            </w:r>
            <w:r>
              <w:rPr>
                <w:rFonts w:ascii="Times New Roman"/>
                <w:szCs w:val="18"/>
                <w:vertAlign w:val="subscript"/>
              </w:rPr>
              <w:t>3</w:t>
            </w:r>
            <w:r>
              <w:rPr>
                <w:rFonts w:ascii="Times New Roman"/>
              </w:rPr>
              <w:t>-N</w:t>
            </w:r>
          </w:p>
        </w:tc>
        <w:tc>
          <w:tcPr>
            <w:tcW w:w="2333" w:type="dxa"/>
            <w:shd w:val="clear" w:color="auto" w:fill="auto"/>
            <w:vAlign w:val="center"/>
          </w:tcPr>
          <w:p w14:paraId="02D8D54B">
            <w:pPr>
              <w:pStyle w:val="178"/>
              <w:rPr>
                <w:rFonts w:ascii="Times New Roman"/>
              </w:rPr>
            </w:pPr>
            <w:r>
              <w:rPr>
                <w:rFonts w:ascii="Times New Roman"/>
              </w:rPr>
              <w:t>mg/L</w:t>
            </w:r>
          </w:p>
        </w:tc>
        <w:tc>
          <w:tcPr>
            <w:tcW w:w="2334" w:type="dxa"/>
            <w:shd w:val="clear" w:color="auto" w:fill="auto"/>
          </w:tcPr>
          <w:p w14:paraId="537B3DCA">
            <w:pPr>
              <w:pStyle w:val="178"/>
              <w:rPr>
                <w:rFonts w:ascii="Times New Roman"/>
              </w:rPr>
            </w:pPr>
            <w:r>
              <w:rPr>
                <w:rFonts w:ascii="Times New Roman"/>
              </w:rPr>
              <w:t>≤5.0</w:t>
            </w:r>
          </w:p>
        </w:tc>
      </w:tr>
      <w:tr w14:paraId="63FD3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6DDA5C36">
            <w:pPr>
              <w:pStyle w:val="178"/>
              <w:rPr>
                <w:rFonts w:ascii="Times New Roman"/>
              </w:rPr>
            </w:pPr>
            <w:r>
              <w:rPr>
                <w:rFonts w:ascii="Times New Roman"/>
              </w:rPr>
              <w:t>6</w:t>
            </w:r>
          </w:p>
        </w:tc>
        <w:tc>
          <w:tcPr>
            <w:tcW w:w="3401" w:type="dxa"/>
            <w:shd w:val="clear" w:color="auto" w:fill="auto"/>
            <w:vAlign w:val="center"/>
          </w:tcPr>
          <w:p w14:paraId="6D107E92">
            <w:pPr>
              <w:pStyle w:val="178"/>
              <w:rPr>
                <w:rFonts w:ascii="Times New Roman"/>
              </w:rPr>
            </w:pPr>
            <w:r>
              <w:rPr>
                <w:rFonts w:ascii="Times New Roman"/>
              </w:rPr>
              <w:t>TN</w:t>
            </w:r>
          </w:p>
        </w:tc>
        <w:tc>
          <w:tcPr>
            <w:tcW w:w="2333" w:type="dxa"/>
            <w:shd w:val="clear" w:color="auto" w:fill="auto"/>
            <w:vAlign w:val="center"/>
          </w:tcPr>
          <w:p w14:paraId="2CD4AA17">
            <w:pPr>
              <w:pStyle w:val="178"/>
              <w:rPr>
                <w:rFonts w:ascii="Times New Roman"/>
              </w:rPr>
            </w:pPr>
            <w:r>
              <w:rPr>
                <w:rFonts w:ascii="Times New Roman"/>
              </w:rPr>
              <w:t>mg/L</w:t>
            </w:r>
          </w:p>
        </w:tc>
        <w:tc>
          <w:tcPr>
            <w:tcW w:w="2334" w:type="dxa"/>
            <w:shd w:val="clear" w:color="auto" w:fill="auto"/>
          </w:tcPr>
          <w:p w14:paraId="758E025A">
            <w:pPr>
              <w:pStyle w:val="178"/>
              <w:rPr>
                <w:rFonts w:ascii="Times New Roman"/>
              </w:rPr>
            </w:pPr>
            <w:r>
              <w:rPr>
                <w:rFonts w:ascii="Times New Roman"/>
              </w:rPr>
              <w:t>≤20</w:t>
            </w:r>
          </w:p>
        </w:tc>
      </w:tr>
      <w:tr w14:paraId="53667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04B14169">
            <w:pPr>
              <w:pStyle w:val="178"/>
              <w:rPr>
                <w:rFonts w:ascii="Times New Roman"/>
              </w:rPr>
            </w:pPr>
            <w:r>
              <w:rPr>
                <w:rFonts w:ascii="Times New Roman"/>
              </w:rPr>
              <w:t>7</w:t>
            </w:r>
          </w:p>
        </w:tc>
        <w:tc>
          <w:tcPr>
            <w:tcW w:w="3401" w:type="dxa"/>
            <w:shd w:val="clear" w:color="auto" w:fill="auto"/>
            <w:vAlign w:val="center"/>
          </w:tcPr>
          <w:p w14:paraId="1F27128B">
            <w:pPr>
              <w:pStyle w:val="178"/>
              <w:rPr>
                <w:rFonts w:ascii="Times New Roman"/>
              </w:rPr>
            </w:pPr>
            <w:r>
              <w:rPr>
                <w:rFonts w:ascii="Times New Roman"/>
              </w:rPr>
              <w:t>TP</w:t>
            </w:r>
          </w:p>
        </w:tc>
        <w:tc>
          <w:tcPr>
            <w:tcW w:w="2333" w:type="dxa"/>
            <w:shd w:val="clear" w:color="auto" w:fill="auto"/>
            <w:vAlign w:val="center"/>
          </w:tcPr>
          <w:p w14:paraId="38FF1738">
            <w:pPr>
              <w:pStyle w:val="178"/>
              <w:rPr>
                <w:rFonts w:ascii="Times New Roman"/>
              </w:rPr>
            </w:pPr>
            <w:r>
              <w:rPr>
                <w:rFonts w:ascii="Times New Roman"/>
              </w:rPr>
              <w:t>mg/L</w:t>
            </w:r>
          </w:p>
        </w:tc>
        <w:tc>
          <w:tcPr>
            <w:tcW w:w="2334" w:type="dxa"/>
            <w:shd w:val="clear" w:color="auto" w:fill="auto"/>
          </w:tcPr>
          <w:p w14:paraId="2D2A8614">
            <w:pPr>
              <w:pStyle w:val="178"/>
              <w:rPr>
                <w:rFonts w:ascii="Times New Roman"/>
              </w:rPr>
            </w:pPr>
            <w:r>
              <w:rPr>
                <w:rFonts w:ascii="Times New Roman"/>
              </w:rPr>
              <w:t>≤0.5</w:t>
            </w:r>
          </w:p>
        </w:tc>
      </w:tr>
      <w:tr w14:paraId="2131C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1C4C0BA9">
            <w:pPr>
              <w:pStyle w:val="178"/>
              <w:rPr>
                <w:rFonts w:ascii="Times New Roman"/>
              </w:rPr>
            </w:pPr>
            <w:r>
              <w:rPr>
                <w:rFonts w:ascii="Times New Roman"/>
              </w:rPr>
              <w:t>8</w:t>
            </w:r>
          </w:p>
        </w:tc>
        <w:tc>
          <w:tcPr>
            <w:tcW w:w="3401" w:type="dxa"/>
            <w:shd w:val="clear" w:color="auto" w:fill="auto"/>
            <w:vAlign w:val="center"/>
          </w:tcPr>
          <w:p w14:paraId="2C680DD0">
            <w:pPr>
              <w:pStyle w:val="178"/>
              <w:rPr>
                <w:rFonts w:ascii="Times New Roman"/>
              </w:rPr>
            </w:pPr>
            <w:r>
              <w:rPr>
                <w:rFonts w:ascii="Times New Roman"/>
              </w:rPr>
              <w:t>浊度</w:t>
            </w:r>
          </w:p>
        </w:tc>
        <w:tc>
          <w:tcPr>
            <w:tcW w:w="2333" w:type="dxa"/>
            <w:shd w:val="clear" w:color="auto" w:fill="auto"/>
            <w:vAlign w:val="center"/>
          </w:tcPr>
          <w:p w14:paraId="2EE6BFFA">
            <w:pPr>
              <w:pStyle w:val="178"/>
              <w:rPr>
                <w:rFonts w:ascii="Times New Roman"/>
              </w:rPr>
            </w:pPr>
            <w:r>
              <w:rPr>
                <w:rFonts w:ascii="Times New Roman"/>
              </w:rPr>
              <w:t>NTU</w:t>
            </w:r>
          </w:p>
        </w:tc>
        <w:tc>
          <w:tcPr>
            <w:tcW w:w="2334" w:type="dxa"/>
            <w:shd w:val="clear" w:color="auto" w:fill="auto"/>
          </w:tcPr>
          <w:p w14:paraId="655FA45F">
            <w:pPr>
              <w:pStyle w:val="178"/>
              <w:rPr>
                <w:rFonts w:ascii="Times New Roman"/>
              </w:rPr>
            </w:pPr>
            <w:r>
              <w:rPr>
                <w:rFonts w:ascii="Times New Roman"/>
              </w:rPr>
              <w:t>≤10</w:t>
            </w:r>
          </w:p>
        </w:tc>
      </w:tr>
      <w:tr w14:paraId="426BA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0D96FFE0">
            <w:pPr>
              <w:pStyle w:val="178"/>
              <w:rPr>
                <w:rFonts w:ascii="Times New Roman"/>
              </w:rPr>
            </w:pPr>
            <w:r>
              <w:rPr>
                <w:rFonts w:ascii="Times New Roman"/>
              </w:rPr>
              <w:t>9</w:t>
            </w:r>
          </w:p>
        </w:tc>
        <w:tc>
          <w:tcPr>
            <w:tcW w:w="3401" w:type="dxa"/>
            <w:shd w:val="clear" w:color="auto" w:fill="auto"/>
            <w:vAlign w:val="center"/>
          </w:tcPr>
          <w:p w14:paraId="74E2DC89">
            <w:pPr>
              <w:pStyle w:val="178"/>
              <w:rPr>
                <w:rFonts w:ascii="Times New Roman"/>
              </w:rPr>
            </w:pPr>
            <w:r>
              <w:rPr>
                <w:rFonts w:ascii="Times New Roman"/>
              </w:rPr>
              <w:t>总碱度+总硬度</w:t>
            </w:r>
          </w:p>
        </w:tc>
        <w:tc>
          <w:tcPr>
            <w:tcW w:w="2333" w:type="dxa"/>
            <w:shd w:val="clear" w:color="auto" w:fill="auto"/>
            <w:vAlign w:val="center"/>
          </w:tcPr>
          <w:p w14:paraId="3E335B65">
            <w:pPr>
              <w:pStyle w:val="178"/>
              <w:rPr>
                <w:rFonts w:ascii="Times New Roman"/>
              </w:rPr>
            </w:pPr>
            <w:r>
              <w:rPr>
                <w:rFonts w:ascii="Times New Roman"/>
              </w:rPr>
              <w:t>mg/L</w:t>
            </w:r>
          </w:p>
        </w:tc>
        <w:tc>
          <w:tcPr>
            <w:tcW w:w="2334" w:type="dxa"/>
            <w:shd w:val="clear" w:color="auto" w:fill="auto"/>
          </w:tcPr>
          <w:p w14:paraId="5346139F">
            <w:pPr>
              <w:pStyle w:val="178"/>
              <w:rPr>
                <w:rFonts w:ascii="Times New Roman"/>
              </w:rPr>
            </w:pPr>
            <w:r>
              <w:rPr>
                <w:rFonts w:ascii="Times New Roman"/>
              </w:rPr>
              <w:t>≤700</w:t>
            </w:r>
          </w:p>
        </w:tc>
      </w:tr>
      <w:tr w14:paraId="01749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3683AED9">
            <w:pPr>
              <w:pStyle w:val="178"/>
              <w:rPr>
                <w:rFonts w:ascii="Times New Roman"/>
              </w:rPr>
            </w:pPr>
            <w:r>
              <w:rPr>
                <w:rFonts w:ascii="Times New Roman"/>
              </w:rPr>
              <w:t>10</w:t>
            </w:r>
          </w:p>
        </w:tc>
        <w:tc>
          <w:tcPr>
            <w:tcW w:w="3401" w:type="dxa"/>
            <w:shd w:val="clear" w:color="auto" w:fill="auto"/>
            <w:vAlign w:val="center"/>
          </w:tcPr>
          <w:p w14:paraId="74D78B27">
            <w:pPr>
              <w:pStyle w:val="178"/>
              <w:rPr>
                <w:rFonts w:ascii="Times New Roman"/>
              </w:rPr>
            </w:pPr>
            <w:r>
              <w:rPr>
                <w:rFonts w:ascii="Times New Roman"/>
              </w:rPr>
              <w:t>硫化物</w:t>
            </w:r>
          </w:p>
        </w:tc>
        <w:tc>
          <w:tcPr>
            <w:tcW w:w="2333" w:type="dxa"/>
            <w:shd w:val="clear" w:color="auto" w:fill="auto"/>
            <w:vAlign w:val="center"/>
          </w:tcPr>
          <w:p w14:paraId="0C024C96">
            <w:pPr>
              <w:pStyle w:val="178"/>
              <w:rPr>
                <w:rFonts w:ascii="Times New Roman"/>
              </w:rPr>
            </w:pPr>
            <w:r>
              <w:rPr>
                <w:rFonts w:ascii="Times New Roman"/>
              </w:rPr>
              <w:t>mg/L</w:t>
            </w:r>
          </w:p>
        </w:tc>
        <w:tc>
          <w:tcPr>
            <w:tcW w:w="2334" w:type="dxa"/>
            <w:shd w:val="clear" w:color="auto" w:fill="auto"/>
          </w:tcPr>
          <w:p w14:paraId="4F40BBE1">
            <w:pPr>
              <w:pStyle w:val="178"/>
              <w:rPr>
                <w:rFonts w:ascii="Times New Roman"/>
              </w:rPr>
            </w:pPr>
            <w:r>
              <w:rPr>
                <w:rFonts w:ascii="Times New Roman"/>
              </w:rPr>
              <w:t>≤0.1</w:t>
            </w:r>
          </w:p>
        </w:tc>
      </w:tr>
      <w:tr w14:paraId="0E36D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71217525">
            <w:pPr>
              <w:pStyle w:val="178"/>
              <w:rPr>
                <w:rFonts w:ascii="Times New Roman"/>
              </w:rPr>
            </w:pPr>
            <w:r>
              <w:rPr>
                <w:rFonts w:ascii="Times New Roman"/>
              </w:rPr>
              <w:t>11</w:t>
            </w:r>
          </w:p>
        </w:tc>
        <w:tc>
          <w:tcPr>
            <w:tcW w:w="3401" w:type="dxa"/>
            <w:shd w:val="clear" w:color="auto" w:fill="auto"/>
            <w:vAlign w:val="center"/>
          </w:tcPr>
          <w:p w14:paraId="2B980754">
            <w:pPr>
              <w:pStyle w:val="178"/>
              <w:rPr>
                <w:rFonts w:ascii="Times New Roman"/>
              </w:rPr>
            </w:pPr>
            <w:r>
              <w:rPr>
                <w:rFonts w:ascii="Times New Roman"/>
              </w:rPr>
              <w:t>油含量</w:t>
            </w:r>
          </w:p>
        </w:tc>
        <w:tc>
          <w:tcPr>
            <w:tcW w:w="2333" w:type="dxa"/>
            <w:shd w:val="clear" w:color="auto" w:fill="auto"/>
            <w:vAlign w:val="center"/>
          </w:tcPr>
          <w:p w14:paraId="025DDC57">
            <w:pPr>
              <w:pStyle w:val="178"/>
              <w:rPr>
                <w:rFonts w:ascii="Times New Roman"/>
              </w:rPr>
            </w:pPr>
            <w:r>
              <w:rPr>
                <w:rFonts w:ascii="Times New Roman"/>
              </w:rPr>
              <w:t>mg/L</w:t>
            </w:r>
          </w:p>
        </w:tc>
        <w:tc>
          <w:tcPr>
            <w:tcW w:w="2334" w:type="dxa"/>
            <w:shd w:val="clear" w:color="auto" w:fill="auto"/>
          </w:tcPr>
          <w:p w14:paraId="65DA9945">
            <w:pPr>
              <w:pStyle w:val="178"/>
              <w:rPr>
                <w:rFonts w:ascii="Times New Roman"/>
              </w:rPr>
            </w:pPr>
            <w:r>
              <w:rPr>
                <w:rFonts w:ascii="Times New Roman"/>
              </w:rPr>
              <w:t>≤0.5</w:t>
            </w:r>
          </w:p>
        </w:tc>
      </w:tr>
      <w:tr w14:paraId="5C3F8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68F99F6F">
            <w:pPr>
              <w:pStyle w:val="178"/>
              <w:rPr>
                <w:rFonts w:ascii="Times New Roman"/>
              </w:rPr>
            </w:pPr>
            <w:r>
              <w:rPr>
                <w:rFonts w:ascii="Times New Roman"/>
              </w:rPr>
              <w:t>12</w:t>
            </w:r>
          </w:p>
        </w:tc>
        <w:tc>
          <w:tcPr>
            <w:tcW w:w="3401" w:type="dxa"/>
            <w:shd w:val="clear" w:color="auto" w:fill="auto"/>
            <w:vAlign w:val="center"/>
          </w:tcPr>
          <w:p w14:paraId="4B664E86">
            <w:pPr>
              <w:pStyle w:val="178"/>
              <w:rPr>
                <w:rFonts w:ascii="Times New Roman"/>
              </w:rPr>
            </w:pPr>
            <w:r>
              <w:rPr>
                <w:rFonts w:ascii="Times New Roman"/>
              </w:rPr>
              <w:t>总溶固</w:t>
            </w:r>
          </w:p>
        </w:tc>
        <w:tc>
          <w:tcPr>
            <w:tcW w:w="2333" w:type="dxa"/>
            <w:shd w:val="clear" w:color="auto" w:fill="auto"/>
            <w:vAlign w:val="center"/>
          </w:tcPr>
          <w:p w14:paraId="2EDF456B">
            <w:pPr>
              <w:pStyle w:val="178"/>
              <w:rPr>
                <w:rFonts w:ascii="Times New Roman"/>
              </w:rPr>
            </w:pPr>
            <w:r>
              <w:rPr>
                <w:rFonts w:ascii="Times New Roman"/>
              </w:rPr>
              <w:t>mg/L</w:t>
            </w:r>
          </w:p>
        </w:tc>
        <w:tc>
          <w:tcPr>
            <w:tcW w:w="2334" w:type="dxa"/>
            <w:shd w:val="clear" w:color="auto" w:fill="auto"/>
          </w:tcPr>
          <w:p w14:paraId="4676F270">
            <w:pPr>
              <w:pStyle w:val="178"/>
              <w:rPr>
                <w:rFonts w:ascii="Times New Roman"/>
              </w:rPr>
            </w:pPr>
            <w:r>
              <w:rPr>
                <w:rFonts w:ascii="Times New Roman"/>
              </w:rPr>
              <w:t>≤1000</w:t>
            </w:r>
          </w:p>
        </w:tc>
      </w:tr>
      <w:tr w14:paraId="2CA1F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0B443CA2">
            <w:pPr>
              <w:pStyle w:val="178"/>
              <w:rPr>
                <w:rFonts w:ascii="Times New Roman"/>
              </w:rPr>
            </w:pPr>
            <w:r>
              <w:rPr>
                <w:rFonts w:ascii="Times New Roman"/>
              </w:rPr>
              <w:t>13</w:t>
            </w:r>
          </w:p>
        </w:tc>
        <w:tc>
          <w:tcPr>
            <w:tcW w:w="3401" w:type="dxa"/>
            <w:shd w:val="clear" w:color="auto" w:fill="auto"/>
            <w:vAlign w:val="center"/>
          </w:tcPr>
          <w:p w14:paraId="53D6DAB5">
            <w:pPr>
              <w:pStyle w:val="178"/>
              <w:rPr>
                <w:rFonts w:ascii="Times New Roman"/>
              </w:rPr>
            </w:pPr>
            <w:r>
              <w:rPr>
                <w:rFonts w:ascii="Times New Roman"/>
              </w:rPr>
              <w:t>细菌总数</w:t>
            </w:r>
          </w:p>
        </w:tc>
        <w:tc>
          <w:tcPr>
            <w:tcW w:w="2333" w:type="dxa"/>
            <w:shd w:val="clear" w:color="auto" w:fill="auto"/>
            <w:vAlign w:val="center"/>
          </w:tcPr>
          <w:p w14:paraId="74913302">
            <w:pPr>
              <w:pStyle w:val="178"/>
              <w:rPr>
                <w:rFonts w:ascii="Times New Roman"/>
              </w:rPr>
            </w:pPr>
            <w:r>
              <w:rPr>
                <w:rFonts w:ascii="Times New Roman"/>
              </w:rPr>
              <w:t>个/L</w:t>
            </w:r>
          </w:p>
        </w:tc>
        <w:tc>
          <w:tcPr>
            <w:tcW w:w="2334" w:type="dxa"/>
            <w:shd w:val="clear" w:color="auto" w:fill="auto"/>
            <w:vAlign w:val="center"/>
          </w:tcPr>
          <w:p w14:paraId="015ECB17">
            <w:pPr>
              <w:pStyle w:val="178"/>
              <w:rPr>
                <w:rFonts w:ascii="Times New Roman"/>
              </w:rPr>
            </w:pPr>
            <w:r>
              <w:rPr>
                <w:rFonts w:ascii="Times New Roman"/>
              </w:rPr>
              <w:t>≤1.0×10</w:t>
            </w:r>
            <w:r>
              <w:rPr>
                <w:rFonts w:ascii="Times New Roman"/>
                <w:vertAlign w:val="superscript"/>
              </w:rPr>
              <w:t>4</w:t>
            </w:r>
          </w:p>
        </w:tc>
      </w:tr>
      <w:bookmarkEnd w:id="81"/>
    </w:tbl>
    <w:p w14:paraId="0ECDCF6F">
      <w:pPr>
        <w:pStyle w:val="104"/>
        <w:spacing w:before="240" w:after="240"/>
        <w:rPr>
          <w:rFonts w:ascii="Times New Roman"/>
        </w:rPr>
      </w:pPr>
      <w:bookmarkStart w:id="83" w:name="_Toc193296795"/>
      <w:bookmarkStart w:id="84" w:name="_Toc193295700"/>
      <w:bookmarkStart w:id="85" w:name="_Toc193383005"/>
      <w:r>
        <w:rPr>
          <w:rFonts w:ascii="Times New Roman"/>
        </w:rPr>
        <w:t>质量控制</w:t>
      </w:r>
      <w:bookmarkEnd w:id="83"/>
      <w:bookmarkEnd w:id="84"/>
      <w:bookmarkEnd w:id="85"/>
    </w:p>
    <w:p w14:paraId="299A74A0">
      <w:pPr>
        <w:pStyle w:val="105"/>
        <w:spacing w:before="120" w:after="120"/>
        <w:rPr>
          <w:rFonts w:ascii="Times New Roman"/>
        </w:rPr>
      </w:pPr>
      <w:r>
        <w:rPr>
          <w:rFonts w:ascii="Times New Roman"/>
        </w:rPr>
        <w:t>干化工艺控制</w:t>
      </w:r>
    </w:p>
    <w:p w14:paraId="08CEB4AA">
      <w:pPr>
        <w:pStyle w:val="165"/>
        <w:rPr>
          <w:rFonts w:ascii="Times New Roman"/>
        </w:rPr>
      </w:pPr>
      <w:r>
        <w:rPr>
          <w:rFonts w:ascii="Times New Roman"/>
        </w:rPr>
        <w:t xml:space="preserve">应严格控制干化设备的温度，避免温度过高引发爆炸等安全事故。宜采用自动化控制系统对温度进行实时监测和调节。 </w:t>
      </w:r>
    </w:p>
    <w:p w14:paraId="7A24F988">
      <w:pPr>
        <w:pStyle w:val="165"/>
        <w:rPr>
          <w:rFonts w:ascii="Times New Roman"/>
        </w:rPr>
      </w:pPr>
      <w:r>
        <w:rPr>
          <w:rFonts w:ascii="Times New Roman"/>
        </w:rPr>
        <w:t>根据污泥的性质和用途，应合理设定污泥的含水率和含固率目标值。宜采用先进的干化技术，污泥应达到设定的含水率和含固率要求。</w:t>
      </w:r>
    </w:p>
    <w:p w14:paraId="7C36E866">
      <w:pPr>
        <w:pStyle w:val="165"/>
        <w:rPr>
          <w:rFonts w:ascii="Times New Roman"/>
        </w:rPr>
      </w:pPr>
      <w:r>
        <w:rPr>
          <w:rFonts w:ascii="Times New Roman"/>
        </w:rPr>
        <w:t>应采取有效措施防止粉尘爆炸，如安装粉尘浓度监测装置、采用负压操作等。宜选用防爆型电气设备，系统可安全运行。</w:t>
      </w:r>
    </w:p>
    <w:p w14:paraId="617E8E55">
      <w:pPr>
        <w:pStyle w:val="105"/>
        <w:spacing w:before="120" w:after="120"/>
        <w:rPr>
          <w:rFonts w:ascii="Times New Roman"/>
        </w:rPr>
      </w:pPr>
      <w:r>
        <w:rPr>
          <w:rFonts w:ascii="Times New Roman"/>
        </w:rPr>
        <w:t>焚烧工艺控制</w:t>
      </w:r>
    </w:p>
    <w:p w14:paraId="1202F8BE">
      <w:pPr>
        <w:pStyle w:val="165"/>
        <w:rPr>
          <w:rFonts w:ascii="Times New Roman"/>
        </w:rPr>
      </w:pPr>
      <w:r>
        <w:rPr>
          <w:rFonts w:ascii="Times New Roman"/>
        </w:rPr>
        <w:t>应选用技术成熟、运行稳定的焚烧炉，如鼓泡流化床焚烧炉，并根据污泥的热值和含固率，选择合适的焚烧炉类型和运行参数。</w:t>
      </w:r>
    </w:p>
    <w:p w14:paraId="2BC21DD2">
      <w:pPr>
        <w:pStyle w:val="165"/>
        <w:rPr>
          <w:rFonts w:ascii="Times New Roman"/>
        </w:rPr>
      </w:pPr>
      <w:r>
        <w:rPr>
          <w:rFonts w:ascii="Times New Roman"/>
        </w:rPr>
        <w:t>焚烧炉内的燃烧应充分、稳定，避免产生不完全燃烧产物，宜采用自动化控制系统对燃烧过程进行实时监测和调节。</w:t>
      </w:r>
    </w:p>
    <w:p w14:paraId="71CBF5AA">
      <w:pPr>
        <w:pStyle w:val="165"/>
        <w:rPr>
          <w:rFonts w:ascii="Times New Roman"/>
        </w:rPr>
      </w:pPr>
      <w:r>
        <w:rPr>
          <w:rFonts w:ascii="Times New Roman"/>
        </w:rPr>
        <w:t>应安装烟气净化装置，对焚烧产生的烟气进行净化处理，并选用高效、节能的烟气净化技术，降低运行成本。</w:t>
      </w:r>
    </w:p>
    <w:p w14:paraId="4F5E034C">
      <w:pPr>
        <w:pStyle w:val="165"/>
        <w:rPr>
          <w:rFonts w:ascii="Times New Roman"/>
        </w:rPr>
      </w:pPr>
      <w:r>
        <w:rPr>
          <w:rFonts w:ascii="Times New Roman"/>
        </w:rPr>
        <w:t>应对焚烧产生的灰渣进行妥善处理，避免造成二次污染，并对灰渣进行资源化利用，如用于建筑材料等。</w:t>
      </w:r>
    </w:p>
    <w:p w14:paraId="64B14ADB">
      <w:pPr>
        <w:pStyle w:val="105"/>
        <w:spacing w:before="120" w:after="120"/>
        <w:rPr>
          <w:rFonts w:ascii="Times New Roman"/>
        </w:rPr>
      </w:pPr>
      <w:r>
        <w:rPr>
          <w:rFonts w:ascii="Times New Roman"/>
        </w:rPr>
        <w:t>自动化与监测</w:t>
      </w:r>
    </w:p>
    <w:p w14:paraId="6D88E1E4">
      <w:pPr>
        <w:pStyle w:val="165"/>
        <w:rPr>
          <w:rFonts w:ascii="Times New Roman"/>
        </w:rPr>
      </w:pPr>
      <w:r>
        <w:rPr>
          <w:rFonts w:ascii="Times New Roman"/>
        </w:rPr>
        <w:t>应安装自动化控制系统，对整个污泥干化焚烧系统进行实时监测和控制，并采用先进的自动化技术和设备，提高系统的运行效率和稳定性。</w:t>
      </w:r>
    </w:p>
    <w:p w14:paraId="6E1D60E8">
      <w:pPr>
        <w:pStyle w:val="165"/>
        <w:rPr>
          <w:rFonts w:ascii="Times New Roman"/>
        </w:rPr>
      </w:pPr>
      <w:r>
        <w:rPr>
          <w:rFonts w:ascii="Times New Roman"/>
        </w:rPr>
        <w:t>应安装必要的监测装置，如温度、湿度、粉尘浓度、烟气成分等监测装置，并采用在线监测技术，实时掌握系统的运行状态和排放情况。</w:t>
      </w:r>
    </w:p>
    <w:p w14:paraId="61AD43B0">
      <w:pPr>
        <w:pStyle w:val="104"/>
        <w:spacing w:before="240" w:after="240"/>
        <w:rPr>
          <w:rFonts w:ascii="Times New Roman"/>
        </w:rPr>
      </w:pPr>
      <w:bookmarkStart w:id="86" w:name="_Toc193296796"/>
      <w:bookmarkStart w:id="87" w:name="_Toc193295701"/>
      <w:bookmarkStart w:id="88" w:name="_Toc193383006"/>
      <w:r>
        <w:rPr>
          <w:rFonts w:ascii="Times New Roman"/>
        </w:rPr>
        <w:t>维护</w:t>
      </w:r>
      <w:bookmarkEnd w:id="86"/>
      <w:bookmarkEnd w:id="87"/>
      <w:r>
        <w:rPr>
          <w:rFonts w:ascii="Times New Roman"/>
        </w:rPr>
        <w:t>要求</w:t>
      </w:r>
      <w:bookmarkEnd w:id="88"/>
    </w:p>
    <w:p w14:paraId="684BFB51">
      <w:pPr>
        <w:pStyle w:val="105"/>
        <w:spacing w:before="120" w:after="120"/>
        <w:rPr>
          <w:rFonts w:ascii="Times New Roman"/>
        </w:rPr>
      </w:pPr>
      <w:r>
        <w:rPr>
          <w:rFonts w:ascii="Times New Roman"/>
        </w:rPr>
        <w:t>基本要求</w:t>
      </w:r>
    </w:p>
    <w:p w14:paraId="45F5503B">
      <w:pPr>
        <w:pStyle w:val="165"/>
        <w:rPr>
          <w:rFonts w:ascii="Times New Roman"/>
        </w:rPr>
      </w:pPr>
      <w:r>
        <w:rPr>
          <w:rFonts w:ascii="Times New Roman"/>
        </w:rPr>
        <w:t>应定期对污泥干化焚烧系统进行全面检查，包括各设备、管道、阀门、仪表等。</w:t>
      </w:r>
    </w:p>
    <w:p w14:paraId="6F13C04C">
      <w:pPr>
        <w:pStyle w:val="165"/>
        <w:rPr>
          <w:rFonts w:ascii="Times New Roman"/>
        </w:rPr>
      </w:pPr>
      <w:r>
        <w:rPr>
          <w:rFonts w:ascii="Times New Roman"/>
        </w:rPr>
        <w:t>宜建立详细的维护记录，记录每次维护的时间、内容、发现的问题及解决方案等。</w:t>
      </w:r>
    </w:p>
    <w:p w14:paraId="63C50DC8">
      <w:pPr>
        <w:pStyle w:val="105"/>
        <w:spacing w:before="120" w:after="120"/>
        <w:rPr>
          <w:rFonts w:ascii="Times New Roman"/>
        </w:rPr>
      </w:pPr>
      <w:r>
        <w:rPr>
          <w:rFonts w:ascii="Times New Roman"/>
        </w:rPr>
        <w:t>干化系统</w:t>
      </w:r>
    </w:p>
    <w:p w14:paraId="3613BCF1">
      <w:pPr>
        <w:pStyle w:val="165"/>
        <w:rPr>
          <w:rFonts w:ascii="Times New Roman"/>
        </w:rPr>
      </w:pPr>
      <w:r>
        <w:rPr>
          <w:rFonts w:ascii="Times New Roman"/>
        </w:rPr>
        <w:t>应定期清理干化机的外表面和内部，去除灰尘、污垢和物料残留，并检查干化机的密封性，门、管道接口等部位应密封良好。</w:t>
      </w:r>
    </w:p>
    <w:p w14:paraId="2E44353B">
      <w:pPr>
        <w:pStyle w:val="165"/>
        <w:rPr>
          <w:rFonts w:ascii="Times New Roman"/>
        </w:rPr>
      </w:pPr>
      <w:r>
        <w:rPr>
          <w:rFonts w:ascii="Times New Roman"/>
        </w:rPr>
        <w:t>应定期检查干化机的加热元件和温度传感器，如有损坏应及时更换。</w:t>
      </w:r>
    </w:p>
    <w:p w14:paraId="76ED8E98">
      <w:pPr>
        <w:pStyle w:val="165"/>
        <w:rPr>
          <w:rFonts w:ascii="Times New Roman"/>
        </w:rPr>
      </w:pPr>
      <w:r>
        <w:rPr>
          <w:rFonts w:ascii="Times New Roman"/>
        </w:rPr>
        <w:t>应对干化机的传动部件进行定期检查和维护，包括电机、皮带、链条等，并定期检查风机的运行状况，包括风量、风压、振动、噪音等，同时，定期清理风机和通风管道的积尘。</w:t>
      </w:r>
    </w:p>
    <w:p w14:paraId="12846345">
      <w:pPr>
        <w:pStyle w:val="165"/>
        <w:rPr>
          <w:rFonts w:ascii="Times New Roman"/>
        </w:rPr>
      </w:pPr>
      <w:r>
        <w:rPr>
          <w:rFonts w:ascii="Times New Roman"/>
        </w:rPr>
        <w:t>风机的轴承、润滑系统等部位应进行定期检查和维护，其运转应正常、无磨损。</w:t>
      </w:r>
    </w:p>
    <w:p w14:paraId="7BE0FFE4">
      <w:pPr>
        <w:pStyle w:val="105"/>
        <w:spacing w:before="120" w:after="120"/>
        <w:rPr>
          <w:rFonts w:ascii="Times New Roman"/>
        </w:rPr>
      </w:pPr>
      <w:r>
        <w:rPr>
          <w:rFonts w:ascii="Times New Roman"/>
        </w:rPr>
        <w:t>焚烧系统</w:t>
      </w:r>
    </w:p>
    <w:p w14:paraId="37B31310">
      <w:pPr>
        <w:pStyle w:val="165"/>
        <w:rPr>
          <w:rFonts w:ascii="Times New Roman"/>
        </w:rPr>
      </w:pPr>
      <w:r>
        <w:rPr>
          <w:rFonts w:ascii="Times New Roman"/>
        </w:rPr>
        <w:t>应定期检查焚烧炉的炉体、炉衬、燃烧器等部位，不应出现损坏、变形现象，并定期清理焚烧炉内的积灰和焦渣，同时，焚烧炉的点火系统、燃烧控制系统等进行定期检查和维护。</w:t>
      </w:r>
    </w:p>
    <w:p w14:paraId="7C8A84E5">
      <w:pPr>
        <w:pStyle w:val="165"/>
        <w:rPr>
          <w:rFonts w:ascii="Times New Roman"/>
        </w:rPr>
      </w:pPr>
      <w:r>
        <w:rPr>
          <w:rFonts w:ascii="Times New Roman"/>
        </w:rPr>
        <w:t>应定期检查烟气净化设备的运行状态，包括除尘器、脱硫脱硝装置等，并定期清理烟气净化设备的积灰和污垢。</w:t>
      </w:r>
    </w:p>
    <w:p w14:paraId="69194B50">
      <w:pPr>
        <w:pStyle w:val="165"/>
        <w:rPr>
          <w:rFonts w:ascii="Times New Roman"/>
        </w:rPr>
      </w:pPr>
      <w:r>
        <w:rPr>
          <w:rFonts w:ascii="Times New Roman"/>
        </w:rPr>
        <w:t>烟气净化系统的仪表、阀门等应进行定期检查和维护。</w:t>
      </w:r>
    </w:p>
    <w:p w14:paraId="0A6B1B4D">
      <w:pPr>
        <w:pStyle w:val="105"/>
        <w:spacing w:before="120" w:after="120"/>
        <w:rPr>
          <w:rFonts w:ascii="Times New Roman"/>
        </w:rPr>
      </w:pPr>
      <w:r>
        <w:rPr>
          <w:rFonts w:ascii="Times New Roman"/>
        </w:rPr>
        <w:t>电气控制系统</w:t>
      </w:r>
    </w:p>
    <w:p w14:paraId="6D2DB3DA">
      <w:pPr>
        <w:pStyle w:val="165"/>
        <w:rPr>
          <w:rFonts w:ascii="Times New Roman"/>
        </w:rPr>
      </w:pPr>
      <w:r>
        <w:rPr>
          <w:rFonts w:ascii="Times New Roman"/>
        </w:rPr>
        <w:t>应定期检查电气设备的运行状态，包括电机、电缆、开关等，并定期对电气设备进行清洁和保养，同时，应对电气设备的接地系统进行定期检查，接地应良好、无松动。</w:t>
      </w:r>
    </w:p>
    <w:p w14:paraId="73057A77">
      <w:pPr>
        <w:pStyle w:val="165"/>
        <w:rPr>
          <w:rFonts w:ascii="Times New Roman"/>
        </w:rPr>
      </w:pPr>
      <w:r>
        <w:rPr>
          <w:rFonts w:ascii="Times New Roman"/>
        </w:rPr>
        <w:t>应定期检查控制系统的运行状态，包括PLC、触摸屏、传感器等，并定期对控制系统进行备份和恢复测试，数据处理应具有完整性、安全性，同时，对控制系统的软件进行定期更新和升级。</w:t>
      </w:r>
    </w:p>
    <w:p w14:paraId="34382F27">
      <w:pPr>
        <w:pStyle w:val="105"/>
        <w:spacing w:before="120" w:after="120"/>
        <w:rPr>
          <w:rFonts w:ascii="Times New Roman"/>
        </w:rPr>
      </w:pPr>
      <w:r>
        <w:rPr>
          <w:rFonts w:ascii="Times New Roman"/>
        </w:rPr>
        <w:t>安全维护</w:t>
      </w:r>
    </w:p>
    <w:p w14:paraId="4033D082">
      <w:pPr>
        <w:pStyle w:val="165"/>
        <w:rPr>
          <w:rFonts w:ascii="Times New Roman"/>
        </w:rPr>
      </w:pPr>
      <w:r>
        <w:rPr>
          <w:rFonts w:ascii="Times New Roman"/>
        </w:rPr>
        <w:t>定期检查安全设施的运行状态，应包括消防系统、报警系统、紧急停机按钮等。</w:t>
      </w:r>
    </w:p>
    <w:p w14:paraId="1ED2D170">
      <w:pPr>
        <w:pStyle w:val="165"/>
        <w:rPr>
          <w:rFonts w:ascii="Times New Roman"/>
        </w:rPr>
      </w:pPr>
      <w:r>
        <w:rPr>
          <w:rFonts w:ascii="Times New Roman"/>
        </w:rPr>
        <w:t>宜定期对操作人员进行安全培训和演练，提高其安全意识和应急处理能力。</w:t>
      </w:r>
    </w:p>
    <w:p w14:paraId="1EAEBDE7">
      <w:pPr>
        <w:pStyle w:val="165"/>
        <w:rPr>
          <w:rFonts w:ascii="Times New Roman"/>
        </w:rPr>
      </w:pPr>
      <w:r>
        <w:rPr>
          <w:rFonts w:ascii="Times New Roman"/>
        </w:rPr>
        <w:t>宜定期对排放物进行监测和分析，采取必要的措施减少对周围环境的影响，尤其是噪音、振动和废气排放等。</w:t>
      </w:r>
    </w:p>
    <w:bookmarkEnd w:id="25"/>
    <w:p w14:paraId="3CB70908">
      <w:pPr>
        <w:pStyle w:val="56"/>
        <w:ind w:firstLine="0" w:firstLineChars="0"/>
        <w:jc w:val="center"/>
        <w:rPr>
          <w:rFonts w:ascii="Times New Roman"/>
        </w:rPr>
      </w:pPr>
      <w:bookmarkStart w:id="89" w:name="BookMark8"/>
      <w:r>
        <w:rPr>
          <w:rFonts w:ascii="Times New Roman"/>
        </w:rPr>
        <w:drawing>
          <wp:inline distT="0" distB="0" distL="0" distR="0">
            <wp:extent cx="1485900" cy="317500"/>
            <wp:effectExtent l="0" t="0" r="0" b="6350"/>
            <wp:docPr id="1028208556" name="图片 3"/>
            <wp:cNvGraphicFramePr/>
            <a:graphic xmlns:a="http://schemas.openxmlformats.org/drawingml/2006/main">
              <a:graphicData uri="http://schemas.openxmlformats.org/drawingml/2006/picture">
                <pic:pic xmlns:pic="http://schemas.openxmlformats.org/drawingml/2006/picture">
                  <pic:nvPicPr>
                    <pic:cNvPr id="1028208556"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9"/>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23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3858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AE0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404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96B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1BB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F94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52F4">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5A48">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m9IzZy1Ph9tWwXL1wc++ZDVF0Mdx8g8rFWF0voKmeSJvyBy+IRQMxRbdVV7LYl5L9ckL3nhNWm7cOKnVJD2IxQ==" w:salt="2e3stuIM5L4GWmp+7dKuX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E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9A3"/>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3FF"/>
    <w:rsid w:val="000F06E1"/>
    <w:rsid w:val="000F0E3C"/>
    <w:rsid w:val="000F19D5"/>
    <w:rsid w:val="000F4050"/>
    <w:rsid w:val="000F4AEA"/>
    <w:rsid w:val="000F67E9"/>
    <w:rsid w:val="00104926"/>
    <w:rsid w:val="00112A6E"/>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8E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932"/>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B3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552"/>
    <w:rsid w:val="001E1B6A"/>
    <w:rsid w:val="001E2484"/>
    <w:rsid w:val="001E3CC4"/>
    <w:rsid w:val="001E466D"/>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93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DA1"/>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E03"/>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1CE7"/>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77D"/>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A18"/>
    <w:rsid w:val="003974EB"/>
    <w:rsid w:val="00397CC5"/>
    <w:rsid w:val="003A11D1"/>
    <w:rsid w:val="003A1582"/>
    <w:rsid w:val="003A3D9C"/>
    <w:rsid w:val="003A4077"/>
    <w:rsid w:val="003A4AA7"/>
    <w:rsid w:val="003A6A14"/>
    <w:rsid w:val="003B09AD"/>
    <w:rsid w:val="003B1F18"/>
    <w:rsid w:val="003B5BF0"/>
    <w:rsid w:val="003B60BF"/>
    <w:rsid w:val="003B6BE3"/>
    <w:rsid w:val="003C010C"/>
    <w:rsid w:val="003C0A6C"/>
    <w:rsid w:val="003C14F8"/>
    <w:rsid w:val="003C32F0"/>
    <w:rsid w:val="003C5A43"/>
    <w:rsid w:val="003D0519"/>
    <w:rsid w:val="003D0FF6"/>
    <w:rsid w:val="003D262C"/>
    <w:rsid w:val="003D3998"/>
    <w:rsid w:val="003D5DE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E26"/>
    <w:rsid w:val="00404869"/>
    <w:rsid w:val="00405884"/>
    <w:rsid w:val="00407D39"/>
    <w:rsid w:val="0041477A"/>
    <w:rsid w:val="004167A3"/>
    <w:rsid w:val="00417B66"/>
    <w:rsid w:val="00432DAA"/>
    <w:rsid w:val="00434305"/>
    <w:rsid w:val="00435DF7"/>
    <w:rsid w:val="0044083F"/>
    <w:rsid w:val="00441AE7"/>
    <w:rsid w:val="00445574"/>
    <w:rsid w:val="004467FB"/>
    <w:rsid w:val="004518CB"/>
    <w:rsid w:val="00452D6B"/>
    <w:rsid w:val="00454484"/>
    <w:rsid w:val="0045517B"/>
    <w:rsid w:val="0046065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302"/>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E0F"/>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2FAC"/>
    <w:rsid w:val="005C5F21"/>
    <w:rsid w:val="005C7156"/>
    <w:rsid w:val="005D0C75"/>
    <w:rsid w:val="005D145E"/>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18EC"/>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0A97"/>
    <w:rsid w:val="0074165C"/>
    <w:rsid w:val="00742C35"/>
    <w:rsid w:val="007432CA"/>
    <w:rsid w:val="007439EB"/>
    <w:rsid w:val="00743CB4"/>
    <w:rsid w:val="00743F0A"/>
    <w:rsid w:val="00743F5F"/>
    <w:rsid w:val="007444E8"/>
    <w:rsid w:val="0074548E"/>
    <w:rsid w:val="00745773"/>
    <w:rsid w:val="00746800"/>
    <w:rsid w:val="007501A8"/>
    <w:rsid w:val="00750D61"/>
    <w:rsid w:val="00750EE1"/>
    <w:rsid w:val="00752B4D"/>
    <w:rsid w:val="00755402"/>
    <w:rsid w:val="00756B26"/>
    <w:rsid w:val="00756EDF"/>
    <w:rsid w:val="007600E3"/>
    <w:rsid w:val="00765C43"/>
    <w:rsid w:val="00765E44"/>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95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7D"/>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F65"/>
    <w:rsid w:val="008603CE"/>
    <w:rsid w:val="008620FC"/>
    <w:rsid w:val="008627A5"/>
    <w:rsid w:val="00863E05"/>
    <w:rsid w:val="00865ACA"/>
    <w:rsid w:val="00865D28"/>
    <w:rsid w:val="00865F85"/>
    <w:rsid w:val="00867C10"/>
    <w:rsid w:val="00870439"/>
    <w:rsid w:val="00870C54"/>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A9E"/>
    <w:rsid w:val="009062E6"/>
    <w:rsid w:val="00911BE5"/>
    <w:rsid w:val="00913CA9"/>
    <w:rsid w:val="009145AE"/>
    <w:rsid w:val="009146CE"/>
    <w:rsid w:val="00914CA7"/>
    <w:rsid w:val="009158F8"/>
    <w:rsid w:val="00915C3E"/>
    <w:rsid w:val="009161A8"/>
    <w:rsid w:val="009245AE"/>
    <w:rsid w:val="009245F5"/>
    <w:rsid w:val="009249EC"/>
    <w:rsid w:val="009273B3"/>
    <w:rsid w:val="009305B5"/>
    <w:rsid w:val="009378DD"/>
    <w:rsid w:val="009429D5"/>
    <w:rsid w:val="00942BF1"/>
    <w:rsid w:val="00945180"/>
    <w:rsid w:val="00945428"/>
    <w:rsid w:val="0094607B"/>
    <w:rsid w:val="00951C90"/>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6CF2"/>
    <w:rsid w:val="009E0F62"/>
    <w:rsid w:val="009E4A58"/>
    <w:rsid w:val="009E5A2D"/>
    <w:rsid w:val="009E5AB2"/>
    <w:rsid w:val="009E6219"/>
    <w:rsid w:val="009F03B3"/>
    <w:rsid w:val="009F2FDF"/>
    <w:rsid w:val="00A0096C"/>
    <w:rsid w:val="00A01757"/>
    <w:rsid w:val="00A028C0"/>
    <w:rsid w:val="00A02BAE"/>
    <w:rsid w:val="00A06A6B"/>
    <w:rsid w:val="00A07E47"/>
    <w:rsid w:val="00A129D0"/>
    <w:rsid w:val="00A12C33"/>
    <w:rsid w:val="00A138BA"/>
    <w:rsid w:val="00A14C8E"/>
    <w:rsid w:val="00A153D9"/>
    <w:rsid w:val="00A15F09"/>
    <w:rsid w:val="00A16646"/>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900"/>
    <w:rsid w:val="00AB6309"/>
    <w:rsid w:val="00AB6C5F"/>
    <w:rsid w:val="00AB7129"/>
    <w:rsid w:val="00AC0A70"/>
    <w:rsid w:val="00AC27A6"/>
    <w:rsid w:val="00AC30F7"/>
    <w:rsid w:val="00AC3A5A"/>
    <w:rsid w:val="00AC4D95"/>
    <w:rsid w:val="00AC5DF4"/>
    <w:rsid w:val="00AD0AEF"/>
    <w:rsid w:val="00AD0BF9"/>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69E"/>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347"/>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605"/>
    <w:rsid w:val="00BE5B52"/>
    <w:rsid w:val="00BE7B8D"/>
    <w:rsid w:val="00BF0993"/>
    <w:rsid w:val="00BF10A9"/>
    <w:rsid w:val="00BF1703"/>
    <w:rsid w:val="00BF231C"/>
    <w:rsid w:val="00BF51E5"/>
    <w:rsid w:val="00BF74A6"/>
    <w:rsid w:val="00C013AD"/>
    <w:rsid w:val="00C04904"/>
    <w:rsid w:val="00C056B3"/>
    <w:rsid w:val="00C07D76"/>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005"/>
    <w:rsid w:val="00C819F8"/>
    <w:rsid w:val="00C8220E"/>
    <w:rsid w:val="00C8248C"/>
    <w:rsid w:val="00C84E33"/>
    <w:rsid w:val="00C86D6F"/>
    <w:rsid w:val="00C8757A"/>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177"/>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57B"/>
    <w:rsid w:val="00D0321C"/>
    <w:rsid w:val="00D035EC"/>
    <w:rsid w:val="00D06AB1"/>
    <w:rsid w:val="00D06FC1"/>
    <w:rsid w:val="00D072ED"/>
    <w:rsid w:val="00D07A16"/>
    <w:rsid w:val="00D1067E"/>
    <w:rsid w:val="00D10F50"/>
    <w:rsid w:val="00D11272"/>
    <w:rsid w:val="00D11C0E"/>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E9E"/>
    <w:rsid w:val="00D66846"/>
    <w:rsid w:val="00D675FB"/>
    <w:rsid w:val="00D71F25"/>
    <w:rsid w:val="00D72A9C"/>
    <w:rsid w:val="00D7626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0EA"/>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5F"/>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B5B"/>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CCC"/>
    <w:rsid w:val="00FD7299"/>
    <w:rsid w:val="00FE1FBE"/>
    <w:rsid w:val="00FE3901"/>
    <w:rsid w:val="00FE39D3"/>
    <w:rsid w:val="00FE4BCE"/>
    <w:rsid w:val="00FE54AE"/>
    <w:rsid w:val="00FE576A"/>
    <w:rsid w:val="00FE7E79"/>
    <w:rsid w:val="00FF3E7D"/>
    <w:rsid w:val="00FF5B99"/>
    <w:rsid w:val="00FF730C"/>
    <w:rsid w:val="00FF73F4"/>
    <w:rsid w:val="00FF7CE4"/>
    <w:rsid w:val="00FF7E39"/>
    <w:rsid w:val="0BDC31C7"/>
    <w:rsid w:val="278466DB"/>
    <w:rsid w:val="4069285A"/>
    <w:rsid w:val="4A275494"/>
    <w:rsid w:val="4CFF7A9A"/>
    <w:rsid w:val="54EA2AE9"/>
    <w:rsid w:val="789B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D81A8C4BB9413AB56834C894BBEB1D"/>
        <w:style w:val=""/>
        <w:category>
          <w:name w:val="常规"/>
          <w:gallery w:val="placeholder"/>
        </w:category>
        <w:types>
          <w:type w:val="bbPlcHdr"/>
        </w:types>
        <w:behaviors>
          <w:behavior w:val="content"/>
        </w:behaviors>
        <w:description w:val=""/>
        <w:guid w:val="{24948797-5697-46CD-970B-33DF3795DB57}"/>
      </w:docPartPr>
      <w:docPartBody>
        <w:p w14:paraId="7C90358F">
          <w:pPr>
            <w:pStyle w:val="5"/>
            <w:rPr>
              <w:rFonts w:hint="eastAsia"/>
            </w:rPr>
          </w:pPr>
          <w:r>
            <w:rPr>
              <w:rStyle w:val="4"/>
              <w:rFonts w:hint="eastAsia"/>
            </w:rPr>
            <w:t>单击或点击此处输入文字。</w:t>
          </w:r>
        </w:p>
      </w:docPartBody>
    </w:docPart>
    <w:docPart>
      <w:docPartPr>
        <w:name w:val="EC8634C843C544979A9830728104781A"/>
        <w:style w:val=""/>
        <w:category>
          <w:name w:val="常规"/>
          <w:gallery w:val="placeholder"/>
        </w:category>
        <w:types>
          <w:type w:val="bbPlcHdr"/>
        </w:types>
        <w:behaviors>
          <w:behavior w:val="content"/>
        </w:behaviors>
        <w:description w:val=""/>
        <w:guid w:val="{602D826A-895D-46BF-B088-28111D0E3BB4}"/>
      </w:docPartPr>
      <w:docPartBody>
        <w:p w14:paraId="72127CE1">
          <w:pPr>
            <w:pStyle w:val="6"/>
            <w:rPr>
              <w:rFonts w:hint="eastAsia"/>
            </w:rPr>
          </w:pPr>
          <w:r>
            <w:rPr>
              <w:rStyle w:val="4"/>
              <w:rFonts w:hint="eastAsia"/>
            </w:rPr>
            <w:t>选择一项。</w:t>
          </w:r>
        </w:p>
      </w:docPartBody>
    </w:docPart>
    <w:docPart>
      <w:docPartPr>
        <w:name w:val="5A7935FBCFDD48B78D08F5A81CFEA2E8"/>
        <w:style w:val=""/>
        <w:category>
          <w:name w:val="常规"/>
          <w:gallery w:val="placeholder"/>
        </w:category>
        <w:types>
          <w:type w:val="bbPlcHdr"/>
        </w:types>
        <w:behaviors>
          <w:behavior w:val="content"/>
        </w:behaviors>
        <w:description w:val=""/>
        <w:guid w:val="{D8390198-CD20-4A81-8BC9-3C22B667FBF4}"/>
      </w:docPartPr>
      <w:docPartBody>
        <w:p w14:paraId="204D477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A3"/>
    <w:rsid w:val="0002506C"/>
    <w:rsid w:val="001203CB"/>
    <w:rsid w:val="00174932"/>
    <w:rsid w:val="00225EE1"/>
    <w:rsid w:val="003F352E"/>
    <w:rsid w:val="004017A6"/>
    <w:rsid w:val="004E622F"/>
    <w:rsid w:val="005D145E"/>
    <w:rsid w:val="00765E44"/>
    <w:rsid w:val="007E395A"/>
    <w:rsid w:val="00855E22"/>
    <w:rsid w:val="009158F8"/>
    <w:rsid w:val="00AB3900"/>
    <w:rsid w:val="00AD0BF9"/>
    <w:rsid w:val="00B03DA6"/>
    <w:rsid w:val="00B548A3"/>
    <w:rsid w:val="00B56F17"/>
    <w:rsid w:val="00BE43DE"/>
    <w:rsid w:val="00E475D2"/>
    <w:rsid w:val="00E5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ED81A8C4BB9413AB56834C894BBEB1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C8634C843C544979A983072810478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A7935FBCFDD48B78D08F5A81CFEA2E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2822</Words>
  <Characters>3077</Characters>
  <Lines>51</Lines>
  <Paragraphs>14</Paragraphs>
  <TotalTime>317</TotalTime>
  <ScaleCrop>false</ScaleCrop>
  <LinksUpToDate>false</LinksUpToDate>
  <CharactersWithSpaces>3153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2025-03-19T07:57:00Z</dcterms:created>
  <dc:creator>1</dc:creator>
  <dc:description>&lt;config cover="true" show_menu="true" version="1.0.0" doctype="SDKXY"&gt;_x000d_
&lt;/config&gt;</dc:description>
  <cp:lastModifiedBy>Shimmer</cp:lastModifiedBy>
  <cp:lastPrinted>2021-02-02T08:22:00Z</cp:lastPrinted>
  <dcterms:modified xsi:type="dcterms:W3CDTF">2025-04-01T07:10:02Z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CF8012B8CFE54D1A9DC2C16965A8A346_13</vt:lpwstr>
  </property>
</Properties>
</file>