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温室气体排放核算指南 污泥干化焚烧系统集成装备</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val="en-US" w:eastAsia="zh-CN"/>
        </w:rPr>
        <w:t>温室气体排放核算指南 污泥干化焚烧系统集成装备</w:t>
      </w:r>
      <w:r>
        <w:rPr>
          <w:rFonts w:hint="default" w:ascii="Times New Roman" w:hAnsi="Times New Roman" w:eastAsia="楷体_GB2312" w:cs="Times New Roman"/>
          <w:b/>
          <w:sz w:val="32"/>
          <w:szCs w:val="32"/>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eastAsia" w:ascii="Times New Roman" w:hAnsi="Times New Roman" w:eastAsia="楷体_GB2312" w:cs="Times New Roman"/>
          <w:b/>
          <w:sz w:val="36"/>
          <w:szCs w:val="36"/>
          <w:highlight w:val="none"/>
          <w:lang w:val="en-US" w:eastAsia="zh-CN"/>
        </w:rPr>
        <w:t>三</w:t>
      </w:r>
      <w:bookmarkStart w:id="51" w:name="_GoBack"/>
      <w:bookmarkEnd w:id="51"/>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638888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温室气体排放核算指南 污泥干化焚烧系统集成装备</w:t>
      </w:r>
      <w:r>
        <w:rPr>
          <w:rFonts w:hint="default" w:ascii="Times New Roman" w:hAnsi="Times New Roman" w:eastAsia="黑体" w:cs="Times New Roman"/>
          <w:b/>
          <w:sz w:val="36"/>
          <w:szCs w:val="36"/>
          <w:highlight w:val="none"/>
        </w:rPr>
        <w:t>》</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团体标准编制说明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3E1B6158">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城市化进程的加快，污水处理厂产生的污泥量急剧增加，污泥处理成为城市环境治理的重要一环。污泥干化焚烧系统集成装备项目旨在通过先进的干化焚烧技术，实现污泥的减量化、稳定化和无害化处理。然而，在污泥处理过程中，能源消耗和温室气体排放问题日益凸显。为响应国家“双碳”目标，即碳达峰与碳中和，以及生态环境部等部门联合印发的《减污降碳协同增效实施方案》等文件要求，开展污泥处理过程的碳排放测算和优化管理显得尤为迫切。在污泥干化焚烧系统集成装备项目的温室气体排放核算中，存在一些问题亟待解决。首先，污泥处理工艺的多样性和复杂性导致排放因子的不确定性，使得核算结果难以准确反映实际排放情况。其次，现有的碳排放核算方法多依赖经验排放因子，未能充分考虑地域差异和处理工艺的特殊性，导致核算结果存在偏差。此外，污泥处理过程中的能源消耗和碳排放数据收集、监测和报告体系尚不完善，也制约了碳排放管理的有效实施。</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制定温室气体排放核算指南，以科学、准确地核算污泥干化焚烧系统集成装备项目的温室气体排放量，成为该项目立项的重要背景。制定温室气体排放核算指南对于污泥干化焚烧系统集成装备项目具有重要意义。一方面，它有助于科学、准确地核算项目运营过程中的温室气体排放量，为项目碳排放管理提供基础数据支持。另一方面，通过核算指南的制定和实施，可以推动污泥处理行业碳排放管理的标准化和规范化，促进碳减排技术的研发和应用。此外，核算指南的制定还有助于提升污泥处理企业的环保意识和碳排放管理能力，推动行业向绿色低碳转型。综上所述，温室气体排放核算指南的制定对于污泥干化焚烧系统集成装备项目的可持续发展具有重要意义。</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污泥干化</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污泥干化</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污泥干化相关情况进行了深入的调查研究，同时广泛搜集相关标准和国外技术资料，进行了大量的研究分析、资料查证工作，确定了污泥干化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标准起草组进一步研究了污泥干化需要具备的特殊条件，明确了技术要求和指标，为标准的具体起草指明了方向。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在理论研究基础上，起草组在标准编制过程中充分借鉴已有的理论研究和实践成果，基于我国市场行情，经过数次修订，形成了《温室气体排放核算指南 污泥干化焚烧系统集成装备》标准草案。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温室气体排放核算指南 污泥干化焚烧系统集成装备》（征求意见稿）。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7</w:t>
      </w:r>
      <w:r>
        <w:rPr>
          <w:rFonts w:hint="default" w:ascii="Times New Roman" w:hAnsi="Times New Roman" w:cs="Times New Roman"/>
          <w:sz w:val="28"/>
          <w:szCs w:val="28"/>
          <w:highlight w:val="none"/>
        </w:rPr>
        <w:t>个部分，主要内容如下：</w:t>
      </w:r>
    </w:p>
    <w:p w14:paraId="1A03D038">
      <w:pPr>
        <w:pStyle w:val="45"/>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6718930"/>
      <w:bookmarkStart w:id="3" w:name="_Toc17233325"/>
      <w:bookmarkStart w:id="4" w:name="_Toc26648465"/>
      <w:bookmarkStart w:id="5" w:name="_Toc175145886"/>
      <w:bookmarkStart w:id="6" w:name="_Toc26986771"/>
      <w:bookmarkStart w:id="7" w:name="_Toc193466954"/>
      <w:bookmarkStart w:id="8" w:name="_Toc24884211"/>
      <w:bookmarkStart w:id="9" w:name="_Toc97192964"/>
      <w:bookmarkStart w:id="10" w:name="_Toc24884218"/>
      <w:bookmarkStart w:id="11" w:name="_Toc26986530"/>
      <w:bookmarkStart w:id="12" w:name="_Toc17233333"/>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p>
    <w:p w14:paraId="44D008D0">
      <w:pPr>
        <w:pStyle w:val="35"/>
        <w:widowControl/>
        <w:spacing w:line="360" w:lineRule="auto"/>
        <w:ind w:left="0" w:firstLine="420"/>
        <w:rPr>
          <w:rFonts w:hint="default" w:ascii="Times New Roman" w:hAnsi="Times New Roman" w:cs="Times New Roman"/>
          <w:sz w:val="28"/>
          <w:szCs w:val="28"/>
          <w:highlight w:val="none"/>
          <w:lang w:val="en-US"/>
        </w:rPr>
      </w:pPr>
      <w:bookmarkStart w:id="13" w:name="_Toc17233326"/>
      <w:bookmarkStart w:id="14" w:name="_Toc17233334"/>
      <w:bookmarkStart w:id="15" w:name="_Toc26648466"/>
      <w:bookmarkStart w:id="16" w:name="_Toc24884219"/>
      <w:bookmarkStart w:id="17" w:name="_Toc24884212"/>
      <w:r>
        <w:rPr>
          <w:rFonts w:hint="default" w:ascii="Times New Roman" w:hAnsi="Times New Roman" w:cs="Times New Roman"/>
          <w:sz w:val="28"/>
          <w:szCs w:val="28"/>
          <w:highlight w:val="none"/>
          <w:lang w:eastAsia="zh-CN"/>
        </w:rPr>
        <w:t>本文件规定了污泥干化焚烧系统集成装备碳排放量的核算边界、核算步骤与核算方法、数据质量管理、报告内容和格式等内容。</w:t>
      </w:r>
    </w:p>
    <w:p w14:paraId="22506C7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本文件适用于污泥干化焚烧系统集成装备碳排放量的核算和报告。</w:t>
      </w:r>
    </w:p>
    <w:p w14:paraId="355E879E">
      <w:pPr>
        <w:pStyle w:val="45"/>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8" w:name="_Toc26986531"/>
      <w:bookmarkStart w:id="19" w:name="_Toc26986772"/>
      <w:bookmarkStart w:id="20" w:name="_Toc175145887"/>
      <w:bookmarkStart w:id="21" w:name="_Toc193466955"/>
      <w:bookmarkStart w:id="22" w:name="_Toc97192965"/>
      <w:bookmarkStart w:id="23" w:name="_Toc26718931"/>
      <w:r>
        <w:rPr>
          <w:rFonts w:hint="default" w:ascii="Times New Roman" w:hAnsi="Times New Roman" w:cs="Times New Roman"/>
          <w:sz w:val="28"/>
          <w:szCs w:val="28"/>
          <w:highlight w:val="none"/>
          <w:lang w:eastAsia="zh-CN"/>
        </w:rPr>
        <w:t>规范性引用文件</w:t>
      </w:r>
      <w:bookmarkEnd w:id="13"/>
      <w:bookmarkEnd w:id="14"/>
      <w:bookmarkEnd w:id="15"/>
      <w:bookmarkEnd w:id="16"/>
      <w:bookmarkEnd w:id="17"/>
      <w:bookmarkEnd w:id="18"/>
      <w:bookmarkEnd w:id="19"/>
      <w:bookmarkEnd w:id="20"/>
      <w:bookmarkEnd w:id="21"/>
      <w:bookmarkEnd w:id="22"/>
      <w:bookmarkEnd w:id="23"/>
    </w:p>
    <w:p w14:paraId="67902DA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71C4CF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213 </w:t>
      </w:r>
      <w:r>
        <w:rPr>
          <w:rFonts w:hint="default" w:ascii="Times New Roman" w:hAnsi="Times New Roman" w:cs="Times New Roman"/>
          <w:sz w:val="28"/>
          <w:szCs w:val="28"/>
          <w:highlight w:val="none"/>
          <w:lang w:eastAsia="zh-CN"/>
        </w:rPr>
        <w:t>煤的发热量测定方法</w:t>
      </w:r>
    </w:p>
    <w:p w14:paraId="2F44F63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384 </w:t>
      </w:r>
      <w:r>
        <w:rPr>
          <w:rFonts w:hint="default" w:ascii="Times New Roman" w:hAnsi="Times New Roman" w:cs="Times New Roman"/>
          <w:sz w:val="28"/>
          <w:szCs w:val="28"/>
          <w:highlight w:val="none"/>
          <w:lang w:eastAsia="zh-CN"/>
        </w:rPr>
        <w:t>石油产品热值测定法</w:t>
      </w:r>
    </w:p>
    <w:p w14:paraId="71BA518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22723 </w:t>
      </w:r>
      <w:r>
        <w:rPr>
          <w:rFonts w:hint="default" w:ascii="Times New Roman" w:hAnsi="Times New Roman" w:cs="Times New Roman"/>
          <w:sz w:val="28"/>
          <w:szCs w:val="28"/>
          <w:highlight w:val="none"/>
          <w:lang w:eastAsia="zh-CN"/>
        </w:rPr>
        <w:t>天然气能量的测定</w:t>
      </w:r>
    </w:p>
    <w:p w14:paraId="7CE766F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32150 </w:t>
      </w:r>
      <w:r>
        <w:rPr>
          <w:rFonts w:hint="default" w:ascii="Times New Roman" w:hAnsi="Times New Roman" w:cs="Times New Roman"/>
          <w:sz w:val="28"/>
          <w:szCs w:val="28"/>
          <w:highlight w:val="none"/>
          <w:lang w:eastAsia="zh-CN"/>
        </w:rPr>
        <w:t>工业企业温室气体排放核算和报告通则</w:t>
      </w:r>
    </w:p>
    <w:p w14:paraId="237E42F4">
      <w:pPr>
        <w:pStyle w:val="45"/>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4" w:name="_Toc97192966"/>
      <w:bookmarkStart w:id="25" w:name="_Toc193466956"/>
      <w:bookmarkStart w:id="26" w:name="_Toc175145888"/>
      <w:r>
        <w:rPr>
          <w:rFonts w:hint="default" w:ascii="Times New Roman" w:hAnsi="Times New Roman" w:cs="Times New Roman"/>
          <w:sz w:val="28"/>
          <w:szCs w:val="28"/>
          <w:highlight w:val="none"/>
          <w:lang w:eastAsia="zh-CN"/>
        </w:rPr>
        <w:t>术语和定义</w:t>
      </w:r>
      <w:bookmarkEnd w:id="24"/>
      <w:bookmarkEnd w:id="25"/>
      <w:bookmarkEnd w:id="26"/>
    </w:p>
    <w:p w14:paraId="41728804">
      <w:pPr>
        <w:pStyle w:val="35"/>
        <w:widowControl/>
        <w:spacing w:line="360" w:lineRule="auto"/>
        <w:ind w:left="0" w:firstLine="420"/>
        <w:rPr>
          <w:rFonts w:hint="default" w:ascii="Times New Roman" w:hAnsi="Times New Roman" w:cs="Times New Roman"/>
          <w:sz w:val="28"/>
          <w:szCs w:val="28"/>
          <w:highlight w:val="none"/>
          <w:lang w:val="en-US"/>
        </w:rPr>
      </w:pPr>
      <w:bookmarkStart w:id="27" w:name="_Toc26986532"/>
      <w:bookmarkEnd w:id="27"/>
      <w:r>
        <w:rPr>
          <w:rFonts w:hint="default" w:ascii="Times New Roman" w:hAnsi="Times New Roman" w:cs="Times New Roman"/>
          <w:sz w:val="28"/>
          <w:szCs w:val="28"/>
          <w:highlight w:val="none"/>
          <w:lang w:val="en-US"/>
        </w:rPr>
        <w:t>GB/T 32150</w:t>
      </w:r>
      <w:r>
        <w:rPr>
          <w:rFonts w:hint="default" w:ascii="Times New Roman" w:hAnsi="Times New Roman" w:cs="Times New Roman"/>
          <w:sz w:val="28"/>
          <w:szCs w:val="28"/>
          <w:highlight w:val="none"/>
          <w:lang w:eastAsia="zh-CN"/>
        </w:rPr>
        <w:t>界定的以及下列术语和定义适用于本文件。</w:t>
      </w:r>
    </w:p>
    <w:p w14:paraId="2495E5C3">
      <w:pPr>
        <w:pStyle w:val="50"/>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p>
    <w:p w14:paraId="74AC82E1">
      <w:pPr>
        <w:pStyle w:val="50"/>
        <w:widowControl/>
        <w:numPr>
          <w:ilvl w:val="2"/>
          <w:numId w:val="0"/>
        </w:numPr>
        <w:spacing w:line="360" w:lineRule="auto"/>
        <w:ind w:left="42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污泥干化焚烧系统集成装备</w:t>
      </w:r>
      <w:r>
        <w:rPr>
          <w:rFonts w:hint="default" w:ascii="Times New Roman" w:hAnsi="Times New Roman" w:eastAsia="黑体" w:cs="Times New Roman"/>
          <w:sz w:val="28"/>
          <w:szCs w:val="28"/>
          <w:highlight w:val="none"/>
          <w:lang w:val="en-US"/>
        </w:rPr>
        <w:t xml:space="preserve"> sludge drying and incineration system integration equipment</w:t>
      </w:r>
    </w:p>
    <w:p w14:paraId="038AFAB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以污泥干燥和焚烧为核心，集湿污泥输送、污泥煅烧、热源供应、尾气处理等多个系统于一体的成套设备。</w:t>
      </w:r>
    </w:p>
    <w:p w14:paraId="167296AA">
      <w:pPr>
        <w:pStyle w:val="50"/>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p>
    <w:p w14:paraId="71BAFE8A">
      <w:pPr>
        <w:pStyle w:val="50"/>
        <w:widowControl/>
        <w:numPr>
          <w:ilvl w:val="2"/>
          <w:numId w:val="0"/>
        </w:numPr>
        <w:spacing w:line="360" w:lineRule="auto"/>
        <w:ind w:left="42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温室气体</w:t>
      </w:r>
      <w:r>
        <w:rPr>
          <w:rFonts w:hint="default" w:ascii="Times New Roman" w:hAnsi="Times New Roman" w:eastAsia="黑体" w:cs="Times New Roman"/>
          <w:sz w:val="28"/>
          <w:szCs w:val="28"/>
          <w:highlight w:val="none"/>
          <w:lang w:val="en-US"/>
        </w:rPr>
        <w:t xml:space="preserve"> greenhouse gas</w:t>
      </w:r>
    </w:p>
    <w:p w14:paraId="06C1D02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大气层中自然存在的和由于人类活动产生的能够吸收和散发由地球表面、大气层和云层所产生的、波长在红外光谱内的辐射的气态成分。</w:t>
      </w:r>
    </w:p>
    <w:p w14:paraId="2B4E60D4">
      <w:pPr>
        <w:pStyle w:val="50"/>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报告主体</w:t>
      </w:r>
      <w:r>
        <w:rPr>
          <w:rFonts w:hint="default" w:ascii="Times New Roman" w:hAnsi="Times New Roman" w:eastAsia="黑体" w:cs="Times New Roman"/>
          <w:sz w:val="28"/>
          <w:szCs w:val="28"/>
          <w:highlight w:val="none"/>
          <w:lang w:val="en-US"/>
        </w:rPr>
        <w:t xml:space="preserve"> reporting entity</w:t>
      </w:r>
    </w:p>
    <w:p w14:paraId="24F03AD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具有温室气体排放行为的法人企业或视同法人的独立核算单位。</w:t>
      </w:r>
    </w:p>
    <w:p w14:paraId="1B0518EC">
      <w:pPr>
        <w:pStyle w:val="50"/>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核算边界</w:t>
      </w:r>
      <w:r>
        <w:rPr>
          <w:rFonts w:hint="default" w:ascii="Times New Roman" w:hAnsi="Times New Roman" w:eastAsia="黑体" w:cs="Times New Roman"/>
          <w:sz w:val="28"/>
          <w:szCs w:val="28"/>
          <w:highlight w:val="none"/>
          <w:lang w:val="en-US"/>
        </w:rPr>
        <w:t xml:space="preserve"> accounting boundary</w:t>
      </w:r>
    </w:p>
    <w:p w14:paraId="69D6E26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与报告主体的生产经营活动相关的温室气体排放的范围</w:t>
      </w:r>
      <w:r>
        <w:rPr>
          <w:rFonts w:hint="default" w:ascii="Times New Roman" w:hAnsi="Times New Roman" w:cs="Times New Roman"/>
          <w:sz w:val="28"/>
          <w:szCs w:val="28"/>
          <w:highlight w:val="none"/>
          <w:lang w:val="en-US"/>
        </w:rPr>
        <w:t>.</w:t>
      </w:r>
    </w:p>
    <w:p w14:paraId="521E09C5">
      <w:pPr>
        <w:pStyle w:val="50"/>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过程排放</w:t>
      </w:r>
      <w:r>
        <w:rPr>
          <w:rFonts w:hint="default" w:ascii="Times New Roman" w:hAnsi="Times New Roman" w:eastAsia="黑体" w:cs="Times New Roman"/>
          <w:sz w:val="28"/>
          <w:szCs w:val="28"/>
          <w:highlight w:val="none"/>
          <w:lang w:val="en-US"/>
        </w:rPr>
        <w:t xml:space="preserve"> process emission</w:t>
      </w:r>
    </w:p>
    <w:p w14:paraId="619A7BE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在生产、废弃物处理处置等过程中除燃料燃烧之外的物理或化学变化造成的温室气体排放。</w:t>
      </w:r>
    </w:p>
    <w:p w14:paraId="63966EB8">
      <w:pPr>
        <w:pStyle w:val="50"/>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活动数据</w:t>
      </w:r>
      <w:r>
        <w:rPr>
          <w:rFonts w:hint="default" w:ascii="Times New Roman" w:hAnsi="Times New Roman" w:eastAsia="黑体" w:cs="Times New Roman"/>
          <w:sz w:val="28"/>
          <w:szCs w:val="28"/>
          <w:highlight w:val="none"/>
          <w:lang w:val="en-US"/>
        </w:rPr>
        <w:t xml:space="preserve"> activity data</w:t>
      </w:r>
    </w:p>
    <w:p w14:paraId="6A8A41E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导致温室气体排放的生产或消费活动量的表征值，包括各种化石燃料的消耗量、原材料的使用量、购入的电量、购入的热量等。</w:t>
      </w:r>
    </w:p>
    <w:p w14:paraId="4567FFA9">
      <w:pPr>
        <w:pStyle w:val="45"/>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8" w:name="_Toc193466957"/>
      <w:bookmarkStart w:id="29" w:name="_Toc175145889"/>
      <w:r>
        <w:rPr>
          <w:rFonts w:hint="default" w:ascii="Times New Roman" w:hAnsi="Times New Roman" w:cs="Times New Roman"/>
          <w:sz w:val="28"/>
          <w:szCs w:val="28"/>
          <w:highlight w:val="none"/>
          <w:lang w:eastAsia="zh-CN"/>
        </w:rPr>
        <w:t>核算边界</w:t>
      </w:r>
      <w:bookmarkEnd w:id="28"/>
      <w:bookmarkEnd w:id="29"/>
    </w:p>
    <w:p w14:paraId="207FB835">
      <w:pPr>
        <w:pStyle w:val="4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通则</w:t>
      </w:r>
    </w:p>
    <w:p w14:paraId="308DE09D">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以企业法人或视同法人的独立核算单位为边界，核算和报告其生产系统产生的温室气体排放。生产系统范围包括：主要生产系统、辅助生产系统、以及附属生产系统，其中辅助生产系统包括动力、供电、供水、化验、机修、库房、运输等，附属生产系统包括生产指挥系统（厂部）和厂区内为生产服务的部门和单位（如职工食堂、车间浴室、保健站等）。</w:t>
      </w:r>
    </w:p>
    <w:p w14:paraId="4E352368">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污泥干化焚烧系统集成装备温室气体排放包括：化石燃料燃烧排放，工业生产过程排放及净购入电力产生的排放。机械设备制造企业生产过程中涉及二氧化碳气体保护焊产生的排放。</w:t>
      </w:r>
    </w:p>
    <w:p w14:paraId="1035B2B0">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如果污泥干化焚烧系统集成装备有外包工序，则应在报告主体基本信息和其他报告信息中说明。</w:t>
      </w:r>
    </w:p>
    <w:p w14:paraId="79487B5E">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如果报告主体涉及使用外购绿色电力，不应直接扣减，应单独进行报告。</w:t>
      </w:r>
    </w:p>
    <w:p w14:paraId="2CA984AC">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如果报告主体除污泥干化焚烧系统集成装备生产外还存在其他产品生产活动，并存在本文件未涵盖的碳排放环节，则应按其他相关行业的企业碳排放核算与报告要求进行核算并汇总报告。</w:t>
      </w:r>
    </w:p>
    <w:p w14:paraId="5720FFE8">
      <w:pPr>
        <w:pStyle w:val="4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核算和报告范围</w:t>
      </w:r>
    </w:p>
    <w:p w14:paraId="13FEE512">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核算和报告范围如下：</w:t>
      </w:r>
    </w:p>
    <w:p w14:paraId="7AFEF464">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化石燃料燃烧排放：核算边界内天然气、煤、柴油、重油、煤气、液化石油气等化石燃料在各种类型的固定源（主要有热风炉、窑炉和干燥器等）或移动源（厂内机动车辆）中发生氧化燃烧过程产生的碳排放；</w:t>
      </w:r>
    </w:p>
    <w:p w14:paraId="4A0D22D6">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工业生产过程排放：二氧化碳气体保护焊使用过程中由于气体使用或泄漏造成的温室气体排放；</w:t>
      </w:r>
    </w:p>
    <w:p w14:paraId="6A55E1BA">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购入电力生产产生的温室气体排放：企业购入的电力所对应的生产环节产生的碳排放；</w:t>
      </w:r>
    </w:p>
    <w:p w14:paraId="1D550E8B">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购入热力生产产生的温室气体排放：企业购入的热力（蒸汽、热水等）所对应的生产环节产生的碳排放。</w:t>
      </w:r>
    </w:p>
    <w:p w14:paraId="5B88EC46">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污泥干化焚烧系统集成装备的温室气体排放及核算边界见图</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5FCA18E2">
      <w:pPr>
        <w:pStyle w:val="35"/>
        <w:widowControl/>
        <w:spacing w:line="360" w:lineRule="auto"/>
        <w:ind w:left="0" w:firstLine="420"/>
        <w:rPr>
          <w:rFonts w:hint="default" w:ascii="Times New Roman" w:hAnsi="Times New Roman" w:cs="Times New Roman"/>
          <w:sz w:val="28"/>
          <w:szCs w:val="28"/>
          <w:highlight w:val="none"/>
          <w:lang w:val="en-US"/>
        </w:rPr>
      </w:pPr>
    </w:p>
    <w:p w14:paraId="02346E3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drawing>
          <wp:inline distT="0" distB="0" distL="114300" distR="114300">
            <wp:extent cx="5934075" cy="40290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934075" cy="4029075"/>
                    </a:xfrm>
                    <a:prstGeom prst="rect">
                      <a:avLst/>
                    </a:prstGeom>
                    <a:noFill/>
                    <a:ln>
                      <a:noFill/>
                    </a:ln>
                  </pic:spPr>
                </pic:pic>
              </a:graphicData>
            </a:graphic>
          </wp:inline>
        </w:drawing>
      </w:r>
    </w:p>
    <w:p w14:paraId="7065B51E">
      <w:pPr>
        <w:pStyle w:val="38"/>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30" w:name="OLE_LINK1"/>
      <w:r>
        <w:rPr>
          <w:rFonts w:hint="default" w:ascii="Times New Roman" w:hAnsi="Times New Roman" w:cs="Times New Roman"/>
          <w:sz w:val="28"/>
          <w:szCs w:val="28"/>
          <w:highlight w:val="none"/>
          <w:lang w:eastAsia="zh-CN"/>
        </w:rPr>
        <w:t>污泥干化焚烧系统集成装备</w:t>
      </w:r>
      <w:bookmarkEnd w:id="30"/>
      <w:r>
        <w:rPr>
          <w:rFonts w:hint="default" w:ascii="Times New Roman" w:hAnsi="Times New Roman" w:cs="Times New Roman"/>
          <w:sz w:val="28"/>
          <w:szCs w:val="28"/>
          <w:highlight w:val="none"/>
          <w:lang w:eastAsia="zh-CN"/>
        </w:rPr>
        <w:t>温室气体排放及核算边界</w:t>
      </w:r>
    </w:p>
    <w:p w14:paraId="48BE69B4">
      <w:pPr>
        <w:pStyle w:val="45"/>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1" w:name="_Toc193466958"/>
      <w:bookmarkStart w:id="32" w:name="_Toc175145890"/>
      <w:r>
        <w:rPr>
          <w:rFonts w:hint="default" w:ascii="Times New Roman" w:hAnsi="Times New Roman" w:cs="Times New Roman"/>
          <w:sz w:val="28"/>
          <w:szCs w:val="28"/>
          <w:highlight w:val="none"/>
          <w:lang w:eastAsia="zh-CN"/>
        </w:rPr>
        <w:t>核算步骤与方法</w:t>
      </w:r>
      <w:bookmarkEnd w:id="31"/>
      <w:bookmarkEnd w:id="32"/>
    </w:p>
    <w:p w14:paraId="3833C687">
      <w:pPr>
        <w:pStyle w:val="4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核算步骤</w:t>
      </w:r>
    </w:p>
    <w:p w14:paraId="560D241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碳排放核算和报告的工作流程应包括以下步骤：</w:t>
      </w:r>
    </w:p>
    <w:p w14:paraId="332D55F4">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确定核算边界；</w:t>
      </w:r>
    </w:p>
    <w:p w14:paraId="64E89273">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制定数据质量控制计划；</w:t>
      </w:r>
    </w:p>
    <w:p w14:paraId="705D4F4C">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识别碳排放源；</w:t>
      </w:r>
    </w:p>
    <w:p w14:paraId="104614DB">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收集活动数据，选择和获取排放因子数据；</w:t>
      </w:r>
    </w:p>
    <w:p w14:paraId="1CCABEFF">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分别计算化石燃料燃烧排放量、过程排放量、购入的电力产生的排放量；</w:t>
      </w:r>
    </w:p>
    <w:p w14:paraId="02F86B60">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汇总计算企业碳排放总量。</w:t>
      </w:r>
    </w:p>
    <w:p w14:paraId="0BEABBE9">
      <w:pPr>
        <w:pStyle w:val="4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核算方法</w:t>
      </w:r>
    </w:p>
    <w:p w14:paraId="27BC29D3">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碳排放总量</w:t>
      </w:r>
    </w:p>
    <w:p w14:paraId="50A40B4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报告主体的碳排放总量应按公式（</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）计算：</w:t>
      </w:r>
    </w:p>
    <w:p w14:paraId="73505904">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2047875" cy="200025"/>
            <wp:effectExtent l="0" t="0" r="9525" b="889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04787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val="en-US"/>
        </w:rPr>
        <w:fldChar w:fldCharType="end"/>
      </w:r>
      <w:r>
        <w:rPr>
          <w:rFonts w:hint="default" w:ascii="Times New Roman" w:hAnsi="Times New Roman" w:cs="Times New Roman"/>
          <w:sz w:val="28"/>
          <w:szCs w:val="28"/>
          <w:highlight w:val="none"/>
          <w:lang w:eastAsia="zh-CN"/>
        </w:rPr>
        <w:t>）</w:t>
      </w:r>
    </w:p>
    <w:p w14:paraId="267F66CA">
      <w:pPr>
        <w:pStyle w:val="40"/>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30F0043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i/>
          <w:iCs/>
          <w:sz w:val="28"/>
          <w:szCs w:val="28"/>
          <w:highlight w:val="none"/>
          <w:lang w:val="en-US"/>
        </w:rPr>
        <w:softHyphen/>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报告主体的碳排放总量，单位为吨二氧化碳（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70F50E8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燃烧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报告主体的化石燃料燃烧产生的碳排放量，单位为吨二氧化碳（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70C8624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过程</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报告主体在生产过程中二氧化碳气体保护焊气体使用或泄漏产生的碳排放量，单位为吨二氧化碳（</w:t>
      </w:r>
      <w:r>
        <w:rPr>
          <w:rFonts w:hint="default" w:ascii="Times New Roman" w:hAnsi="Times New Roman" w:cs="Times New Roman"/>
          <w:sz w:val="28"/>
          <w:szCs w:val="28"/>
          <w:highlight w:val="none"/>
          <w:lang w:val="en-US"/>
        </w:rPr>
        <w:t>tC0</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13D0825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购入电</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报告主体购入的电力产生的碳排放量，单位为吨二氧化碳（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118DE67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E</w:t>
      </w:r>
      <w:r>
        <w:rPr>
          <w:rFonts w:hint="default" w:ascii="Times New Roman" w:hAnsi="Times New Roman" w:cs="Times New Roman"/>
          <w:color w:val="000000"/>
          <w:sz w:val="28"/>
          <w:szCs w:val="28"/>
          <w:highlight w:val="none"/>
          <w:lang w:eastAsia="zh-CN"/>
        </w:rPr>
        <w:t>购入热</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报告主体购入的热力产生的碳排放量，单位为吨二氧化碳（</w:t>
      </w:r>
      <w:r>
        <w:rPr>
          <w:rFonts w:hint="default" w:ascii="Times New Roman" w:hAnsi="Times New Roman" w:cs="Times New Roman"/>
          <w:sz w:val="28"/>
          <w:szCs w:val="28"/>
          <w:highlight w:val="none"/>
          <w:lang w:val="en-US"/>
        </w:rPr>
        <w:t>tC0</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13D5F75C">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化石燃料燃烧排放</w:t>
      </w:r>
    </w:p>
    <w:p w14:paraId="27FA1610">
      <w:pPr>
        <w:pStyle w:val="44"/>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计算公式</w:t>
      </w:r>
    </w:p>
    <w:p w14:paraId="2BBCA96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化石燃料燃烧产生的碳排放量应按公式（</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）计算，其中</w:t>
      </w:r>
      <w:r>
        <w:rPr>
          <w:rFonts w:hint="default" w:ascii="Times New Roman" w:hAnsi="Times New Roman" w:cs="Times New Roman"/>
          <w:i/>
          <w:iCs/>
          <w:sz w:val="28"/>
          <w:szCs w:val="28"/>
          <w:highlight w:val="none"/>
          <w:lang w:val="en-US"/>
        </w:rPr>
        <w:t>AD</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）计算；</w:t>
      </w:r>
      <w:r>
        <w:rPr>
          <w:rFonts w:hint="default" w:ascii="Times New Roman" w:hAnsi="Times New Roman" w:cs="Times New Roman"/>
          <w:i/>
          <w:iCs/>
          <w:sz w:val="28"/>
          <w:szCs w:val="28"/>
          <w:highlight w:val="none"/>
          <w:lang w:val="en-US"/>
        </w:rPr>
        <w:t>EF</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lang w:eastAsia="zh-CN"/>
        </w:rPr>
        <w:t>）计算：</w:t>
      </w:r>
    </w:p>
    <w:p w14:paraId="295EE9A5">
      <w:pPr>
        <w:pStyle w:val="39"/>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1428750" cy="200025"/>
            <wp:effectExtent l="0" t="0" r="0" b="889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428750"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2</w:t>
      </w:r>
      <w:r>
        <w:rPr>
          <w:rFonts w:hint="default" w:ascii="Times New Roman" w:hAnsi="Times New Roman" w:cs="Times New Roman"/>
          <w:sz w:val="28"/>
          <w:szCs w:val="28"/>
          <w:highlight w:val="none"/>
          <w:lang w:eastAsia="zh-CN"/>
        </w:rPr>
        <w:t>）</w:t>
      </w:r>
    </w:p>
    <w:p w14:paraId="249CBD97">
      <w:pPr>
        <w:pStyle w:val="40"/>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02BB537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E</w:t>
      </w:r>
      <w:r>
        <w:rPr>
          <w:rFonts w:hint="default" w:ascii="Times New Roman" w:hAnsi="Times New Roman" w:cs="Times New Roman"/>
          <w:color w:val="000000"/>
          <w:sz w:val="28"/>
          <w:szCs w:val="28"/>
          <w:highlight w:val="none"/>
          <w:lang w:eastAsia="zh-CN"/>
        </w:rPr>
        <w:t xml:space="preserve">燃烧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化石燃料燃烧产生的碳排放量，单位为吨二氧化碳当量（</w:t>
      </w:r>
      <w:r>
        <w:rPr>
          <w:rFonts w:hint="default" w:ascii="Times New Roman" w:hAnsi="Times New Roman" w:cs="Times New Roman"/>
          <w:sz w:val="28"/>
          <w:szCs w:val="28"/>
          <w:highlight w:val="none"/>
          <w:lang w:val="en-US"/>
        </w:rPr>
        <w:t>tCO2e</w:t>
      </w:r>
      <w:r>
        <w:rPr>
          <w:rFonts w:hint="default" w:ascii="Times New Roman" w:hAnsi="Times New Roman" w:cs="Times New Roman"/>
          <w:sz w:val="28"/>
          <w:szCs w:val="28"/>
          <w:highlight w:val="none"/>
          <w:lang w:eastAsia="zh-CN"/>
        </w:rPr>
        <w:t>）；</w:t>
      </w:r>
    </w:p>
    <w:p w14:paraId="5BD63004">
      <w:pPr>
        <w:pStyle w:val="35"/>
        <w:widowControl/>
        <w:spacing w:line="360" w:lineRule="auto"/>
        <w:ind w:left="0" w:firstLine="420"/>
        <w:rPr>
          <w:rFonts w:hint="default" w:ascii="Times New Roman" w:hAnsi="Times New Roman" w:cs="Times New Roman"/>
          <w:b/>
          <w:bCs/>
          <w:sz w:val="28"/>
          <w:szCs w:val="28"/>
          <w:highlight w:val="none"/>
          <w:lang w:val="en-US"/>
        </w:rPr>
      </w:pPr>
      <w:r>
        <w:rPr>
          <w:rFonts w:hint="default" w:ascii="Times New Roman" w:hAnsi="Times New Roman" w:cs="Times New Roman"/>
          <w:i/>
          <w:iCs/>
          <w:color w:val="000000"/>
          <w:sz w:val="28"/>
          <w:szCs w:val="28"/>
          <w:highlight w:val="none"/>
          <w:lang w:val="en-US"/>
        </w:rPr>
        <w:t>ADm</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核算和报告期内消耗的第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种化石燃料的活动数据，单位为吉焦（</w:t>
      </w:r>
      <w:r>
        <w:rPr>
          <w:rFonts w:hint="default" w:ascii="Times New Roman" w:hAnsi="Times New Roman" w:cs="Times New Roman"/>
          <w:sz w:val="28"/>
          <w:szCs w:val="28"/>
          <w:highlight w:val="none"/>
          <w:lang w:val="en-US"/>
        </w:rPr>
        <w:t>GJ</w:t>
      </w:r>
      <w:r>
        <w:rPr>
          <w:rFonts w:hint="default" w:ascii="Times New Roman" w:hAnsi="Times New Roman" w:cs="Times New Roman"/>
          <w:sz w:val="28"/>
          <w:szCs w:val="28"/>
          <w:highlight w:val="none"/>
          <w:lang w:eastAsia="zh-CN"/>
        </w:rPr>
        <w:t>）；</w:t>
      </w:r>
    </w:p>
    <w:p w14:paraId="3E187FF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 xml:space="preserve">EFm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种化石燃料的二氧化碳排放因子，单位为吨二氧化碳每吉焦（</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e/GJ</w:t>
      </w:r>
      <w:r>
        <w:rPr>
          <w:rFonts w:hint="default" w:ascii="Times New Roman" w:hAnsi="Times New Roman" w:cs="Times New Roman"/>
          <w:sz w:val="28"/>
          <w:szCs w:val="28"/>
          <w:highlight w:val="none"/>
          <w:lang w:eastAsia="zh-CN"/>
        </w:rPr>
        <w:t>）；</w:t>
      </w:r>
    </w:p>
    <w:p w14:paraId="0152B9B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 xml:space="preserve">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化石燃料种类。</w:t>
      </w:r>
    </w:p>
    <w:p w14:paraId="4B0FE6E8">
      <w:pPr>
        <w:pStyle w:val="39"/>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5"/>
          <w:sz w:val="28"/>
          <w:szCs w:val="28"/>
          <w:highlight w:val="none"/>
          <w:lang w:val="en-US" w:eastAsia="zh-CN" w:bidi="ar"/>
        </w:rPr>
        <w:drawing>
          <wp:inline distT="0" distB="0" distL="114300" distR="114300">
            <wp:extent cx="1171575" cy="152400"/>
            <wp:effectExtent l="0" t="0" r="952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171575" cy="1524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3</w:t>
      </w:r>
      <w:r>
        <w:rPr>
          <w:rFonts w:hint="default" w:ascii="Times New Roman" w:hAnsi="Times New Roman" w:cs="Times New Roman"/>
          <w:sz w:val="28"/>
          <w:szCs w:val="28"/>
          <w:highlight w:val="none"/>
          <w:lang w:eastAsia="zh-CN"/>
        </w:rPr>
        <w:t>）</w:t>
      </w:r>
    </w:p>
    <w:p w14:paraId="64A514E7">
      <w:pPr>
        <w:pStyle w:val="40"/>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346AE76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NCV</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种化石燃料的平均低位发热量。对于固体和液体燃料，单位为吉焦每吨（</w:t>
      </w:r>
      <w:r>
        <w:rPr>
          <w:rFonts w:hint="default" w:ascii="Times New Roman" w:hAnsi="Times New Roman" w:cs="Times New Roman"/>
          <w:sz w:val="28"/>
          <w:szCs w:val="28"/>
          <w:highlight w:val="none"/>
          <w:lang w:val="en-US"/>
        </w:rPr>
        <w:t>GJ/t</w:t>
      </w:r>
      <w:r>
        <w:rPr>
          <w:rFonts w:hint="default" w:ascii="Times New Roman" w:hAnsi="Times New Roman" w:cs="Times New Roman"/>
          <w:sz w:val="28"/>
          <w:szCs w:val="28"/>
          <w:highlight w:val="none"/>
          <w:lang w:eastAsia="zh-CN"/>
        </w:rPr>
        <w:t>）；对于气体燃料，单位为吉焦每万标立方米（</w:t>
      </w:r>
      <w:r>
        <w:rPr>
          <w:rFonts w:hint="default" w:ascii="Times New Roman" w:hAnsi="Times New Roman" w:cs="Times New Roman"/>
          <w:sz w:val="28"/>
          <w:szCs w:val="28"/>
          <w:highlight w:val="none"/>
          <w:lang w:val="en-US"/>
        </w:rPr>
        <w:t>GJ/10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w:t>
      </w:r>
    </w:p>
    <w:p w14:paraId="6817A3C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FC</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种化石燃料的净消耗量。对于固体和液体燃料，单位为吨（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）；对于气体燃料，单位为万标立方米（</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w:t>
      </w:r>
    </w:p>
    <w:p w14:paraId="31271783">
      <w:pPr>
        <w:pStyle w:val="39"/>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1"/>
          <w:sz w:val="28"/>
          <w:szCs w:val="28"/>
          <w:highlight w:val="none"/>
          <w:lang w:val="en-US" w:eastAsia="zh-CN" w:bidi="ar"/>
        </w:rPr>
        <w:drawing>
          <wp:inline distT="0" distB="0" distL="114300" distR="114300">
            <wp:extent cx="1314450" cy="228600"/>
            <wp:effectExtent l="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314450" cy="2286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4</w:t>
      </w:r>
      <w:r>
        <w:rPr>
          <w:rFonts w:hint="default" w:ascii="Times New Roman" w:hAnsi="Times New Roman" w:cs="Times New Roman"/>
          <w:sz w:val="28"/>
          <w:szCs w:val="28"/>
          <w:highlight w:val="none"/>
          <w:lang w:eastAsia="zh-CN"/>
        </w:rPr>
        <w:t>）</w:t>
      </w:r>
    </w:p>
    <w:p w14:paraId="4671E75F">
      <w:pPr>
        <w:pStyle w:val="40"/>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0C96E11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CCm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种化石燃料的单位热值含碳量，单位为吨二氧化碳每吉焦（</w:t>
      </w:r>
      <w:r>
        <w:rPr>
          <w:rFonts w:hint="default" w:ascii="Times New Roman" w:hAnsi="Times New Roman" w:cs="Times New Roman"/>
          <w:sz w:val="28"/>
          <w:szCs w:val="28"/>
          <w:highlight w:val="none"/>
          <w:lang w:val="en-US"/>
        </w:rPr>
        <w:t>tCO2e/GJ</w:t>
      </w:r>
      <w:r>
        <w:rPr>
          <w:rFonts w:hint="default" w:ascii="Times New Roman" w:hAnsi="Times New Roman" w:cs="Times New Roman"/>
          <w:sz w:val="28"/>
          <w:szCs w:val="28"/>
          <w:highlight w:val="none"/>
          <w:lang w:eastAsia="zh-CN"/>
        </w:rPr>
        <w:t xml:space="preserve">）； </w:t>
      </w:r>
    </w:p>
    <w:p w14:paraId="6E714B0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OFm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种化石燃料的碳氧化率，</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 xml:space="preserve">； </w:t>
      </w:r>
    </w:p>
    <w:p w14:paraId="6DE1A75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等线" w:cs="Times New Roman"/>
          <w:position w:val="-11"/>
          <w:sz w:val="28"/>
          <w:szCs w:val="28"/>
          <w:highlight w:val="none"/>
          <w:lang w:val="en-US" w:eastAsia="zh-CN" w:bidi="ar"/>
        </w:rPr>
        <w:drawing>
          <wp:inline distT="0" distB="0" distL="114300" distR="114300">
            <wp:extent cx="114300" cy="228600"/>
            <wp:effectExtent l="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14300" cy="228600"/>
                    </a:xfrm>
                    <a:prstGeom prst="rect">
                      <a:avLst/>
                    </a:prstGeom>
                    <a:noFill/>
                    <a:ln>
                      <a:noFill/>
                    </a:ln>
                  </pic:spPr>
                </pic:pic>
              </a:graphicData>
            </a:graphic>
          </wp:inline>
        </w:drawing>
      </w:r>
      <w:r>
        <w:rPr>
          <w:rFonts w:hint="default" w:ascii="Times New Roman" w:hAnsi="Times New Roman" w:cs="Times New Roman"/>
          <w:kern w:val="2"/>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二氧化碳与碳的相对分子质量之比。</w:t>
      </w:r>
    </w:p>
    <w:p w14:paraId="2FEC5713">
      <w:pPr>
        <w:pStyle w:val="44"/>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活动数据获取 </w:t>
      </w:r>
    </w:p>
    <w:p w14:paraId="710E1E6D">
      <w:pPr>
        <w:pStyle w:val="42"/>
        <w:widowControl/>
        <w:numPr>
          <w:ilvl w:val="5"/>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各种化石燃料的消耗量应根据核算和报告期内生产所消耗的计量数据来确定。燃煤消耗量采用每批 次进厂煤计量数据。燃油、燃气消耗量应至少每月测量。对于报告主体自行开展煤制水煤气和</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或煤制水 煤浆的，应按对应购入的各类煤的消耗量统计并计算碳排放量。</w:t>
      </w:r>
    </w:p>
    <w:p w14:paraId="65DAF793">
      <w:pPr>
        <w:pStyle w:val="42"/>
        <w:widowControl/>
        <w:numPr>
          <w:ilvl w:val="5"/>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企业应按</w:t>
      </w:r>
      <w:r>
        <w:rPr>
          <w:rFonts w:hint="default" w:ascii="Times New Roman" w:hAnsi="Times New Roman" w:cs="Times New Roman"/>
          <w:sz w:val="28"/>
          <w:szCs w:val="28"/>
          <w:highlight w:val="none"/>
          <w:lang w:val="en-US"/>
        </w:rPr>
        <w:t>GB/T 213</w:t>
      </w:r>
      <w:r>
        <w:rPr>
          <w:rFonts w:hint="default" w:ascii="Times New Roman" w:hAnsi="Times New Roman" w:cs="Times New Roman"/>
          <w:sz w:val="28"/>
          <w:szCs w:val="28"/>
          <w:highlight w:val="none"/>
          <w:lang w:eastAsia="zh-CN"/>
        </w:rPr>
        <w:t>对每批次进厂燃煤低位发热量进行检测，燃煤月度平均低位发热量数值采用每批 次检测数据加权计算得到，权重为每批次煤量，并与对应的消耗状态保持一致。当某批次燃煤低位发热量无实测或测定方法不符合要求时，燃煤低位发热量宜采用附录</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lang w:eastAsia="zh-CN"/>
        </w:rPr>
        <w:t>提供的缺省值。</w:t>
      </w:r>
    </w:p>
    <w:p w14:paraId="59A01020">
      <w:pPr>
        <w:pStyle w:val="42"/>
        <w:widowControl/>
        <w:numPr>
          <w:ilvl w:val="5"/>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燃油和燃气的低位发热量应按照</w:t>
      </w:r>
      <w:r>
        <w:rPr>
          <w:rFonts w:hint="default" w:ascii="Times New Roman" w:hAnsi="Times New Roman" w:cs="Times New Roman"/>
          <w:sz w:val="28"/>
          <w:szCs w:val="28"/>
          <w:highlight w:val="none"/>
          <w:lang w:val="en-US"/>
        </w:rPr>
        <w:t>GB/T 384</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22723</w:t>
      </w:r>
      <w:r>
        <w:rPr>
          <w:rFonts w:hint="default" w:ascii="Times New Roman" w:hAnsi="Times New Roman" w:cs="Times New Roman"/>
          <w:sz w:val="28"/>
          <w:szCs w:val="28"/>
          <w:highlight w:val="none"/>
          <w:lang w:eastAsia="zh-CN"/>
        </w:rPr>
        <w:t>检测，不具备实测条件的宜采用附录</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lang w:eastAsia="zh-CN"/>
        </w:rPr>
        <w:t>提供的缺省值。</w:t>
      </w:r>
    </w:p>
    <w:p w14:paraId="224131F6">
      <w:pPr>
        <w:pStyle w:val="44"/>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排放因子数据获取 </w:t>
      </w:r>
    </w:p>
    <w:p w14:paraId="14BC07D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企业可采用附录</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lang w:eastAsia="zh-CN"/>
        </w:rPr>
        <w:t>中的单位热值含碳量和碳氧化率缺省值。</w:t>
      </w:r>
    </w:p>
    <w:p w14:paraId="2F05F6B6">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过程排放</w:t>
      </w:r>
    </w:p>
    <w:p w14:paraId="2FCE8F58">
      <w:pPr>
        <w:pStyle w:val="44"/>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计算公式</w:t>
      </w:r>
    </w:p>
    <w:p w14:paraId="7580B77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生产过程中二氧化碳气体保护焊产生的碳排放量应按公式（</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）计算；其中</w:t>
      </w:r>
      <w:r>
        <w:rPr>
          <w:rFonts w:hint="default" w:ascii="Times New Roman" w:hAnsi="Times New Roman" w:cs="Times New Roman"/>
          <w:i/>
          <w:iCs/>
          <w:sz w:val="28"/>
          <w:szCs w:val="28"/>
          <w:highlight w:val="none"/>
          <w:lang w:val="en-US"/>
        </w:rPr>
        <w:t>W</w:t>
      </w:r>
      <w:r>
        <w:rPr>
          <w:rFonts w:hint="default" w:ascii="Times New Roman" w:hAnsi="Times New Roman" w:cs="Times New Roman"/>
          <w:i/>
          <w:iCs/>
          <w:sz w:val="28"/>
          <w:szCs w:val="28"/>
          <w:highlight w:val="none"/>
          <w:vertAlign w:val="subscript"/>
          <w:lang w:val="en-US"/>
        </w:rPr>
        <w:t>i</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7</w:t>
      </w:r>
      <w:r>
        <w:rPr>
          <w:rFonts w:hint="default" w:ascii="Times New Roman" w:hAnsi="Times New Roman" w:cs="Times New Roman"/>
          <w:sz w:val="28"/>
          <w:szCs w:val="28"/>
          <w:highlight w:val="none"/>
          <w:lang w:eastAsia="zh-CN"/>
        </w:rPr>
        <w:t>）计算：</w:t>
      </w:r>
    </w:p>
    <w:p w14:paraId="4004E648">
      <w:pPr>
        <w:pStyle w:val="39"/>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5"/>
          <w:sz w:val="28"/>
          <w:szCs w:val="28"/>
          <w:highlight w:val="none"/>
          <w:lang w:val="en-US" w:eastAsia="zh-CN" w:bidi="ar"/>
        </w:rPr>
        <w:drawing>
          <wp:inline distT="0" distB="0" distL="114300" distR="114300">
            <wp:extent cx="819150" cy="161925"/>
            <wp:effectExtent l="0" t="0" r="0" b="825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819150" cy="1619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5</w:t>
      </w:r>
      <w:r>
        <w:rPr>
          <w:rFonts w:hint="default" w:ascii="Times New Roman" w:hAnsi="Times New Roman" w:cs="Times New Roman"/>
          <w:sz w:val="28"/>
          <w:szCs w:val="28"/>
          <w:highlight w:val="none"/>
          <w:lang w:eastAsia="zh-CN"/>
        </w:rPr>
        <w:t>）</w:t>
      </w:r>
    </w:p>
    <w:p w14:paraId="0F1DF29B">
      <w:pPr>
        <w:pStyle w:val="39"/>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8"/>
          <w:sz w:val="28"/>
          <w:szCs w:val="28"/>
          <w:highlight w:val="none"/>
          <w:lang w:val="en-US" w:eastAsia="zh-CN" w:bidi="ar"/>
        </w:rPr>
        <w:drawing>
          <wp:inline distT="0" distB="0" distL="114300" distR="114300">
            <wp:extent cx="1123950" cy="266700"/>
            <wp:effectExtent l="0" t="0" r="0" b="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1123950" cy="2667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6</w:t>
      </w:r>
      <w:r>
        <w:rPr>
          <w:rFonts w:hint="default" w:ascii="Times New Roman" w:hAnsi="Times New Roman" w:cs="Times New Roman"/>
          <w:sz w:val="28"/>
          <w:szCs w:val="28"/>
          <w:highlight w:val="none"/>
          <w:lang w:eastAsia="zh-CN"/>
        </w:rPr>
        <w:t>）</w:t>
      </w:r>
    </w:p>
    <w:p w14:paraId="0567089F">
      <w:pPr>
        <w:pStyle w:val="40"/>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5BB73FA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lang w:val="en-US"/>
        </w:rPr>
        <w:t>WD——</w:t>
      </w:r>
      <w:r>
        <w:rPr>
          <w:rFonts w:hint="default" w:ascii="Times New Roman" w:hAnsi="Times New Roman" w:cs="Times New Roman"/>
          <w:sz w:val="28"/>
          <w:szCs w:val="28"/>
          <w:highlight w:val="none"/>
          <w:lang w:eastAsia="zh-CN"/>
        </w:rPr>
        <w:t>二氧化碳气体保护焊产生的碳排放量，单位为吨二氧化碳当量（</w:t>
      </w:r>
      <w:r>
        <w:rPr>
          <w:rFonts w:hint="default" w:ascii="Times New Roman" w:hAnsi="Times New Roman" w:cs="Times New Roman"/>
          <w:sz w:val="28"/>
          <w:szCs w:val="28"/>
          <w:highlight w:val="none"/>
          <w:lang w:val="en-US"/>
        </w:rPr>
        <w:t>tCO2e</w:t>
      </w:r>
      <w:r>
        <w:rPr>
          <w:rFonts w:hint="default" w:ascii="Times New Roman" w:hAnsi="Times New Roman" w:cs="Times New Roman"/>
          <w:sz w:val="28"/>
          <w:szCs w:val="28"/>
          <w:highlight w:val="none"/>
          <w:lang w:eastAsia="zh-CN"/>
        </w:rPr>
        <w:t>）；</w:t>
      </w:r>
    </w:p>
    <w:p w14:paraId="23BAA58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Ei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w:t>
      </w:r>
      <w:r>
        <w:rPr>
          <w:rFonts w:hint="default" w:ascii="Times New Roman" w:hAnsi="Times New Roman" w:cs="Times New Roman"/>
          <w:sz w:val="28"/>
          <w:szCs w:val="28"/>
          <w:highlight w:val="none"/>
          <w:lang w:val="en-US"/>
        </w:rPr>
        <w:t>CO2</w:t>
      </w:r>
      <w:r>
        <w:rPr>
          <w:rFonts w:hint="default" w:ascii="Times New Roman" w:hAnsi="Times New Roman" w:cs="Times New Roman"/>
          <w:sz w:val="28"/>
          <w:szCs w:val="28"/>
          <w:highlight w:val="none"/>
          <w:lang w:eastAsia="zh-CN"/>
        </w:rPr>
        <w:t>排放量，单位为吨二氧化碳当量（</w:t>
      </w:r>
      <w:r>
        <w:rPr>
          <w:rFonts w:hint="default" w:ascii="Times New Roman" w:hAnsi="Times New Roman" w:cs="Times New Roman"/>
          <w:sz w:val="28"/>
          <w:szCs w:val="28"/>
          <w:highlight w:val="none"/>
          <w:lang w:val="en-US"/>
        </w:rPr>
        <w:t>tCO2e</w:t>
      </w:r>
      <w:r>
        <w:rPr>
          <w:rFonts w:hint="default" w:ascii="Times New Roman" w:hAnsi="Times New Roman" w:cs="Times New Roman"/>
          <w:sz w:val="28"/>
          <w:szCs w:val="28"/>
          <w:highlight w:val="none"/>
          <w:lang w:eastAsia="zh-CN"/>
        </w:rPr>
        <w:t>）；</w:t>
      </w:r>
    </w:p>
    <w:p w14:paraId="37B565A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Wi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报告期内第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种保护气的净使用量，单位为吨（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w:t>
      </w:r>
    </w:p>
    <w:p w14:paraId="54D144C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Pi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种保护气中</w:t>
      </w:r>
      <w:r>
        <w:rPr>
          <w:rFonts w:hint="default" w:ascii="Times New Roman" w:hAnsi="Times New Roman" w:cs="Times New Roman"/>
          <w:sz w:val="28"/>
          <w:szCs w:val="28"/>
          <w:highlight w:val="none"/>
          <w:lang w:val="en-US"/>
        </w:rPr>
        <w:t>CO2</w:t>
      </w:r>
      <w:r>
        <w:rPr>
          <w:rFonts w:hint="default" w:ascii="Times New Roman" w:hAnsi="Times New Roman" w:cs="Times New Roman"/>
          <w:sz w:val="28"/>
          <w:szCs w:val="28"/>
          <w:highlight w:val="none"/>
          <w:lang w:eastAsia="zh-CN"/>
        </w:rPr>
        <w:t>的体积百分比，</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p>
    <w:p w14:paraId="5C81807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Pj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混合气体中第</w:t>
      </w:r>
      <w:r>
        <w:rPr>
          <w:rFonts w:hint="default" w:ascii="Times New Roman" w:hAnsi="Times New Roman" w:cs="Times New Roman"/>
          <w:i/>
          <w:iCs/>
          <w:sz w:val="28"/>
          <w:szCs w:val="28"/>
          <w:highlight w:val="none"/>
          <w:lang w:val="en-US"/>
        </w:rPr>
        <w:t>j</w:t>
      </w:r>
      <w:r>
        <w:rPr>
          <w:rFonts w:hint="default" w:ascii="Times New Roman" w:hAnsi="Times New Roman" w:cs="Times New Roman"/>
          <w:sz w:val="28"/>
          <w:szCs w:val="28"/>
          <w:highlight w:val="none"/>
          <w:lang w:eastAsia="zh-CN"/>
        </w:rPr>
        <w:t>种气体的体积百分比，</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p>
    <w:p w14:paraId="5859C8B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Mj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混合气体中第</w:t>
      </w:r>
      <w:r>
        <w:rPr>
          <w:rFonts w:hint="default" w:ascii="Times New Roman" w:hAnsi="Times New Roman" w:cs="Times New Roman"/>
          <w:i/>
          <w:iCs/>
          <w:sz w:val="28"/>
          <w:szCs w:val="28"/>
          <w:highlight w:val="none"/>
          <w:lang w:val="en-US"/>
        </w:rPr>
        <w:t>j</w:t>
      </w:r>
      <w:r>
        <w:rPr>
          <w:rFonts w:hint="default" w:ascii="Times New Roman" w:hAnsi="Times New Roman" w:cs="Times New Roman"/>
          <w:sz w:val="28"/>
          <w:szCs w:val="28"/>
          <w:highlight w:val="none"/>
          <w:lang w:eastAsia="zh-CN"/>
        </w:rPr>
        <w:t>种气体的摩尔质量，单位为克每摩尔（</w:t>
      </w:r>
      <w:r>
        <w:rPr>
          <w:rFonts w:hint="default" w:ascii="Times New Roman" w:hAnsi="Times New Roman" w:cs="Times New Roman"/>
          <w:sz w:val="28"/>
          <w:szCs w:val="28"/>
          <w:highlight w:val="none"/>
          <w:lang w:val="en-US"/>
        </w:rPr>
        <w:t>g/mol</w:t>
      </w:r>
      <w:r>
        <w:rPr>
          <w:rFonts w:hint="default" w:ascii="Times New Roman" w:hAnsi="Times New Roman" w:cs="Times New Roman"/>
          <w:sz w:val="28"/>
          <w:szCs w:val="28"/>
          <w:highlight w:val="none"/>
          <w:lang w:eastAsia="zh-CN"/>
        </w:rPr>
        <w:t>）；</w:t>
      </w:r>
    </w:p>
    <w:p w14:paraId="2CF871B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保护气类型；</w:t>
      </w:r>
    </w:p>
    <w:p w14:paraId="0269C14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j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混合保护气气体种类。</w:t>
      </w:r>
    </w:p>
    <w:p w14:paraId="6CBDE1FA">
      <w:pPr>
        <w:pStyle w:val="39"/>
        <w:widowControl/>
        <w:spacing w:before="240" w:beforeLines="100" w:beforeAutospacing="0"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5"/>
          <w:sz w:val="28"/>
          <w:szCs w:val="28"/>
          <w:highlight w:val="none"/>
          <w:lang w:val="en-US" w:eastAsia="zh-CN" w:bidi="ar"/>
        </w:rPr>
        <w:drawing>
          <wp:inline distT="0" distB="0" distL="114300" distR="114300">
            <wp:extent cx="1524000" cy="152400"/>
            <wp:effectExtent l="0" t="0" r="0"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1524000" cy="1524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7</w:t>
      </w:r>
      <w:r>
        <w:rPr>
          <w:rFonts w:hint="default" w:ascii="Times New Roman" w:hAnsi="Times New Roman" w:cs="Times New Roman"/>
          <w:sz w:val="28"/>
          <w:szCs w:val="28"/>
          <w:highlight w:val="none"/>
          <w:lang w:eastAsia="zh-CN"/>
        </w:rPr>
        <w:t>）</w:t>
      </w:r>
    </w:p>
    <w:p w14:paraId="3DD29D1C">
      <w:pPr>
        <w:pStyle w:val="40"/>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6E06B9C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Wi</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种保护气体的使用量，单位为吨（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4237F66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IBi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种保护气的期初库存量，单位为吨（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52E3AB2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IEi</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报告期内第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种保护气的购入量，单位为吨（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3B30D49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ACi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种保护气的期末库存量，单位为吨（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2566579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DIi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报告期内第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种保护气的售出量，单位为吨（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22BCC4B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含二氧化碳的电焊保护气体种类。</w:t>
      </w:r>
    </w:p>
    <w:p w14:paraId="413E015E">
      <w:pPr>
        <w:pStyle w:val="44"/>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活动数据获取 </w:t>
      </w:r>
    </w:p>
    <w:p w14:paraId="4C4B316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保护气的期初库存量、期末库存量取自企业的台账记录，购入量、售出量宜采用结算凭证数据。其他参数可见保护气瓶标识，或由保护气供应商提供。 </w:t>
      </w:r>
    </w:p>
    <w:p w14:paraId="60FC2A28">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购入电力和热力产生的排放 </w:t>
      </w:r>
    </w:p>
    <w:p w14:paraId="502C7E9A">
      <w:pPr>
        <w:pStyle w:val="44"/>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计算公式 </w:t>
      </w:r>
    </w:p>
    <w:p w14:paraId="64BFD5A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报告主体购入电力生产产生的碳排放量应按公式（</w:t>
      </w:r>
      <w:r>
        <w:rPr>
          <w:rFonts w:hint="default" w:ascii="Times New Roman" w:hAnsi="Times New Roman" w:cs="Times New Roman"/>
          <w:sz w:val="28"/>
          <w:szCs w:val="28"/>
          <w:highlight w:val="none"/>
          <w:lang w:val="en-US"/>
        </w:rPr>
        <w:t>8</w:t>
      </w:r>
      <w:r>
        <w:rPr>
          <w:rFonts w:hint="default" w:ascii="Times New Roman" w:hAnsi="Times New Roman" w:cs="Times New Roman"/>
          <w:sz w:val="28"/>
          <w:szCs w:val="28"/>
          <w:highlight w:val="none"/>
          <w:lang w:eastAsia="zh-CN"/>
        </w:rPr>
        <w:t>）计算：</w:t>
      </w:r>
    </w:p>
    <w:p w14:paraId="390710BE">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1438275" cy="200025"/>
            <wp:effectExtent l="0" t="0" r="9525" b="889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43827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8</w:t>
      </w:r>
      <w:r>
        <w:rPr>
          <w:rFonts w:hint="default" w:ascii="Times New Roman" w:hAnsi="Times New Roman" w:cs="Times New Roman"/>
          <w:sz w:val="28"/>
          <w:szCs w:val="28"/>
          <w:highlight w:val="none"/>
          <w:lang w:eastAsia="zh-CN"/>
        </w:rPr>
        <w:t>）</w:t>
      </w:r>
    </w:p>
    <w:p w14:paraId="0937AA44">
      <w:pPr>
        <w:pStyle w:val="40"/>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46D211F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lang w:eastAsia="zh-CN"/>
        </w:rPr>
        <w:t>购入电</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购入电力生产产生的碳排放量，单位为吨二氧化碳当量（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 xml:space="preserve">）； </w:t>
      </w:r>
    </w:p>
    <w:p w14:paraId="75C58EA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AD</w:t>
      </w:r>
      <w:r>
        <w:rPr>
          <w:rFonts w:hint="default" w:ascii="Times New Roman" w:hAnsi="Times New Roman" w:cs="Times New Roman"/>
          <w:sz w:val="28"/>
          <w:szCs w:val="28"/>
          <w:highlight w:val="none"/>
          <w:lang w:eastAsia="zh-CN"/>
        </w:rPr>
        <w:t>购入电</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核算和报告期内购入电量，单位为兆瓦时（</w:t>
      </w:r>
      <w:r>
        <w:rPr>
          <w:rFonts w:hint="default" w:ascii="Times New Roman" w:hAnsi="Times New Roman" w:cs="Times New Roman"/>
          <w:sz w:val="28"/>
          <w:szCs w:val="28"/>
          <w:highlight w:val="none"/>
          <w:lang w:val="en-US"/>
        </w:rPr>
        <w:t>MW·h</w:t>
      </w:r>
      <w:r>
        <w:rPr>
          <w:rFonts w:hint="default" w:ascii="Times New Roman" w:hAnsi="Times New Roman" w:cs="Times New Roman"/>
          <w:sz w:val="28"/>
          <w:szCs w:val="28"/>
          <w:highlight w:val="none"/>
          <w:lang w:eastAsia="zh-CN"/>
        </w:rPr>
        <w:t xml:space="preserve">）； </w:t>
      </w:r>
    </w:p>
    <w:p w14:paraId="2638B0A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EF</w:t>
      </w:r>
      <w:r>
        <w:rPr>
          <w:rFonts w:hint="default" w:ascii="Times New Roman" w:hAnsi="Times New Roman" w:cs="Times New Roman"/>
          <w:sz w:val="28"/>
          <w:szCs w:val="28"/>
          <w:highlight w:val="none"/>
          <w:lang w:eastAsia="zh-CN"/>
        </w:rPr>
        <w:t>电</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全国电网年平均供电排放因子</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单位为吨二氧化碳每兆瓦时</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MW·h</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p>
    <w:p w14:paraId="77C8A72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报告主体购入热力生产产生的碳排放量应按公式（</w:t>
      </w:r>
      <w:r>
        <w:rPr>
          <w:rFonts w:hint="default" w:ascii="Times New Roman" w:hAnsi="Times New Roman" w:cs="Times New Roman"/>
          <w:sz w:val="28"/>
          <w:szCs w:val="28"/>
          <w:highlight w:val="none"/>
          <w:lang w:val="en-US"/>
        </w:rPr>
        <w:t>9</w:t>
      </w:r>
      <w:r>
        <w:rPr>
          <w:rFonts w:hint="default" w:ascii="Times New Roman" w:hAnsi="Times New Roman" w:cs="Times New Roman"/>
          <w:sz w:val="28"/>
          <w:szCs w:val="28"/>
          <w:highlight w:val="none"/>
          <w:lang w:eastAsia="zh-CN"/>
        </w:rPr>
        <w:t>）计算：</w:t>
      </w:r>
    </w:p>
    <w:p w14:paraId="1ECF6E1C">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1438275" cy="200025"/>
            <wp:effectExtent l="0" t="0" r="9525" b="889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143827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9</w:t>
      </w:r>
      <w:r>
        <w:rPr>
          <w:rFonts w:hint="default" w:ascii="Times New Roman" w:hAnsi="Times New Roman" w:cs="Times New Roman"/>
          <w:sz w:val="28"/>
          <w:szCs w:val="28"/>
          <w:highlight w:val="none"/>
          <w:lang w:eastAsia="zh-CN"/>
        </w:rPr>
        <w:t>）</w:t>
      </w:r>
    </w:p>
    <w:p w14:paraId="79D780CE">
      <w:pPr>
        <w:pStyle w:val="40"/>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48EA7E4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lang w:eastAsia="zh-CN"/>
        </w:rPr>
        <w:t>购入热</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购入热力生产产生的碳排放量，单位为吨二氧化碳当量（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 xml:space="preserve">）； </w:t>
      </w:r>
    </w:p>
    <w:p w14:paraId="452D4A8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AD</w:t>
      </w:r>
      <w:r>
        <w:rPr>
          <w:rFonts w:hint="default" w:ascii="Times New Roman" w:hAnsi="Times New Roman" w:cs="Times New Roman"/>
          <w:sz w:val="28"/>
          <w:szCs w:val="28"/>
          <w:highlight w:val="none"/>
          <w:lang w:eastAsia="zh-CN"/>
        </w:rPr>
        <w:t>购入热</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核算和报告期内购入热量，单位为吉焦（</w:t>
      </w:r>
      <w:r>
        <w:rPr>
          <w:rFonts w:hint="default" w:ascii="Times New Roman" w:hAnsi="Times New Roman" w:cs="Times New Roman"/>
          <w:sz w:val="28"/>
          <w:szCs w:val="28"/>
          <w:highlight w:val="none"/>
          <w:lang w:val="en-US"/>
        </w:rPr>
        <w:t>GJ</w:t>
      </w:r>
      <w:r>
        <w:rPr>
          <w:rFonts w:hint="default" w:ascii="Times New Roman" w:hAnsi="Times New Roman" w:cs="Times New Roman"/>
          <w:sz w:val="28"/>
          <w:szCs w:val="28"/>
          <w:highlight w:val="none"/>
          <w:lang w:eastAsia="zh-CN"/>
        </w:rPr>
        <w:t xml:space="preserve">）； </w:t>
      </w:r>
    </w:p>
    <w:p w14:paraId="06AE79F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EF</w:t>
      </w:r>
      <w:r>
        <w:rPr>
          <w:rFonts w:hint="default" w:ascii="Times New Roman" w:hAnsi="Times New Roman" w:cs="Times New Roman"/>
          <w:sz w:val="28"/>
          <w:szCs w:val="28"/>
          <w:highlight w:val="none"/>
          <w:lang w:eastAsia="zh-CN"/>
        </w:rPr>
        <w:t>热</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热力排放因子</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单位为吨二氧化碳每吉焦（</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e/GJ</w:t>
      </w:r>
      <w:r>
        <w:rPr>
          <w:rFonts w:hint="default" w:ascii="Times New Roman" w:hAnsi="Times New Roman" w:cs="Times New Roman"/>
          <w:sz w:val="28"/>
          <w:szCs w:val="28"/>
          <w:highlight w:val="none"/>
          <w:lang w:eastAsia="zh-CN"/>
        </w:rPr>
        <w:t>）。</w:t>
      </w:r>
    </w:p>
    <w:p w14:paraId="00ADA170">
      <w:pPr>
        <w:pStyle w:val="44"/>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活动数据获取</w:t>
      </w:r>
    </w:p>
    <w:p w14:paraId="11B18B8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购入电力和热力数据优先采用企业电表、热力表记录的读数，数据不可得时可采用供应商提供的发票或结算单等结算凭证数据。</w:t>
      </w:r>
    </w:p>
    <w:p w14:paraId="30251C94">
      <w:pPr>
        <w:pStyle w:val="44"/>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排放因子获取</w:t>
      </w:r>
    </w:p>
    <w:p w14:paraId="64398F7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全国电网年平均供电排放因子应选用国家主管部门最近年份公布的全国统一的电网平均</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排放因子，热力排放因子优先采用供热单位的实测值，若无实测值，宜取附录</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lang w:eastAsia="zh-CN"/>
        </w:rPr>
        <w:t>中缺省值。</w:t>
      </w:r>
    </w:p>
    <w:p w14:paraId="219D70D2">
      <w:pPr>
        <w:pStyle w:val="45"/>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3" w:name="_Toc193466959"/>
      <w:bookmarkStart w:id="34" w:name="_Toc175145891"/>
      <w:r>
        <w:rPr>
          <w:rFonts w:hint="default" w:ascii="Times New Roman" w:hAnsi="Times New Roman" w:cs="Times New Roman"/>
          <w:sz w:val="28"/>
          <w:szCs w:val="28"/>
          <w:highlight w:val="none"/>
          <w:lang w:eastAsia="zh-CN"/>
        </w:rPr>
        <w:t>数据质量管理</w:t>
      </w:r>
      <w:bookmarkEnd w:id="33"/>
      <w:bookmarkEnd w:id="34"/>
    </w:p>
    <w:p w14:paraId="4A0CDE7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报告主体应加强碳排放数据质量管理工作，包括但不限于以下方面：</w:t>
      </w:r>
    </w:p>
    <w:p w14:paraId="0C2DAC5B">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建立企业碳排放核算和报告规章制度，包括负责机构和人员、工作流程和内容、工作周期和时间节点等；指定专职人员负责企业碳排放核算和报告工作；</w:t>
      </w:r>
    </w:p>
    <w:p w14:paraId="0211B41D">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根据各种类型碳排放源的重要程度对其进行等级划分，并建立企业碳排放源一览表，对于不同等级的排放源的活动数据和排放因子数据的获取提出相应的要求；</w:t>
      </w:r>
    </w:p>
    <w:p w14:paraId="76212D8B">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对现有监测条件进行评估</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并制定相应的数据质量控制计划，包括对活动数据的监测和对燃料低位发热量等参数的监测及获取要求；定期对计量器具、检测设备和在线监测仪表进行维护管理，并记录存档；</w:t>
      </w:r>
    </w:p>
    <w:p w14:paraId="2C326922">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建立健全碳数据记录管理体系，包括数据来源，数据获取时间以及相关责任人等信息的记录管理；</w:t>
      </w:r>
    </w:p>
    <w:p w14:paraId="4568D47C">
      <w:pPr>
        <w:pStyle w:val="48"/>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建立企业碳排放报告内部审核制度，定期对碳排放数据进行交叉校验，对可能产生的数据误差风险进行识别，并提出相应的解决方案。</w:t>
      </w:r>
    </w:p>
    <w:p w14:paraId="6C41E352">
      <w:pPr>
        <w:pStyle w:val="45"/>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5" w:name="_Toc175145892"/>
      <w:bookmarkStart w:id="36" w:name="_Toc193466960"/>
      <w:r>
        <w:rPr>
          <w:rFonts w:hint="default" w:ascii="Times New Roman" w:hAnsi="Times New Roman" w:cs="Times New Roman"/>
          <w:sz w:val="28"/>
          <w:szCs w:val="28"/>
          <w:highlight w:val="none"/>
          <w:lang w:eastAsia="zh-CN"/>
        </w:rPr>
        <w:t>报告内容和格式</w:t>
      </w:r>
      <w:bookmarkEnd w:id="35"/>
      <w:bookmarkEnd w:id="36"/>
    </w:p>
    <w:p w14:paraId="18AE7AA7">
      <w:pPr>
        <w:pStyle w:val="4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通则</w:t>
      </w:r>
    </w:p>
    <w:p w14:paraId="1B5238D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报告内容应包括报告主体基本信息、碳排放量，活动数据及其来源和排放因子及其来源，报告格式见附录</w:t>
      </w:r>
      <w:r>
        <w:rPr>
          <w:rFonts w:hint="default" w:ascii="Times New Roman" w:hAnsi="Times New Roman" w:cs="Times New Roman"/>
          <w:sz w:val="28"/>
          <w:szCs w:val="28"/>
          <w:highlight w:val="none"/>
          <w:lang w:val="en-US"/>
        </w:rPr>
        <w:t>A</w:t>
      </w:r>
      <w:r>
        <w:rPr>
          <w:rFonts w:hint="default" w:ascii="Times New Roman" w:hAnsi="Times New Roman" w:cs="Times New Roman"/>
          <w:sz w:val="28"/>
          <w:szCs w:val="28"/>
          <w:highlight w:val="none"/>
          <w:lang w:eastAsia="zh-CN"/>
        </w:rPr>
        <w:t>。</w:t>
      </w:r>
    </w:p>
    <w:p w14:paraId="01D5EFFD">
      <w:pPr>
        <w:pStyle w:val="4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报告主体基本信息</w:t>
      </w:r>
    </w:p>
    <w:p w14:paraId="12EECE19">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报告主体基本信息应包括报告主体名称、单位性质、报告年度、所属行业、排污许可证编号、统一社会信用代码、法定代表人、填报负责人和联系人信息等。</w:t>
      </w:r>
    </w:p>
    <w:p w14:paraId="2042C2B3">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报告主体基本信息还应包括企业核算边界、主营产品及工艺流程以及排放源识别情况的详细说明（必要时应附表和附图）。</w:t>
      </w:r>
    </w:p>
    <w:p w14:paraId="42FCA261">
      <w:pPr>
        <w:pStyle w:val="4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碳排放量</w:t>
      </w:r>
    </w:p>
    <w:p w14:paraId="5736FD8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报告主体应报告其在报告年度内碳排放总量，并分别报告化石燃料燃烧排放、过程排放、报告主体购入电力和热力产生的排放。</w:t>
      </w:r>
    </w:p>
    <w:p w14:paraId="4FEDA77B">
      <w:pPr>
        <w:pStyle w:val="4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活动数据及其来源</w:t>
      </w:r>
    </w:p>
    <w:p w14:paraId="3E9C5CF0">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报告主体应报告其在报告年度内所使用的各种化石燃料的消耗量和相应的低位发热量、原料消耗量、原料利用率、购入和输出的电力和热力，并说明这些数据的来源。</w:t>
      </w:r>
    </w:p>
    <w:p w14:paraId="696A3F69">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报告主体如果还从事污泥干化焚烧系统集成装备生产以外的产品生产活动，并存在本文件未涵盖的碳排放环节，应按其他相关行业的企业碳排放核算和报告要求标准，一并报告其活动数据及来源。</w:t>
      </w:r>
    </w:p>
    <w:p w14:paraId="22C3BE2A">
      <w:pPr>
        <w:pStyle w:val="4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排放因子及其来源</w:t>
      </w:r>
    </w:p>
    <w:p w14:paraId="7E76EB6A">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报告主体应报告企业在报告年度内用于各种化石燃料的单位热值含碳量和碳氧化率数据、全国电网年平均供电排放因子和热力排放因子。</w:t>
      </w:r>
    </w:p>
    <w:p w14:paraId="00FE40F2">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报告主体如还从事除污泥干化焚烧系统集成装备生产以外的产品生产活动</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并存在本文件未涵盖的碳排放环节，应按其他相关行业的企业碳排放核算和报告要求标准，一并报告其排放因子及来源。</w:t>
      </w:r>
    </w:p>
    <w:p w14:paraId="61CFB617">
      <w:pPr>
        <w:pStyle w:val="4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其他报告信息</w:t>
      </w:r>
    </w:p>
    <w:p w14:paraId="5D3E0C0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报告主体应报告外购绿色电力的使用情况，宜报告外包情况、</w:t>
      </w:r>
      <w:r>
        <w:rPr>
          <w:rFonts w:hint="default" w:ascii="Times New Roman" w:hAnsi="Times New Roman" w:cs="Times New Roman"/>
          <w:sz w:val="28"/>
          <w:szCs w:val="28"/>
          <w:highlight w:val="none"/>
          <w:lang w:val="en-US"/>
        </w:rPr>
        <w:t>CCUS</w:t>
      </w:r>
      <w:r>
        <w:rPr>
          <w:rFonts w:hint="default" w:ascii="Times New Roman" w:hAnsi="Times New Roman" w:cs="Times New Roman"/>
          <w:sz w:val="28"/>
          <w:szCs w:val="28"/>
          <w:highlight w:val="none"/>
          <w:lang w:eastAsia="zh-CN"/>
        </w:rPr>
        <w:t>等其他碳减排量情况等。</w:t>
      </w:r>
    </w:p>
    <w:p w14:paraId="2F2C5BF9">
      <w:pPr>
        <w:spacing w:line="360" w:lineRule="auto"/>
        <w:rPr>
          <w:rFonts w:hint="default" w:ascii="Times New Roman" w:hAnsi="Times New Roman" w:eastAsia="宋体" w:cs="Times New Roman"/>
          <w:sz w:val="28"/>
          <w:szCs w:val="28"/>
          <w:highlight w:val="none"/>
          <w:lang w:val="en-US" w:eastAsia="zh-CN" w:bidi="ar"/>
        </w:rPr>
        <w:sectPr>
          <w:footerReference r:id="rId4" w:type="default"/>
          <w:pgSz w:w="11906" w:h="16838"/>
          <w:pgMar w:top="1928" w:right="1135" w:bottom="1135" w:left="1135" w:header="1418" w:footer="1135" w:gutter="284"/>
          <w:pgNumType w:fmt="decimal" w:start="1"/>
          <w:cols w:space="425" w:num="1"/>
          <w:formProt w:val="0"/>
          <w:docGrid w:linePitch="312" w:charSpace="0"/>
        </w:sectPr>
      </w:pPr>
    </w:p>
    <w:p w14:paraId="64D616BE">
      <w:pPr>
        <w:pStyle w:val="43"/>
        <w:widowControl/>
        <w:numPr>
          <w:ilvl w:val="0"/>
          <w:numId w:val="5"/>
        </w:numPr>
        <w:spacing w:before="56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37" w:name="BookMark5"/>
      <w:r>
        <w:rPr>
          <w:rFonts w:hint="default" w:ascii="Times New Roman" w:hAnsi="Times New Roman" w:cs="Times New Roman"/>
          <w:color w:val="auto"/>
          <w:sz w:val="28"/>
          <w:szCs w:val="28"/>
          <w:highlight w:val="none"/>
          <w:lang w:val="en-US"/>
        </w:rPr>
        <w:br w:type="textWrapping"/>
      </w:r>
      <w:bookmarkStart w:id="38" w:name="_Toc175145893"/>
      <w:bookmarkStart w:id="39" w:name="_Toc193466961"/>
      <w:r>
        <w:rPr>
          <w:rFonts w:hint="default" w:ascii="Times New Roman" w:hAnsi="Times New Roman" w:cs="Times New Roman"/>
          <w:color w:val="auto"/>
          <w:sz w:val="28"/>
          <w:szCs w:val="28"/>
          <w:highlight w:val="none"/>
          <w:lang w:eastAsia="zh-CN"/>
        </w:rPr>
        <w:t>（资料性）</w:t>
      </w:r>
      <w:r>
        <w:rPr>
          <w:rFonts w:hint="default" w:ascii="Times New Roman" w:hAnsi="Times New Roman" w:cs="Times New Roman"/>
          <w:color w:val="auto"/>
          <w:sz w:val="28"/>
          <w:szCs w:val="28"/>
          <w:highlight w:val="none"/>
          <w:lang w:val="en-US"/>
        </w:rPr>
        <w:br w:type="textWrapping"/>
      </w:r>
      <w:r>
        <w:rPr>
          <w:rFonts w:hint="default" w:ascii="Times New Roman" w:hAnsi="Times New Roman" w:cs="Times New Roman"/>
          <w:color w:val="auto"/>
          <w:sz w:val="28"/>
          <w:szCs w:val="28"/>
          <w:highlight w:val="none"/>
          <w:lang w:eastAsia="zh-CN"/>
        </w:rPr>
        <w:t>报告格式模板</w:t>
      </w:r>
      <w:bookmarkEnd w:id="38"/>
      <w:bookmarkEnd w:id="39"/>
    </w:p>
    <w:p w14:paraId="0CFCC85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污泥干化焚烧系统集成装备碳排放报告格式模板如下：</w:t>
      </w:r>
    </w:p>
    <w:p w14:paraId="0B86665B">
      <w:pPr>
        <w:pStyle w:val="35"/>
        <w:widowControl/>
        <w:spacing w:before="2040" w:beforeLines="850" w:beforeAutospacing="0" w:after="5760" w:afterLines="2400" w:afterAutospacing="0" w:line="360" w:lineRule="auto"/>
        <w:ind w:left="0" w:righ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lang w:eastAsia="zh-CN"/>
        </w:rPr>
        <w:t>污泥干化焚烧系统集成装备碳排放报告</w:t>
      </w:r>
    </w:p>
    <w:p w14:paraId="06963CED">
      <w:pPr>
        <w:pStyle w:val="35"/>
        <w:widowControl/>
        <w:spacing w:line="360" w:lineRule="auto"/>
        <w:ind w:left="0" w:firstLine="0" w:firstLineChars="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报告主体（盖章）： </w:t>
      </w:r>
    </w:p>
    <w:p w14:paraId="67F02E50">
      <w:pPr>
        <w:pStyle w:val="35"/>
        <w:widowControl/>
        <w:spacing w:line="360" w:lineRule="auto"/>
        <w:ind w:left="0" w:firstLine="0" w:firstLineChars="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报告年度： </w:t>
      </w:r>
    </w:p>
    <w:p w14:paraId="58239115">
      <w:pPr>
        <w:pStyle w:val="35"/>
        <w:widowControl/>
        <w:spacing w:line="360" w:lineRule="auto"/>
        <w:ind w:left="0" w:firstLine="0" w:firstLineChars="0"/>
        <w:rPr>
          <w:rFonts w:hint="default" w:ascii="Times New Roman" w:hAnsi="Times New Roman" w:cs="Times New Roman"/>
          <w:color w:val="000000"/>
          <w:sz w:val="28"/>
          <w:szCs w:val="28"/>
          <w:highlight w:val="none"/>
          <w:lang w:val="en-US"/>
        </w:rPr>
      </w:pPr>
      <w:r>
        <w:rPr>
          <w:rFonts w:hint="default" w:ascii="Times New Roman" w:hAnsi="Times New Roman" w:cs="Times New Roman"/>
          <w:color w:val="000000"/>
          <w:sz w:val="28"/>
          <w:szCs w:val="28"/>
          <w:highlight w:val="none"/>
          <w:lang w:eastAsia="zh-CN"/>
        </w:rPr>
        <w:t>编制日期： 年 月 日</w:t>
      </w:r>
      <w:r>
        <w:rPr>
          <w:rFonts w:hint="default" w:ascii="Times New Roman" w:hAnsi="Times New Roman" w:cs="Times New Roman"/>
          <w:color w:val="000000"/>
          <w:sz w:val="28"/>
          <w:szCs w:val="28"/>
          <w:highlight w:val="none"/>
          <w:lang w:val="en-US"/>
        </w:rPr>
        <w:br w:type="page"/>
      </w:r>
    </w:p>
    <w:p w14:paraId="5C6B41B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本报告主体核算了年度碳排放量，并填写了相关数据表格。现将有关情况报告如下： </w:t>
      </w:r>
    </w:p>
    <w:p w14:paraId="2E51D6A6">
      <w:pPr>
        <w:pStyle w:val="35"/>
        <w:widowControl/>
        <w:spacing w:after="360" w:afterLines="150" w:afterAutospacing="0"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一、报告主体基本情况 </w:t>
      </w:r>
    </w:p>
    <w:p w14:paraId="108F0D18">
      <w:pPr>
        <w:pStyle w:val="35"/>
        <w:widowControl/>
        <w:spacing w:after="360" w:afterLines="150" w:afterAutospacing="0"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二、碳排放量 </w:t>
      </w:r>
    </w:p>
    <w:p w14:paraId="0352DC8B">
      <w:pPr>
        <w:pStyle w:val="35"/>
        <w:widowControl/>
        <w:spacing w:after="360" w:afterLines="150" w:afterAutospacing="0"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三、活动数据及其来源 </w:t>
      </w:r>
    </w:p>
    <w:p w14:paraId="79184986">
      <w:pPr>
        <w:pStyle w:val="35"/>
        <w:widowControl/>
        <w:spacing w:after="360" w:afterLines="150" w:afterAutospacing="0"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四、排放因子及其来源 </w:t>
      </w:r>
    </w:p>
    <w:p w14:paraId="1FC75855">
      <w:pPr>
        <w:pStyle w:val="35"/>
        <w:widowControl/>
        <w:spacing w:after="360" w:afterLines="150" w:afterAutospacing="0"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五、其他报告信息 </w:t>
      </w:r>
    </w:p>
    <w:p w14:paraId="0FDDEACE">
      <w:pPr>
        <w:pStyle w:val="35"/>
        <w:keepNext w:val="0"/>
        <w:keepLines w:val="0"/>
        <w:pageBreakBefore w:val="0"/>
        <w:widowControl/>
        <w:kinsoku/>
        <w:wordWrap/>
        <w:overflowPunct/>
        <w:topLinePunct w:val="0"/>
        <w:autoSpaceDE w:val="0"/>
        <w:autoSpaceDN w:val="0"/>
        <w:bidi w:val="0"/>
        <w:adjustRightInd/>
        <w:snapToGrid/>
        <w:spacing w:after="5149" w:afterLines="1650" w:afterAutospacing="0" w:line="360" w:lineRule="auto"/>
        <w:ind w:left="0" w:firstLine="420"/>
        <w:textAlignment w:val="auto"/>
        <w:rPr>
          <w:rFonts w:hint="default" w:ascii="Times New Roman" w:hAnsi="Times New Roman" w:cs="Times New Roman"/>
          <w:sz w:val="28"/>
          <w:szCs w:val="28"/>
          <w:highlight w:val="none"/>
          <w:lang w:eastAsia="zh-CN"/>
        </w:rPr>
      </w:pPr>
      <w:r>
        <w:rPr>
          <w:rFonts w:hint="default" w:ascii="Times New Roman" w:hAnsi="Times New Roman" w:cs="Times New Roman"/>
          <w:sz w:val="28"/>
          <w:szCs w:val="28"/>
          <w:highlight w:val="none"/>
          <w:lang w:eastAsia="zh-CN"/>
        </w:rPr>
        <w:t>本企业承诺对本报告的真实性负责。</w:t>
      </w:r>
    </w:p>
    <w:p w14:paraId="286C29CC">
      <w:pPr>
        <w:pStyle w:val="35"/>
        <w:keepNext w:val="0"/>
        <w:keepLines w:val="0"/>
        <w:pageBreakBefore w:val="0"/>
        <w:widowControl/>
        <w:kinsoku/>
        <w:wordWrap/>
        <w:overflowPunct/>
        <w:topLinePunct w:val="0"/>
        <w:autoSpaceDE w:val="0"/>
        <w:autoSpaceDN w:val="0"/>
        <w:bidi w:val="0"/>
        <w:adjustRightInd/>
        <w:snapToGrid/>
        <w:spacing w:after="0" w:afterAutospacing="0" w:line="360" w:lineRule="auto"/>
        <w:ind w:left="0" w:firstLine="420"/>
        <w:jc w:val="right"/>
        <w:textAlignment w:val="auto"/>
        <w:rPr>
          <w:rFonts w:hint="default" w:ascii="Times New Roman" w:hAnsi="Times New Roman" w:eastAsia="宋体" w:cs="Times New Roman"/>
          <w:color w:val="000000"/>
          <w:kern w:val="0"/>
          <w:sz w:val="28"/>
          <w:szCs w:val="28"/>
          <w:highlight w:val="none"/>
          <w:lang w:val="en-US" w:eastAsia="zh-CN" w:bidi="ar"/>
        </w:rPr>
      </w:pPr>
      <w:r>
        <w:rPr>
          <w:rFonts w:hint="default" w:ascii="Times New Roman" w:hAnsi="Times New Roman" w:eastAsia="宋体" w:cs="Times New Roman"/>
          <w:color w:val="000000"/>
          <w:kern w:val="0"/>
          <w:sz w:val="28"/>
          <w:szCs w:val="28"/>
          <w:highlight w:val="none"/>
          <w:lang w:val="en-US" w:eastAsia="zh-CN" w:bidi="ar"/>
        </w:rPr>
        <w:t xml:space="preserve">法定代表人或授权代表（签字）： </w:t>
      </w:r>
    </w:p>
    <w:p w14:paraId="1F7359B5">
      <w:pPr>
        <w:pStyle w:val="35"/>
        <w:widowControl/>
        <w:spacing w:after="6960" w:afterLines="2900" w:afterAutospacing="0" w:line="360" w:lineRule="auto"/>
        <w:ind w:left="0" w:firstLine="420"/>
        <w:jc w:val="right"/>
        <w:rPr>
          <w:rFonts w:hint="default" w:ascii="Times New Roman" w:hAnsi="Times New Roman" w:cs="Times New Roman"/>
          <w:color w:val="000000"/>
          <w:sz w:val="28"/>
          <w:szCs w:val="28"/>
          <w:highlight w:val="none"/>
          <w:lang w:val="en-US"/>
        </w:rPr>
      </w:pPr>
      <w:r>
        <w:rPr>
          <w:rFonts w:hint="default" w:ascii="Times New Roman" w:hAnsi="Times New Roman" w:cs="Times New Roman"/>
          <w:color w:val="000000"/>
          <w:sz w:val="28"/>
          <w:szCs w:val="28"/>
          <w:highlight w:val="none"/>
          <w:lang w:eastAsia="zh-CN"/>
        </w:rPr>
        <w:t>年 月 日</w:t>
      </w:r>
    </w:p>
    <w:p w14:paraId="615E25D5">
      <w:pPr>
        <w:pStyle w:val="35"/>
        <w:widowControl/>
        <w:spacing w:after="360" w:afterLines="150" w:afterAutospacing="0" w:line="360" w:lineRule="auto"/>
        <w:ind w:left="0" w:firstLine="420"/>
        <w:jc w:val="right"/>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val="en-US" w:eastAsia="zh-CN" w:bidi="ar"/>
        </w:rPr>
        <w:br w:type="page"/>
      </w:r>
    </w:p>
    <w:p w14:paraId="6290FB01">
      <w:pPr>
        <w:pStyle w:val="41"/>
        <w:widowControl/>
        <w:numPr>
          <w:ilvl w:val="1"/>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w:t>
      </w:r>
      <w:r>
        <w:rPr>
          <w:rFonts w:hint="default" w:ascii="Times New Roman" w:hAnsi="Times New Roman" w:cs="Times New Roman"/>
          <w:sz w:val="28"/>
          <w:szCs w:val="28"/>
          <w:highlight w:val="none"/>
          <w:vertAlign w:val="subscript"/>
          <w:lang w:val="en-US"/>
        </w:rPr>
        <w:softHyphen/>
      </w:r>
      <w:r>
        <w:rPr>
          <w:rFonts w:hint="default" w:ascii="Times New Roman" w:hAnsi="Times New Roman" w:cs="Times New Roman"/>
          <w:sz w:val="28"/>
          <w:szCs w:val="28"/>
          <w:highlight w:val="none"/>
          <w:vertAlign w:val="subscript"/>
          <w:lang w:val="en-US"/>
        </w:rPr>
        <w:softHyphen/>
      </w:r>
      <w:r>
        <w:rPr>
          <w:rFonts w:hint="default" w:ascii="Times New Roman" w:hAnsi="Times New Roman" w:cs="Times New Roman"/>
          <w:sz w:val="28"/>
          <w:szCs w:val="28"/>
          <w:highlight w:val="none"/>
          <w:vertAlign w:val="subscript"/>
          <w:lang w:val="en-US"/>
        </w:rPr>
        <w:softHyphen/>
      </w:r>
      <w:r>
        <w:rPr>
          <w:rFonts w:hint="default" w:ascii="Times New Roman" w:hAnsi="Times New Roman" w:cs="Times New Roman"/>
          <w:sz w:val="28"/>
          <w:szCs w:val="28"/>
          <w:highlight w:val="none"/>
          <w:vertAlign w:val="subscript"/>
          <w:lang w:val="en-US"/>
        </w:rPr>
        <w:softHyphen/>
      </w:r>
      <w:r>
        <w:rPr>
          <w:rFonts w:hint="default" w:ascii="Times New Roman" w:hAnsi="Times New Roman" w:cs="Times New Roman"/>
          <w:sz w:val="28"/>
          <w:szCs w:val="28"/>
          <w:highlight w:val="none"/>
          <w:vertAlign w:val="subscript"/>
          <w:lang w:val="en-US"/>
        </w:rPr>
        <w:softHyphen/>
      </w:r>
      <w:r>
        <w:rPr>
          <w:rFonts w:hint="default" w:ascii="Times New Roman" w:hAnsi="Times New Roman" w:cs="Times New Roman"/>
          <w:sz w:val="28"/>
          <w:szCs w:val="28"/>
          <w:highlight w:val="none"/>
          <w:vertAlign w:val="subscript"/>
          <w:lang w:val="en-US"/>
        </w:rPr>
        <w:softHyphen/>
      </w:r>
      <w:r>
        <w:rPr>
          <w:rFonts w:hint="default" w:ascii="Times New Roman" w:hAnsi="Times New Roman" w:cs="Times New Roman"/>
          <w:sz w:val="28"/>
          <w:szCs w:val="28"/>
          <w:highlight w:val="none"/>
          <w:lang w:val="en-US"/>
        </w:rPr>
        <w:t>__________</w:t>
      </w:r>
      <w:r>
        <w:rPr>
          <w:rFonts w:hint="default" w:ascii="Times New Roman" w:hAnsi="Times New Roman" w:cs="Times New Roman"/>
          <w:sz w:val="28"/>
          <w:szCs w:val="28"/>
          <w:highlight w:val="none"/>
          <w:lang w:eastAsia="zh-CN"/>
        </w:rPr>
        <w:t>年度碳排放量汇总表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400"/>
        <w:gridCol w:w="3822"/>
        <w:gridCol w:w="3112"/>
      </w:tblGrid>
      <w:tr w14:paraId="55E00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trHeight w:val="397" w:hRule="atLeast"/>
          <w:tblHeader/>
          <w:jc w:val="center"/>
        </w:trPr>
        <w:tc>
          <w:tcPr>
            <w:tcW w:w="622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3127BA4A">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排放源类别</w:t>
            </w:r>
          </w:p>
        </w:tc>
        <w:tc>
          <w:tcPr>
            <w:tcW w:w="3112" w:type="dxa"/>
            <w:tcBorders>
              <w:top w:val="single" w:color="auto" w:sz="8" w:space="0"/>
              <w:left w:val="single" w:color="auto" w:sz="4" w:space="0"/>
              <w:bottom w:val="single" w:color="auto" w:sz="8" w:space="0"/>
              <w:right w:val="single" w:color="auto" w:sz="8" w:space="0"/>
            </w:tcBorders>
            <w:shd w:val="clear" w:color="auto" w:fill="auto"/>
            <w:vAlign w:val="center"/>
          </w:tcPr>
          <w:p w14:paraId="07F52824">
            <w:pPr>
              <w:pStyle w:val="51"/>
              <w:widowControl/>
              <w:spacing w:line="360" w:lineRule="auto"/>
              <w:rPr>
                <w:rFonts w:hint="default" w:ascii="Times New Roman" w:hAnsi="Times New Roman" w:cs="Times New Roman"/>
                <w:sz w:val="28"/>
                <w:szCs w:val="28"/>
                <w:highlight w:val="none"/>
                <w:vertAlign w:val="subscript"/>
                <w:lang w:val="en-US"/>
              </w:rPr>
            </w:pPr>
            <w:r>
              <w:rPr>
                <w:rFonts w:hint="default" w:ascii="Times New Roman" w:hAnsi="Times New Roman" w:cs="Times New Roman"/>
                <w:sz w:val="28"/>
                <w:szCs w:val="28"/>
                <w:highlight w:val="none"/>
              </w:rPr>
              <w:t>排放量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p>
        </w:tc>
      </w:tr>
      <w:tr w14:paraId="09C76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AD2373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化石燃料燃烧排放量</w:t>
            </w:r>
          </w:p>
        </w:tc>
        <w:tc>
          <w:tcPr>
            <w:tcW w:w="3112" w:type="dxa"/>
            <w:tcBorders>
              <w:top w:val="single" w:color="auto" w:sz="8" w:space="0"/>
              <w:left w:val="single" w:color="auto" w:sz="4" w:space="0"/>
              <w:bottom w:val="single" w:color="auto" w:sz="4" w:space="0"/>
              <w:right w:val="single" w:color="auto" w:sz="8" w:space="0"/>
            </w:tcBorders>
            <w:shd w:val="clear" w:color="auto" w:fill="auto"/>
            <w:vAlign w:val="center"/>
          </w:tcPr>
          <w:p w14:paraId="36090E22">
            <w:pPr>
              <w:pStyle w:val="51"/>
              <w:widowControl/>
              <w:spacing w:line="360" w:lineRule="auto"/>
              <w:rPr>
                <w:rFonts w:hint="default" w:ascii="Times New Roman" w:hAnsi="Times New Roman" w:cs="Times New Roman"/>
                <w:sz w:val="28"/>
                <w:szCs w:val="28"/>
                <w:highlight w:val="none"/>
                <w:lang w:val="en-US"/>
              </w:rPr>
            </w:pPr>
          </w:p>
        </w:tc>
      </w:tr>
      <w:tr w14:paraId="761E1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AF7858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过程排放量</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364542F1">
            <w:pPr>
              <w:pStyle w:val="51"/>
              <w:widowControl/>
              <w:spacing w:line="360" w:lineRule="auto"/>
              <w:rPr>
                <w:rFonts w:hint="default" w:ascii="Times New Roman" w:hAnsi="Times New Roman" w:cs="Times New Roman"/>
                <w:sz w:val="28"/>
                <w:szCs w:val="28"/>
                <w:highlight w:val="none"/>
                <w:lang w:val="en-US"/>
              </w:rPr>
            </w:pPr>
          </w:p>
        </w:tc>
      </w:tr>
      <w:tr w14:paraId="5914F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DCA7FAB">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购入电力产生的排放量</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01501C96">
            <w:pPr>
              <w:pStyle w:val="51"/>
              <w:widowControl/>
              <w:spacing w:line="360" w:lineRule="auto"/>
              <w:rPr>
                <w:rFonts w:hint="default" w:ascii="Times New Roman" w:hAnsi="Times New Roman" w:cs="Times New Roman"/>
                <w:sz w:val="28"/>
                <w:szCs w:val="28"/>
                <w:highlight w:val="none"/>
                <w:lang w:val="en-US"/>
              </w:rPr>
            </w:pPr>
          </w:p>
        </w:tc>
      </w:tr>
      <w:tr w14:paraId="413C8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4FC640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购入热力产生的排放量</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722E3620">
            <w:pPr>
              <w:pStyle w:val="51"/>
              <w:widowControl/>
              <w:spacing w:line="360" w:lineRule="auto"/>
              <w:rPr>
                <w:rFonts w:hint="default" w:ascii="Times New Roman" w:hAnsi="Times New Roman" w:cs="Times New Roman"/>
                <w:sz w:val="28"/>
                <w:szCs w:val="28"/>
                <w:highlight w:val="none"/>
                <w:lang w:val="en-US"/>
              </w:rPr>
            </w:pPr>
          </w:p>
        </w:tc>
      </w:tr>
      <w:tr w14:paraId="30F48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00"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7E8AAAC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企业碳排放总量</w:t>
            </w:r>
          </w:p>
        </w:tc>
        <w:tc>
          <w:tcPr>
            <w:tcW w:w="3822" w:type="dxa"/>
            <w:tcBorders>
              <w:top w:val="single" w:color="auto" w:sz="4" w:space="0"/>
              <w:left w:val="single" w:color="auto" w:sz="4" w:space="0"/>
              <w:bottom w:val="single" w:color="auto" w:sz="4" w:space="0"/>
              <w:right w:val="single" w:color="auto" w:sz="4" w:space="0"/>
            </w:tcBorders>
            <w:shd w:val="clear" w:color="auto" w:fill="auto"/>
            <w:vAlign w:val="center"/>
          </w:tcPr>
          <w:p w14:paraId="075F18D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不包括购入电力和热力产生的排放量</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35A87512">
            <w:pPr>
              <w:pStyle w:val="51"/>
              <w:widowControl/>
              <w:spacing w:line="360" w:lineRule="auto"/>
              <w:rPr>
                <w:rFonts w:hint="default" w:ascii="Times New Roman" w:hAnsi="Times New Roman" w:cs="Times New Roman"/>
                <w:sz w:val="28"/>
                <w:szCs w:val="28"/>
                <w:highlight w:val="none"/>
                <w:lang w:val="en-US"/>
              </w:rPr>
            </w:pPr>
          </w:p>
        </w:tc>
      </w:tr>
      <w:tr w14:paraId="37BE8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00"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0F72103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822" w:type="dxa"/>
            <w:tcBorders>
              <w:top w:val="single" w:color="auto" w:sz="4" w:space="0"/>
              <w:left w:val="single" w:color="auto" w:sz="4" w:space="0"/>
              <w:bottom w:val="single" w:color="auto" w:sz="8" w:space="0"/>
              <w:right w:val="single" w:color="auto" w:sz="4" w:space="0"/>
            </w:tcBorders>
            <w:shd w:val="clear" w:color="auto" w:fill="auto"/>
            <w:vAlign w:val="center"/>
          </w:tcPr>
          <w:p w14:paraId="2CB8F8F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包括购人电力和热力产生的排放量</w:t>
            </w:r>
          </w:p>
        </w:tc>
        <w:tc>
          <w:tcPr>
            <w:tcW w:w="3112" w:type="dxa"/>
            <w:tcBorders>
              <w:top w:val="single" w:color="auto" w:sz="4" w:space="0"/>
              <w:left w:val="single" w:color="auto" w:sz="4" w:space="0"/>
              <w:bottom w:val="single" w:color="auto" w:sz="8" w:space="0"/>
              <w:right w:val="single" w:color="auto" w:sz="8" w:space="0"/>
            </w:tcBorders>
            <w:shd w:val="clear" w:color="auto" w:fill="auto"/>
            <w:vAlign w:val="center"/>
          </w:tcPr>
          <w:p w14:paraId="5FA6D553">
            <w:pPr>
              <w:pStyle w:val="51"/>
              <w:widowControl/>
              <w:spacing w:line="360" w:lineRule="auto"/>
              <w:rPr>
                <w:rFonts w:hint="default" w:ascii="Times New Roman" w:hAnsi="Times New Roman" w:cs="Times New Roman"/>
                <w:sz w:val="28"/>
                <w:szCs w:val="28"/>
                <w:highlight w:val="none"/>
                <w:lang w:val="en-US"/>
              </w:rPr>
            </w:pPr>
          </w:p>
        </w:tc>
      </w:tr>
    </w:tbl>
    <w:p w14:paraId="7D996A29">
      <w:pPr>
        <w:pStyle w:val="35"/>
        <w:widowControl/>
        <w:spacing w:line="360" w:lineRule="auto"/>
        <w:ind w:left="0" w:firstLine="420"/>
        <w:rPr>
          <w:rFonts w:hint="default" w:ascii="Times New Roman" w:hAnsi="Times New Roman" w:cs="Times New Roman"/>
          <w:sz w:val="28"/>
          <w:szCs w:val="28"/>
          <w:highlight w:val="none"/>
          <w:lang w:val="en-US"/>
        </w:rPr>
      </w:pPr>
    </w:p>
    <w:p w14:paraId="0191C0E2">
      <w:pPr>
        <w:pStyle w:val="41"/>
        <w:widowControl/>
        <w:numPr>
          <w:ilvl w:val="1"/>
          <w:numId w:val="2"/>
        </w:numPr>
        <w:spacing w:before="360" w:beforeLines="150" w:beforeAutospacing="0" w:after="12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报告主体化石燃料燃烧活动数据和排放因子数据一览表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32"/>
        <w:gridCol w:w="1333"/>
        <w:gridCol w:w="869"/>
        <w:gridCol w:w="1798"/>
        <w:gridCol w:w="1334"/>
        <w:gridCol w:w="979"/>
        <w:gridCol w:w="1689"/>
      </w:tblGrid>
      <w:tr w14:paraId="56975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tblHeader/>
          <w:jc w:val="center"/>
        </w:trPr>
        <w:tc>
          <w:tcPr>
            <w:tcW w:w="1332"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63D8E59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燃烧品种</w:t>
            </w:r>
          </w:p>
        </w:tc>
        <w:tc>
          <w:tcPr>
            <w:tcW w:w="1333"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6C4152C9">
            <w:pPr>
              <w:keepNext w:val="0"/>
              <w:keepLines w:val="0"/>
              <w:widowControl/>
              <w:suppressLineNumbers w:val="0"/>
              <w:adjustRightInd/>
              <w:spacing w:before="0" w:beforeAutospacing="0" w:after="0" w:afterAutospacing="0" w:line="360" w:lineRule="auto"/>
              <w:ind w:left="0" w:right="0"/>
              <w:jc w:val="center"/>
              <w:rPr>
                <w:rFonts w:hint="default" w:ascii="Times New Roman" w:hAnsi="Times New Roman" w:cs="Times New Roman"/>
                <w:kern w:val="0"/>
                <w:sz w:val="28"/>
                <w:szCs w:val="28"/>
                <w:highlight w:val="none"/>
                <w:lang w:val="en-US"/>
              </w:rPr>
            </w:pPr>
            <w:r>
              <w:rPr>
                <w:rFonts w:hint="default" w:ascii="Times New Roman" w:hAnsi="Times New Roman" w:eastAsia="宋体" w:cs="Times New Roman"/>
                <w:color w:val="000000"/>
                <w:kern w:val="0"/>
                <w:sz w:val="28"/>
                <w:szCs w:val="28"/>
                <w:highlight w:val="none"/>
                <w:lang w:val="en-US" w:eastAsia="zh-CN" w:bidi="ar"/>
              </w:rPr>
              <w:t>消费量</w:t>
            </w:r>
          </w:p>
          <w:p w14:paraId="7802C0A3">
            <w:pPr>
              <w:pStyle w:val="51"/>
              <w:widowControl/>
              <w:spacing w:line="360" w:lineRule="auto"/>
              <w:rPr>
                <w:rFonts w:hint="default" w:ascii="Times New Roman" w:hAnsi="Times New Roman" w:cs="Times New Roman"/>
                <w:sz w:val="28"/>
                <w:szCs w:val="28"/>
                <w:highlight w:val="none"/>
                <w:vertAlign w:val="superscript"/>
                <w:lang w:val="en-US"/>
              </w:rPr>
            </w:pPr>
            <w:r>
              <w:rPr>
                <w:rFonts w:hint="default" w:ascii="Times New Roman" w:hAnsi="Times New Roman" w:cs="Times New Roman"/>
                <w:color w:val="000000"/>
                <w:sz w:val="28"/>
                <w:szCs w:val="28"/>
                <w:highlight w:val="none"/>
                <w:lang w:val="en-US"/>
              </w:rPr>
              <w:t>t</w:t>
            </w:r>
            <w:r>
              <w:rPr>
                <w:rFonts w:hint="default" w:ascii="Times New Roman" w:hAnsi="Times New Roman" w:cs="Times New Roman"/>
                <w:color w:val="000000"/>
                <w:sz w:val="28"/>
                <w:szCs w:val="28"/>
                <w:highlight w:val="none"/>
              </w:rPr>
              <w:t>或</w:t>
            </w:r>
            <w:r>
              <w:rPr>
                <w:rFonts w:hint="default" w:ascii="Times New Roman" w:hAnsi="Times New Roman" w:cs="Times New Roman"/>
                <w:color w:val="000000"/>
                <w:sz w:val="28"/>
                <w:szCs w:val="28"/>
                <w:highlight w:val="none"/>
                <w:lang w:val="en-US"/>
              </w:rPr>
              <w:t>10</w:t>
            </w:r>
            <w:r>
              <w:rPr>
                <w:rFonts w:hint="default" w:ascii="Times New Roman" w:hAnsi="Times New Roman" w:cs="Times New Roman"/>
                <w:color w:val="000000"/>
                <w:sz w:val="28"/>
                <w:szCs w:val="28"/>
                <w:highlight w:val="none"/>
                <w:vertAlign w:val="superscript"/>
                <w:lang w:val="en-US"/>
              </w:rPr>
              <w:t>4</w:t>
            </w:r>
            <w:r>
              <w:rPr>
                <w:rFonts w:hint="default" w:ascii="Times New Roman" w:hAnsi="Times New Roman" w:cs="Times New Roman"/>
                <w:color w:val="000000"/>
                <w:sz w:val="28"/>
                <w:szCs w:val="28"/>
                <w:highlight w:val="none"/>
                <w:lang w:val="en-US"/>
              </w:rPr>
              <w:t>Nm</w:t>
            </w:r>
            <w:r>
              <w:rPr>
                <w:rFonts w:hint="default" w:ascii="Times New Roman" w:hAnsi="Times New Roman" w:cs="Times New Roman"/>
                <w:color w:val="000000"/>
                <w:sz w:val="28"/>
                <w:szCs w:val="28"/>
                <w:highlight w:val="none"/>
                <w:vertAlign w:val="superscript"/>
                <w:lang w:val="en-US"/>
              </w:rPr>
              <w:t>3</w:t>
            </w:r>
          </w:p>
        </w:tc>
        <w:tc>
          <w:tcPr>
            <w:tcW w:w="2667"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627BE90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低位发热量</w:t>
            </w:r>
          </w:p>
          <w:p w14:paraId="6059C9ED">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GJ/t</w:t>
            </w:r>
            <w:r>
              <w:rPr>
                <w:rFonts w:hint="default" w:ascii="Times New Roman" w:hAnsi="Times New Roman" w:cs="Times New Roman"/>
                <w:sz w:val="28"/>
                <w:szCs w:val="28"/>
                <w:highlight w:val="none"/>
              </w:rPr>
              <w:t>或</w:t>
            </w:r>
            <w:r>
              <w:rPr>
                <w:rFonts w:hint="default" w:ascii="Times New Roman" w:hAnsi="Times New Roman" w:cs="Times New Roman"/>
                <w:sz w:val="28"/>
                <w:szCs w:val="28"/>
                <w:highlight w:val="none"/>
                <w:lang w:val="en-US"/>
              </w:rPr>
              <w:t>GJ/10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 xml:space="preserve">Nm </w:t>
            </w:r>
            <w:r>
              <w:rPr>
                <w:rFonts w:hint="default" w:ascii="Times New Roman" w:hAnsi="Times New Roman" w:cs="Times New Roman"/>
                <w:sz w:val="28"/>
                <w:szCs w:val="28"/>
                <w:highlight w:val="none"/>
                <w:vertAlign w:val="superscript"/>
                <w:lang w:val="en-US"/>
              </w:rPr>
              <w:t>3</w:t>
            </w:r>
          </w:p>
        </w:tc>
        <w:tc>
          <w:tcPr>
            <w:tcW w:w="1334"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4FFBAEDE">
            <w:pPr>
              <w:keepNext w:val="0"/>
              <w:keepLines w:val="0"/>
              <w:widowControl/>
              <w:suppressLineNumbers w:val="0"/>
              <w:adjustRightInd/>
              <w:spacing w:before="0" w:beforeAutospacing="0" w:after="0" w:afterAutospacing="0" w:line="360" w:lineRule="auto"/>
              <w:ind w:left="0" w:right="0"/>
              <w:jc w:val="center"/>
              <w:rPr>
                <w:rFonts w:hint="default" w:ascii="Times New Roman" w:hAnsi="Times New Roman" w:cs="Times New Roman"/>
                <w:kern w:val="0"/>
                <w:sz w:val="28"/>
                <w:szCs w:val="28"/>
                <w:highlight w:val="none"/>
                <w:lang w:val="en-US"/>
              </w:rPr>
            </w:pPr>
            <w:r>
              <w:rPr>
                <w:rFonts w:hint="default" w:ascii="Times New Roman" w:hAnsi="Times New Roman" w:eastAsia="宋体" w:cs="Times New Roman"/>
                <w:color w:val="000000"/>
                <w:kern w:val="0"/>
                <w:sz w:val="28"/>
                <w:szCs w:val="28"/>
                <w:highlight w:val="none"/>
                <w:lang w:val="en-US" w:eastAsia="zh-CN" w:bidi="ar"/>
              </w:rPr>
              <w:t>单位热值含碳量</w:t>
            </w:r>
          </w:p>
          <w:p w14:paraId="13901EC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lang w:val="en-US"/>
              </w:rPr>
              <w:t>tC/GJ</w:t>
            </w:r>
          </w:p>
        </w:tc>
        <w:tc>
          <w:tcPr>
            <w:tcW w:w="2668" w:type="dxa"/>
            <w:gridSpan w:val="2"/>
            <w:tcBorders>
              <w:top w:val="single" w:color="auto" w:sz="8" w:space="0"/>
              <w:left w:val="single" w:color="auto" w:sz="4" w:space="0"/>
              <w:bottom w:val="single" w:color="auto" w:sz="8" w:space="0"/>
              <w:right w:val="single" w:color="auto" w:sz="8" w:space="0"/>
            </w:tcBorders>
            <w:shd w:val="clear" w:color="auto" w:fill="auto"/>
            <w:vAlign w:val="center"/>
          </w:tcPr>
          <w:p w14:paraId="6890ABB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碳氧化率</w:t>
            </w:r>
          </w:p>
          <w:p w14:paraId="12447945">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52FEF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32"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241BEC9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33"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03C72F3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869" w:type="dxa"/>
            <w:tcBorders>
              <w:top w:val="single" w:color="auto" w:sz="8" w:space="0"/>
              <w:left w:val="single" w:color="auto" w:sz="4" w:space="0"/>
              <w:bottom w:val="single" w:color="auto" w:sz="4" w:space="0"/>
              <w:right w:val="single" w:color="auto" w:sz="4" w:space="0"/>
            </w:tcBorders>
            <w:shd w:val="clear" w:color="auto" w:fill="auto"/>
            <w:vAlign w:val="center"/>
          </w:tcPr>
          <w:p w14:paraId="4112669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数据</w:t>
            </w:r>
          </w:p>
        </w:tc>
        <w:tc>
          <w:tcPr>
            <w:tcW w:w="1798" w:type="dxa"/>
            <w:tcBorders>
              <w:top w:val="single" w:color="auto" w:sz="8" w:space="0"/>
              <w:left w:val="single" w:color="auto" w:sz="4" w:space="0"/>
              <w:bottom w:val="single" w:color="auto" w:sz="4" w:space="0"/>
              <w:right w:val="single" w:color="auto" w:sz="4" w:space="0"/>
            </w:tcBorders>
            <w:shd w:val="clear" w:color="auto" w:fill="auto"/>
            <w:vAlign w:val="center"/>
          </w:tcPr>
          <w:p w14:paraId="3D849E6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数据来源</w:t>
            </w:r>
          </w:p>
        </w:tc>
        <w:tc>
          <w:tcPr>
            <w:tcW w:w="1334"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007BCF2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979" w:type="dxa"/>
            <w:tcBorders>
              <w:top w:val="single" w:color="auto" w:sz="8" w:space="0"/>
              <w:left w:val="single" w:color="auto" w:sz="4" w:space="0"/>
              <w:bottom w:val="single" w:color="auto" w:sz="4" w:space="0"/>
              <w:right w:val="single" w:color="auto" w:sz="4" w:space="0"/>
            </w:tcBorders>
            <w:shd w:val="clear" w:color="auto" w:fill="auto"/>
            <w:vAlign w:val="center"/>
          </w:tcPr>
          <w:p w14:paraId="70BFF12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数据</w:t>
            </w:r>
          </w:p>
        </w:tc>
        <w:tc>
          <w:tcPr>
            <w:tcW w:w="1689" w:type="dxa"/>
            <w:tcBorders>
              <w:top w:val="single" w:color="auto" w:sz="8" w:space="0"/>
              <w:left w:val="single" w:color="auto" w:sz="4" w:space="0"/>
              <w:bottom w:val="single" w:color="auto" w:sz="4" w:space="0"/>
              <w:right w:val="single" w:color="auto" w:sz="8" w:space="0"/>
            </w:tcBorders>
            <w:shd w:val="clear" w:color="auto" w:fill="auto"/>
            <w:vAlign w:val="center"/>
          </w:tcPr>
          <w:p w14:paraId="0518C67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数据来源</w:t>
            </w:r>
          </w:p>
        </w:tc>
      </w:tr>
      <w:tr w14:paraId="6F3C2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color="auto" w:fill="auto"/>
            <w:vAlign w:val="center"/>
          </w:tcPr>
          <w:p w14:paraId="4CDA476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无烟煤</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53F30979">
            <w:pPr>
              <w:pStyle w:val="51"/>
              <w:widowControl/>
              <w:spacing w:line="360" w:lineRule="auto"/>
              <w:rPr>
                <w:rFonts w:hint="default" w:ascii="Times New Roman" w:hAnsi="Times New Roman" w:cs="Times New Roman"/>
                <w:sz w:val="28"/>
                <w:szCs w:val="28"/>
                <w:highlight w:val="none"/>
                <w:lang w:val="en-US"/>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14A5F5E">
            <w:pPr>
              <w:pStyle w:val="51"/>
              <w:widowControl/>
              <w:spacing w:line="360" w:lineRule="auto"/>
              <w:rPr>
                <w:rFonts w:hint="default" w:ascii="Times New Roman" w:hAnsi="Times New Roman" w:cs="Times New Roman"/>
                <w:sz w:val="28"/>
                <w:szCs w:val="28"/>
                <w:highlight w:val="none"/>
                <w:lang w:val="en-US"/>
              </w:rPr>
            </w:pP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14A5F24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3CBAAF07">
            <w:pPr>
              <w:pStyle w:val="51"/>
              <w:widowControl/>
              <w:spacing w:line="360" w:lineRule="auto"/>
              <w:rPr>
                <w:rFonts w:hint="default" w:ascii="Times New Roman" w:hAnsi="Times New Roman" w:cs="Times New Roman"/>
                <w:sz w:val="28"/>
                <w:szCs w:val="28"/>
                <w:highlight w:val="none"/>
                <w:lang w:val="en-US"/>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2C91BED6">
            <w:pPr>
              <w:pStyle w:val="51"/>
              <w:widowControl/>
              <w:spacing w:line="360" w:lineRule="auto"/>
              <w:rPr>
                <w:rFonts w:hint="default" w:ascii="Times New Roman" w:hAnsi="Times New Roman" w:cs="Times New Roman"/>
                <w:sz w:val="28"/>
                <w:szCs w:val="28"/>
                <w:highlight w:val="none"/>
                <w:lang w:val="en-US"/>
              </w:rPr>
            </w:pPr>
          </w:p>
        </w:tc>
        <w:tc>
          <w:tcPr>
            <w:tcW w:w="1689" w:type="dxa"/>
            <w:tcBorders>
              <w:top w:val="single" w:color="auto" w:sz="4" w:space="0"/>
              <w:left w:val="single" w:color="auto" w:sz="4" w:space="0"/>
              <w:bottom w:val="single" w:color="auto" w:sz="4" w:space="0"/>
              <w:right w:val="single" w:color="auto" w:sz="8" w:space="0"/>
            </w:tcBorders>
            <w:shd w:val="clear" w:color="auto" w:fill="auto"/>
            <w:vAlign w:val="center"/>
          </w:tcPr>
          <w:p w14:paraId="3CE8A1C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r>
      <w:tr w14:paraId="1F060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color="auto" w:fill="auto"/>
            <w:vAlign w:val="center"/>
          </w:tcPr>
          <w:p w14:paraId="34360FFB">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烟煤</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4D618D8D">
            <w:pPr>
              <w:pStyle w:val="51"/>
              <w:widowControl/>
              <w:spacing w:line="360" w:lineRule="auto"/>
              <w:rPr>
                <w:rFonts w:hint="default" w:ascii="Times New Roman" w:hAnsi="Times New Roman" w:cs="Times New Roman"/>
                <w:sz w:val="28"/>
                <w:szCs w:val="28"/>
                <w:highlight w:val="none"/>
                <w:lang w:val="en-US"/>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E089F5D">
            <w:pPr>
              <w:pStyle w:val="51"/>
              <w:widowControl/>
              <w:spacing w:line="360" w:lineRule="auto"/>
              <w:rPr>
                <w:rFonts w:hint="default" w:ascii="Times New Roman" w:hAnsi="Times New Roman" w:cs="Times New Roman"/>
                <w:sz w:val="28"/>
                <w:szCs w:val="28"/>
                <w:highlight w:val="none"/>
                <w:lang w:val="en-US"/>
              </w:rPr>
            </w:pP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519194F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C88D5BF">
            <w:pPr>
              <w:pStyle w:val="51"/>
              <w:widowControl/>
              <w:spacing w:line="360" w:lineRule="auto"/>
              <w:rPr>
                <w:rFonts w:hint="default" w:ascii="Times New Roman" w:hAnsi="Times New Roman" w:cs="Times New Roman"/>
                <w:sz w:val="28"/>
                <w:szCs w:val="28"/>
                <w:highlight w:val="none"/>
                <w:lang w:val="en-US"/>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06B8260F">
            <w:pPr>
              <w:pStyle w:val="51"/>
              <w:widowControl/>
              <w:spacing w:line="360" w:lineRule="auto"/>
              <w:rPr>
                <w:rFonts w:hint="default" w:ascii="Times New Roman" w:hAnsi="Times New Roman" w:cs="Times New Roman"/>
                <w:sz w:val="28"/>
                <w:szCs w:val="28"/>
                <w:highlight w:val="none"/>
                <w:lang w:val="en-US"/>
              </w:rPr>
            </w:pPr>
          </w:p>
        </w:tc>
        <w:tc>
          <w:tcPr>
            <w:tcW w:w="1689" w:type="dxa"/>
            <w:tcBorders>
              <w:top w:val="single" w:color="auto" w:sz="4" w:space="0"/>
              <w:left w:val="single" w:color="auto" w:sz="4" w:space="0"/>
              <w:bottom w:val="single" w:color="auto" w:sz="4" w:space="0"/>
              <w:right w:val="single" w:color="auto" w:sz="8" w:space="0"/>
            </w:tcBorders>
            <w:shd w:val="clear" w:color="auto" w:fill="auto"/>
            <w:vAlign w:val="center"/>
          </w:tcPr>
          <w:p w14:paraId="0FB2B70B">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r>
      <w:tr w14:paraId="65611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color="auto" w:fill="auto"/>
            <w:vAlign w:val="center"/>
          </w:tcPr>
          <w:p w14:paraId="3075A0A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褐煤</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28F85369">
            <w:pPr>
              <w:pStyle w:val="51"/>
              <w:widowControl/>
              <w:spacing w:line="360" w:lineRule="auto"/>
              <w:rPr>
                <w:rFonts w:hint="default" w:ascii="Times New Roman" w:hAnsi="Times New Roman" w:cs="Times New Roman"/>
                <w:sz w:val="28"/>
                <w:szCs w:val="28"/>
                <w:highlight w:val="none"/>
                <w:lang w:val="en-US"/>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A72566B">
            <w:pPr>
              <w:pStyle w:val="51"/>
              <w:widowControl/>
              <w:spacing w:line="360" w:lineRule="auto"/>
              <w:rPr>
                <w:rFonts w:hint="default" w:ascii="Times New Roman" w:hAnsi="Times New Roman" w:cs="Times New Roman"/>
                <w:sz w:val="28"/>
                <w:szCs w:val="28"/>
                <w:highlight w:val="none"/>
                <w:lang w:val="en-US"/>
              </w:rPr>
            </w:pP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78A4E40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7287C59">
            <w:pPr>
              <w:pStyle w:val="51"/>
              <w:widowControl/>
              <w:spacing w:line="360" w:lineRule="auto"/>
              <w:rPr>
                <w:rFonts w:hint="default" w:ascii="Times New Roman" w:hAnsi="Times New Roman" w:cs="Times New Roman"/>
                <w:sz w:val="28"/>
                <w:szCs w:val="28"/>
                <w:highlight w:val="none"/>
                <w:lang w:val="en-US"/>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7EFFBFAC">
            <w:pPr>
              <w:pStyle w:val="51"/>
              <w:widowControl/>
              <w:spacing w:line="360" w:lineRule="auto"/>
              <w:rPr>
                <w:rFonts w:hint="default" w:ascii="Times New Roman" w:hAnsi="Times New Roman" w:cs="Times New Roman"/>
                <w:sz w:val="28"/>
                <w:szCs w:val="28"/>
                <w:highlight w:val="none"/>
                <w:lang w:val="en-US"/>
              </w:rPr>
            </w:pPr>
          </w:p>
        </w:tc>
        <w:tc>
          <w:tcPr>
            <w:tcW w:w="1689" w:type="dxa"/>
            <w:tcBorders>
              <w:top w:val="single" w:color="auto" w:sz="4" w:space="0"/>
              <w:left w:val="single" w:color="auto" w:sz="4" w:space="0"/>
              <w:bottom w:val="single" w:color="auto" w:sz="4" w:space="0"/>
              <w:right w:val="single" w:color="auto" w:sz="8" w:space="0"/>
            </w:tcBorders>
            <w:shd w:val="clear" w:color="auto" w:fill="auto"/>
            <w:vAlign w:val="center"/>
          </w:tcPr>
          <w:p w14:paraId="7FD803F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r>
      <w:tr w14:paraId="11526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color="auto" w:fill="auto"/>
            <w:vAlign w:val="center"/>
          </w:tcPr>
          <w:p w14:paraId="5A1E8C2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原油</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7E21E621">
            <w:pPr>
              <w:pStyle w:val="51"/>
              <w:widowControl/>
              <w:spacing w:line="360" w:lineRule="auto"/>
              <w:rPr>
                <w:rFonts w:hint="default" w:ascii="Times New Roman" w:hAnsi="Times New Roman" w:cs="Times New Roman"/>
                <w:sz w:val="28"/>
                <w:szCs w:val="28"/>
                <w:highlight w:val="none"/>
                <w:lang w:val="en-US"/>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DE3B01A">
            <w:pPr>
              <w:pStyle w:val="51"/>
              <w:widowControl/>
              <w:spacing w:line="360" w:lineRule="auto"/>
              <w:rPr>
                <w:rFonts w:hint="default" w:ascii="Times New Roman" w:hAnsi="Times New Roman" w:cs="Times New Roman"/>
                <w:sz w:val="28"/>
                <w:szCs w:val="28"/>
                <w:highlight w:val="none"/>
                <w:lang w:val="en-US"/>
              </w:rPr>
            </w:pP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2516F1B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71BF56B">
            <w:pPr>
              <w:pStyle w:val="51"/>
              <w:widowControl/>
              <w:spacing w:line="360" w:lineRule="auto"/>
              <w:rPr>
                <w:rFonts w:hint="default" w:ascii="Times New Roman" w:hAnsi="Times New Roman" w:cs="Times New Roman"/>
                <w:sz w:val="28"/>
                <w:szCs w:val="28"/>
                <w:highlight w:val="none"/>
                <w:lang w:val="en-US"/>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17281B09">
            <w:pPr>
              <w:pStyle w:val="51"/>
              <w:widowControl/>
              <w:spacing w:line="360" w:lineRule="auto"/>
              <w:rPr>
                <w:rFonts w:hint="default" w:ascii="Times New Roman" w:hAnsi="Times New Roman" w:cs="Times New Roman"/>
                <w:sz w:val="28"/>
                <w:szCs w:val="28"/>
                <w:highlight w:val="none"/>
                <w:lang w:val="en-US"/>
              </w:rPr>
            </w:pPr>
          </w:p>
        </w:tc>
        <w:tc>
          <w:tcPr>
            <w:tcW w:w="1689" w:type="dxa"/>
            <w:tcBorders>
              <w:top w:val="single" w:color="auto" w:sz="4" w:space="0"/>
              <w:left w:val="single" w:color="auto" w:sz="4" w:space="0"/>
              <w:bottom w:val="single" w:color="auto" w:sz="4" w:space="0"/>
              <w:right w:val="single" w:color="auto" w:sz="8" w:space="0"/>
            </w:tcBorders>
            <w:shd w:val="clear" w:color="auto" w:fill="auto"/>
            <w:vAlign w:val="center"/>
          </w:tcPr>
          <w:p w14:paraId="6A793A5A">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r>
      <w:tr w14:paraId="1EFEF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color="auto" w:fill="auto"/>
            <w:vAlign w:val="center"/>
          </w:tcPr>
          <w:p w14:paraId="0A5FF35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燃料油</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5118BD4B">
            <w:pPr>
              <w:pStyle w:val="51"/>
              <w:widowControl/>
              <w:spacing w:line="360" w:lineRule="auto"/>
              <w:rPr>
                <w:rFonts w:hint="default" w:ascii="Times New Roman" w:hAnsi="Times New Roman" w:cs="Times New Roman"/>
                <w:sz w:val="28"/>
                <w:szCs w:val="28"/>
                <w:highlight w:val="none"/>
                <w:lang w:val="en-US"/>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0F36B89">
            <w:pPr>
              <w:pStyle w:val="51"/>
              <w:widowControl/>
              <w:spacing w:line="360" w:lineRule="auto"/>
              <w:rPr>
                <w:rFonts w:hint="default" w:ascii="Times New Roman" w:hAnsi="Times New Roman" w:cs="Times New Roman"/>
                <w:sz w:val="28"/>
                <w:szCs w:val="28"/>
                <w:highlight w:val="none"/>
                <w:lang w:val="en-US"/>
              </w:rPr>
            </w:pP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7ACD92A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7CAB4BD">
            <w:pPr>
              <w:pStyle w:val="51"/>
              <w:widowControl/>
              <w:spacing w:line="360" w:lineRule="auto"/>
              <w:rPr>
                <w:rFonts w:hint="default" w:ascii="Times New Roman" w:hAnsi="Times New Roman" w:cs="Times New Roman"/>
                <w:sz w:val="28"/>
                <w:szCs w:val="28"/>
                <w:highlight w:val="none"/>
                <w:lang w:val="en-US"/>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6B010F57">
            <w:pPr>
              <w:pStyle w:val="51"/>
              <w:widowControl/>
              <w:spacing w:line="360" w:lineRule="auto"/>
              <w:rPr>
                <w:rFonts w:hint="default" w:ascii="Times New Roman" w:hAnsi="Times New Roman" w:cs="Times New Roman"/>
                <w:sz w:val="28"/>
                <w:szCs w:val="28"/>
                <w:highlight w:val="none"/>
                <w:lang w:val="en-US"/>
              </w:rPr>
            </w:pPr>
          </w:p>
        </w:tc>
        <w:tc>
          <w:tcPr>
            <w:tcW w:w="1689" w:type="dxa"/>
            <w:tcBorders>
              <w:top w:val="single" w:color="auto" w:sz="4" w:space="0"/>
              <w:left w:val="single" w:color="auto" w:sz="4" w:space="0"/>
              <w:bottom w:val="single" w:color="auto" w:sz="4" w:space="0"/>
              <w:right w:val="single" w:color="auto" w:sz="8" w:space="0"/>
            </w:tcBorders>
            <w:shd w:val="clear" w:color="auto" w:fill="auto"/>
            <w:vAlign w:val="center"/>
          </w:tcPr>
          <w:p w14:paraId="2496D1CA">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r>
      <w:tr w14:paraId="0F922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color="auto" w:fill="auto"/>
            <w:vAlign w:val="center"/>
          </w:tcPr>
          <w:p w14:paraId="45B61A1B">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汽油</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48A6A586">
            <w:pPr>
              <w:pStyle w:val="51"/>
              <w:widowControl/>
              <w:spacing w:line="360" w:lineRule="auto"/>
              <w:rPr>
                <w:rFonts w:hint="default" w:ascii="Times New Roman" w:hAnsi="Times New Roman" w:cs="Times New Roman"/>
                <w:sz w:val="28"/>
                <w:szCs w:val="28"/>
                <w:highlight w:val="none"/>
                <w:lang w:val="en-US"/>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266FB68">
            <w:pPr>
              <w:pStyle w:val="51"/>
              <w:widowControl/>
              <w:spacing w:line="360" w:lineRule="auto"/>
              <w:rPr>
                <w:rFonts w:hint="default" w:ascii="Times New Roman" w:hAnsi="Times New Roman" w:cs="Times New Roman"/>
                <w:sz w:val="28"/>
                <w:szCs w:val="28"/>
                <w:highlight w:val="none"/>
                <w:lang w:val="en-US"/>
              </w:rPr>
            </w:pP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67EE38B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A1BC399">
            <w:pPr>
              <w:pStyle w:val="51"/>
              <w:widowControl/>
              <w:spacing w:line="360" w:lineRule="auto"/>
              <w:rPr>
                <w:rFonts w:hint="default" w:ascii="Times New Roman" w:hAnsi="Times New Roman" w:cs="Times New Roman"/>
                <w:sz w:val="28"/>
                <w:szCs w:val="28"/>
                <w:highlight w:val="none"/>
                <w:lang w:val="en-US"/>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643E2DA2">
            <w:pPr>
              <w:pStyle w:val="51"/>
              <w:widowControl/>
              <w:spacing w:line="360" w:lineRule="auto"/>
              <w:rPr>
                <w:rFonts w:hint="default" w:ascii="Times New Roman" w:hAnsi="Times New Roman" w:cs="Times New Roman"/>
                <w:sz w:val="28"/>
                <w:szCs w:val="28"/>
                <w:highlight w:val="none"/>
                <w:lang w:val="en-US"/>
              </w:rPr>
            </w:pPr>
          </w:p>
        </w:tc>
        <w:tc>
          <w:tcPr>
            <w:tcW w:w="1689" w:type="dxa"/>
            <w:tcBorders>
              <w:top w:val="single" w:color="auto" w:sz="4" w:space="0"/>
              <w:left w:val="single" w:color="auto" w:sz="4" w:space="0"/>
              <w:bottom w:val="single" w:color="auto" w:sz="4" w:space="0"/>
              <w:right w:val="single" w:color="auto" w:sz="8" w:space="0"/>
            </w:tcBorders>
            <w:shd w:val="clear" w:color="auto" w:fill="auto"/>
            <w:vAlign w:val="center"/>
          </w:tcPr>
          <w:p w14:paraId="65BCC31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r>
      <w:tr w14:paraId="12D18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color="auto" w:fill="auto"/>
            <w:vAlign w:val="center"/>
          </w:tcPr>
          <w:p w14:paraId="1CE6284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柴油</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1202C50B">
            <w:pPr>
              <w:pStyle w:val="51"/>
              <w:widowControl/>
              <w:spacing w:line="360" w:lineRule="auto"/>
              <w:rPr>
                <w:rFonts w:hint="default" w:ascii="Times New Roman" w:hAnsi="Times New Roman" w:cs="Times New Roman"/>
                <w:sz w:val="28"/>
                <w:szCs w:val="28"/>
                <w:highlight w:val="none"/>
                <w:lang w:val="en-US"/>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FC4697A">
            <w:pPr>
              <w:pStyle w:val="51"/>
              <w:widowControl/>
              <w:spacing w:line="360" w:lineRule="auto"/>
              <w:rPr>
                <w:rFonts w:hint="default" w:ascii="Times New Roman" w:hAnsi="Times New Roman" w:cs="Times New Roman"/>
                <w:sz w:val="28"/>
                <w:szCs w:val="28"/>
                <w:highlight w:val="none"/>
                <w:lang w:val="en-US"/>
              </w:rPr>
            </w:pP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4DDDD4B5">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29B331C">
            <w:pPr>
              <w:pStyle w:val="51"/>
              <w:widowControl/>
              <w:spacing w:line="360" w:lineRule="auto"/>
              <w:rPr>
                <w:rFonts w:hint="default" w:ascii="Times New Roman" w:hAnsi="Times New Roman" w:cs="Times New Roman"/>
                <w:sz w:val="28"/>
                <w:szCs w:val="28"/>
                <w:highlight w:val="none"/>
                <w:lang w:val="en-US"/>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1B84E799">
            <w:pPr>
              <w:pStyle w:val="51"/>
              <w:widowControl/>
              <w:spacing w:line="360" w:lineRule="auto"/>
              <w:rPr>
                <w:rFonts w:hint="default" w:ascii="Times New Roman" w:hAnsi="Times New Roman" w:cs="Times New Roman"/>
                <w:sz w:val="28"/>
                <w:szCs w:val="28"/>
                <w:highlight w:val="none"/>
                <w:lang w:val="en-US"/>
              </w:rPr>
            </w:pPr>
          </w:p>
        </w:tc>
        <w:tc>
          <w:tcPr>
            <w:tcW w:w="1689" w:type="dxa"/>
            <w:tcBorders>
              <w:top w:val="single" w:color="auto" w:sz="4" w:space="0"/>
              <w:left w:val="single" w:color="auto" w:sz="4" w:space="0"/>
              <w:bottom w:val="single" w:color="auto" w:sz="4" w:space="0"/>
              <w:right w:val="single" w:color="auto" w:sz="8" w:space="0"/>
            </w:tcBorders>
            <w:shd w:val="clear" w:color="auto" w:fill="auto"/>
            <w:vAlign w:val="center"/>
          </w:tcPr>
          <w:p w14:paraId="4E6D5B9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r>
      <w:tr w14:paraId="0381C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color="auto" w:fill="auto"/>
            <w:vAlign w:val="center"/>
          </w:tcPr>
          <w:p w14:paraId="47189A2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天然气</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25C18F22">
            <w:pPr>
              <w:pStyle w:val="51"/>
              <w:widowControl/>
              <w:spacing w:line="360" w:lineRule="auto"/>
              <w:rPr>
                <w:rFonts w:hint="default" w:ascii="Times New Roman" w:hAnsi="Times New Roman" w:cs="Times New Roman"/>
                <w:sz w:val="28"/>
                <w:szCs w:val="28"/>
                <w:highlight w:val="none"/>
                <w:lang w:val="en-US"/>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5F08B53">
            <w:pPr>
              <w:pStyle w:val="51"/>
              <w:widowControl/>
              <w:spacing w:line="360" w:lineRule="auto"/>
              <w:rPr>
                <w:rFonts w:hint="default" w:ascii="Times New Roman" w:hAnsi="Times New Roman" w:cs="Times New Roman"/>
                <w:sz w:val="28"/>
                <w:szCs w:val="28"/>
                <w:highlight w:val="none"/>
                <w:lang w:val="en-US"/>
              </w:rPr>
            </w:pP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0B1CAE6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1615DE6D">
            <w:pPr>
              <w:pStyle w:val="51"/>
              <w:widowControl/>
              <w:spacing w:line="360" w:lineRule="auto"/>
              <w:rPr>
                <w:rFonts w:hint="default" w:ascii="Times New Roman" w:hAnsi="Times New Roman" w:cs="Times New Roman"/>
                <w:sz w:val="28"/>
                <w:szCs w:val="28"/>
                <w:highlight w:val="none"/>
                <w:lang w:val="en-US"/>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243DDD89">
            <w:pPr>
              <w:pStyle w:val="51"/>
              <w:widowControl/>
              <w:spacing w:line="360" w:lineRule="auto"/>
              <w:rPr>
                <w:rFonts w:hint="default" w:ascii="Times New Roman" w:hAnsi="Times New Roman" w:cs="Times New Roman"/>
                <w:sz w:val="28"/>
                <w:szCs w:val="28"/>
                <w:highlight w:val="none"/>
                <w:lang w:val="en-US"/>
              </w:rPr>
            </w:pPr>
          </w:p>
        </w:tc>
        <w:tc>
          <w:tcPr>
            <w:tcW w:w="1689" w:type="dxa"/>
            <w:tcBorders>
              <w:top w:val="single" w:color="auto" w:sz="4" w:space="0"/>
              <w:left w:val="single" w:color="auto" w:sz="4" w:space="0"/>
              <w:bottom w:val="single" w:color="auto" w:sz="4" w:space="0"/>
              <w:right w:val="single" w:color="auto" w:sz="8" w:space="0"/>
            </w:tcBorders>
            <w:shd w:val="clear" w:color="auto" w:fill="auto"/>
            <w:vAlign w:val="center"/>
          </w:tcPr>
          <w:p w14:paraId="269D734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r>
      <w:tr w14:paraId="4F7A0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color="auto" w:fill="auto"/>
            <w:vAlign w:val="center"/>
          </w:tcPr>
          <w:p w14:paraId="331F36C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焦炉煤气</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6441155C">
            <w:pPr>
              <w:pStyle w:val="51"/>
              <w:widowControl/>
              <w:spacing w:line="360" w:lineRule="auto"/>
              <w:rPr>
                <w:rFonts w:hint="default" w:ascii="Times New Roman" w:hAnsi="Times New Roman" w:cs="Times New Roman"/>
                <w:sz w:val="28"/>
                <w:szCs w:val="28"/>
                <w:highlight w:val="none"/>
                <w:lang w:val="en-US"/>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21F8CF">
            <w:pPr>
              <w:pStyle w:val="51"/>
              <w:widowControl/>
              <w:spacing w:line="360" w:lineRule="auto"/>
              <w:rPr>
                <w:rFonts w:hint="default" w:ascii="Times New Roman" w:hAnsi="Times New Roman" w:cs="Times New Roman"/>
                <w:sz w:val="28"/>
                <w:szCs w:val="28"/>
                <w:highlight w:val="none"/>
                <w:lang w:val="en-US"/>
              </w:rPr>
            </w:pP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1D3C56C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11D0D41">
            <w:pPr>
              <w:pStyle w:val="51"/>
              <w:widowControl/>
              <w:spacing w:line="360" w:lineRule="auto"/>
              <w:rPr>
                <w:rFonts w:hint="default" w:ascii="Times New Roman" w:hAnsi="Times New Roman" w:cs="Times New Roman"/>
                <w:sz w:val="28"/>
                <w:szCs w:val="28"/>
                <w:highlight w:val="none"/>
                <w:lang w:val="en-US"/>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7677CA28">
            <w:pPr>
              <w:pStyle w:val="51"/>
              <w:widowControl/>
              <w:spacing w:line="360" w:lineRule="auto"/>
              <w:rPr>
                <w:rFonts w:hint="default" w:ascii="Times New Roman" w:hAnsi="Times New Roman" w:cs="Times New Roman"/>
                <w:sz w:val="28"/>
                <w:szCs w:val="28"/>
                <w:highlight w:val="none"/>
                <w:lang w:val="en-US"/>
              </w:rPr>
            </w:pPr>
          </w:p>
        </w:tc>
        <w:tc>
          <w:tcPr>
            <w:tcW w:w="1689" w:type="dxa"/>
            <w:tcBorders>
              <w:top w:val="single" w:color="auto" w:sz="4" w:space="0"/>
              <w:left w:val="single" w:color="auto" w:sz="4" w:space="0"/>
              <w:bottom w:val="single" w:color="auto" w:sz="4" w:space="0"/>
              <w:right w:val="single" w:color="auto" w:sz="8" w:space="0"/>
            </w:tcBorders>
            <w:shd w:val="clear" w:color="auto" w:fill="auto"/>
            <w:vAlign w:val="center"/>
          </w:tcPr>
          <w:p w14:paraId="19370F3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实测值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缺省值</w:t>
            </w:r>
          </w:p>
        </w:tc>
      </w:tr>
      <w:tr w14:paraId="16058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34" w:type="dxa"/>
            <w:gridSpan w:val="7"/>
            <w:tcBorders>
              <w:top w:val="single" w:color="auto" w:sz="4" w:space="0"/>
              <w:left w:val="single" w:color="auto" w:sz="8" w:space="0"/>
              <w:bottom w:val="single" w:color="auto" w:sz="8" w:space="0"/>
              <w:right w:val="single" w:color="auto" w:sz="8" w:space="0"/>
            </w:tcBorders>
            <w:shd w:val="clear" w:color="auto" w:fill="auto"/>
            <w:vAlign w:val="center"/>
          </w:tcPr>
          <w:p w14:paraId="370E3C3A">
            <w:pPr>
              <w:pStyle w:val="47"/>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根据实际情况增减和调整表格内容。</w:t>
            </w:r>
          </w:p>
        </w:tc>
      </w:tr>
    </w:tbl>
    <w:p w14:paraId="49437C4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val="en-US" w:eastAsia="zh-CN" w:bidi="ar"/>
        </w:rPr>
        <w:br w:type="page"/>
      </w:r>
    </w:p>
    <w:p w14:paraId="4482CF24">
      <w:pPr>
        <w:pStyle w:val="35"/>
        <w:widowControl/>
        <w:spacing w:line="360" w:lineRule="auto"/>
        <w:ind w:left="0" w:firstLine="420"/>
        <w:rPr>
          <w:rFonts w:hint="default" w:ascii="Times New Roman" w:hAnsi="Times New Roman" w:cs="Times New Roman"/>
          <w:sz w:val="28"/>
          <w:szCs w:val="28"/>
          <w:highlight w:val="none"/>
          <w:lang w:val="en-US"/>
        </w:rPr>
      </w:pPr>
    </w:p>
    <w:p w14:paraId="6B27F423">
      <w:pPr>
        <w:pStyle w:val="41"/>
        <w:widowControl/>
        <w:numPr>
          <w:ilvl w:val="1"/>
          <w:numId w:val="2"/>
        </w:numPr>
        <w:spacing w:before="240" w:beforeLines="100" w:beforeAutospacing="0" w:after="12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过程排放的活动数据和排放因子数据一览表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110"/>
        <w:gridCol w:w="3112"/>
        <w:gridCol w:w="3112"/>
      </w:tblGrid>
      <w:tr w14:paraId="3F91D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blHeader/>
          <w:jc w:val="center"/>
        </w:trPr>
        <w:tc>
          <w:tcPr>
            <w:tcW w:w="3110" w:type="dxa"/>
            <w:tcBorders>
              <w:top w:val="single" w:color="auto" w:sz="8" w:space="0"/>
              <w:left w:val="single" w:color="auto" w:sz="8" w:space="0"/>
              <w:bottom w:val="single" w:color="auto" w:sz="8" w:space="0"/>
              <w:right w:val="single" w:color="auto" w:sz="4" w:space="0"/>
            </w:tcBorders>
            <w:shd w:val="clear" w:color="auto" w:fill="auto"/>
            <w:vAlign w:val="center"/>
          </w:tcPr>
          <w:p w14:paraId="177BB5CB">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3112" w:type="dxa"/>
            <w:tcBorders>
              <w:top w:val="single" w:color="auto" w:sz="8" w:space="0"/>
              <w:left w:val="single" w:color="auto" w:sz="4" w:space="0"/>
              <w:bottom w:val="single" w:color="auto" w:sz="8" w:space="0"/>
              <w:right w:val="single" w:color="auto" w:sz="4" w:space="0"/>
            </w:tcBorders>
            <w:shd w:val="clear" w:color="auto" w:fill="auto"/>
            <w:vAlign w:val="center"/>
          </w:tcPr>
          <w:p w14:paraId="4B6972D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数值</w:t>
            </w:r>
          </w:p>
        </w:tc>
        <w:tc>
          <w:tcPr>
            <w:tcW w:w="3112" w:type="dxa"/>
            <w:tcBorders>
              <w:top w:val="single" w:color="auto" w:sz="8" w:space="0"/>
              <w:left w:val="single" w:color="auto" w:sz="4" w:space="0"/>
              <w:bottom w:val="single" w:color="auto" w:sz="8" w:space="0"/>
              <w:right w:val="single" w:color="auto" w:sz="8" w:space="0"/>
            </w:tcBorders>
            <w:shd w:val="clear" w:color="auto" w:fill="auto"/>
            <w:vAlign w:val="center"/>
          </w:tcPr>
          <w:p w14:paraId="12DFE5E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单位</w:t>
            </w:r>
          </w:p>
        </w:tc>
      </w:tr>
      <w:tr w14:paraId="0F5BD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8" w:space="0"/>
              <w:left w:val="single" w:color="auto" w:sz="8" w:space="0"/>
              <w:bottom w:val="single" w:color="auto" w:sz="4" w:space="0"/>
              <w:right w:val="single" w:color="auto" w:sz="4" w:space="0"/>
            </w:tcBorders>
            <w:shd w:val="clear" w:color="auto" w:fill="auto"/>
            <w:vAlign w:val="center"/>
          </w:tcPr>
          <w:p w14:paraId="6614649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保护气的期初库存量</w:t>
            </w:r>
          </w:p>
        </w:tc>
        <w:tc>
          <w:tcPr>
            <w:tcW w:w="3112" w:type="dxa"/>
            <w:tcBorders>
              <w:top w:val="single" w:color="auto" w:sz="8" w:space="0"/>
              <w:left w:val="single" w:color="auto" w:sz="4" w:space="0"/>
              <w:bottom w:val="single" w:color="auto" w:sz="4" w:space="0"/>
              <w:right w:val="single" w:color="auto" w:sz="4" w:space="0"/>
            </w:tcBorders>
            <w:shd w:val="clear" w:color="auto" w:fill="auto"/>
            <w:vAlign w:val="center"/>
          </w:tcPr>
          <w:p w14:paraId="4C4F54E6">
            <w:pPr>
              <w:pStyle w:val="51"/>
              <w:widowControl/>
              <w:spacing w:line="360" w:lineRule="auto"/>
              <w:rPr>
                <w:rFonts w:hint="default" w:ascii="Times New Roman" w:hAnsi="Times New Roman" w:cs="Times New Roman"/>
                <w:sz w:val="28"/>
                <w:szCs w:val="28"/>
                <w:highlight w:val="none"/>
                <w:lang w:val="en-US"/>
              </w:rPr>
            </w:pPr>
          </w:p>
        </w:tc>
        <w:tc>
          <w:tcPr>
            <w:tcW w:w="3112" w:type="dxa"/>
            <w:tcBorders>
              <w:top w:val="single" w:color="auto" w:sz="8" w:space="0"/>
              <w:left w:val="single" w:color="auto" w:sz="4" w:space="0"/>
              <w:bottom w:val="single" w:color="auto" w:sz="4" w:space="0"/>
              <w:right w:val="single" w:color="auto" w:sz="8" w:space="0"/>
            </w:tcBorders>
            <w:shd w:val="clear" w:color="auto" w:fill="auto"/>
            <w:vAlign w:val="center"/>
          </w:tcPr>
          <w:p w14:paraId="7052FD9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r>
      <w:tr w14:paraId="06F38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color="auto" w:fill="auto"/>
            <w:vAlign w:val="center"/>
          </w:tcPr>
          <w:p w14:paraId="1A4B680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保护气的期末库存量</w:t>
            </w: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34088B34">
            <w:pPr>
              <w:pStyle w:val="51"/>
              <w:widowControl/>
              <w:spacing w:line="360" w:lineRule="auto"/>
              <w:rPr>
                <w:rFonts w:hint="default" w:ascii="Times New Roman" w:hAnsi="Times New Roman" w:cs="Times New Roman"/>
                <w:sz w:val="28"/>
                <w:szCs w:val="28"/>
                <w:highlight w:val="none"/>
                <w:lang w:val="en-US"/>
              </w:rPr>
            </w:pP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2F30E4E5">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r>
      <w:tr w14:paraId="26FFA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color="auto" w:fill="auto"/>
            <w:vAlign w:val="center"/>
          </w:tcPr>
          <w:p w14:paraId="3895AB2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保护气的购入量</w:t>
            </w: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75D72935">
            <w:pPr>
              <w:pStyle w:val="51"/>
              <w:widowControl/>
              <w:spacing w:line="360" w:lineRule="auto"/>
              <w:rPr>
                <w:rFonts w:hint="default" w:ascii="Times New Roman" w:hAnsi="Times New Roman" w:cs="Times New Roman"/>
                <w:sz w:val="28"/>
                <w:szCs w:val="28"/>
                <w:highlight w:val="none"/>
                <w:lang w:val="en-US"/>
              </w:rPr>
            </w:pP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1E5167D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r>
      <w:tr w14:paraId="502A4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color="auto" w:fill="auto"/>
            <w:vAlign w:val="center"/>
          </w:tcPr>
          <w:p w14:paraId="18308A6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保护气的售出量</w:t>
            </w: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5BC218F0">
            <w:pPr>
              <w:pStyle w:val="51"/>
              <w:widowControl/>
              <w:spacing w:line="360" w:lineRule="auto"/>
              <w:rPr>
                <w:rFonts w:hint="default" w:ascii="Times New Roman" w:hAnsi="Times New Roman" w:cs="Times New Roman"/>
                <w:sz w:val="28"/>
                <w:szCs w:val="28"/>
                <w:highlight w:val="none"/>
                <w:lang w:val="en-US"/>
              </w:rPr>
            </w:pP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6A3926CC">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r>
      <w:tr w14:paraId="4CC3D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color="auto" w:fill="auto"/>
            <w:vAlign w:val="center"/>
          </w:tcPr>
          <w:p w14:paraId="02D7F4C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混合气体中</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rPr>
              <w:t>的体积百分比</w:t>
            </w: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54E809D5">
            <w:pPr>
              <w:pStyle w:val="51"/>
              <w:widowControl/>
              <w:spacing w:line="360" w:lineRule="auto"/>
              <w:rPr>
                <w:rFonts w:hint="default" w:ascii="Times New Roman" w:hAnsi="Times New Roman" w:cs="Times New Roman"/>
                <w:sz w:val="28"/>
                <w:szCs w:val="28"/>
                <w:highlight w:val="none"/>
                <w:lang w:val="en-US"/>
              </w:rPr>
            </w:pP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72D729D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2C0AB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color="auto" w:fill="auto"/>
            <w:vAlign w:val="center"/>
          </w:tcPr>
          <w:p w14:paraId="2BCACDCD">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混合气体中气体</w:t>
            </w:r>
            <w:r>
              <w:rPr>
                <w:rFonts w:hint="default" w:ascii="Times New Roman" w:hAnsi="Times New Roman" w:cs="Times New Roman"/>
                <w:sz w:val="28"/>
                <w:szCs w:val="28"/>
                <w:highlight w:val="none"/>
                <w:lang w:val="en-US"/>
              </w:rPr>
              <w:t>A</w:t>
            </w:r>
            <w:r>
              <w:rPr>
                <w:rFonts w:hint="default" w:ascii="Times New Roman" w:hAnsi="Times New Roman" w:cs="Times New Roman"/>
                <w:sz w:val="28"/>
                <w:szCs w:val="28"/>
                <w:highlight w:val="none"/>
              </w:rPr>
              <w:t>的体积百分比</w:t>
            </w: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37D007F9">
            <w:pPr>
              <w:pStyle w:val="51"/>
              <w:widowControl/>
              <w:spacing w:line="360" w:lineRule="auto"/>
              <w:rPr>
                <w:rFonts w:hint="default" w:ascii="Times New Roman" w:hAnsi="Times New Roman" w:cs="Times New Roman"/>
                <w:sz w:val="28"/>
                <w:szCs w:val="28"/>
                <w:highlight w:val="none"/>
                <w:lang w:val="en-US"/>
              </w:rPr>
            </w:pP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33DCBABC">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4970E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color="auto" w:fill="auto"/>
            <w:vAlign w:val="center"/>
          </w:tcPr>
          <w:p w14:paraId="4D26250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混合气体中气体</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rPr>
              <w:t>的体积百分比</w:t>
            </w: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1B2EAD5A">
            <w:pPr>
              <w:pStyle w:val="51"/>
              <w:widowControl/>
              <w:spacing w:line="360" w:lineRule="auto"/>
              <w:rPr>
                <w:rFonts w:hint="default" w:ascii="Times New Roman" w:hAnsi="Times New Roman" w:cs="Times New Roman"/>
                <w:sz w:val="28"/>
                <w:szCs w:val="28"/>
                <w:highlight w:val="none"/>
                <w:lang w:val="en-US"/>
              </w:rPr>
            </w:pP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464A40E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32844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color="auto" w:fill="auto"/>
            <w:vAlign w:val="center"/>
          </w:tcPr>
          <w:p w14:paraId="2A4DC165">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混合气体中气体</w:t>
            </w:r>
            <w:r>
              <w:rPr>
                <w:rFonts w:hint="default" w:ascii="Times New Roman" w:hAnsi="Times New Roman" w:cs="Times New Roman"/>
                <w:sz w:val="28"/>
                <w:szCs w:val="28"/>
                <w:highlight w:val="none"/>
                <w:lang w:val="en-US"/>
              </w:rPr>
              <w:t>A</w:t>
            </w:r>
            <w:r>
              <w:rPr>
                <w:rFonts w:hint="default" w:ascii="Times New Roman" w:hAnsi="Times New Roman" w:cs="Times New Roman"/>
                <w:sz w:val="28"/>
                <w:szCs w:val="28"/>
                <w:highlight w:val="none"/>
              </w:rPr>
              <w:t>的摩尔质量</w:t>
            </w: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1C600070">
            <w:pPr>
              <w:pStyle w:val="51"/>
              <w:widowControl/>
              <w:spacing w:line="360" w:lineRule="auto"/>
              <w:rPr>
                <w:rFonts w:hint="default" w:ascii="Times New Roman" w:hAnsi="Times New Roman" w:cs="Times New Roman"/>
                <w:sz w:val="28"/>
                <w:szCs w:val="28"/>
                <w:highlight w:val="none"/>
                <w:lang w:val="en-US"/>
              </w:rPr>
            </w:pP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467424CC">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lang w:val="en-US"/>
              </w:rPr>
              <w:t>g/mol</w:t>
            </w:r>
          </w:p>
        </w:tc>
      </w:tr>
      <w:tr w14:paraId="088B2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8" w:space="0"/>
              <w:right w:val="single" w:color="auto" w:sz="4" w:space="0"/>
            </w:tcBorders>
            <w:shd w:val="clear" w:color="auto" w:fill="auto"/>
            <w:vAlign w:val="center"/>
          </w:tcPr>
          <w:p w14:paraId="1F7D9C1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混合气体中气体</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rPr>
              <w:t>的摩尔质量</w:t>
            </w:r>
          </w:p>
        </w:tc>
        <w:tc>
          <w:tcPr>
            <w:tcW w:w="3112" w:type="dxa"/>
            <w:tcBorders>
              <w:top w:val="single" w:color="auto" w:sz="4" w:space="0"/>
              <w:left w:val="single" w:color="auto" w:sz="4" w:space="0"/>
              <w:bottom w:val="single" w:color="auto" w:sz="8" w:space="0"/>
              <w:right w:val="single" w:color="auto" w:sz="4" w:space="0"/>
            </w:tcBorders>
            <w:shd w:val="clear" w:color="auto" w:fill="auto"/>
            <w:vAlign w:val="center"/>
          </w:tcPr>
          <w:p w14:paraId="4B8E5603">
            <w:pPr>
              <w:pStyle w:val="51"/>
              <w:widowControl/>
              <w:spacing w:line="360" w:lineRule="auto"/>
              <w:rPr>
                <w:rFonts w:hint="default" w:ascii="Times New Roman" w:hAnsi="Times New Roman" w:cs="Times New Roman"/>
                <w:sz w:val="28"/>
                <w:szCs w:val="28"/>
                <w:highlight w:val="none"/>
                <w:lang w:val="en-US"/>
              </w:rPr>
            </w:pPr>
          </w:p>
        </w:tc>
        <w:tc>
          <w:tcPr>
            <w:tcW w:w="3112" w:type="dxa"/>
            <w:tcBorders>
              <w:top w:val="single" w:color="auto" w:sz="4" w:space="0"/>
              <w:left w:val="single" w:color="auto" w:sz="4" w:space="0"/>
              <w:bottom w:val="single" w:color="auto" w:sz="8" w:space="0"/>
              <w:right w:val="single" w:color="auto" w:sz="8" w:space="0"/>
            </w:tcBorders>
            <w:shd w:val="clear" w:color="auto" w:fill="auto"/>
            <w:vAlign w:val="center"/>
          </w:tcPr>
          <w:p w14:paraId="31306A9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lang w:val="en-US"/>
              </w:rPr>
              <w:t>g/mol</w:t>
            </w:r>
          </w:p>
        </w:tc>
      </w:tr>
      <w:tr w14:paraId="039C3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3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1FF3AEA8">
            <w:pPr>
              <w:pStyle w:val="47"/>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根据实际情况增减和调整表格内容。</w:t>
            </w:r>
          </w:p>
        </w:tc>
      </w:tr>
    </w:tbl>
    <w:p w14:paraId="735D61F5">
      <w:pPr>
        <w:pStyle w:val="35"/>
        <w:widowControl/>
        <w:spacing w:line="360" w:lineRule="auto"/>
        <w:ind w:left="0" w:firstLine="420"/>
        <w:rPr>
          <w:rFonts w:hint="default" w:ascii="Times New Roman" w:hAnsi="Times New Roman" w:cs="Times New Roman"/>
          <w:sz w:val="28"/>
          <w:szCs w:val="28"/>
          <w:highlight w:val="none"/>
          <w:lang w:val="en-US"/>
        </w:rPr>
      </w:pPr>
    </w:p>
    <w:p w14:paraId="67037CEB">
      <w:pPr>
        <w:pStyle w:val="41"/>
        <w:widowControl/>
        <w:numPr>
          <w:ilvl w:val="1"/>
          <w:numId w:val="2"/>
        </w:numPr>
        <w:spacing w:before="360" w:beforeLines="150" w:beforeAutospacing="0" w:after="12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购入和输出电力对应的活动数据及排放因子数据一览表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336"/>
        <w:gridCol w:w="2336"/>
        <w:gridCol w:w="2336"/>
        <w:gridCol w:w="2336"/>
      </w:tblGrid>
      <w:tr w14:paraId="1CD51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blHeader/>
          <w:jc w:val="center"/>
        </w:trPr>
        <w:tc>
          <w:tcPr>
            <w:tcW w:w="2336" w:type="dxa"/>
            <w:tcBorders>
              <w:top w:val="single" w:color="auto" w:sz="8" w:space="0"/>
              <w:left w:val="single" w:color="auto" w:sz="8" w:space="0"/>
              <w:bottom w:val="single" w:color="auto" w:sz="8" w:space="0"/>
              <w:right w:val="single" w:color="auto" w:sz="4" w:space="0"/>
            </w:tcBorders>
            <w:shd w:val="clear" w:color="auto" w:fill="auto"/>
            <w:vAlign w:val="center"/>
          </w:tcPr>
          <w:p w14:paraId="4D634EB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2336" w:type="dxa"/>
            <w:tcBorders>
              <w:top w:val="single" w:color="auto" w:sz="8" w:space="0"/>
              <w:left w:val="single" w:color="auto" w:sz="4" w:space="0"/>
              <w:bottom w:val="single" w:color="auto" w:sz="8" w:space="0"/>
              <w:right w:val="single" w:color="auto" w:sz="4" w:space="0"/>
            </w:tcBorders>
            <w:shd w:val="clear" w:color="auto" w:fill="auto"/>
            <w:vAlign w:val="center"/>
          </w:tcPr>
          <w:p w14:paraId="7680E4AD">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电量</w:t>
            </w:r>
          </w:p>
          <w:p w14:paraId="12DD1E9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MW·h</w:t>
            </w:r>
          </w:p>
        </w:tc>
        <w:tc>
          <w:tcPr>
            <w:tcW w:w="2336" w:type="dxa"/>
            <w:tcBorders>
              <w:top w:val="single" w:color="auto" w:sz="8" w:space="0"/>
              <w:left w:val="single" w:color="auto" w:sz="4" w:space="0"/>
              <w:bottom w:val="single" w:color="auto" w:sz="8" w:space="0"/>
              <w:right w:val="single" w:color="auto" w:sz="4" w:space="0"/>
            </w:tcBorders>
            <w:shd w:val="clear" w:color="auto" w:fill="auto"/>
            <w:vAlign w:val="center"/>
          </w:tcPr>
          <w:p w14:paraId="0F61A73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排放因子</w:t>
            </w:r>
          </w:p>
          <w:p w14:paraId="1406BFF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MW·h</w:t>
            </w:r>
            <w:r>
              <w:rPr>
                <w:rFonts w:hint="default" w:ascii="Times New Roman" w:hAnsi="Times New Roman" w:cs="Times New Roman"/>
                <w:sz w:val="28"/>
                <w:szCs w:val="28"/>
                <w:highlight w:val="none"/>
              </w:rPr>
              <w:t>）</w:t>
            </w:r>
          </w:p>
        </w:tc>
        <w:tc>
          <w:tcPr>
            <w:tcW w:w="2336" w:type="dxa"/>
            <w:tcBorders>
              <w:top w:val="single" w:color="auto" w:sz="8" w:space="0"/>
              <w:left w:val="single" w:color="auto" w:sz="4" w:space="0"/>
              <w:bottom w:val="single" w:color="auto" w:sz="8" w:space="0"/>
              <w:right w:val="single" w:color="auto" w:sz="8" w:space="0"/>
            </w:tcBorders>
            <w:shd w:val="clear" w:color="auto" w:fill="auto"/>
            <w:vAlign w:val="center"/>
          </w:tcPr>
          <w:p w14:paraId="2EB9097D">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排放量</w:t>
            </w:r>
          </w:p>
          <w:p w14:paraId="4A4A3A9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p>
        </w:tc>
      </w:tr>
      <w:tr w14:paraId="412F8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336" w:type="dxa"/>
            <w:tcBorders>
              <w:top w:val="single" w:color="auto" w:sz="8" w:space="0"/>
              <w:left w:val="single" w:color="auto" w:sz="8" w:space="0"/>
              <w:bottom w:val="single" w:color="auto" w:sz="8" w:space="0"/>
              <w:right w:val="single" w:color="auto" w:sz="4" w:space="0"/>
            </w:tcBorders>
            <w:shd w:val="clear" w:color="auto" w:fill="auto"/>
            <w:vAlign w:val="center"/>
          </w:tcPr>
          <w:p w14:paraId="5A60D03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购入</w:t>
            </w:r>
          </w:p>
        </w:tc>
        <w:tc>
          <w:tcPr>
            <w:tcW w:w="2336" w:type="dxa"/>
            <w:tcBorders>
              <w:top w:val="single" w:color="auto" w:sz="8" w:space="0"/>
              <w:left w:val="single" w:color="auto" w:sz="4" w:space="0"/>
              <w:bottom w:val="single" w:color="auto" w:sz="8" w:space="0"/>
              <w:right w:val="single" w:color="auto" w:sz="4" w:space="0"/>
            </w:tcBorders>
            <w:shd w:val="clear" w:color="auto" w:fill="auto"/>
            <w:vAlign w:val="center"/>
          </w:tcPr>
          <w:p w14:paraId="7F192BE4">
            <w:pPr>
              <w:pStyle w:val="51"/>
              <w:widowControl/>
              <w:spacing w:line="360" w:lineRule="auto"/>
              <w:rPr>
                <w:rFonts w:hint="default" w:ascii="Times New Roman" w:hAnsi="Times New Roman" w:cs="Times New Roman"/>
                <w:sz w:val="28"/>
                <w:szCs w:val="28"/>
                <w:highlight w:val="none"/>
                <w:lang w:val="en-US"/>
              </w:rPr>
            </w:pPr>
          </w:p>
        </w:tc>
        <w:tc>
          <w:tcPr>
            <w:tcW w:w="2336" w:type="dxa"/>
            <w:tcBorders>
              <w:top w:val="single" w:color="auto" w:sz="8" w:space="0"/>
              <w:left w:val="single" w:color="auto" w:sz="4" w:space="0"/>
              <w:bottom w:val="single" w:color="auto" w:sz="8" w:space="0"/>
              <w:right w:val="single" w:color="auto" w:sz="4" w:space="0"/>
            </w:tcBorders>
            <w:shd w:val="clear" w:color="auto" w:fill="auto"/>
            <w:vAlign w:val="center"/>
          </w:tcPr>
          <w:p w14:paraId="02EFEBE3">
            <w:pPr>
              <w:pStyle w:val="51"/>
              <w:widowControl/>
              <w:spacing w:line="360" w:lineRule="auto"/>
              <w:rPr>
                <w:rFonts w:hint="default" w:ascii="Times New Roman" w:hAnsi="Times New Roman" w:cs="Times New Roman"/>
                <w:sz w:val="28"/>
                <w:szCs w:val="28"/>
                <w:highlight w:val="none"/>
                <w:lang w:val="en-US"/>
              </w:rPr>
            </w:pPr>
          </w:p>
        </w:tc>
        <w:tc>
          <w:tcPr>
            <w:tcW w:w="2336" w:type="dxa"/>
            <w:tcBorders>
              <w:top w:val="single" w:color="auto" w:sz="8" w:space="0"/>
              <w:left w:val="single" w:color="auto" w:sz="4" w:space="0"/>
              <w:bottom w:val="single" w:color="auto" w:sz="8" w:space="0"/>
              <w:right w:val="single" w:color="auto" w:sz="8" w:space="0"/>
            </w:tcBorders>
            <w:shd w:val="clear" w:color="auto" w:fill="auto"/>
            <w:vAlign w:val="center"/>
          </w:tcPr>
          <w:p w14:paraId="7F630F2C">
            <w:pPr>
              <w:pStyle w:val="51"/>
              <w:widowControl/>
              <w:spacing w:line="360" w:lineRule="auto"/>
              <w:rPr>
                <w:rFonts w:hint="default" w:ascii="Times New Roman" w:hAnsi="Times New Roman" w:cs="Times New Roman"/>
                <w:sz w:val="28"/>
                <w:szCs w:val="28"/>
                <w:highlight w:val="none"/>
                <w:lang w:val="en-US"/>
              </w:rPr>
            </w:pPr>
          </w:p>
        </w:tc>
      </w:tr>
    </w:tbl>
    <w:p w14:paraId="3A355A73">
      <w:pPr>
        <w:pStyle w:val="35"/>
        <w:widowControl/>
        <w:spacing w:line="360" w:lineRule="auto"/>
        <w:ind w:left="0" w:firstLine="420"/>
        <w:rPr>
          <w:rFonts w:hint="default" w:ascii="Times New Roman" w:hAnsi="Times New Roman" w:cs="Times New Roman"/>
          <w:sz w:val="28"/>
          <w:szCs w:val="28"/>
          <w:highlight w:val="none"/>
          <w:lang w:val="en-US"/>
        </w:rPr>
      </w:pPr>
    </w:p>
    <w:p w14:paraId="6166A02A">
      <w:pPr>
        <w:pStyle w:val="41"/>
        <w:widowControl/>
        <w:numPr>
          <w:ilvl w:val="1"/>
          <w:numId w:val="2"/>
        </w:numPr>
        <w:spacing w:before="360" w:beforeLines="150" w:beforeAutospacing="0" w:after="12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购入热力对应的活动数据及排放因子数据一览表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336"/>
        <w:gridCol w:w="2336"/>
        <w:gridCol w:w="2336"/>
        <w:gridCol w:w="2336"/>
      </w:tblGrid>
      <w:tr w14:paraId="13784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trHeight w:val="454" w:hRule="atLeast"/>
          <w:tblHeader/>
          <w:jc w:val="center"/>
        </w:trPr>
        <w:tc>
          <w:tcPr>
            <w:tcW w:w="2336" w:type="dxa"/>
            <w:tcBorders>
              <w:top w:val="single" w:color="auto" w:sz="8" w:space="0"/>
              <w:left w:val="single" w:color="auto" w:sz="8" w:space="0"/>
              <w:bottom w:val="single" w:color="auto" w:sz="8" w:space="0"/>
              <w:right w:val="single" w:color="auto" w:sz="4" w:space="0"/>
            </w:tcBorders>
            <w:shd w:val="clear" w:color="auto" w:fill="auto"/>
            <w:vAlign w:val="center"/>
          </w:tcPr>
          <w:p w14:paraId="176BB31C">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2336" w:type="dxa"/>
            <w:tcBorders>
              <w:top w:val="single" w:color="auto" w:sz="8" w:space="0"/>
              <w:left w:val="single" w:color="auto" w:sz="4" w:space="0"/>
              <w:bottom w:val="single" w:color="auto" w:sz="8" w:space="0"/>
              <w:right w:val="single" w:color="auto" w:sz="4" w:space="0"/>
            </w:tcBorders>
            <w:shd w:val="clear" w:color="auto" w:fill="auto"/>
            <w:vAlign w:val="center"/>
          </w:tcPr>
          <w:p w14:paraId="397BC5F5">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热量</w:t>
            </w:r>
          </w:p>
          <w:p w14:paraId="28B856C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GJ</w:t>
            </w:r>
          </w:p>
        </w:tc>
        <w:tc>
          <w:tcPr>
            <w:tcW w:w="2336" w:type="dxa"/>
            <w:tcBorders>
              <w:top w:val="single" w:color="auto" w:sz="8" w:space="0"/>
              <w:left w:val="single" w:color="auto" w:sz="4" w:space="0"/>
              <w:bottom w:val="single" w:color="auto" w:sz="8" w:space="0"/>
              <w:right w:val="single" w:color="auto" w:sz="4" w:space="0"/>
            </w:tcBorders>
            <w:shd w:val="clear" w:color="auto" w:fill="auto"/>
            <w:vAlign w:val="center"/>
          </w:tcPr>
          <w:p w14:paraId="4817EB1B">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排放因子</w:t>
            </w:r>
          </w:p>
          <w:p w14:paraId="1A4302D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/GJ</w:t>
            </w:r>
          </w:p>
        </w:tc>
        <w:tc>
          <w:tcPr>
            <w:tcW w:w="2336" w:type="dxa"/>
            <w:tcBorders>
              <w:top w:val="single" w:color="auto" w:sz="8" w:space="0"/>
              <w:left w:val="single" w:color="auto" w:sz="4" w:space="0"/>
              <w:bottom w:val="single" w:color="auto" w:sz="8" w:space="0"/>
              <w:right w:val="single" w:color="auto" w:sz="8" w:space="0"/>
            </w:tcBorders>
            <w:shd w:val="clear" w:color="auto" w:fill="auto"/>
            <w:vAlign w:val="center"/>
          </w:tcPr>
          <w:p w14:paraId="566A672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排放量</w:t>
            </w:r>
          </w:p>
          <w:p w14:paraId="744085A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p>
        </w:tc>
      </w:tr>
      <w:tr w14:paraId="5F4C3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336" w:type="dxa"/>
            <w:tcBorders>
              <w:top w:val="single" w:color="auto" w:sz="8" w:space="0"/>
              <w:left w:val="single" w:color="auto" w:sz="8" w:space="0"/>
              <w:bottom w:val="single" w:color="auto" w:sz="8" w:space="0"/>
              <w:right w:val="single" w:color="auto" w:sz="4" w:space="0"/>
            </w:tcBorders>
            <w:shd w:val="clear" w:color="auto" w:fill="auto"/>
            <w:vAlign w:val="center"/>
          </w:tcPr>
          <w:p w14:paraId="515B915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购入</w:t>
            </w:r>
          </w:p>
        </w:tc>
        <w:tc>
          <w:tcPr>
            <w:tcW w:w="2336" w:type="dxa"/>
            <w:tcBorders>
              <w:top w:val="single" w:color="auto" w:sz="8" w:space="0"/>
              <w:left w:val="single" w:color="auto" w:sz="4" w:space="0"/>
              <w:bottom w:val="single" w:color="auto" w:sz="8" w:space="0"/>
              <w:right w:val="single" w:color="auto" w:sz="4" w:space="0"/>
            </w:tcBorders>
            <w:shd w:val="clear" w:color="auto" w:fill="auto"/>
            <w:vAlign w:val="center"/>
          </w:tcPr>
          <w:p w14:paraId="0D708096">
            <w:pPr>
              <w:pStyle w:val="51"/>
              <w:widowControl/>
              <w:spacing w:line="360" w:lineRule="auto"/>
              <w:rPr>
                <w:rFonts w:hint="default" w:ascii="Times New Roman" w:hAnsi="Times New Roman" w:cs="Times New Roman"/>
                <w:sz w:val="28"/>
                <w:szCs w:val="28"/>
                <w:highlight w:val="none"/>
                <w:lang w:val="en-US"/>
              </w:rPr>
            </w:pPr>
          </w:p>
        </w:tc>
        <w:tc>
          <w:tcPr>
            <w:tcW w:w="2336" w:type="dxa"/>
            <w:tcBorders>
              <w:top w:val="single" w:color="auto" w:sz="8" w:space="0"/>
              <w:left w:val="single" w:color="auto" w:sz="4" w:space="0"/>
              <w:bottom w:val="single" w:color="auto" w:sz="8" w:space="0"/>
              <w:right w:val="single" w:color="auto" w:sz="4" w:space="0"/>
            </w:tcBorders>
            <w:shd w:val="clear" w:color="auto" w:fill="auto"/>
            <w:vAlign w:val="center"/>
          </w:tcPr>
          <w:p w14:paraId="2157283A">
            <w:pPr>
              <w:pStyle w:val="51"/>
              <w:widowControl/>
              <w:spacing w:line="360" w:lineRule="auto"/>
              <w:rPr>
                <w:rFonts w:hint="default" w:ascii="Times New Roman" w:hAnsi="Times New Roman" w:cs="Times New Roman"/>
                <w:sz w:val="28"/>
                <w:szCs w:val="28"/>
                <w:highlight w:val="none"/>
                <w:lang w:val="en-US"/>
              </w:rPr>
            </w:pPr>
          </w:p>
        </w:tc>
        <w:tc>
          <w:tcPr>
            <w:tcW w:w="2336" w:type="dxa"/>
            <w:tcBorders>
              <w:top w:val="single" w:color="auto" w:sz="8" w:space="0"/>
              <w:left w:val="single" w:color="auto" w:sz="4" w:space="0"/>
              <w:bottom w:val="single" w:color="auto" w:sz="8" w:space="0"/>
              <w:right w:val="single" w:color="auto" w:sz="8" w:space="0"/>
            </w:tcBorders>
            <w:shd w:val="clear" w:color="auto" w:fill="auto"/>
            <w:vAlign w:val="center"/>
          </w:tcPr>
          <w:p w14:paraId="6E128A54">
            <w:pPr>
              <w:pStyle w:val="51"/>
              <w:widowControl/>
              <w:spacing w:line="360" w:lineRule="auto"/>
              <w:rPr>
                <w:rFonts w:hint="default" w:ascii="Times New Roman" w:hAnsi="Times New Roman" w:cs="Times New Roman"/>
                <w:sz w:val="28"/>
                <w:szCs w:val="28"/>
                <w:highlight w:val="none"/>
                <w:lang w:val="en-US"/>
              </w:rPr>
            </w:pPr>
          </w:p>
        </w:tc>
      </w:tr>
    </w:tbl>
    <w:p w14:paraId="73AB6066">
      <w:pPr>
        <w:pStyle w:val="35"/>
        <w:widowControl/>
        <w:spacing w:line="360" w:lineRule="auto"/>
        <w:ind w:left="0" w:firstLine="420"/>
        <w:rPr>
          <w:rFonts w:hint="default" w:ascii="Times New Roman" w:hAnsi="Times New Roman" w:cs="Times New Roman"/>
          <w:sz w:val="28"/>
          <w:szCs w:val="28"/>
          <w:highlight w:val="none"/>
          <w:lang w:val="en-US"/>
        </w:rPr>
      </w:pPr>
    </w:p>
    <w:p w14:paraId="58FA13C0">
      <w:pPr>
        <w:spacing w:line="360" w:lineRule="auto"/>
        <w:rPr>
          <w:rFonts w:hint="default" w:ascii="Times New Roman" w:hAnsi="Times New Roman" w:eastAsia="宋体" w:cs="Times New Roman"/>
          <w:sz w:val="28"/>
          <w:szCs w:val="28"/>
          <w:highlight w:val="none"/>
          <w:lang w:val="en-US" w:eastAsia="zh-CN" w:bidi="ar"/>
        </w:rPr>
        <w:sectPr>
          <w:pgSz w:w="11906" w:h="16838"/>
          <w:pgMar w:top="1928" w:right="1135" w:bottom="1135" w:left="1135" w:header="1418" w:footer="1135" w:gutter="284"/>
          <w:pgNumType w:fmt="decimal"/>
          <w:cols w:space="425" w:num="1"/>
          <w:formProt w:val="0"/>
          <w:docGrid w:linePitch="312" w:charSpace="0"/>
        </w:sectPr>
      </w:pPr>
    </w:p>
    <w:p w14:paraId="6D30C8F5">
      <w:pPr>
        <w:pStyle w:val="43"/>
        <w:widowControl/>
        <w:numPr>
          <w:ilvl w:val="0"/>
          <w:numId w:val="5"/>
        </w:numPr>
        <w:spacing w:before="56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color w:val="auto"/>
          <w:sz w:val="28"/>
          <w:szCs w:val="28"/>
          <w:highlight w:val="none"/>
          <w:lang w:val="en-US"/>
        </w:rPr>
        <w:br w:type="textWrapping"/>
      </w:r>
      <w:bookmarkStart w:id="40" w:name="_Toc175145894"/>
      <w:bookmarkStart w:id="41" w:name="_Toc193466962"/>
      <w:r>
        <w:rPr>
          <w:rFonts w:hint="default" w:ascii="Times New Roman" w:hAnsi="Times New Roman" w:cs="Times New Roman"/>
          <w:color w:val="auto"/>
          <w:sz w:val="28"/>
          <w:szCs w:val="28"/>
          <w:highlight w:val="none"/>
          <w:lang w:eastAsia="zh-CN"/>
        </w:rPr>
        <w:t>（资料性）</w:t>
      </w:r>
      <w:r>
        <w:rPr>
          <w:rFonts w:hint="default" w:ascii="Times New Roman" w:hAnsi="Times New Roman" w:cs="Times New Roman"/>
          <w:color w:val="auto"/>
          <w:sz w:val="28"/>
          <w:szCs w:val="28"/>
          <w:highlight w:val="none"/>
          <w:lang w:val="en-US"/>
        </w:rPr>
        <w:br w:type="textWrapping"/>
      </w:r>
      <w:r>
        <w:rPr>
          <w:rFonts w:hint="default" w:ascii="Times New Roman" w:hAnsi="Times New Roman" w:cs="Times New Roman"/>
          <w:color w:val="auto"/>
          <w:sz w:val="28"/>
          <w:szCs w:val="28"/>
          <w:highlight w:val="none"/>
          <w:lang w:eastAsia="zh-CN"/>
        </w:rPr>
        <w:t>常用参数参考值</w:t>
      </w:r>
      <w:bookmarkEnd w:id="40"/>
      <w:bookmarkEnd w:id="41"/>
    </w:p>
    <w:p w14:paraId="1126894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碳足迹量化常用参数参考值见附录</w:t>
      </w:r>
      <w:r>
        <w:rPr>
          <w:rFonts w:hint="default" w:ascii="Times New Roman" w:hAnsi="Times New Roman" w:cs="Times New Roman"/>
          <w:sz w:val="28"/>
          <w:szCs w:val="28"/>
          <w:highlight w:val="none"/>
          <w:lang w:val="en-US"/>
        </w:rPr>
        <w:t>B</w:t>
      </w:r>
      <w:r>
        <w:rPr>
          <w:rFonts w:hint="eastAsia" w:ascii="Times New Roman" w:cs="Times New Roman"/>
          <w:sz w:val="28"/>
          <w:szCs w:val="28"/>
          <w:highlight w:val="none"/>
          <w:lang w:val="en-US" w:eastAsia="zh-CN"/>
        </w:rPr>
        <w:t>.1</w:t>
      </w:r>
      <w:r>
        <w:rPr>
          <w:rFonts w:hint="default" w:ascii="Times New Roman" w:hAnsi="Times New Roman" w:cs="Times New Roman"/>
          <w:sz w:val="28"/>
          <w:szCs w:val="28"/>
          <w:highlight w:val="none"/>
          <w:lang w:eastAsia="zh-CN"/>
        </w:rPr>
        <w:t>。</w:t>
      </w:r>
    </w:p>
    <w:p w14:paraId="7AA93C89">
      <w:pPr>
        <w:pStyle w:val="41"/>
        <w:widowControl/>
        <w:numPr>
          <w:ilvl w:val="1"/>
          <w:numId w:val="0"/>
        </w:numPr>
        <w:spacing w:before="120" w:beforeLines="50" w:beforeAutospacing="0" w:after="120" w:afterLines="50" w:afterAutospacing="0" w:line="360" w:lineRule="auto"/>
        <w:ind w:leftChars="0" w:right="0" w:rightChars="0"/>
        <w:jc w:val="center"/>
        <w:rPr>
          <w:rFonts w:hint="default" w:ascii="Times New Roman" w:hAnsi="Times New Roman" w:cs="Times New Roman"/>
          <w:sz w:val="28"/>
          <w:szCs w:val="28"/>
          <w:highlight w:val="none"/>
          <w:lang w:val="en-US"/>
        </w:rPr>
      </w:pPr>
      <w:r>
        <w:rPr>
          <w:rFonts w:hint="eastAsia" w:ascii="Times New Roman" w:cs="Times New Roman"/>
          <w:sz w:val="28"/>
          <w:szCs w:val="28"/>
          <w:highlight w:val="none"/>
          <w:lang w:val="en-US" w:eastAsia="zh-CN"/>
        </w:rPr>
        <w:t xml:space="preserve">表B.1 </w:t>
      </w:r>
      <w:r>
        <w:rPr>
          <w:rFonts w:hint="default" w:ascii="Times New Roman" w:hAnsi="Times New Roman" w:cs="Times New Roman"/>
          <w:sz w:val="28"/>
          <w:szCs w:val="28"/>
          <w:highlight w:val="none"/>
          <w:lang w:eastAsia="zh-CN"/>
        </w:rPr>
        <w:t>常用化石燃料参数参考值</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19"/>
        <w:gridCol w:w="1744"/>
        <w:gridCol w:w="1587"/>
        <w:gridCol w:w="2068"/>
        <w:gridCol w:w="1383"/>
        <w:gridCol w:w="1410"/>
      </w:tblGrid>
      <w:tr w14:paraId="113D8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blHeader/>
          <w:jc w:val="center"/>
        </w:trPr>
        <w:tc>
          <w:tcPr>
            <w:tcW w:w="254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52069BE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燃料品种</w:t>
            </w:r>
          </w:p>
        </w:tc>
        <w:tc>
          <w:tcPr>
            <w:tcW w:w="1702" w:type="dxa"/>
            <w:tcBorders>
              <w:top w:val="single" w:color="auto" w:sz="8" w:space="0"/>
              <w:left w:val="single" w:color="auto" w:sz="4" w:space="0"/>
              <w:bottom w:val="single" w:color="auto" w:sz="8" w:space="0"/>
              <w:right w:val="single" w:color="auto" w:sz="4" w:space="0"/>
            </w:tcBorders>
            <w:shd w:val="clear" w:color="auto" w:fill="auto"/>
            <w:vAlign w:val="center"/>
          </w:tcPr>
          <w:p w14:paraId="309E6C5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计量单位</w:t>
            </w:r>
          </w:p>
        </w:tc>
        <w:tc>
          <w:tcPr>
            <w:tcW w:w="2126" w:type="dxa"/>
            <w:tcBorders>
              <w:top w:val="single" w:color="auto" w:sz="8" w:space="0"/>
              <w:left w:val="single" w:color="auto" w:sz="4" w:space="0"/>
              <w:bottom w:val="single" w:color="auto" w:sz="8" w:space="0"/>
              <w:right w:val="single" w:color="auto" w:sz="4" w:space="0"/>
            </w:tcBorders>
            <w:shd w:val="clear" w:color="auto" w:fill="auto"/>
            <w:vAlign w:val="center"/>
          </w:tcPr>
          <w:p w14:paraId="30F687B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低位发热量</w:t>
            </w:r>
          </w:p>
          <w:p w14:paraId="09D9190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GJ/t</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GJ/×10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rPr>
              <w:t>）</w:t>
            </w:r>
          </w:p>
        </w:tc>
        <w:tc>
          <w:tcPr>
            <w:tcW w:w="1409" w:type="dxa"/>
            <w:tcBorders>
              <w:top w:val="single" w:color="auto" w:sz="8" w:space="0"/>
              <w:left w:val="single" w:color="auto" w:sz="4" w:space="0"/>
              <w:bottom w:val="single" w:color="auto" w:sz="8" w:space="0"/>
              <w:right w:val="single" w:color="auto" w:sz="4" w:space="0"/>
            </w:tcBorders>
            <w:shd w:val="clear" w:color="auto" w:fill="auto"/>
            <w:vAlign w:val="center"/>
          </w:tcPr>
          <w:p w14:paraId="39B497B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单位热值含碳量</w:t>
            </w:r>
          </w:p>
          <w:p w14:paraId="18649EC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tC/GJ</w:t>
            </w:r>
            <w:r>
              <w:rPr>
                <w:rFonts w:hint="default" w:ascii="Times New Roman" w:hAnsi="Times New Roman" w:cs="Times New Roman"/>
                <w:sz w:val="28"/>
                <w:szCs w:val="28"/>
                <w:highlight w:val="none"/>
              </w:rPr>
              <w:t>）</w:t>
            </w:r>
          </w:p>
        </w:tc>
        <w:tc>
          <w:tcPr>
            <w:tcW w:w="1556" w:type="dxa"/>
            <w:tcBorders>
              <w:top w:val="single" w:color="auto" w:sz="8" w:space="0"/>
              <w:left w:val="single" w:color="auto" w:sz="4" w:space="0"/>
              <w:bottom w:val="single" w:color="auto" w:sz="8" w:space="0"/>
              <w:right w:val="single" w:color="auto" w:sz="8" w:space="0"/>
            </w:tcBorders>
            <w:shd w:val="clear" w:color="auto" w:fill="auto"/>
            <w:vAlign w:val="center"/>
          </w:tcPr>
          <w:p w14:paraId="07C7965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燃料碳氧化率</w:t>
            </w:r>
          </w:p>
        </w:tc>
      </w:tr>
      <w:tr w14:paraId="2C00D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28A8DD4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固</w:t>
            </w:r>
          </w:p>
          <w:p w14:paraId="5A6777C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体</w:t>
            </w:r>
          </w:p>
          <w:p w14:paraId="546CFDB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w:t>
            </w:r>
          </w:p>
          <w:p w14:paraId="2D40657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料</w:t>
            </w:r>
          </w:p>
        </w:tc>
        <w:tc>
          <w:tcPr>
            <w:tcW w:w="1985" w:type="dxa"/>
            <w:tcBorders>
              <w:top w:val="single" w:color="auto" w:sz="8" w:space="0"/>
              <w:left w:val="single" w:color="auto" w:sz="4" w:space="0"/>
              <w:bottom w:val="single" w:color="auto" w:sz="4" w:space="0"/>
              <w:right w:val="single" w:color="auto" w:sz="4" w:space="0"/>
            </w:tcBorders>
            <w:shd w:val="clear" w:color="auto" w:fill="auto"/>
            <w:vAlign w:val="center"/>
          </w:tcPr>
          <w:p w14:paraId="1D1E68A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无烟煤</w:t>
            </w:r>
          </w:p>
        </w:tc>
        <w:tc>
          <w:tcPr>
            <w:tcW w:w="1702" w:type="dxa"/>
            <w:tcBorders>
              <w:top w:val="single" w:color="auto" w:sz="8" w:space="0"/>
              <w:left w:val="single" w:color="auto" w:sz="4" w:space="0"/>
              <w:bottom w:val="single" w:color="auto" w:sz="4" w:space="0"/>
              <w:right w:val="single" w:color="auto" w:sz="4" w:space="0"/>
            </w:tcBorders>
            <w:shd w:val="clear" w:color="auto" w:fill="auto"/>
            <w:vAlign w:val="center"/>
          </w:tcPr>
          <w:p w14:paraId="3FE54AE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8" w:space="0"/>
              <w:left w:val="single" w:color="auto" w:sz="4" w:space="0"/>
              <w:bottom w:val="single" w:color="auto" w:sz="4" w:space="0"/>
              <w:right w:val="single" w:color="auto" w:sz="4" w:space="0"/>
            </w:tcBorders>
            <w:shd w:val="clear" w:color="auto" w:fill="auto"/>
            <w:vAlign w:val="center"/>
          </w:tcPr>
          <w:p w14:paraId="292AC86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26.7</w:t>
            </w:r>
          </w:p>
        </w:tc>
        <w:tc>
          <w:tcPr>
            <w:tcW w:w="1409" w:type="dxa"/>
            <w:tcBorders>
              <w:top w:val="single" w:color="auto" w:sz="8" w:space="0"/>
              <w:left w:val="single" w:color="auto" w:sz="4" w:space="0"/>
              <w:bottom w:val="single" w:color="auto" w:sz="4" w:space="0"/>
              <w:right w:val="single" w:color="auto" w:sz="4" w:space="0"/>
            </w:tcBorders>
            <w:shd w:val="clear" w:color="auto" w:fill="auto"/>
            <w:vAlign w:val="center"/>
          </w:tcPr>
          <w:p w14:paraId="63B7A65E">
            <w:pPr>
              <w:pStyle w:val="51"/>
              <w:widowControl/>
              <w:spacing w:line="360" w:lineRule="auto"/>
              <w:rPr>
                <w:rFonts w:hint="default" w:ascii="Times New Roman" w:hAnsi="Times New Roman" w:cs="Times New Roman"/>
                <w:sz w:val="28"/>
                <w:szCs w:val="28"/>
                <w:highlight w:val="none"/>
                <w:vertAlign w:val="superscript"/>
                <w:lang w:val="en-US"/>
              </w:rPr>
            </w:pPr>
            <w:r>
              <w:rPr>
                <w:rFonts w:hint="default" w:ascii="Times New Roman" w:hAnsi="Times New Roman" w:cs="Times New Roman"/>
                <w:sz w:val="28"/>
                <w:szCs w:val="28"/>
                <w:highlight w:val="none"/>
                <w:lang w:val="en-US"/>
              </w:rPr>
              <w:t>27.4×10</w:t>
            </w:r>
            <w:r>
              <w:rPr>
                <w:rFonts w:hint="default" w:ascii="Times New Roman" w:hAnsi="Times New Roman" w:cs="Times New Roman"/>
                <w:sz w:val="28"/>
                <w:szCs w:val="28"/>
                <w:highlight w:val="none"/>
                <w:vertAlign w:val="superscript"/>
                <w:lang w:val="en-US"/>
              </w:rPr>
              <w:t>-3</w:t>
            </w:r>
          </w:p>
        </w:tc>
        <w:tc>
          <w:tcPr>
            <w:tcW w:w="1556" w:type="dxa"/>
            <w:tcBorders>
              <w:top w:val="single" w:color="auto" w:sz="8" w:space="0"/>
              <w:left w:val="single" w:color="auto" w:sz="4" w:space="0"/>
              <w:bottom w:val="single" w:color="auto" w:sz="4" w:space="0"/>
              <w:right w:val="single" w:color="auto" w:sz="8" w:space="0"/>
            </w:tcBorders>
            <w:shd w:val="clear" w:color="auto" w:fill="auto"/>
            <w:vAlign w:val="center"/>
          </w:tcPr>
          <w:p w14:paraId="3E4CB1F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94%</w:t>
            </w:r>
          </w:p>
        </w:tc>
      </w:tr>
      <w:tr w14:paraId="2EDBE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E438F2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40C646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烟煤</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29896C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B29E87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19.570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5AA2F84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26.1×10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65B4175D">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93%</w:t>
            </w:r>
          </w:p>
        </w:tc>
      </w:tr>
      <w:tr w14:paraId="0614B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2911EC5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9E47D7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褐煤</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439F375">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78FABC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11.9</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43B8156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28×10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2BB89C4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96%</w:t>
            </w:r>
          </w:p>
        </w:tc>
      </w:tr>
      <w:tr w14:paraId="63E20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78379FF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637FF4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洗精煤</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BEE55C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C0FAB3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26.334</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1EBD2FC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25.41×10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585B8A5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90%</w:t>
            </w:r>
          </w:p>
        </w:tc>
      </w:tr>
      <w:tr w14:paraId="505DE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BF63AD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0A491D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其它洗煤</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1B6F11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A101E5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12.545</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4B8126B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25.41×10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33B3CC4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90%</w:t>
            </w:r>
          </w:p>
        </w:tc>
      </w:tr>
      <w:tr w14:paraId="6E2CA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5F5DA0B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632FC6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型煤</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C257A8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58B621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17.460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5F62D01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33.6×10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259EAE4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90%</w:t>
            </w:r>
          </w:p>
        </w:tc>
      </w:tr>
      <w:tr w14:paraId="540EB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91A4BD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8C7632D">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石油焦</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B85635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40D216C">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32.5</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B5369BA">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27.5×10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0187A00C">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5E02D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7219C2E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1605F5D">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其他煤制品</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ED269C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EF4D9D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17.460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520FA645">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33.6×10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7FC564E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90%</w:t>
            </w:r>
          </w:p>
        </w:tc>
      </w:tr>
      <w:tr w14:paraId="67DB2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6B17C49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33472ADA">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焦炭</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041128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AE98C2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28.435</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E5AED6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29.5×10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7642B6F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93%</w:t>
            </w:r>
          </w:p>
        </w:tc>
      </w:tr>
      <w:tr w14:paraId="3A0CA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7AFF5E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液</w:t>
            </w:r>
          </w:p>
          <w:p w14:paraId="253694E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体</w:t>
            </w:r>
          </w:p>
          <w:p w14:paraId="3C4A449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w:t>
            </w:r>
          </w:p>
          <w:p w14:paraId="2E175CCD">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料</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9BCC6D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原油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6EFB1CA">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89D177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41.816</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59BDB7D">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20.1×10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0720FFA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57E5C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203F8C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4FBE1E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燃料油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51D217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F9AF2E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41.816</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35F85C1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21.1×10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57E8948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79FC0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EA4075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680B9BC">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汽油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51EA85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5A7E0B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43.070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10C0564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18.9×10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241B496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3BA2A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2EF76A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3F56BE6D">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柴油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CE30C1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2AAFB4B">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42.652</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216676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20.2×10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42B8ABB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0B6AA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DC3C91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0F88FBD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一般煤油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0430A2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5DCC8A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43.070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7064EE2D">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19.6×10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0FE304C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53781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5058AD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FA1549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炼厂干气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5837FD5">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D1138C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45.998</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348C2D4A">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18.2×10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059E3865">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99%</w:t>
            </w:r>
          </w:p>
        </w:tc>
      </w:tr>
      <w:tr w14:paraId="48829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E5525B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63093C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液化天然气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6CF2FE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25DBAF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44.2</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113057A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17.2×10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238C949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54667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C98EB6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CBE147A">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液化石油气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10D30F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AFE5FF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50.179</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789714A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17.2×10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2C1C44CC">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7BE75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4AD3B0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BC2160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石脑油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DBEA5F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EEDC3A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44.5</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412213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20.0×10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4C2373D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66C2F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DA7C26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11AF68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其它石油制品</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AB32EFF">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66B1A5C">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40.2</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4C033E5">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20.0×10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7E762A3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451A9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D6794A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气</w:t>
            </w:r>
          </w:p>
          <w:p w14:paraId="56EF153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体</w:t>
            </w:r>
          </w:p>
          <w:p w14:paraId="30A8B69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w:t>
            </w:r>
          </w:p>
          <w:p w14:paraId="5A3F54A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料</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3DE6EED">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天然气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6BC586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D38F64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389.31</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7DCB2559">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15.3×10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03F903B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99%</w:t>
            </w:r>
          </w:p>
        </w:tc>
      </w:tr>
      <w:tr w14:paraId="495DE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8C49D6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0A327E6C">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焦炉煤气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C968261">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7E2153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179.81</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2EE1D9AC">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13.58×10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1D4C4E35">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99%</w:t>
            </w:r>
          </w:p>
        </w:tc>
      </w:tr>
      <w:tr w14:paraId="3B5C4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67FBAA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B117AC6">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高炉煤气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0EA5878">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7AEC95A">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33.000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7D79F63E">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70.8×10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0824A27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99%</w:t>
            </w:r>
          </w:p>
        </w:tc>
      </w:tr>
      <w:tr w14:paraId="5C2BC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BAEACA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6FE60C7">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转炉煤气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DB03A1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89E96A3">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84.000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13E34E75">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49.60×10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254FF36A">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99%</w:t>
            </w:r>
          </w:p>
        </w:tc>
      </w:tr>
      <w:tr w14:paraId="15E3F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3B0D12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1182EB0">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其它煤气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967707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31660A2">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52.270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7A98282A">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12.2×10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1E8E73A4">
            <w:pPr>
              <w:pStyle w:val="51"/>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99%</w:t>
            </w:r>
          </w:p>
        </w:tc>
      </w:tr>
      <w:tr w14:paraId="1D7D5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34" w:type="dxa"/>
            <w:gridSpan w:val="6"/>
            <w:tcBorders>
              <w:top w:val="single" w:color="auto" w:sz="4" w:space="0"/>
              <w:left w:val="single" w:color="auto" w:sz="8" w:space="0"/>
              <w:bottom w:val="single" w:color="auto" w:sz="8" w:space="0"/>
              <w:right w:val="single" w:color="auto" w:sz="8" w:space="0"/>
            </w:tcBorders>
            <w:shd w:val="clear" w:color="auto" w:fill="auto"/>
            <w:vAlign w:val="center"/>
          </w:tcPr>
          <w:p w14:paraId="4AF04A3B">
            <w:pPr>
              <w:pStyle w:val="47"/>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数据来源于《机械设备制造企业温室气体排放核算方法与报告指南（试行）》，仅供参考，如采用更新数据或其他数据，在报告中注明数据来源。</w:t>
            </w:r>
            <w:bookmarkEnd w:id="37"/>
          </w:p>
        </w:tc>
      </w:tr>
    </w:tbl>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2"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42"/>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3"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43"/>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4"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44"/>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污泥干化</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45"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45"/>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6"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46"/>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7"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47"/>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8"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48"/>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9"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49"/>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0"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50"/>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pgSz w:w="11906" w:h="16838"/>
      <w:pgMar w:top="1418" w:right="1418" w:bottom="1985"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CEC9C"/>
    <w:multiLevelType w:val="multilevel"/>
    <w:tmpl w:val="9E9CEC9C"/>
    <w:lvl w:ilvl="0" w:tentative="0">
      <w:start w:val="1"/>
      <w:numFmt w:val="upperLetter"/>
      <w:pStyle w:val="52"/>
      <w:lvlText w:val="%1"/>
      <w:lvlJc w:val="left"/>
      <w:pPr>
        <w:ind w:left="420" w:hanging="420"/>
      </w:pPr>
    </w:lvl>
    <w:lvl w:ilvl="1" w:tentative="0">
      <w:start w:val="1"/>
      <w:numFmt w:val="decimal"/>
      <w:suff w:val="space"/>
      <w:lvlText w:val="图%1.%2"/>
      <w:lvlJc w:val="center"/>
      <w:pPr>
        <w:ind w:left="0" w:firstLine="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E0D78B17"/>
    <w:multiLevelType w:val="multilevel"/>
    <w:tmpl w:val="E0D78B17"/>
    <w:lvl w:ilvl="0" w:tentative="0">
      <w:start w:val="1"/>
      <w:numFmt w:val="decimal"/>
      <w:pStyle w:val="3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72" w:hanging="1418"/>
      </w:pPr>
    </w:lvl>
    <w:lvl w:ilvl="8" w:tentative="0">
      <w:start w:val="1"/>
      <w:numFmt w:val="decimal"/>
      <w:lvlText w:val="%1.%2.%3.%4.%5.%6.%7.%8.%9"/>
      <w:lvlJc w:val="left"/>
      <w:pPr>
        <w:tabs>
          <w:tab w:val="left" w:pos="4774"/>
        </w:tabs>
        <w:ind w:left="4677" w:hanging="1702"/>
      </w:pPr>
    </w:lvl>
  </w:abstractNum>
  <w:abstractNum w:abstractNumId="2">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0B2AEAA2"/>
    <w:multiLevelType w:val="multilevel"/>
    <w:tmpl w:val="0B2AEAA2"/>
    <w:lvl w:ilvl="0" w:tentative="0">
      <w:start w:val="1"/>
      <w:numFmt w:val="none"/>
      <w:pStyle w:val="48"/>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4">
    <w:nsid w:val="3D60C3AF"/>
    <w:multiLevelType w:val="multilevel"/>
    <w:tmpl w:val="3D60C3AF"/>
    <w:lvl w:ilvl="0" w:tentative="0">
      <w:start w:val="1"/>
      <w:numFmt w:val="none"/>
      <w:suff w:val="nothing"/>
      <w:lvlText w:val="%1"/>
      <w:lvlJc w:val="left"/>
      <w:pPr>
        <w:ind w:left="0" w:firstLine="0"/>
      </w:pPr>
    </w:lvl>
    <w:lvl w:ilvl="1" w:tentative="0">
      <w:start w:val="1"/>
      <w:numFmt w:val="decimal"/>
      <w:pStyle w:val="45"/>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6"/>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9"/>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44"/>
      <w:suff w:val="nothing"/>
      <w:lvlText w:val="%1%2.%3.%4.%5　"/>
      <w:lvlJc w:val="left"/>
      <w:pPr>
        <w:ind w:left="0" w:firstLine="0"/>
      </w:pPr>
      <w:rPr>
        <w:rFonts w:hint="eastAsia" w:ascii="黑体" w:hAnsi="Times New Roman" w:eastAsia="黑体" w:cs="黑体"/>
        <w:b w:val="0"/>
        <w:i w:val="0"/>
        <w:sz w:val="21"/>
      </w:rPr>
    </w:lvl>
    <w:lvl w:ilvl="5" w:tentative="0">
      <w:start w:val="1"/>
      <w:numFmt w:val="decimal"/>
      <w:pStyle w:val="42"/>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5">
    <w:nsid w:val="3DCF043D"/>
    <w:multiLevelType w:val="multilevel"/>
    <w:tmpl w:val="3DCF043D"/>
    <w:lvl w:ilvl="0" w:tentative="0">
      <w:start w:val="1"/>
      <w:numFmt w:val="none"/>
      <w:pStyle w:val="47"/>
      <w:lvlText w:val="%1注："/>
      <w:lvlJc w:val="left"/>
      <w:pPr>
        <w:ind w:left="737" w:hanging="374"/>
      </w:pPr>
      <w:rPr>
        <w:rFonts w:hint="eastAsia" w:ascii="黑体" w:hAnsi="Times New Roman" w:eastAsia="黑体" w:cs="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abstractNum w:abstractNumId="6">
    <w:nsid w:val="4B6BE2B2"/>
    <w:multiLevelType w:val="multilevel"/>
    <w:tmpl w:val="4B6BE2B2"/>
    <w:lvl w:ilvl="0" w:tentative="0">
      <w:start w:val="1"/>
      <w:numFmt w:val="upperLetter"/>
      <w:pStyle w:val="34"/>
      <w:suff w:val="space"/>
      <w:lvlText w:val="%1"/>
      <w:lvlJc w:val="left"/>
      <w:pPr>
        <w:ind w:left="425" w:hanging="425"/>
      </w:pPr>
    </w:lvl>
    <w:lvl w:ilvl="1" w:tentative="0">
      <w:start w:val="1"/>
      <w:numFmt w:val="decimal"/>
      <w:pStyle w:val="41"/>
      <w:suff w:val="space"/>
      <w:lvlText w:val="表%1.%2"/>
      <w:lvlJc w:val="center"/>
      <w:pPr>
        <w:ind w:left="0" w:firstLine="0"/>
      </w:pPr>
      <w:rPr>
        <w:rFonts w:hint="eastAsia" w:ascii="黑体" w:hAnsi="Times New Roman" w:eastAsia="黑体" w:cs="黑体"/>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7BA18C5E"/>
    <w:multiLevelType w:val="multilevel"/>
    <w:tmpl w:val="7BA18C5E"/>
    <w:lvl w:ilvl="0" w:tentative="0">
      <w:start w:val="1"/>
      <w:numFmt w:val="upperLetter"/>
      <w:pStyle w:val="43"/>
      <w:suff w:val="nothing"/>
      <w:lvlText w:val="附录%1"/>
      <w:lvlJc w:val="left"/>
      <w:pPr>
        <w:ind w:left="0" w:firstLine="0"/>
      </w:pPr>
      <w:rPr>
        <w:spacing w:val="100"/>
      </w:r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50"/>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2"/>
  </w:num>
  <w:num w:numId="2">
    <w:abstractNumId w:val="6"/>
  </w:num>
  <w:num w:numId="3">
    <w:abstractNumId w:val="4"/>
  </w:num>
  <w:num w:numId="4">
    <w:abstractNumId w:val="1"/>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8284BE8"/>
    <w:rsid w:val="0FF06439"/>
    <w:rsid w:val="110F4177"/>
    <w:rsid w:val="169901DF"/>
    <w:rsid w:val="170D2EB2"/>
    <w:rsid w:val="18E71105"/>
    <w:rsid w:val="19312DFE"/>
    <w:rsid w:val="1F15287C"/>
    <w:rsid w:val="2475782D"/>
    <w:rsid w:val="255B6B18"/>
    <w:rsid w:val="2C2D1EE2"/>
    <w:rsid w:val="2D467F37"/>
    <w:rsid w:val="2DAD6C8F"/>
    <w:rsid w:val="3AFC0F1D"/>
    <w:rsid w:val="3C8F1FA4"/>
    <w:rsid w:val="40E14CE3"/>
    <w:rsid w:val="486E674C"/>
    <w:rsid w:val="542D0422"/>
    <w:rsid w:val="57BF1D4F"/>
    <w:rsid w:val="5A492460"/>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附录表标号"/>
    <w:basedOn w:val="35"/>
    <w:next w:val="35"/>
    <w:qFormat/>
    <w:uiPriority w:val="0"/>
    <w:pPr>
      <w:keepNext w:val="0"/>
      <w:keepLines w:val="0"/>
      <w:widowControl/>
      <w:numPr>
        <w:ilvl w:val="0"/>
        <w:numId w:val="2"/>
      </w:numPr>
      <w:suppressLineNumbers w:val="0"/>
      <w:tabs>
        <w:tab w:val="left" w:pos="360"/>
      </w:tabs>
      <w:autoSpaceDE w:val="0"/>
      <w:autoSpaceDN w:val="0"/>
      <w:spacing w:before="0" w:beforeAutospacing="0" w:after="0" w:afterAutospacing="0" w:line="14" w:lineRule="exact"/>
      <w:ind w:left="0" w:right="0" w:firstLine="0" w:firstLineChars="0"/>
      <w:jc w:val="center"/>
    </w:pPr>
    <w:rPr>
      <w:rFonts w:hint="eastAsia" w:ascii="宋体" w:hAnsi="Times New Roman" w:eastAsia="黑体" w:cs="Times New Roman"/>
      <w:vanish/>
      <w:kern w:val="0"/>
      <w:sz w:val="2"/>
      <w:szCs w:val="20"/>
      <w:lang w:val="en-US" w:eastAsia="zh-CN" w:bidi="ar"/>
    </w:rPr>
  </w:style>
  <w:style w:type="paragraph" w:customStyle="1" w:styleId="35">
    <w:name w:val="标准文件_段"/>
    <w:basedOn w:val="1"/>
    <w:link w:val="36"/>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36">
    <w:name w:val="标准文件_段 Char"/>
    <w:basedOn w:val="14"/>
    <w:link w:val="35"/>
    <w:uiPriority w:val="0"/>
    <w:rPr>
      <w:rFonts w:hint="eastAsia" w:ascii="宋体" w:hAnsi="Times New Roman" w:eastAsia="宋体" w:cs="宋体"/>
      <w:sz w:val="21"/>
    </w:rPr>
  </w:style>
  <w:style w:type="paragraph" w:customStyle="1" w:styleId="37">
    <w:name w:val="标准文件_二级条标题"/>
    <w:basedOn w:val="1"/>
    <w:next w:val="35"/>
    <w:uiPriority w:val="0"/>
    <w:pPr>
      <w:keepNext w:val="0"/>
      <w:keepLines w:val="0"/>
      <w:widowControl w:val="0"/>
      <w:numPr>
        <w:ilvl w:val="3"/>
        <w:numId w:val="3"/>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38">
    <w:name w:val="标准文件_正文图标题"/>
    <w:basedOn w:val="1"/>
    <w:next w:val="35"/>
    <w:qFormat/>
    <w:uiPriority w:val="0"/>
    <w:pPr>
      <w:keepNext w:val="0"/>
      <w:keepLines w:val="0"/>
      <w:widowControl/>
      <w:numPr>
        <w:ilvl w:val="0"/>
        <w:numId w:val="4"/>
      </w:numPr>
      <w:suppressLineNumbers w:val="0"/>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39">
    <w:name w:val="标准文件_正文公式"/>
    <w:basedOn w:val="1"/>
    <w:next w:val="40"/>
    <w:qFormat/>
    <w:uiPriority w:val="0"/>
    <w:pPr>
      <w:keepNext w:val="0"/>
      <w:keepLines w:val="0"/>
      <w:widowControl w:val="0"/>
      <w:suppressLineNumbers w:val="0"/>
      <w:tabs>
        <w:tab w:val="center" w:pos="4678"/>
        <w:tab w:val="right" w:leader="middleDot" w:pos="9356"/>
      </w:tabs>
      <w:adjustRightInd w:val="0"/>
      <w:spacing w:before="0" w:beforeAutospacing="0" w:after="0" w:afterAutospacing="0" w:line="240" w:lineRule="auto"/>
      <w:ind w:left="0" w:right="0"/>
      <w:jc w:val="both"/>
    </w:pPr>
    <w:rPr>
      <w:rFonts w:hint="eastAsia" w:ascii="宋体" w:hAnsi="宋体" w:eastAsia="宋体" w:cs="Times New Roman"/>
      <w:kern w:val="2"/>
      <w:sz w:val="21"/>
      <w:szCs w:val="21"/>
      <w:lang w:val="en-US" w:eastAsia="zh-CN" w:bidi="ar"/>
    </w:rPr>
  </w:style>
  <w:style w:type="paragraph" w:customStyle="1" w:styleId="40">
    <w:name w:val="标准文件_标准正文"/>
    <w:basedOn w:val="1"/>
    <w:next w:val="35"/>
    <w:qFormat/>
    <w:uiPriority w:val="0"/>
    <w:pPr>
      <w:keepNext w:val="0"/>
      <w:keepLines w:val="0"/>
      <w:widowControl w:val="0"/>
      <w:suppressLineNumbers w:val="0"/>
      <w:adjustRightInd w:val="0"/>
      <w:snapToGrid w:val="0"/>
      <w:spacing w:before="0" w:beforeAutospacing="0" w:after="0" w:afterAutospacing="0" w:line="400" w:lineRule="exact"/>
      <w:ind w:left="0" w:right="0" w:firstLine="200" w:firstLineChars="200"/>
      <w:jc w:val="both"/>
    </w:pPr>
    <w:rPr>
      <w:rFonts w:hint="default" w:ascii="Calibri" w:hAnsi="Calibri" w:eastAsia="宋体" w:cs="Times New Roman"/>
      <w:kern w:val="0"/>
      <w:sz w:val="21"/>
      <w:szCs w:val="21"/>
      <w:lang w:val="en-US" w:eastAsia="zh-CN" w:bidi="ar"/>
    </w:rPr>
  </w:style>
  <w:style w:type="paragraph" w:customStyle="1" w:styleId="41">
    <w:name w:val="标准文件_附录表标题"/>
    <w:basedOn w:val="1"/>
    <w:next w:val="35"/>
    <w:qFormat/>
    <w:uiPriority w:val="0"/>
    <w:pPr>
      <w:keepNext w:val="0"/>
      <w:keepLines w:val="0"/>
      <w:widowControl/>
      <w:numPr>
        <w:ilvl w:val="1"/>
        <w:numId w:val="2"/>
      </w:numPr>
      <w:suppressLineNumbers w:val="0"/>
      <w:adjustRightInd w:val="0"/>
      <w:snapToGrid w:val="0"/>
      <w:spacing w:before="50" w:beforeLines="50" w:beforeAutospacing="0" w:after="50" w:afterLines="50" w:afterAutospacing="0" w:line="240" w:lineRule="auto"/>
      <w:ind w:left="0" w:right="0" w:firstLine="0"/>
      <w:jc w:val="center"/>
    </w:pPr>
    <w:rPr>
      <w:rFonts w:hint="eastAsia" w:ascii="黑体" w:hAnsi="Times New Roman" w:eastAsia="黑体" w:cs="Times New Roman"/>
      <w:kern w:val="21"/>
      <w:sz w:val="21"/>
      <w:szCs w:val="20"/>
      <w:lang w:val="en-US" w:eastAsia="zh-CN" w:bidi="ar"/>
    </w:rPr>
  </w:style>
  <w:style w:type="paragraph" w:customStyle="1" w:styleId="42">
    <w:name w:val="标准文件_四级无标题"/>
    <w:qFormat/>
    <w:uiPriority w:val="0"/>
    <w:pPr>
      <w:keepNext w:val="0"/>
      <w:keepLines w:val="0"/>
      <w:widowControl w:val="0"/>
      <w:numPr>
        <w:ilvl w:val="5"/>
        <w:numId w:val="3"/>
      </w:numPr>
      <w:suppressLineNumbers w:val="0"/>
      <w:spacing w:before="0" w:beforeLines="-2147483648" w:beforeAutospacing="0" w:after="0" w:afterLines="-2147483648" w:afterAutospacing="0"/>
      <w:ind w:left="0" w:right="0" w:firstLine="0"/>
      <w:jc w:val="both"/>
      <w:outlineLvl w:val="9"/>
    </w:pPr>
    <w:rPr>
      <w:rFonts w:hint="eastAsia" w:ascii="宋体" w:hAnsi="宋体" w:eastAsia="宋体" w:cs="Times New Roman"/>
      <w:kern w:val="0"/>
      <w:sz w:val="21"/>
      <w:szCs w:val="52"/>
      <w:lang w:val="en-US" w:eastAsia="zh-CN" w:bidi="ar"/>
    </w:rPr>
  </w:style>
  <w:style w:type="paragraph" w:customStyle="1" w:styleId="43">
    <w:name w:val="标准文件_附录标识"/>
    <w:basedOn w:val="1"/>
    <w:next w:val="35"/>
    <w:uiPriority w:val="0"/>
    <w:pPr>
      <w:keepNext w:val="0"/>
      <w:keepLines w:val="0"/>
      <w:widowControl/>
      <w:numPr>
        <w:ilvl w:val="0"/>
        <w:numId w:val="5"/>
      </w:numPr>
      <w:suppressLineNumbers w:val="0"/>
      <w:shd w:val="clear" w:fill="FFFFFF"/>
      <w:tabs>
        <w:tab w:val="left" w:pos="6406"/>
      </w:tabs>
      <w:adjustRightInd/>
      <w:spacing w:before="560" w:beforeAutospacing="0" w:after="50" w:afterLines="50" w:afterAutospacing="0" w:line="240" w:lineRule="auto"/>
      <w:ind w:left="0" w:right="0" w:firstLine="0"/>
      <w:jc w:val="center"/>
      <w:outlineLvl w:val="0"/>
    </w:pPr>
    <w:rPr>
      <w:rFonts w:hint="eastAsia" w:ascii="黑体" w:hAnsi="Times New Roman" w:eastAsia="黑体" w:cs="Times New Roman"/>
      <w:kern w:val="0"/>
      <w:sz w:val="21"/>
      <w:szCs w:val="20"/>
      <w:lang w:val="en-US" w:eastAsia="zh-CN" w:bidi="ar"/>
    </w:rPr>
  </w:style>
  <w:style w:type="paragraph" w:customStyle="1" w:styleId="44">
    <w:name w:val="标准文件_三级条标题"/>
    <w:basedOn w:val="37"/>
    <w:next w:val="35"/>
    <w:uiPriority w:val="0"/>
    <w:pPr>
      <w:keepNext w:val="0"/>
      <w:keepLines w:val="0"/>
      <w:widowControl/>
      <w:numPr>
        <w:ilvl w:val="4"/>
        <w:numId w:val="3"/>
      </w:numPr>
      <w:suppressLineNumbers w:val="0"/>
      <w:spacing w:before="50" w:beforeLines="50" w:beforeAutospacing="0" w:after="50" w:afterLines="50" w:afterAutospacing="0"/>
      <w:ind w:left="0" w:right="0" w:firstLine="0"/>
      <w:jc w:val="both"/>
      <w:outlineLvl w:val="3"/>
    </w:pPr>
    <w:rPr>
      <w:rFonts w:hint="eastAsia" w:ascii="黑体" w:hAnsi="Times New Roman" w:eastAsia="黑体" w:cs="Times New Roman"/>
      <w:kern w:val="0"/>
      <w:sz w:val="21"/>
      <w:szCs w:val="20"/>
      <w:lang w:val="en-US" w:eastAsia="zh-CN" w:bidi="ar"/>
    </w:rPr>
  </w:style>
  <w:style w:type="paragraph" w:customStyle="1" w:styleId="45">
    <w:name w:val="标准文件_章标题"/>
    <w:basedOn w:val="1"/>
    <w:next w:val="35"/>
    <w:uiPriority w:val="0"/>
    <w:pPr>
      <w:keepNext w:val="0"/>
      <w:keepLines w:val="0"/>
      <w:widowControl/>
      <w:numPr>
        <w:ilvl w:val="1"/>
        <w:numId w:val="3"/>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46">
    <w:name w:val="标准文件_一级条标题"/>
    <w:basedOn w:val="45"/>
    <w:next w:val="35"/>
    <w:qFormat/>
    <w:uiPriority w:val="0"/>
    <w:pPr>
      <w:keepNext w:val="0"/>
      <w:keepLines w:val="0"/>
      <w:widowControl/>
      <w:numPr>
        <w:ilvl w:val="2"/>
        <w:numId w:val="3"/>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47">
    <w:name w:val="标准文件_注："/>
    <w:basedOn w:val="1"/>
    <w:next w:val="35"/>
    <w:uiPriority w:val="0"/>
    <w:pPr>
      <w:keepNext w:val="0"/>
      <w:keepLines w:val="0"/>
      <w:widowControl w:val="0"/>
      <w:numPr>
        <w:ilvl w:val="0"/>
        <w:numId w:val="6"/>
      </w:numPr>
      <w:suppressLineNumbers w:val="0"/>
      <w:autoSpaceDE w:val="0"/>
      <w:autoSpaceDN w:val="0"/>
      <w:adjustRightInd/>
      <w:spacing w:before="0" w:beforeAutospacing="0" w:after="0" w:afterAutospacing="0" w:line="240" w:lineRule="auto"/>
      <w:ind w:left="737" w:right="0" w:hanging="374"/>
      <w:jc w:val="both"/>
    </w:pPr>
    <w:rPr>
      <w:rFonts w:hint="eastAsia" w:ascii="宋体" w:hAnsi="Times New Roman" w:eastAsia="宋体" w:cs="Times New Roman"/>
      <w:kern w:val="0"/>
      <w:sz w:val="18"/>
      <w:szCs w:val="18"/>
      <w:lang w:val="en-US" w:eastAsia="zh-CN" w:bidi="ar"/>
    </w:rPr>
  </w:style>
  <w:style w:type="paragraph" w:customStyle="1" w:styleId="48">
    <w:name w:val="标准文件_一级项"/>
    <w:basedOn w:val="1"/>
    <w:qFormat/>
    <w:uiPriority w:val="0"/>
    <w:pPr>
      <w:keepNext w:val="0"/>
      <w:keepLines w:val="0"/>
      <w:widowControl/>
      <w:numPr>
        <w:ilvl w:val="0"/>
        <w:numId w:val="7"/>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9">
    <w:name w:val="标准文件_二级无标题"/>
    <w:basedOn w:val="37"/>
    <w:uiPriority w:val="0"/>
    <w:pPr>
      <w:keepNext w:val="0"/>
      <w:keepLines w:val="0"/>
      <w:widowControl w:val="0"/>
      <w:numPr>
        <w:ilvl w:val="3"/>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50">
    <w:name w:val="标准文件_术语条一"/>
    <w:basedOn w:val="1"/>
    <w:next w:val="35"/>
    <w:uiPriority w:val="0"/>
    <w:pPr>
      <w:keepNext w:val="0"/>
      <w:keepLines w:val="0"/>
      <w:widowControl/>
      <w:numPr>
        <w:ilvl w:val="2"/>
        <w:numId w:val="5"/>
      </w:numPr>
      <w:suppressLineNumbers w:val="0"/>
      <w:adjustRightInd/>
      <w:spacing w:before="0" w:beforeAutospacing="0" w:after="0" w:afterAutospacing="0" w:line="240" w:lineRule="auto"/>
      <w:ind w:left="0" w:right="0" w:firstLine="0"/>
      <w:jc w:val="both"/>
    </w:pPr>
    <w:rPr>
      <w:rFonts w:hint="eastAsia" w:ascii="宋体" w:hAnsi="Times New Roman" w:eastAsia="宋体" w:cs="Times New Roman"/>
      <w:kern w:val="0"/>
      <w:sz w:val="21"/>
      <w:szCs w:val="20"/>
      <w:lang w:val="en-US" w:eastAsia="zh-CN" w:bidi="ar"/>
    </w:rPr>
  </w:style>
  <w:style w:type="paragraph" w:customStyle="1" w:styleId="51">
    <w:name w:val="标准文件_表格"/>
    <w:basedOn w:val="35"/>
    <w:qFormat/>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paragraph" w:customStyle="1" w:styleId="52">
    <w:name w:val="标准文件_附录图标号"/>
    <w:basedOn w:val="35"/>
    <w:next w:val="35"/>
    <w:qFormat/>
    <w:uiPriority w:val="0"/>
    <w:pPr>
      <w:keepNext w:val="0"/>
      <w:keepLines w:val="0"/>
      <w:widowControl/>
      <w:numPr>
        <w:ilvl w:val="0"/>
        <w:numId w:val="8"/>
      </w:numPr>
      <w:suppressLineNumbers w:val="0"/>
      <w:tabs>
        <w:tab w:val="left" w:pos="360"/>
      </w:tabs>
      <w:autoSpaceDE w:val="0"/>
      <w:autoSpaceDN w:val="0"/>
      <w:spacing w:before="0" w:beforeAutospacing="0" w:after="0" w:afterAutospacing="0" w:line="14" w:lineRule="exact"/>
      <w:ind w:left="0" w:right="0" w:firstLine="0" w:firstLineChars="0"/>
      <w:jc w:val="center"/>
    </w:pPr>
    <w:rPr>
      <w:rFonts w:hint="eastAsia" w:ascii="黑体" w:hAnsi="宋体" w:eastAsia="黑体" w:cs="Times New Roman"/>
      <w:vanish/>
      <w:kern w:val="0"/>
      <w:sz w:val="2"/>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6106</Words>
  <Characters>6458</Characters>
  <Lines>62</Lines>
  <Paragraphs>17</Paragraphs>
  <TotalTime>12</TotalTime>
  <ScaleCrop>false</ScaleCrop>
  <LinksUpToDate>false</LinksUpToDate>
  <CharactersWithSpaces>6626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2025-04-01T07:21:52Z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