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B7D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19F58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eastAsia="黑体"/>
                <w:sz w:val="21"/>
                <w:szCs w:val="21"/>
              </w:rPr>
              <w:t>ICS</w:t>
            </w:r>
            <w:r>
              <w:rPr>
                <w:rFonts w:ascii="黑体" w:hAnsi="黑体" w:eastAsia="黑体"/>
                <w:sz w:val="21"/>
                <w:szCs w:val="21"/>
              </w:rPr>
              <w:t xml:space="preserve">  </w:t>
            </w:r>
          </w:p>
        </w:tc>
        <w:tc>
          <w:tcPr>
            <w:tcW w:w="8855" w:type="dxa"/>
          </w:tcPr>
          <w:p w14:paraId="2824A68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43.040.99</w:t>
            </w:r>
            <w:r>
              <w:rPr>
                <w:rFonts w:ascii="黑体" w:hAnsi="黑体" w:eastAsia="黑体"/>
                <w:sz w:val="21"/>
                <w:szCs w:val="21"/>
              </w:rPr>
              <w:fldChar w:fldCharType="end"/>
            </w:r>
            <w:bookmarkEnd w:id="0"/>
          </w:p>
        </w:tc>
      </w:tr>
      <w:tr w14:paraId="2B94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A3989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FEB094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D29E5B5">
                  <w:pPr>
                    <w:pStyle w:val="50"/>
                    <w:framePr w:wrap="notBeside" w:vAnchor="page" w:hAnchor="page" w:x="1372" w:y="568"/>
                    <w:ind w:left="420" w:right="624"/>
                    <w:rPr>
                      <w:rFonts w:ascii="宋体" w:hAnsi="宋体"/>
                      <w:sz w:val="28"/>
                      <w:szCs w:val="28"/>
                    </w:rPr>
                  </w:pPr>
                </w:p>
              </w:tc>
            </w:tr>
          </w:tbl>
          <w:p w14:paraId="2E8550A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T 31</w:t>
            </w:r>
            <w:r>
              <w:rPr>
                <w:rFonts w:ascii="黑体" w:hAnsi="黑体" w:eastAsia="黑体"/>
                <w:sz w:val="21"/>
                <w:szCs w:val="21"/>
              </w:rPr>
              <w:fldChar w:fldCharType="end"/>
            </w:r>
            <w:bookmarkEnd w:id="1"/>
          </w:p>
        </w:tc>
      </w:tr>
    </w:tbl>
    <w:p w14:paraId="2A5FA584">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494C2E7">
      <w:pPr>
        <w:pStyle w:val="196"/>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97DB637">
      <w:pPr>
        <w:pStyle w:val="197"/>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FD270E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5C4E4B4">
      <w:pPr>
        <w:pStyle w:val="51"/>
        <w:framePr w:w="9639" w:h="6976" w:hRule="exact" w:hSpace="0" w:vSpace="0" w:wrap="around" w:hAnchor="page" w:y="6408"/>
        <w:jc w:val="center"/>
        <w:rPr>
          <w:rFonts w:ascii="黑体" w:hAnsi="黑体" w:eastAsia="黑体"/>
          <w:b w:val="0"/>
          <w:bCs w:val="0"/>
          <w:w w:val="100"/>
        </w:rPr>
      </w:pPr>
    </w:p>
    <w:p w14:paraId="0A2E46B4">
      <w:pPr>
        <w:pStyle w:val="198"/>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温室气体 产品碳足迹量化方法与要求 汽车紧固件</w:t>
      </w:r>
      <w:r>
        <w:fldChar w:fldCharType="end"/>
      </w:r>
      <w:bookmarkEnd w:id="7"/>
    </w:p>
    <w:p w14:paraId="3307B90B">
      <w:pPr>
        <w:framePr w:w="9639" w:h="6974" w:hRule="exact" w:wrap="around" w:vAnchor="page" w:hAnchor="page" w:x="1419" w:y="6408" w:anchorLock="1"/>
        <w:ind w:left="-1418"/>
      </w:pPr>
    </w:p>
    <w:p w14:paraId="5802E458">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Quantification Method and Requirements for Product Carbon Footprint of Greenhouse Gases - Automotive Fasteners</w:t>
      </w:r>
      <w:r>
        <w:rPr>
          <w:rFonts w:eastAsia="黑体"/>
          <w:szCs w:val="28"/>
        </w:rPr>
        <w:fldChar w:fldCharType="end"/>
      </w:r>
      <w:bookmarkEnd w:id="8"/>
    </w:p>
    <w:p w14:paraId="49E42224">
      <w:pPr>
        <w:framePr w:w="9639" w:h="6974" w:hRule="exact" w:wrap="around" w:vAnchor="page" w:hAnchor="page" w:x="1419" w:y="6408" w:anchorLock="1"/>
        <w:spacing w:line="760" w:lineRule="exact"/>
        <w:ind w:left="-1418"/>
      </w:pPr>
    </w:p>
    <w:p w14:paraId="71CA20CB">
      <w:pPr>
        <w:pStyle w:val="126"/>
        <w:framePr w:w="9639" w:h="6974" w:hRule="exact" w:wrap="around" w:vAnchor="page" w:hAnchor="page" w:x="1419" w:y="6408" w:anchorLock="1"/>
        <w:textAlignment w:val="bottom"/>
        <w:rPr>
          <w:rFonts w:eastAsia="黑体"/>
          <w:szCs w:val="28"/>
        </w:rPr>
      </w:pPr>
    </w:p>
    <w:p w14:paraId="73FDD718">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671E7E1C">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7C18BD44">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22F8CE00">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738F4D13">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4D57C8DB">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A7F1F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20263AA">
      <w:pPr>
        <w:pStyle w:val="92"/>
        <w:spacing w:after="360"/>
      </w:pPr>
      <w:bookmarkStart w:id="19" w:name="BookMark1"/>
      <w:bookmarkStart w:id="20" w:name="_Toc180226460"/>
      <w:bookmarkStart w:id="21" w:name="_Toc192772483"/>
      <w:bookmarkStart w:id="22" w:name="_Toc194593840"/>
      <w:bookmarkStart w:id="23" w:name="_Toc194591293"/>
      <w:r>
        <w:rPr>
          <w:rFonts w:hint="eastAsia"/>
          <w:spacing w:val="320"/>
        </w:rPr>
        <w:t>目</w:t>
      </w:r>
      <w:r>
        <w:rPr>
          <w:rFonts w:hint="eastAsia"/>
        </w:rPr>
        <w:t>次</w:t>
      </w:r>
    </w:p>
    <w:p w14:paraId="64D73D64">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"_Toc194932446" </w:instrText>
      </w:r>
      <w:r>
        <w:fldChar w:fldCharType="separate"/>
      </w:r>
      <w:r>
        <w:rPr>
          <w:rStyle w:val="33"/>
          <w:rFonts w:hint="eastAsia"/>
        </w:rPr>
        <w:t>前言</w:t>
      </w:r>
      <w:r>
        <w:tab/>
      </w:r>
      <w:r>
        <w:fldChar w:fldCharType="begin"/>
      </w:r>
      <w:r>
        <w:instrText xml:space="preserve"> PAGEREF _Toc194932446 \h </w:instrText>
      </w:r>
      <w:r>
        <w:fldChar w:fldCharType="separate"/>
      </w:r>
      <w:r>
        <w:t>II</w:t>
      </w:r>
      <w:r>
        <w:fldChar w:fldCharType="end"/>
      </w:r>
      <w:r>
        <w:fldChar w:fldCharType="end"/>
      </w:r>
    </w:p>
    <w:p w14:paraId="1F15F0ED">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"_Toc194932447" </w:instrText>
      </w:r>
      <w:r>
        <w:fldChar w:fldCharType="separate"/>
      </w:r>
      <w:r>
        <w:rPr>
          <w:rStyle w:val="33"/>
        </w:rPr>
        <w:t xml:space="preserve">1 </w:t>
      </w:r>
      <w:r>
        <w:rPr>
          <w:rStyle w:val="33"/>
          <w:rFonts w:hint="eastAsia"/>
        </w:rPr>
        <w:t xml:space="preserve"> 范围</w:t>
      </w:r>
      <w:r>
        <w:tab/>
      </w:r>
      <w:r>
        <w:fldChar w:fldCharType="begin"/>
      </w:r>
      <w:r>
        <w:instrText xml:space="preserve"> PAGEREF _Toc194932447 \h </w:instrText>
      </w:r>
      <w:r>
        <w:fldChar w:fldCharType="separate"/>
      </w:r>
      <w:r>
        <w:t>1</w:t>
      </w:r>
      <w:r>
        <w:fldChar w:fldCharType="end"/>
      </w:r>
      <w:r>
        <w:fldChar w:fldCharType="end"/>
      </w:r>
    </w:p>
    <w:p w14:paraId="43907BA0">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"_Toc194932448"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_Toc194932448 \h </w:instrText>
      </w:r>
      <w:r>
        <w:fldChar w:fldCharType="separate"/>
      </w:r>
      <w:r>
        <w:t>1</w:t>
      </w:r>
      <w:r>
        <w:fldChar w:fldCharType="end"/>
      </w:r>
      <w:r>
        <w:fldChar w:fldCharType="end"/>
      </w:r>
    </w:p>
    <w:p w14:paraId="5BB9DC71">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"_Toc194932449"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_Toc194932449 \h </w:instrText>
      </w:r>
      <w:r>
        <w:fldChar w:fldCharType="separate"/>
      </w:r>
      <w:r>
        <w:t>1</w:t>
      </w:r>
      <w:r>
        <w:fldChar w:fldCharType="end"/>
      </w:r>
      <w:r>
        <w:fldChar w:fldCharType="end"/>
      </w:r>
    </w:p>
    <w:p w14:paraId="40230169">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"_Toc194932450" </w:instrText>
      </w:r>
      <w:r>
        <w:fldChar w:fldCharType="separate"/>
      </w:r>
      <w:r>
        <w:rPr>
          <w:rStyle w:val="33"/>
        </w:rPr>
        <w:t xml:space="preserve">4 </w:t>
      </w:r>
      <w:r>
        <w:rPr>
          <w:rStyle w:val="33"/>
          <w:rFonts w:hint="eastAsia"/>
        </w:rPr>
        <w:t xml:space="preserve"> 量化原则</w:t>
      </w:r>
      <w:r>
        <w:tab/>
      </w:r>
      <w:r>
        <w:fldChar w:fldCharType="begin"/>
      </w:r>
      <w:r>
        <w:instrText xml:space="preserve"> PAGEREF _Toc194932450 \h </w:instrText>
      </w:r>
      <w:r>
        <w:fldChar w:fldCharType="separate"/>
      </w:r>
      <w:r>
        <w:t>1</w:t>
      </w:r>
      <w:r>
        <w:fldChar w:fldCharType="end"/>
      </w:r>
      <w:r>
        <w:fldChar w:fldCharType="end"/>
      </w:r>
    </w:p>
    <w:p w14:paraId="759EE8D5">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"_Toc194932451" </w:instrText>
      </w:r>
      <w:r>
        <w:fldChar w:fldCharType="separate"/>
      </w:r>
      <w:r>
        <w:rPr>
          <w:rStyle w:val="33"/>
        </w:rPr>
        <w:t xml:space="preserve">5 </w:t>
      </w:r>
      <w:r>
        <w:rPr>
          <w:rStyle w:val="33"/>
          <w:rFonts w:hint="eastAsia"/>
        </w:rPr>
        <w:t xml:space="preserve"> 量化范围</w:t>
      </w:r>
      <w:r>
        <w:tab/>
      </w:r>
      <w:r>
        <w:fldChar w:fldCharType="begin"/>
      </w:r>
      <w:r>
        <w:instrText xml:space="preserve"> PAGEREF _Toc194932451 \h </w:instrText>
      </w:r>
      <w:r>
        <w:fldChar w:fldCharType="separate"/>
      </w:r>
      <w:r>
        <w:t>2</w:t>
      </w:r>
      <w:r>
        <w:fldChar w:fldCharType="end"/>
      </w:r>
      <w:r>
        <w:fldChar w:fldCharType="end"/>
      </w:r>
    </w:p>
    <w:p w14:paraId="5F3983B1">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"_Toc194932452" </w:instrText>
      </w:r>
      <w:r>
        <w:fldChar w:fldCharType="separate"/>
      </w:r>
      <w:r>
        <w:rPr>
          <w:rStyle w:val="33"/>
        </w:rPr>
        <w:t xml:space="preserve">6 </w:t>
      </w:r>
      <w:r>
        <w:rPr>
          <w:rStyle w:val="33"/>
          <w:rFonts w:hint="eastAsia"/>
        </w:rPr>
        <w:t xml:space="preserve"> 数据收集与处理</w:t>
      </w:r>
      <w:r>
        <w:tab/>
      </w:r>
      <w:r>
        <w:fldChar w:fldCharType="begin"/>
      </w:r>
      <w:r>
        <w:instrText xml:space="preserve"> PAGEREF _Toc194932452 \h </w:instrText>
      </w:r>
      <w:r>
        <w:fldChar w:fldCharType="separate"/>
      </w:r>
      <w:r>
        <w:t>3</w:t>
      </w:r>
      <w:r>
        <w:fldChar w:fldCharType="end"/>
      </w:r>
      <w:r>
        <w:fldChar w:fldCharType="end"/>
      </w:r>
    </w:p>
    <w:p w14:paraId="0BBFBC79">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"_Toc194932453" </w:instrText>
      </w:r>
      <w:r>
        <w:fldChar w:fldCharType="separate"/>
      </w:r>
      <w:r>
        <w:rPr>
          <w:rStyle w:val="33"/>
        </w:rPr>
        <w:t xml:space="preserve">7 </w:t>
      </w:r>
      <w:r>
        <w:rPr>
          <w:rStyle w:val="33"/>
          <w:rFonts w:hint="eastAsia"/>
        </w:rPr>
        <w:t xml:space="preserve"> 量化方法</w:t>
      </w:r>
      <w:r>
        <w:tab/>
      </w:r>
      <w:r>
        <w:fldChar w:fldCharType="begin"/>
      </w:r>
      <w:r>
        <w:instrText xml:space="preserve"> PAGEREF _Toc194932453 \h </w:instrText>
      </w:r>
      <w:r>
        <w:fldChar w:fldCharType="separate"/>
      </w:r>
      <w:r>
        <w:t>4</w:t>
      </w:r>
      <w:r>
        <w:fldChar w:fldCharType="end"/>
      </w:r>
      <w:r>
        <w:fldChar w:fldCharType="end"/>
      </w:r>
    </w:p>
    <w:p w14:paraId="4C41759D">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"_Toc194932454" </w:instrText>
      </w:r>
      <w:r>
        <w:fldChar w:fldCharType="separate"/>
      </w:r>
      <w:r>
        <w:rPr>
          <w:rStyle w:val="33"/>
        </w:rPr>
        <w:t xml:space="preserve">8 </w:t>
      </w:r>
      <w:r>
        <w:rPr>
          <w:rStyle w:val="33"/>
          <w:rFonts w:hint="eastAsia"/>
        </w:rPr>
        <w:t xml:space="preserve"> 结果解释</w:t>
      </w:r>
      <w:r>
        <w:tab/>
      </w:r>
      <w:r>
        <w:fldChar w:fldCharType="begin"/>
      </w:r>
      <w:r>
        <w:instrText xml:space="preserve"> PAGEREF _Toc194932454 \h </w:instrText>
      </w:r>
      <w:r>
        <w:fldChar w:fldCharType="separate"/>
      </w:r>
      <w:r>
        <w:t>6</w:t>
      </w:r>
      <w:r>
        <w:fldChar w:fldCharType="end"/>
      </w:r>
      <w:r>
        <w:fldChar w:fldCharType="end"/>
      </w:r>
    </w:p>
    <w:p w14:paraId="2C79BA17">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"_Toc194932455" </w:instrText>
      </w:r>
      <w:r>
        <w:fldChar w:fldCharType="separate"/>
      </w:r>
      <w:r>
        <w:rPr>
          <w:rStyle w:val="33"/>
        </w:rPr>
        <w:t xml:space="preserve">9 </w:t>
      </w:r>
      <w:r>
        <w:rPr>
          <w:rStyle w:val="33"/>
          <w:rFonts w:hint="eastAsia"/>
        </w:rPr>
        <w:t xml:space="preserve"> 报告</w:t>
      </w:r>
      <w:r>
        <w:tab/>
      </w:r>
      <w:r>
        <w:fldChar w:fldCharType="begin"/>
      </w:r>
      <w:r>
        <w:instrText xml:space="preserve"> PAGEREF _Toc194932455 \h </w:instrText>
      </w:r>
      <w:r>
        <w:fldChar w:fldCharType="separate"/>
      </w:r>
      <w:r>
        <w:t>6</w:t>
      </w:r>
      <w:r>
        <w:fldChar w:fldCharType="end"/>
      </w:r>
      <w:r>
        <w:fldChar w:fldCharType="end"/>
      </w:r>
    </w:p>
    <w:p w14:paraId="599BCF54">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"_Toc194932456" </w:instrText>
      </w:r>
      <w:r>
        <w:fldChar w:fldCharType="separate"/>
      </w:r>
      <w:r>
        <w:rPr>
          <w:rStyle w:val="33"/>
          <w:rFonts w:hint="eastAsia"/>
        </w:rPr>
        <w:t>附录A（资料性）</w:t>
      </w:r>
      <w:r>
        <w:rPr>
          <w:rStyle w:val="33"/>
        </w:rPr>
        <w:t xml:space="preserve">  </w:t>
      </w:r>
      <w:r>
        <w:rPr>
          <w:rStyle w:val="33"/>
          <w:rFonts w:hint="eastAsia"/>
        </w:rPr>
        <w:t>汽车紧固件碳足迹报告模版</w:t>
      </w:r>
      <w:r>
        <w:tab/>
      </w:r>
      <w:r>
        <w:fldChar w:fldCharType="begin"/>
      </w:r>
      <w:r>
        <w:instrText xml:space="preserve"> PAGEREF _Toc194932456 \h </w:instrText>
      </w:r>
      <w:r>
        <w:fldChar w:fldCharType="separate"/>
      </w:r>
      <w:r>
        <w:t>8</w:t>
      </w:r>
      <w:r>
        <w:fldChar w:fldCharType="end"/>
      </w:r>
      <w:r>
        <w:fldChar w:fldCharType="end"/>
      </w:r>
    </w:p>
    <w:p w14:paraId="5A92B54E">
      <w:pPr>
        <w:pStyle w:val="19"/>
        <w:tabs>
          <w:tab w:val="right" w:leader="dot" w:pos="9344"/>
        </w:tabs>
        <w:rPr>
          <w:rFonts w:asciiTheme="minorHAnsi" w:hAnsiTheme="minorHAnsi" w:eastAsiaTheme="minorEastAsia" w:cstheme="minorBidi"/>
          <w:szCs w:val="22"/>
        </w:rPr>
      </w:pPr>
      <w:r>
        <w:fldChar w:fldCharType="begin"/>
      </w:r>
      <w:r>
        <w:instrText xml:space="preserve"> HYPERLINK \l "_Toc194932457" </w:instrText>
      </w:r>
      <w:r>
        <w:fldChar w:fldCharType="separate"/>
      </w:r>
      <w:r>
        <w:rPr>
          <w:rStyle w:val="33"/>
          <w:rFonts w:hint="eastAsia"/>
        </w:rPr>
        <w:t>参考文献</w:t>
      </w:r>
      <w:r>
        <w:tab/>
      </w:r>
      <w:r>
        <w:fldChar w:fldCharType="begin"/>
      </w:r>
      <w:r>
        <w:instrText xml:space="preserve"> PAGEREF _Toc194932457 \h </w:instrText>
      </w:r>
      <w:r>
        <w:fldChar w:fldCharType="separate"/>
      </w:r>
      <w:r>
        <w:t>12</w:t>
      </w:r>
      <w:r>
        <w:fldChar w:fldCharType="end"/>
      </w:r>
      <w:r>
        <w:fldChar w:fldCharType="end"/>
      </w:r>
    </w:p>
    <w:p w14:paraId="0AD1A4FA">
      <w:pPr>
        <w:pStyle w:val="92"/>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07636B0D">
      <w:pPr>
        <w:pStyle w:val="90"/>
        <w:spacing w:before="900" w:after="360"/>
      </w:pPr>
      <w:bookmarkStart w:id="24" w:name="_Toc194932446"/>
      <w:bookmarkStart w:id="25" w:name="BookMark2"/>
      <w:r>
        <w:rPr>
          <w:spacing w:val="320"/>
        </w:rPr>
        <w:t>前</w:t>
      </w:r>
      <w:r>
        <w:t>言</w:t>
      </w:r>
      <w:bookmarkEnd w:id="20"/>
      <w:bookmarkEnd w:id="21"/>
      <w:bookmarkEnd w:id="22"/>
      <w:bookmarkEnd w:id="23"/>
      <w:bookmarkEnd w:id="24"/>
    </w:p>
    <w:p w14:paraId="575B23CE">
      <w:pPr>
        <w:pStyle w:val="57"/>
        <w:ind w:firstLine="420"/>
      </w:pPr>
      <w:r>
        <w:rPr>
          <w:rFonts w:hint="eastAsia"/>
        </w:rPr>
        <w:t>本文件按照GB/T 1.1—2020《标准化工作导则  第1部分：标准化文件的结构和起草规则》的规定起草。</w:t>
      </w:r>
    </w:p>
    <w:p w14:paraId="11BCA08A">
      <w:pPr>
        <w:pStyle w:val="57"/>
        <w:ind w:firstLine="420"/>
      </w:pPr>
      <w:r>
        <w:rPr>
          <w:rFonts w:hint="eastAsia"/>
        </w:rPr>
        <w:t>请注意本文件的某些内容可能涉及专利。本文件的发布机构不承担识别专利的责任。</w:t>
      </w:r>
    </w:p>
    <w:p w14:paraId="3AAA329F">
      <w:pPr>
        <w:pStyle w:val="57"/>
        <w:ind w:firstLine="420"/>
      </w:pPr>
      <w:r>
        <w:rPr>
          <w:rFonts w:hint="eastAsia"/>
        </w:rPr>
        <w:t>本文件由浙江华远汽车科技股份有限公司提出。</w:t>
      </w:r>
    </w:p>
    <w:p w14:paraId="0A8003EA">
      <w:pPr>
        <w:pStyle w:val="57"/>
        <w:ind w:firstLine="420"/>
      </w:pPr>
      <w:r>
        <w:rPr>
          <w:rFonts w:hint="eastAsia"/>
        </w:rPr>
        <w:t>本文件由中国中小企业协会归口。</w:t>
      </w:r>
    </w:p>
    <w:p w14:paraId="7615D906">
      <w:pPr>
        <w:pStyle w:val="57"/>
        <w:ind w:firstLine="420"/>
      </w:pPr>
      <w:r>
        <w:rPr>
          <w:rFonts w:hint="eastAsia"/>
        </w:rPr>
        <w:t>本文件起草单位：浙江华远汽车科技股份有限公司、浙江华悦汽车零部件股份有限公司、浙江华瓯汽车零部件有限公司。</w:t>
      </w:r>
    </w:p>
    <w:p w14:paraId="6648E635">
      <w:pPr>
        <w:pStyle w:val="57"/>
        <w:ind w:firstLine="420"/>
      </w:pPr>
      <w:r>
        <w:rPr>
          <w:rFonts w:hint="eastAsia"/>
        </w:rPr>
        <w:t>本文件主要起草人：何昀瑞、叶飞、孙守武、陈德雁、程志龙。</w:t>
      </w:r>
    </w:p>
    <w:p w14:paraId="3DEF311E">
      <w:pPr>
        <w:pStyle w:val="57"/>
        <w:ind w:firstLine="420"/>
      </w:pPr>
    </w:p>
    <w:p w14:paraId="1B8B6CD4">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20E2F9AF">
      <w:pPr>
        <w:spacing w:line="20" w:lineRule="exact"/>
        <w:jc w:val="center"/>
        <w:rPr>
          <w:rFonts w:ascii="黑体" w:hAnsi="黑体" w:eastAsia="黑体"/>
          <w:sz w:val="32"/>
          <w:szCs w:val="32"/>
        </w:rPr>
      </w:pPr>
      <w:bookmarkStart w:id="26" w:name="BookMark4"/>
    </w:p>
    <w:p w14:paraId="01D2B07A">
      <w:pPr>
        <w:spacing w:line="20" w:lineRule="exact"/>
        <w:jc w:val="center"/>
        <w:rPr>
          <w:rFonts w:ascii="黑体" w:hAnsi="黑体" w:eastAsia="黑体"/>
          <w:sz w:val="32"/>
          <w:szCs w:val="32"/>
        </w:rPr>
      </w:pPr>
    </w:p>
    <w:sdt>
      <w:sdtPr>
        <w:tag w:val="NEW_STAND_NAME"/>
        <w:id w:val="595910757"/>
        <w:lock w:val="sdtLocked"/>
        <w:placeholder>
          <w:docPart w:val="FC2DC3776E8B4114BBFE201AC12A63C0"/>
        </w:placeholder>
      </w:sdtPr>
      <w:sdtContent>
        <w:p w14:paraId="75489D2D">
          <w:pPr>
            <w:pStyle w:val="178"/>
            <w:spacing w:before="2" w:beforeLines="1" w:after="528" w:afterLines="220"/>
          </w:pPr>
          <w:bookmarkStart w:id="27" w:name="OLE_LINK12"/>
          <w:bookmarkStart w:id="28" w:name="OLE_LINK2"/>
          <w:bookmarkStart w:id="29" w:name="NEW_STAND_NAME"/>
          <w:r>
            <w:rPr>
              <w:rFonts w:hint="eastAsia"/>
            </w:rPr>
            <w:t>温室气体</w:t>
          </w:r>
          <w:r>
            <w:t xml:space="preserve"> 产品碳足迹量化方法与要求</w:t>
          </w:r>
          <w:bookmarkEnd w:id="27"/>
          <w:r>
            <w:t xml:space="preserve"> 汽车紧固件</w:t>
          </w:r>
        </w:p>
      </w:sdtContent>
    </w:sdt>
    <w:bookmarkEnd w:id="28"/>
    <w:bookmarkEnd w:id="29"/>
    <w:p w14:paraId="3D38F877">
      <w:pPr>
        <w:pStyle w:val="105"/>
        <w:spacing w:before="240" w:after="240"/>
      </w:pPr>
      <w:bookmarkStart w:id="30" w:name="_Toc17233333"/>
      <w:bookmarkStart w:id="31" w:name="_Toc26648465"/>
      <w:bookmarkStart w:id="32" w:name="_Toc26718930"/>
      <w:bookmarkStart w:id="33" w:name="_Toc180226461"/>
      <w:bookmarkStart w:id="34" w:name="_Toc194932447"/>
      <w:bookmarkStart w:id="35" w:name="_Toc17233325"/>
      <w:bookmarkStart w:id="36" w:name="_Toc97192964"/>
      <w:bookmarkStart w:id="37" w:name="_Toc26986771"/>
      <w:bookmarkStart w:id="38" w:name="_Toc24884218"/>
      <w:bookmarkStart w:id="39" w:name="_Toc26986530"/>
      <w:bookmarkStart w:id="40" w:name="_Toc194593841"/>
      <w:bookmarkStart w:id="41" w:name="_Toc24884211"/>
      <w:bookmarkStart w:id="42" w:name="_Toc194591294"/>
      <w:bookmarkStart w:id="43" w:name="_Toc192772484"/>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D30FA4D">
      <w:pPr>
        <w:pStyle w:val="57"/>
        <w:ind w:firstLine="420"/>
      </w:pPr>
      <w:bookmarkStart w:id="44" w:name="_Toc26648466"/>
      <w:bookmarkStart w:id="45" w:name="_Toc24884212"/>
      <w:bookmarkStart w:id="46" w:name="_Toc17233326"/>
      <w:bookmarkStart w:id="47" w:name="_Toc17233334"/>
      <w:bookmarkStart w:id="48" w:name="_Toc24884219"/>
      <w:r>
        <w:rPr>
          <w:rFonts w:hint="eastAsia"/>
        </w:rPr>
        <w:t>本文件规定了汽车紧固件碳足迹量化原则、量化范围、数据收集与处理、量化方法、结果解释、报告。</w:t>
      </w:r>
    </w:p>
    <w:p w14:paraId="6A4BA6B9">
      <w:pPr>
        <w:pStyle w:val="57"/>
        <w:ind w:firstLine="420"/>
      </w:pPr>
      <w:r>
        <w:rPr>
          <w:rFonts w:hint="eastAsia"/>
        </w:rPr>
        <w:t>本文件适用于汽车紧固件碳足迹量化。</w:t>
      </w:r>
    </w:p>
    <w:p w14:paraId="4C2A054E">
      <w:pPr>
        <w:pStyle w:val="105"/>
        <w:spacing w:before="240" w:after="240"/>
      </w:pPr>
      <w:bookmarkStart w:id="49" w:name="_Toc26986772"/>
      <w:bookmarkStart w:id="50" w:name="_Toc26986531"/>
      <w:bookmarkStart w:id="51" w:name="_Toc194591295"/>
      <w:bookmarkStart w:id="52" w:name="_Toc194932448"/>
      <w:bookmarkStart w:id="53" w:name="_Toc26718931"/>
      <w:bookmarkStart w:id="54" w:name="_Toc192772485"/>
      <w:bookmarkStart w:id="55" w:name="_Toc180226462"/>
      <w:bookmarkStart w:id="56" w:name="_Toc194593842"/>
      <w:bookmarkStart w:id="57" w:name="_Toc97192965"/>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EB5FEE6">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A3B3B0">
      <w:pPr>
        <w:pStyle w:val="57"/>
        <w:ind w:firstLine="420"/>
      </w:pPr>
      <w:bookmarkStart w:id="58" w:name="OLE_LINK17"/>
      <w:bookmarkStart w:id="59" w:name="OLE_LINK13"/>
      <w:r>
        <w:rPr>
          <w:rFonts w:hint="eastAsia"/>
        </w:rPr>
        <w:t>GB/T 213</w:t>
      </w:r>
      <w:r>
        <w:t xml:space="preserve"> </w:t>
      </w:r>
      <w:r>
        <w:rPr>
          <w:rFonts w:hint="eastAsia"/>
        </w:rPr>
        <w:t xml:space="preserve"> 煤的发热量测定方法</w:t>
      </w:r>
    </w:p>
    <w:bookmarkEnd w:id="58"/>
    <w:p w14:paraId="53023182">
      <w:pPr>
        <w:pStyle w:val="57"/>
        <w:ind w:firstLine="420"/>
      </w:pPr>
      <w:bookmarkStart w:id="60" w:name="OLE_LINK18"/>
      <w:r>
        <w:rPr>
          <w:rFonts w:hint="eastAsia"/>
        </w:rPr>
        <w:t>GB/T 8984</w:t>
      </w:r>
      <w:r>
        <w:t xml:space="preserve"> </w:t>
      </w:r>
      <w:r>
        <w:rPr>
          <w:rFonts w:hint="eastAsia"/>
        </w:rPr>
        <w:t xml:space="preserve"> 气体中一氧化碳、二氧化碳和碳氢化合物的测定 气相色谱法</w:t>
      </w:r>
    </w:p>
    <w:bookmarkEnd w:id="60"/>
    <w:p w14:paraId="265D5CA2">
      <w:pPr>
        <w:pStyle w:val="57"/>
        <w:ind w:firstLine="420"/>
      </w:pPr>
      <w:bookmarkStart w:id="61" w:name="OLE_LINK19"/>
      <w:r>
        <w:rPr>
          <w:rFonts w:hint="eastAsia"/>
        </w:rPr>
        <w:t>GB/T 10410  人工煤气和液化石油气常量组分气相色谱分析法</w:t>
      </w:r>
    </w:p>
    <w:bookmarkEnd w:id="61"/>
    <w:p w14:paraId="49CECF31">
      <w:pPr>
        <w:pStyle w:val="57"/>
        <w:ind w:firstLine="420"/>
      </w:pPr>
      <w:bookmarkStart w:id="62" w:name="OLE_LINK20"/>
      <w:r>
        <w:rPr>
          <w:rFonts w:hint="eastAsia"/>
        </w:rPr>
        <w:t>GB/T 12208</w:t>
      </w:r>
      <w:r>
        <w:t xml:space="preserve"> </w:t>
      </w:r>
      <w:r>
        <w:tab/>
      </w:r>
      <w:r>
        <w:rPr>
          <w:rFonts w:hint="eastAsia"/>
        </w:rPr>
        <w:t>人工煤气组分与杂质含量测定方法</w:t>
      </w:r>
    </w:p>
    <w:bookmarkEnd w:id="62"/>
    <w:p w14:paraId="680EE712">
      <w:pPr>
        <w:pStyle w:val="57"/>
        <w:tabs>
          <w:tab w:val="left" w:pos="2429"/>
        </w:tabs>
        <w:ind w:firstLine="420"/>
      </w:pPr>
      <w:bookmarkStart w:id="63" w:name="OLE_LINK21"/>
      <w:r>
        <w:rPr>
          <w:rFonts w:hint="eastAsia"/>
        </w:rPr>
        <w:t>GB/T 13610  天然气的组成分析 气相色谱法</w:t>
      </w:r>
    </w:p>
    <w:bookmarkEnd w:id="63"/>
    <w:p w14:paraId="1BC47D45">
      <w:pPr>
        <w:pStyle w:val="57"/>
        <w:ind w:firstLine="420"/>
      </w:pPr>
      <w:bookmarkStart w:id="64" w:name="OLE_LINK22"/>
      <w:r>
        <w:rPr>
          <w:rFonts w:hint="eastAsia"/>
        </w:rPr>
        <w:t>GB 17167  用能单位能源计量器具配备和管理通则</w:t>
      </w:r>
    </w:p>
    <w:bookmarkEnd w:id="64"/>
    <w:p w14:paraId="208E7813">
      <w:pPr>
        <w:pStyle w:val="57"/>
        <w:ind w:firstLine="420"/>
      </w:pPr>
      <w:r>
        <w:rPr>
          <w:rFonts w:hint="eastAsia"/>
        </w:rPr>
        <w:t>GB/T 24067</w:t>
      </w:r>
      <w:bookmarkEnd w:id="59"/>
      <w:r>
        <w:rPr>
          <w:rFonts w:hint="eastAsia"/>
        </w:rPr>
        <w:t>-2024  温室气体　产品碳足迹　量化要求和指南</w:t>
      </w:r>
    </w:p>
    <w:p w14:paraId="559FCCFE">
      <w:pPr>
        <w:pStyle w:val="105"/>
        <w:spacing w:before="240" w:after="240"/>
      </w:pPr>
      <w:bookmarkStart w:id="65" w:name="_Toc180226463"/>
      <w:bookmarkStart w:id="66" w:name="_Toc194932449"/>
      <w:bookmarkStart w:id="67" w:name="_Toc194591296"/>
      <w:bookmarkStart w:id="68" w:name="_Toc194593843"/>
      <w:bookmarkStart w:id="69" w:name="_Toc192772486"/>
      <w:bookmarkStart w:id="70" w:name="_Toc97192966"/>
      <w:r>
        <w:rPr>
          <w:rFonts w:hint="eastAsia"/>
          <w:szCs w:val="21"/>
        </w:rPr>
        <w:t>术语和定义</w:t>
      </w:r>
      <w:bookmarkEnd w:id="65"/>
      <w:bookmarkEnd w:id="66"/>
      <w:bookmarkEnd w:id="67"/>
      <w:bookmarkEnd w:id="68"/>
      <w:bookmarkEnd w:id="69"/>
      <w:bookmarkEnd w:id="70"/>
    </w:p>
    <w:p w14:paraId="65E5CDD3">
      <w:pPr>
        <w:pStyle w:val="57"/>
        <w:ind w:firstLine="420"/>
      </w:pPr>
      <w:bookmarkStart w:id="71" w:name="_Toc26986532"/>
      <w:bookmarkEnd w:id="71"/>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p>
    <w:p w14:paraId="3EA39F8F">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汽车紧固件</w:t>
      </w:r>
      <w:r>
        <w:rPr>
          <w:rFonts w:hint="eastAsia" w:ascii="黑体" w:hAnsi="黑体" w:eastAsia="黑体"/>
        </w:rPr>
        <w:t xml:space="preserve">  a</w:t>
      </w:r>
      <w:r>
        <w:rPr>
          <w:rFonts w:ascii="黑体" w:hAnsi="黑体" w:eastAsia="黑体"/>
        </w:rPr>
        <w:t xml:space="preserve">utomotive </w:t>
      </w:r>
      <w:r>
        <w:rPr>
          <w:rFonts w:hint="eastAsia" w:ascii="黑体" w:hAnsi="黑体" w:eastAsia="黑体"/>
        </w:rPr>
        <w:t>f</w:t>
      </w:r>
      <w:r>
        <w:rPr>
          <w:rFonts w:ascii="黑体" w:hAnsi="黑体" w:eastAsia="黑体"/>
        </w:rPr>
        <w:t>asteners</w:t>
      </w:r>
    </w:p>
    <w:p w14:paraId="39C09D42">
      <w:pPr>
        <w:pStyle w:val="57"/>
        <w:ind w:firstLine="420"/>
      </w:pPr>
      <w:r>
        <w:rPr>
          <w:rFonts w:hint="eastAsia"/>
        </w:rPr>
        <w:t>用于连接和紧固汽车零部件的机械零件，包括螺栓、螺母、螺钉、垫圈等。</w:t>
      </w:r>
    </w:p>
    <w:p w14:paraId="145AB39C">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产品碳足迹  carbon footprint of a product；CFP</w:t>
      </w:r>
    </w:p>
    <w:p w14:paraId="1DEF9508">
      <w:pPr>
        <w:pStyle w:val="57"/>
        <w:ind w:firstLine="420"/>
      </w:pPr>
      <w:r>
        <w:rPr>
          <w:rFonts w:hint="eastAsia"/>
        </w:rPr>
        <w:t>产品系统中的 GHG 排放量和 GHG 清除之和，以二氧化碳当量表示，并基于气候变化这一单一环境影响类型进行生命周期评价。</w:t>
      </w:r>
    </w:p>
    <w:p w14:paraId="39BA5AF6">
      <w:pPr>
        <w:pStyle w:val="181"/>
      </w:pPr>
      <w:r>
        <w:rPr>
          <w:rFonts w:hint="eastAsia"/>
        </w:rPr>
        <w:t>产品碳足迹可用不同的图例区分和标示具体的 GHG 排放量和清除量，产品碳足迹也可被分解到其生命周期的各个阶段。</w:t>
      </w:r>
    </w:p>
    <w:p w14:paraId="383B332A">
      <w:pPr>
        <w:pStyle w:val="181"/>
      </w:pPr>
      <w:r>
        <w:rPr>
          <w:rFonts w:hint="eastAsia"/>
        </w:rPr>
        <w:t>产品碳足迹研究报告中记录了产品碳足迹的量化结果，以每个功能单位的二氧化碳当量表示。</w:t>
      </w:r>
    </w:p>
    <w:p w14:paraId="17562808">
      <w:pPr>
        <w:pStyle w:val="57"/>
        <w:ind w:firstLine="420"/>
      </w:pPr>
      <w:r>
        <w:rPr>
          <w:rFonts w:hint="eastAsia"/>
        </w:rPr>
        <w:t>[来源：GB/T 24067-2024，3.1.2]</w:t>
      </w:r>
    </w:p>
    <w:p w14:paraId="71D09178">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产品部分碳足迹</w:t>
      </w:r>
      <w:r>
        <w:rPr>
          <w:rFonts w:hint="eastAsia" w:ascii="黑体" w:hAnsi="黑体" w:eastAsia="黑体"/>
        </w:rPr>
        <w:t xml:space="preserve">  </w:t>
      </w:r>
      <w:r>
        <w:rPr>
          <w:rFonts w:ascii="黑体" w:hAnsi="黑体" w:eastAsia="黑体"/>
        </w:rPr>
        <w:t>partialcarbon footprint of a product；partial CFP</w:t>
      </w:r>
    </w:p>
    <w:p w14:paraId="2EE58C02">
      <w:pPr>
        <w:pStyle w:val="57"/>
        <w:ind w:firstLine="420"/>
      </w:pPr>
      <w:r>
        <w:rPr>
          <w:rFonts w:hint="eastAsia"/>
        </w:rPr>
        <w:t>在产品系统生命周期内的一个或多个选定阶段或过程中的 GHG 排放量和 GHG 清除量之和，并以二氧化碳当量表示。</w:t>
      </w:r>
    </w:p>
    <w:p w14:paraId="4562FA9D">
      <w:pPr>
        <w:pStyle w:val="181"/>
        <w:numPr>
          <w:ilvl w:val="0"/>
          <w:numId w:val="32"/>
        </w:numPr>
      </w:pPr>
      <w:r>
        <w:rPr>
          <w:rFonts w:hint="eastAsia"/>
        </w:rPr>
        <w:t>产品部分碳足迹是基于或由与特定过程或足迹信息模型有关的数据汇集而成，这些数据是产品系统的一部分，可作为产品碳足迹量化的基础。</w:t>
      </w:r>
    </w:p>
    <w:p w14:paraId="5609347C">
      <w:pPr>
        <w:pStyle w:val="181"/>
      </w:pPr>
      <w:r>
        <w:rPr>
          <w:rFonts w:hint="eastAsia"/>
        </w:rPr>
        <w:t>“足迹信息模型”的定义见 ISO 14026：2017，3.1.4。</w:t>
      </w:r>
    </w:p>
    <w:p w14:paraId="2665BD27">
      <w:pPr>
        <w:pStyle w:val="181"/>
      </w:pPr>
      <w:r>
        <w:rPr>
          <w:rFonts w:hint="eastAsia"/>
        </w:rPr>
        <w:t>产品碳足迹研究报告中记录了产品部分碳足迹的量化结果，以每个声明单位的二氧化碳当量表示。</w:t>
      </w:r>
    </w:p>
    <w:p w14:paraId="00551C08">
      <w:pPr>
        <w:pStyle w:val="57"/>
        <w:ind w:firstLine="420"/>
      </w:pPr>
      <w:bookmarkStart w:id="72" w:name="OLE_LINK5"/>
      <w:r>
        <w:rPr>
          <w:rFonts w:hint="eastAsia"/>
        </w:rPr>
        <w:t>[来源：GB/T 24067-2024，3.1.2]</w:t>
      </w:r>
    </w:p>
    <w:bookmarkEnd w:id="72"/>
    <w:p w14:paraId="6EC18562">
      <w:pPr>
        <w:pStyle w:val="105"/>
        <w:spacing w:before="240" w:after="240"/>
      </w:pPr>
      <w:bookmarkStart w:id="73" w:name="_Toc194591297"/>
      <w:bookmarkStart w:id="74" w:name="_Toc194932450"/>
      <w:bookmarkStart w:id="75" w:name="_Toc194593844"/>
      <w:r>
        <w:t>量化原则</w:t>
      </w:r>
      <w:bookmarkEnd w:id="73"/>
      <w:bookmarkEnd w:id="74"/>
      <w:bookmarkEnd w:id="75"/>
    </w:p>
    <w:p w14:paraId="156B7FA4">
      <w:pPr>
        <w:pStyle w:val="106"/>
        <w:spacing w:before="120" w:after="120"/>
      </w:pPr>
      <w:r>
        <w:rPr>
          <w:rFonts w:hint="eastAsia"/>
        </w:rPr>
        <w:t>相关性</w:t>
      </w:r>
    </w:p>
    <w:p w14:paraId="6A887F32">
      <w:pPr>
        <w:pStyle w:val="57"/>
        <w:ind w:firstLine="420"/>
      </w:pPr>
      <w:r>
        <w:rPr>
          <w:rFonts w:hint="eastAsia"/>
        </w:rPr>
        <w:t>量化应与产品的实际生命周期过程相关，确保所选取的数据和活动能准确反映产品对温室气体排放的影响。</w:t>
      </w:r>
    </w:p>
    <w:p w14:paraId="60C0DE96">
      <w:pPr>
        <w:pStyle w:val="106"/>
        <w:spacing w:before="120" w:after="120"/>
      </w:pPr>
      <w:r>
        <w:rPr>
          <w:rFonts w:hint="eastAsia"/>
        </w:rPr>
        <w:t>完整性</w:t>
      </w:r>
    </w:p>
    <w:p w14:paraId="586F6DD7">
      <w:pPr>
        <w:pStyle w:val="57"/>
        <w:ind w:firstLine="420"/>
      </w:pPr>
      <w:r>
        <w:rPr>
          <w:rFonts w:hint="eastAsia"/>
        </w:rPr>
        <w:t>应涵盖产品从原材料获取到生命末期处理的整个生命周期内所有显著的温室气体排放源，不遗漏重要的排放环节。</w:t>
      </w:r>
    </w:p>
    <w:p w14:paraId="71DF1673">
      <w:pPr>
        <w:pStyle w:val="106"/>
        <w:spacing w:before="120" w:after="120"/>
      </w:pPr>
      <w:r>
        <w:rPr>
          <w:rFonts w:hint="eastAsia"/>
        </w:rPr>
        <w:t>一致性</w:t>
      </w:r>
    </w:p>
    <w:p w14:paraId="1B028B00">
      <w:pPr>
        <w:pStyle w:val="57"/>
        <w:ind w:firstLine="420"/>
      </w:pPr>
      <w:r>
        <w:rPr>
          <w:rFonts w:hint="eastAsia"/>
        </w:rPr>
        <w:t>在整个量化过程中，数据收集方法、计算方法、系统边界等应保持一致，以便于不同产品或不同时期的碳足迹结果具有可比性。</w:t>
      </w:r>
    </w:p>
    <w:p w14:paraId="0A01C140">
      <w:pPr>
        <w:pStyle w:val="106"/>
        <w:spacing w:before="120" w:after="120"/>
      </w:pPr>
      <w:r>
        <w:rPr>
          <w:rFonts w:hint="eastAsia"/>
        </w:rPr>
        <w:t>统一性</w:t>
      </w:r>
    </w:p>
    <w:p w14:paraId="39C31201">
      <w:pPr>
        <w:pStyle w:val="57"/>
        <w:ind w:firstLine="420"/>
      </w:pPr>
      <w:r>
        <w:rPr>
          <w:rFonts w:hint="eastAsia"/>
        </w:rPr>
        <w:t>遵循统一的量化方法和标准，确保行业内不同企业对汽车紧固件碳足迹的量化具有一致性。</w:t>
      </w:r>
    </w:p>
    <w:p w14:paraId="177A2BE0">
      <w:pPr>
        <w:pStyle w:val="106"/>
        <w:spacing w:before="120" w:after="120"/>
      </w:pPr>
      <w:r>
        <w:rPr>
          <w:rFonts w:hint="eastAsia"/>
        </w:rPr>
        <w:t>准确性</w:t>
      </w:r>
    </w:p>
    <w:p w14:paraId="7EF01AD1">
      <w:pPr>
        <w:pStyle w:val="57"/>
        <w:ind w:firstLine="420"/>
      </w:pPr>
      <w:r>
        <w:rPr>
          <w:rFonts w:hint="eastAsia"/>
        </w:rPr>
        <w:t>数据收集应尽可能准确，采用可靠的数据源和合理的估算方法，减少不确定性，以提高碳足迹量化结果的可信度。</w:t>
      </w:r>
    </w:p>
    <w:p w14:paraId="51E7AE4E">
      <w:pPr>
        <w:pStyle w:val="106"/>
        <w:spacing w:before="120" w:after="120"/>
      </w:pPr>
      <w:r>
        <w:rPr>
          <w:rFonts w:hint="eastAsia"/>
        </w:rPr>
        <w:t>透明性</w:t>
      </w:r>
    </w:p>
    <w:p w14:paraId="549120B1">
      <w:pPr>
        <w:pStyle w:val="57"/>
        <w:ind w:firstLine="420"/>
      </w:pPr>
      <w:r>
        <w:rPr>
          <w:rFonts w:hint="eastAsia"/>
        </w:rPr>
        <w:t>对量化过程中使用的数据来源、假设条件、计算方法等应进行清晰说明，使结果可追溯和验证。</w:t>
      </w:r>
    </w:p>
    <w:p w14:paraId="17B3A21A">
      <w:pPr>
        <w:pStyle w:val="105"/>
        <w:spacing w:before="240" w:after="240"/>
      </w:pPr>
      <w:bookmarkStart w:id="76" w:name="_Toc194932451"/>
      <w:bookmarkStart w:id="77" w:name="_Toc194593845"/>
      <w:bookmarkStart w:id="78" w:name="_Toc194591298"/>
      <w:r>
        <w:rPr>
          <w:rFonts w:hint="eastAsia"/>
        </w:rPr>
        <w:t>量化</w:t>
      </w:r>
      <w:r>
        <w:t>范围</w:t>
      </w:r>
      <w:bookmarkEnd w:id="76"/>
      <w:bookmarkEnd w:id="77"/>
      <w:bookmarkEnd w:id="78"/>
    </w:p>
    <w:p w14:paraId="1479BB5B">
      <w:pPr>
        <w:pStyle w:val="106"/>
        <w:spacing w:before="120" w:after="120"/>
      </w:pPr>
      <w:r>
        <w:rPr>
          <w:rFonts w:hint="eastAsia"/>
        </w:rPr>
        <w:t>生命周期阶段</w:t>
      </w:r>
      <w:r>
        <w:rPr>
          <w:rFonts w:hint="eastAsia" w:ascii="MS Gothic" w:hAnsi="MS Gothic" w:eastAsia="MS Gothic" w:cs="MS Gothic"/>
        </w:rPr>
        <w:t>​</w:t>
      </w:r>
    </w:p>
    <w:p w14:paraId="79D6C31E">
      <w:pPr>
        <w:pStyle w:val="66"/>
        <w:spacing w:before="120" w:after="120"/>
      </w:pPr>
      <w:r>
        <w:rPr>
          <w:rFonts w:hint="eastAsia"/>
        </w:rPr>
        <w:t>原材料获取阶段</w:t>
      </w:r>
      <w:r>
        <w:rPr>
          <w:rFonts w:hint="eastAsia" w:ascii="MS Gothic" w:hAnsi="MS Gothic" w:eastAsia="MS Gothic" w:cs="MS Gothic"/>
        </w:rPr>
        <w:t>​</w:t>
      </w:r>
    </w:p>
    <w:p w14:paraId="6C050974">
      <w:pPr>
        <w:pStyle w:val="57"/>
        <w:ind w:firstLine="420"/>
      </w:pPr>
      <w:r>
        <w:rPr>
          <w:rFonts w:hint="eastAsia"/>
        </w:rPr>
        <w:t>包括铁矿石、钢材、有色金属等原材料的开采、选矿、冶炼等过程中的温室气体排放。</w:t>
      </w:r>
      <w:r>
        <w:rPr>
          <w:rFonts w:hint="eastAsia" w:ascii="MS Gothic" w:hAnsi="MS Gothic" w:eastAsia="MS Gothic" w:cs="MS Gothic"/>
        </w:rPr>
        <w:t>​</w:t>
      </w:r>
    </w:p>
    <w:p w14:paraId="033ED379">
      <w:pPr>
        <w:pStyle w:val="66"/>
        <w:spacing w:before="120" w:after="120"/>
      </w:pPr>
      <w:r>
        <w:rPr>
          <w:rFonts w:hint="eastAsia"/>
        </w:rPr>
        <w:t>生产阶段</w:t>
      </w:r>
      <w:r>
        <w:rPr>
          <w:rFonts w:hint="eastAsia" w:ascii="MS Gothic" w:hAnsi="MS Gothic" w:eastAsia="MS Gothic" w:cs="MS Gothic"/>
        </w:rPr>
        <w:t>​</w:t>
      </w:r>
    </w:p>
    <w:p w14:paraId="012A424E">
      <w:pPr>
        <w:pStyle w:val="57"/>
        <w:ind w:firstLine="420"/>
        <w:rPr>
          <w:rFonts w:hAnsi="宋体" w:cs="宋体"/>
        </w:rPr>
      </w:pPr>
      <w:r>
        <w:rPr>
          <w:rFonts w:hint="eastAsia"/>
        </w:rPr>
        <w:t>涵盖汽车紧固件的成型、加工、表面处理、装配等生产过程中的能源消耗及相关温室气体排放。</w:t>
      </w:r>
      <w:r>
        <w:rPr>
          <w:rFonts w:hint="eastAsia" w:ascii="MS Gothic" w:hAnsi="MS Gothic" w:eastAsia="MS Gothic" w:cs="MS Gothic"/>
        </w:rPr>
        <w:t>​汽车紧固件的生产工艺</w:t>
      </w:r>
      <w:r>
        <w:rPr>
          <w:rFonts w:hint="eastAsia" w:hAnsi="宋体" w:cs="宋体"/>
        </w:rPr>
        <w:t>见图 1。</w:t>
      </w:r>
    </w:p>
    <w:p w14:paraId="2DBEE2C6">
      <w:pPr>
        <w:pStyle w:val="57"/>
        <w:ind w:firstLine="420"/>
        <w:jc w:val="center"/>
      </w:pPr>
      <w:r>
        <w:rPr>
          <w:rFonts w:hint="default"/>
          <w:lang w:val="en-US" w:eastAsia="zh-CN"/>
        </w:rPr>
        <w:drawing>
          <wp:inline distT="0" distB="0" distL="114300" distR="114300">
            <wp:extent cx="4124960" cy="2165350"/>
            <wp:effectExtent l="0" t="0" r="8890" b="6350"/>
            <wp:docPr id="2" name="图片 2"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
                    <pic:cNvPicPr>
                      <a:picLocks noChangeAspect="1"/>
                    </pic:cNvPicPr>
                  </pic:nvPicPr>
                  <pic:blipFill>
                    <a:blip r:embed="rId15"/>
                    <a:srcRect l="8102" t="6965" r="13576" b="19953"/>
                    <a:stretch>
                      <a:fillRect/>
                    </a:stretch>
                  </pic:blipFill>
                  <pic:spPr>
                    <a:xfrm>
                      <a:off x="0" y="0"/>
                      <a:ext cx="4124960" cy="2165350"/>
                    </a:xfrm>
                    <a:prstGeom prst="rect">
                      <a:avLst/>
                    </a:prstGeom>
                  </pic:spPr>
                </pic:pic>
              </a:graphicData>
            </a:graphic>
          </wp:inline>
        </w:drawing>
      </w:r>
      <w:bookmarkStart w:id="111" w:name="_GoBack"/>
      <w:bookmarkEnd w:id="111"/>
    </w:p>
    <w:p w14:paraId="4F5FF55D">
      <w:pPr>
        <w:pStyle w:val="115"/>
        <w:spacing w:before="120" w:after="120"/>
      </w:pPr>
      <w:r>
        <w:t>汽车紧固件生产工艺</w:t>
      </w:r>
    </w:p>
    <w:p w14:paraId="61878402">
      <w:pPr>
        <w:pStyle w:val="66"/>
        <w:spacing w:before="120" w:after="120"/>
      </w:pPr>
      <w:r>
        <w:rPr>
          <w:rFonts w:hint="eastAsia"/>
        </w:rPr>
        <w:t>运输与储存阶段</w:t>
      </w:r>
      <w:r>
        <w:rPr>
          <w:rFonts w:hint="eastAsia" w:ascii="MS Gothic" w:hAnsi="MS Gothic" w:eastAsia="MS Gothic" w:cs="MS Gothic"/>
        </w:rPr>
        <w:t>​</w:t>
      </w:r>
    </w:p>
    <w:p w14:paraId="52F6C2CA">
      <w:pPr>
        <w:pStyle w:val="57"/>
        <w:ind w:firstLine="420"/>
      </w:pPr>
      <w:r>
        <w:rPr>
          <w:rFonts w:hint="eastAsia"/>
        </w:rPr>
        <w:t>考虑原材料从供应商到生产厂、成品从生产厂到经销商或用户的运输过程，以及产品在仓库储存期间的温室气体排放。运输方式包括公路、铁路、水路、航空等，应根据实际情况确定。</w:t>
      </w:r>
      <w:r>
        <w:rPr>
          <w:rFonts w:hint="eastAsia" w:ascii="MS Gothic" w:hAnsi="MS Gothic" w:eastAsia="MS Gothic" w:cs="MS Gothic"/>
        </w:rPr>
        <w:t>​</w:t>
      </w:r>
    </w:p>
    <w:p w14:paraId="7DABD221">
      <w:pPr>
        <w:pStyle w:val="66"/>
        <w:spacing w:before="120" w:after="120"/>
      </w:pPr>
      <w:r>
        <w:rPr>
          <w:rFonts w:hint="eastAsia"/>
        </w:rPr>
        <w:t>使用阶段</w:t>
      </w:r>
      <w:r>
        <w:rPr>
          <w:rFonts w:hint="eastAsia" w:ascii="MS Gothic" w:hAnsi="MS Gothic" w:eastAsia="MS Gothic" w:cs="MS Gothic"/>
        </w:rPr>
        <w:t>​</w:t>
      </w:r>
    </w:p>
    <w:p w14:paraId="5087B254">
      <w:pPr>
        <w:pStyle w:val="57"/>
        <w:ind w:firstLine="420"/>
      </w:pPr>
      <w:r>
        <w:rPr>
          <w:rFonts w:hint="eastAsia"/>
        </w:rPr>
        <w:t>对于汽车紧固件在汽车使用过程中的温室气体排放，如因紧固件失效导致的维修、更换等活动产生的排放，宜进行量化。</w:t>
      </w:r>
      <w:r>
        <w:rPr>
          <w:rFonts w:hint="eastAsia" w:ascii="MS Gothic" w:hAnsi="MS Gothic" w:eastAsia="MS Gothic" w:cs="MS Gothic"/>
        </w:rPr>
        <w:t>​</w:t>
      </w:r>
    </w:p>
    <w:p w14:paraId="26AF94DC">
      <w:pPr>
        <w:pStyle w:val="66"/>
        <w:spacing w:before="120" w:after="120"/>
      </w:pPr>
      <w:r>
        <w:rPr>
          <w:rFonts w:hint="eastAsia"/>
        </w:rPr>
        <w:t>生命末期处理阶段</w:t>
      </w:r>
      <w:r>
        <w:rPr>
          <w:rFonts w:hint="eastAsia" w:ascii="MS Gothic" w:hAnsi="MS Gothic" w:eastAsia="MS Gothic" w:cs="MS Gothic"/>
        </w:rPr>
        <w:t>​</w:t>
      </w:r>
    </w:p>
    <w:p w14:paraId="45BE7D85">
      <w:pPr>
        <w:pStyle w:val="57"/>
        <w:ind w:firstLine="420"/>
      </w:pPr>
      <w:r>
        <w:rPr>
          <w:rFonts w:hint="eastAsia"/>
        </w:rPr>
        <w:t>包括汽车紧固件在汽车报废后，回收、再利用、处置等过程中的温室气体排放。</w:t>
      </w:r>
      <w:r>
        <w:rPr>
          <w:rFonts w:hint="eastAsia" w:ascii="MS Gothic" w:hAnsi="MS Gothic" w:eastAsia="MS Gothic" w:cs="MS Gothic"/>
        </w:rPr>
        <w:t>​</w:t>
      </w:r>
    </w:p>
    <w:p w14:paraId="267560CC">
      <w:pPr>
        <w:pStyle w:val="106"/>
        <w:spacing w:before="120" w:after="120"/>
      </w:pPr>
      <w:r>
        <w:rPr>
          <w:rFonts w:hint="eastAsia"/>
        </w:rPr>
        <w:t>地理边界</w:t>
      </w:r>
      <w:r>
        <w:rPr>
          <w:rFonts w:hint="eastAsia" w:ascii="MS Gothic" w:hAnsi="MS Gothic" w:eastAsia="MS Gothic" w:cs="MS Gothic"/>
        </w:rPr>
        <w:t>​</w:t>
      </w:r>
    </w:p>
    <w:p w14:paraId="4C9ABE28">
      <w:pPr>
        <w:pStyle w:val="57"/>
        <w:ind w:firstLine="420"/>
      </w:pPr>
      <w:r>
        <w:rPr>
          <w:rFonts w:hint="eastAsia"/>
        </w:rPr>
        <w:t>应明确数据收集的地理范围，例如原材料开采地、生产厂所在地、运输路线涉及的区域等。对于跨国生产和运输的产品，应分别说明不同阶段数据的地理来源。</w:t>
      </w:r>
    </w:p>
    <w:p w14:paraId="7DF68199">
      <w:pPr>
        <w:pStyle w:val="105"/>
        <w:spacing w:before="240" w:after="240"/>
      </w:pPr>
      <w:bookmarkStart w:id="79" w:name="_Toc194932452"/>
      <w:bookmarkStart w:id="80" w:name="_Toc194593846"/>
      <w:bookmarkStart w:id="81" w:name="_Toc194591299"/>
      <w:r>
        <w:rPr>
          <w:rFonts w:hint="eastAsia"/>
        </w:rPr>
        <w:t>数据收集与处理</w:t>
      </w:r>
      <w:bookmarkEnd w:id="79"/>
      <w:bookmarkEnd w:id="80"/>
      <w:bookmarkEnd w:id="81"/>
    </w:p>
    <w:p w14:paraId="1FE4E74B">
      <w:pPr>
        <w:pStyle w:val="106"/>
        <w:spacing w:before="120" w:after="120"/>
      </w:pPr>
      <w:r>
        <w:rPr>
          <w:rFonts w:hint="eastAsia"/>
        </w:rPr>
        <w:t>数据收集</w:t>
      </w:r>
      <w:r>
        <w:rPr>
          <w:rFonts w:hint="eastAsia" w:ascii="MS Gothic" w:hAnsi="MS Gothic" w:eastAsia="MS Gothic" w:cs="MS Gothic"/>
        </w:rPr>
        <w:t>​</w:t>
      </w:r>
    </w:p>
    <w:p w14:paraId="017816CE">
      <w:pPr>
        <w:pStyle w:val="66"/>
        <w:spacing w:before="120" w:after="120"/>
      </w:pPr>
      <w:r>
        <w:rPr>
          <w:rFonts w:hint="eastAsia"/>
        </w:rPr>
        <w:t>数据来源</w:t>
      </w:r>
      <w:r>
        <w:rPr>
          <w:rFonts w:hint="eastAsia" w:ascii="MS Gothic" w:hAnsi="MS Gothic" w:eastAsia="MS Gothic" w:cs="MS Gothic"/>
        </w:rPr>
        <w:t>​</w:t>
      </w:r>
    </w:p>
    <w:p w14:paraId="2F5CC1B8">
      <w:pPr>
        <w:pStyle w:val="165"/>
        <w:rPr>
          <w:rFonts w:ascii="MS Gothic" w:hAnsi="MS Gothic" w:cs="MS Gothic" w:eastAsiaTheme="minorEastAsia"/>
        </w:rPr>
      </w:pPr>
      <w:r>
        <w:rPr>
          <w:rFonts w:hint="eastAsia"/>
        </w:rPr>
        <w:t>优先使用企业内部的实测数据，如能源消耗计量数据、原材料采购记录等。当内部数据不可得时，可采用行业平均数据、公开数据库数据或通过模型估算的数据，但应说明数据来源和可靠性。</w:t>
      </w:r>
      <w:r>
        <w:rPr>
          <w:rFonts w:hint="eastAsia" w:ascii="MS Gothic" w:hAnsi="MS Gothic" w:eastAsia="MS Gothic" w:cs="MS Gothic"/>
        </w:rPr>
        <w:t>​</w:t>
      </w:r>
    </w:p>
    <w:p w14:paraId="41C235C9">
      <w:pPr>
        <w:pStyle w:val="165"/>
      </w:pPr>
      <w:r>
        <w:rPr>
          <w:rFonts w:hint="eastAsia"/>
        </w:rPr>
        <w:t>化石燃料消耗量可采用生产系统记录的计量数据,也可采用购销存台账和结算凭证中的统计数据。</w:t>
      </w:r>
    </w:p>
    <w:p w14:paraId="61797D09">
      <w:pPr>
        <w:pStyle w:val="165"/>
      </w:pPr>
      <w:r>
        <w:rPr>
          <w:rFonts w:hint="eastAsia"/>
        </w:rPr>
        <w:t>元素碳含量优先采用实测数据,未开展元素碳含量实测或元素碳含量实测不符合国家标准规定的，单位热值含碳量采用各燃料品种对应的缺省值。元素碳含量和低位发热量也可自行检测、委托检测或由供应商提供。</w:t>
      </w:r>
    </w:p>
    <w:p w14:paraId="40F35015">
      <w:pPr>
        <w:pStyle w:val="165"/>
      </w:pPr>
      <w:r>
        <w:rPr>
          <w:rFonts w:hint="eastAsia"/>
        </w:rPr>
        <w:t>低位发热量优先采用实测数据,无实测数据时采用规定的各燃料品种对应的缺省值。</w:t>
      </w:r>
    </w:p>
    <w:p w14:paraId="265D2E25">
      <w:pPr>
        <w:pStyle w:val="165"/>
      </w:pPr>
      <w:r>
        <w:rPr>
          <w:rFonts w:hint="eastAsia"/>
        </w:rPr>
        <w:t>固体燃料、液体燃料和气体燃料的碳氧化率采用各燃料品种对应的缺省值。</w:t>
      </w:r>
    </w:p>
    <w:p w14:paraId="55A7C07E">
      <w:pPr>
        <w:pStyle w:val="165"/>
      </w:pPr>
      <w:r>
        <w:rPr>
          <w:rFonts w:hint="eastAsia"/>
        </w:rPr>
        <w:t>热量数据可采用直接计量的热量数据、购销存台账中的消耗量数据、结算凭证上的数据。热力排放因子采用缺省值。</w:t>
      </w:r>
    </w:p>
    <w:p w14:paraId="27048182">
      <w:pPr>
        <w:pStyle w:val="165"/>
        <w:rPr>
          <w:rFonts w:eastAsiaTheme="minorEastAsia"/>
        </w:rPr>
      </w:pPr>
      <w:r>
        <w:rPr>
          <w:rFonts w:hint="eastAsia"/>
        </w:rPr>
        <w:t>电量可采用根据电表记录的统计数据、电费结算凭证上的数据。电力供应的二氧化碳排放因子采用国家最新发布的数值。</w:t>
      </w:r>
    </w:p>
    <w:p w14:paraId="11DC50D6">
      <w:pPr>
        <w:pStyle w:val="66"/>
        <w:spacing w:before="120" w:after="120"/>
      </w:pPr>
      <w:r>
        <w:rPr>
          <w:rFonts w:hint="eastAsia"/>
        </w:rPr>
        <w:t>数据质量</w:t>
      </w:r>
      <w:r>
        <w:rPr>
          <w:rFonts w:hint="eastAsia" w:ascii="MS Gothic" w:hAnsi="MS Gothic" w:eastAsia="MS Gothic" w:cs="MS Gothic"/>
        </w:rPr>
        <w:t>​</w:t>
      </w:r>
    </w:p>
    <w:p w14:paraId="0F718AF6">
      <w:pPr>
        <w:pStyle w:val="57"/>
        <w:ind w:firstLine="420"/>
      </w:pPr>
      <w:r>
        <w:rPr>
          <w:rFonts w:hint="eastAsia"/>
        </w:rPr>
        <w:t>确保数据的准确性、完整性和一致性。对数据进行审核和验证，检查数据是否存在异常值或缺失值。对于可疑数据，应进行调查和修正。</w:t>
      </w:r>
      <w:r>
        <w:rPr>
          <w:rFonts w:hint="eastAsia" w:ascii="MS Gothic" w:hAnsi="MS Gothic" w:eastAsia="MS Gothic" w:cs="MS Gothic"/>
        </w:rPr>
        <w:t>​</w:t>
      </w:r>
    </w:p>
    <w:p w14:paraId="22C8F422">
      <w:pPr>
        <w:pStyle w:val="66"/>
        <w:spacing w:before="120" w:after="120"/>
      </w:pPr>
      <w:r>
        <w:rPr>
          <w:rFonts w:hint="eastAsia"/>
        </w:rPr>
        <w:t>数据时间范围</w:t>
      </w:r>
      <w:r>
        <w:rPr>
          <w:rFonts w:hint="eastAsia" w:ascii="MS Gothic" w:hAnsi="MS Gothic" w:eastAsia="MS Gothic" w:cs="MS Gothic"/>
        </w:rPr>
        <w:t>​</w:t>
      </w:r>
    </w:p>
    <w:p w14:paraId="705A2283">
      <w:pPr>
        <w:pStyle w:val="57"/>
        <w:ind w:firstLine="420"/>
      </w:pPr>
      <w:r>
        <w:rPr>
          <w:rFonts w:hint="eastAsia"/>
        </w:rPr>
        <w:t>数据应反映产品近期的生产和运营情况，一般应收集近 3 年内的数据。如产品生产工艺或原材料来源发生重大变化，应重新收集相关数据。</w:t>
      </w:r>
    </w:p>
    <w:p w14:paraId="3AF440F8">
      <w:pPr>
        <w:pStyle w:val="106"/>
        <w:spacing w:before="120" w:after="120"/>
      </w:pPr>
      <w:r>
        <w:rPr>
          <w:rFonts w:hint="eastAsia"/>
        </w:rPr>
        <w:t>数据处理</w:t>
      </w:r>
      <w:r>
        <w:rPr>
          <w:rFonts w:hint="eastAsia" w:ascii="MS Gothic" w:hAnsi="MS Gothic" w:eastAsia="MS Gothic" w:cs="MS Gothic"/>
        </w:rPr>
        <w:t>​</w:t>
      </w:r>
    </w:p>
    <w:p w14:paraId="0456B288">
      <w:pPr>
        <w:pStyle w:val="66"/>
        <w:spacing w:before="120" w:after="120"/>
      </w:pPr>
      <w:r>
        <w:rPr>
          <w:rFonts w:hint="eastAsia"/>
        </w:rPr>
        <w:t>数据分类</w:t>
      </w:r>
      <w:r>
        <w:rPr>
          <w:rFonts w:hint="eastAsia" w:ascii="MS Gothic" w:hAnsi="MS Gothic" w:eastAsia="MS Gothic" w:cs="MS Gothic"/>
        </w:rPr>
        <w:t>​</w:t>
      </w:r>
    </w:p>
    <w:p w14:paraId="60B5DF92">
      <w:pPr>
        <w:pStyle w:val="57"/>
        <w:ind w:firstLine="420"/>
      </w:pPr>
      <w:r>
        <w:rPr>
          <w:rFonts w:hint="eastAsia"/>
        </w:rPr>
        <w:t>将收集到的数据按照生命周期阶段、温室气体种类、地理区域等进行分类整理，便于后续的计算和分析。</w:t>
      </w:r>
      <w:r>
        <w:rPr>
          <w:rFonts w:hint="eastAsia" w:ascii="MS Gothic" w:hAnsi="MS Gothic" w:eastAsia="MS Gothic" w:cs="MS Gothic"/>
        </w:rPr>
        <w:t>​</w:t>
      </w:r>
    </w:p>
    <w:p w14:paraId="35D551FB">
      <w:pPr>
        <w:pStyle w:val="66"/>
        <w:spacing w:before="120" w:after="120"/>
      </w:pPr>
      <w:r>
        <w:rPr>
          <w:rFonts w:hint="eastAsia"/>
        </w:rPr>
        <w:t>数据分配</w:t>
      </w:r>
      <w:r>
        <w:rPr>
          <w:rFonts w:hint="eastAsia" w:ascii="MS Gothic" w:hAnsi="MS Gothic" w:eastAsia="MS Gothic" w:cs="MS Gothic"/>
        </w:rPr>
        <w:t>​</w:t>
      </w:r>
    </w:p>
    <w:p w14:paraId="1D56CA75">
      <w:pPr>
        <w:pStyle w:val="57"/>
        <w:ind w:firstLine="420"/>
      </w:pPr>
      <w:r>
        <w:rPr>
          <w:rFonts w:hint="eastAsia"/>
        </w:rPr>
        <w:t>当一个过程或活动涉及多种产品或功能时，应采用合理的方法将该过程的温室气体排放分配到不同的产品或功能上。分配方法可基于质量、能量、经济价值等因素，且应在报告中明确说明。</w:t>
      </w:r>
      <w:r>
        <w:rPr>
          <w:rFonts w:hint="eastAsia" w:ascii="MS Gothic" w:hAnsi="MS Gothic" w:eastAsia="MS Gothic" w:cs="MS Gothic"/>
        </w:rPr>
        <w:t>​</w:t>
      </w:r>
    </w:p>
    <w:p w14:paraId="15839B5F">
      <w:pPr>
        <w:pStyle w:val="66"/>
        <w:spacing w:before="120" w:after="120"/>
      </w:pPr>
      <w:r>
        <w:rPr>
          <w:rFonts w:hint="eastAsia"/>
        </w:rPr>
        <w:t>数据取舍准则</w:t>
      </w:r>
      <w:r>
        <w:rPr>
          <w:rFonts w:hint="eastAsia" w:ascii="MS Gothic" w:hAnsi="MS Gothic" w:eastAsia="MS Gothic" w:cs="MS Gothic"/>
        </w:rPr>
        <w:t>​</w:t>
      </w:r>
    </w:p>
    <w:p w14:paraId="1446D873">
      <w:pPr>
        <w:pStyle w:val="57"/>
        <w:ind w:firstLine="420"/>
      </w:pPr>
      <w:r>
        <w:rPr>
          <w:rFonts w:hint="eastAsia"/>
        </w:rPr>
        <w:t>对于对产品碳足迹影响较小的活动或数据，在不影响结果准确性和完整性的前提下，可根据一定的阈值进行取舍。阈值的设定应基于科学判断，并在报告中说明。</w:t>
      </w:r>
    </w:p>
    <w:p w14:paraId="6FFAB57E">
      <w:pPr>
        <w:pStyle w:val="106"/>
        <w:spacing w:before="120" w:after="120"/>
      </w:pPr>
      <w:r>
        <w:t>数据监测</w:t>
      </w:r>
    </w:p>
    <w:p w14:paraId="1CFE09DF">
      <w:pPr>
        <w:pStyle w:val="166"/>
      </w:pPr>
      <w:r>
        <w:rPr>
          <w:rFonts w:hint="eastAsia"/>
        </w:rPr>
        <w:t>与二氧化碳排放统计相关的计量监测衡器、电能表、流量表、温度仪表、压力仪表等能源计量器具的准确度等级应符合 GB 17167 有关规定，计量器具应确保在有效的检验周期内。</w:t>
      </w:r>
    </w:p>
    <w:p w14:paraId="71F531EB">
      <w:pPr>
        <w:pStyle w:val="166"/>
      </w:pPr>
      <w:r>
        <w:rPr>
          <w:rFonts w:hint="eastAsia"/>
        </w:rPr>
        <w:t>气体燃料组分测定执行 GB/T 13610、GB/T 8984、GB/T 12208 和 GB/T 10410 有关规定。</w:t>
      </w:r>
    </w:p>
    <w:p w14:paraId="7527DFAA">
      <w:pPr>
        <w:pStyle w:val="166"/>
      </w:pPr>
      <w:r>
        <w:rPr>
          <w:rFonts w:hint="eastAsia"/>
        </w:rPr>
        <w:t>固体燃料低位发热量的测定执行 GB/T 213 有关规定。</w:t>
      </w:r>
    </w:p>
    <w:p w14:paraId="3E06435D">
      <w:pPr>
        <w:pStyle w:val="105"/>
        <w:spacing w:before="240" w:after="240"/>
      </w:pPr>
      <w:bookmarkStart w:id="82" w:name="_Toc194591300"/>
      <w:bookmarkStart w:id="83" w:name="_Toc194932453"/>
      <w:bookmarkStart w:id="84" w:name="_Toc194593847"/>
      <w:r>
        <w:t>量化方法</w:t>
      </w:r>
      <w:bookmarkEnd w:id="82"/>
      <w:bookmarkEnd w:id="83"/>
      <w:bookmarkEnd w:id="84"/>
    </w:p>
    <w:p w14:paraId="66334468">
      <w:pPr>
        <w:pStyle w:val="106"/>
        <w:spacing w:before="120" w:after="120"/>
      </w:pPr>
      <w:r>
        <w:rPr>
          <w:rFonts w:hint="eastAsia"/>
        </w:rPr>
        <w:t>清单分析</w:t>
      </w:r>
      <w:r>
        <w:rPr>
          <w:rFonts w:hint="eastAsia" w:ascii="MS Gothic" w:hAnsi="MS Gothic" w:eastAsia="MS Gothic" w:cs="MS Gothic"/>
        </w:rPr>
        <w:t>​</w:t>
      </w:r>
    </w:p>
    <w:p w14:paraId="1D108323">
      <w:pPr>
        <w:pStyle w:val="57"/>
        <w:ind w:firstLine="420"/>
      </w:pPr>
      <w:r>
        <w:rPr>
          <w:rFonts w:hint="eastAsia"/>
        </w:rPr>
        <w:t>根据数据收集结果，编制汽车紧固件生命周期内各阶段的温室气体排放清单。清单应包括每种温室气体的排放量、燃料燃烧排放量、能源作为原材料用途的排放量、净购入热力产生的排放量、原材料的排放量、排放源及相关活动数据。</w:t>
      </w:r>
      <w:r>
        <w:rPr>
          <w:rFonts w:hint="eastAsia" w:ascii="MS Gothic" w:hAnsi="MS Gothic" w:eastAsia="MS Gothic" w:cs="MS Gothic"/>
        </w:rPr>
        <w:t>​</w:t>
      </w:r>
    </w:p>
    <w:p w14:paraId="400FF340">
      <w:pPr>
        <w:pStyle w:val="106"/>
        <w:spacing w:before="120" w:after="120"/>
      </w:pPr>
      <w:r>
        <w:rPr>
          <w:rFonts w:hint="eastAsia"/>
        </w:rPr>
        <w:t>温室气体排放量计算方法</w:t>
      </w:r>
      <w:r>
        <w:t xml:space="preserve"> </w:t>
      </w:r>
    </w:p>
    <w:p w14:paraId="3450AE06">
      <w:pPr>
        <w:pStyle w:val="66"/>
        <w:spacing w:before="120" w:after="120"/>
      </w:pPr>
      <w:r>
        <w:t>概述</w:t>
      </w:r>
    </w:p>
    <w:p w14:paraId="62CF0333">
      <w:pPr>
        <w:pStyle w:val="57"/>
        <w:ind w:firstLine="420"/>
      </w:pPr>
      <w:r>
        <w:rPr>
          <w:rFonts w:hint="eastAsia"/>
        </w:rPr>
        <w:t>汽车紧固件产品温室气体排放量等于系统边界内所有原材料获取阶段的温室气体排放量、生产过程产生的温室气体排放量与产品运输阶段产生的温室气体排放量之和，按式（1）计算：</w:t>
      </w:r>
    </w:p>
    <w:p w14:paraId="0C78272F">
      <w:pPr>
        <w:pStyle w:val="114"/>
      </w:pPr>
      <w:r>
        <w:tab/>
      </w:r>
      <m:oMath>
        <w:bookmarkStart w:id="85" w:name="OLE_LINK6"/>
        <m:r>
          <m:rPr>
            <m:sty m:val="p"/>
          </m:rPr>
          <w:rPr>
            <w:rFonts w:ascii="Cambria Math" w:hAnsi="Cambria Math"/>
          </w:rPr>
          <m:t>E</m:t>
        </m:r>
        <w:bookmarkEnd w:id="85"/>
        <m:r>
          <m:rPr>
            <m:sty m:val="p"/>
          </m:rPr>
          <w:rPr>
            <w:rFonts w:ascii="Cambria Math" w:hAnsi="Cambria Math"/>
          </w:rPr>
          <m:t>=</m:t>
        </m:r>
        <m:sSub>
          <m:sSubPr>
            <m:ctrlPr>
              <w:rPr>
                <w:rFonts w:ascii="Cambria Math" w:hAnsi="Cambria Math"/>
              </w:rPr>
            </m:ctrlPr>
          </m:sSubPr>
          <m:e>
            <m:r>
              <m:rPr>
                <m:sty m:val="p"/>
              </m:rPr>
              <w:rPr>
                <w:rFonts w:ascii="Cambria Math" w:hAnsi="Cambria Math"/>
              </w:rPr>
              <m:t>E</m:t>
            </m:r>
            <m:ctrlPr>
              <w:rPr>
                <w:rFonts w:ascii="Cambria Math" w:hAnsi="Cambria Math"/>
              </w:rPr>
            </m:ctrlPr>
          </m:e>
          <m:sub>
            <m:r>
              <m:rPr/>
              <w:rPr>
                <w:rFonts w:ascii="Cambria Math" w:hAnsi="Cambria Math"/>
              </w:rPr>
              <m:t>原材料总</m:t>
            </m:r>
            <m:ctrlPr>
              <w:rPr>
                <w:rFonts w:ascii="Cambria Math" w:hAnsi="Cambria Math"/>
              </w:rPr>
            </m:ctrlPr>
          </m:sub>
        </m:sSub>
        <m:r>
          <m:rPr/>
          <w:rPr>
            <w:rFonts w:ascii="Cambria Math" w:hAnsi="Cambria Math"/>
          </w:rPr>
          <m:t>+</m:t>
        </m:r>
        <m:sSub>
          <m:sSubPr>
            <m:ctrlPr>
              <w:rPr>
                <w:rFonts w:ascii="Cambria Math" w:hAnsi="Cambria Math"/>
                <w:i/>
              </w:rPr>
            </m:ctrlPr>
          </m:sSubPr>
          <m:e>
            <m:r>
              <m:rPr>
                <m:sty m:val="p"/>
              </m:rPr>
              <w:rPr>
                <w:rFonts w:ascii="Cambria Math" w:hAnsi="Cambria Math"/>
              </w:rPr>
              <m:t>E</m:t>
            </m:r>
            <m:ctrlPr>
              <w:rPr>
                <w:rFonts w:ascii="Cambria Math" w:hAnsi="Cambria Math"/>
                <w:i/>
              </w:rPr>
            </m:ctrlPr>
          </m:e>
          <m:sub>
            <m:r>
              <m:rPr/>
              <w:rPr>
                <w:rFonts w:ascii="Cambria Math" w:hAnsi="Cambria Math"/>
              </w:rPr>
              <m:t>生产</m:t>
            </m:r>
            <m:ctrlPr>
              <w:rPr>
                <w:rFonts w:ascii="Cambria Math" w:hAnsi="Cambria Math"/>
                <w:i/>
              </w:rPr>
            </m:ctrlPr>
          </m:sub>
        </m:sSub>
        <m:r>
          <m:rPr/>
          <w:rPr>
            <w:rFonts w:ascii="Cambria Math" w:hAnsi="Cambria Math"/>
          </w:rPr>
          <m:t>+</m:t>
        </m:r>
        <m:sSub>
          <m:sSubPr>
            <m:ctrlPr>
              <w:rPr>
                <w:rFonts w:ascii="Cambria Math" w:hAnsi="Cambria Math"/>
                <w:i/>
              </w:rPr>
            </m:ctrlPr>
          </m:sSubPr>
          <m:e>
            <m:r>
              <m:rPr>
                <m:sty m:val="p"/>
              </m:rPr>
              <w:rPr>
                <w:rFonts w:ascii="Cambria Math" w:hAnsi="Cambria Math"/>
              </w:rPr>
              <m:t>E</m:t>
            </m:r>
            <m:ctrlPr>
              <w:rPr>
                <w:rFonts w:ascii="Cambria Math" w:hAnsi="Cambria Math"/>
                <w:i/>
              </w:rPr>
            </m:ctrlPr>
          </m:e>
          <m:sub>
            <m:r>
              <m:rPr/>
              <w:rPr>
                <w:rFonts w:ascii="Cambria Math" w:hAnsi="Cambria Math"/>
              </w:rPr>
              <m:t>运输</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3C22C4A3">
      <w:pPr>
        <w:pStyle w:val="56"/>
        <w:ind w:firstLine="420"/>
      </w:pPr>
      <w:r>
        <w:rPr>
          <w:rFonts w:hint="eastAsia"/>
        </w:rPr>
        <w:t>式中：</w:t>
      </w:r>
    </w:p>
    <w:p w14:paraId="48D49487">
      <w:pPr>
        <w:pStyle w:val="57"/>
        <w:ind w:firstLine="420"/>
      </w:pPr>
      <m:oMath>
        <m:r>
          <m:rPr>
            <m:sty m:val="p"/>
          </m:rPr>
          <w:rPr>
            <w:rFonts w:ascii="Cambria Math" w:hAnsi="Cambria Math"/>
          </w:rPr>
          <m:t>E</m:t>
        </m:r>
      </m:oMath>
      <w:r>
        <w:rPr>
          <w:rFonts w:hint="eastAsia"/>
        </w:rPr>
        <w:t>——生命周期内，汽车紧固件产品的温室气体排放量，单位为吨二氧化碳（tCO</w:t>
      </w:r>
      <w:r>
        <w:rPr>
          <w:rFonts w:hint="eastAsia"/>
          <w:vertAlign w:val="subscript"/>
        </w:rPr>
        <w:t>2</w:t>
      </w:r>
      <w:r>
        <w:rPr>
          <w:rFonts w:hint="eastAsia"/>
        </w:rPr>
        <w:t>）；</w:t>
      </w:r>
    </w:p>
    <w:p w14:paraId="4C347F4D">
      <w:pPr>
        <w:pStyle w:val="57"/>
        <w:ind w:firstLine="420"/>
      </w:pPr>
      <m:oMath>
        <m:sSub>
          <m:sSubPr>
            <m:ctrlPr>
              <w:rPr>
                <w:rFonts w:ascii="Cambria Math" w:hAnsi="Cambria Math"/>
                <w:kern w:val="2"/>
                <w:szCs w:val="21"/>
              </w:rPr>
            </m:ctrlPr>
          </m:sSubPr>
          <m:e>
            <m:r>
              <m:rPr>
                <m:sty m:val="p"/>
              </m:rPr>
              <w:rPr>
                <w:rFonts w:ascii="Cambria Math" w:hAnsi="Cambria Math"/>
              </w:rPr>
              <m:t>E</m:t>
            </m:r>
            <m:ctrlPr>
              <w:rPr>
                <w:rFonts w:ascii="Cambria Math" w:hAnsi="Cambria Math"/>
                <w:kern w:val="2"/>
                <w:szCs w:val="21"/>
              </w:rPr>
            </m:ctrlPr>
          </m:e>
          <m:sub>
            <m:r>
              <m:rPr/>
              <w:rPr>
                <w:rFonts w:ascii="Cambria Math" w:hAnsi="Cambria Math"/>
              </w:rPr>
              <m:t>原材料总</m:t>
            </m:r>
            <m:ctrlPr>
              <w:rPr>
                <w:rFonts w:ascii="Cambria Math" w:hAnsi="Cambria Math"/>
                <w:kern w:val="2"/>
                <w:szCs w:val="21"/>
              </w:rPr>
            </m:ctrlPr>
          </m:sub>
        </m:sSub>
      </m:oMath>
      <w:r>
        <w:rPr>
          <w:rFonts w:hint="eastAsia"/>
        </w:rPr>
        <w:t>——系统边界内所有原材料获取阶段的温室气体排放量，单位为吨二氧化碳（tCO</w:t>
      </w:r>
      <w:r>
        <w:rPr>
          <w:rFonts w:hint="eastAsia"/>
          <w:vertAlign w:val="subscript"/>
        </w:rPr>
        <w:t>2</w:t>
      </w:r>
      <w:r>
        <w:rPr>
          <w:rFonts w:hint="eastAsia"/>
        </w:rPr>
        <w:t>）；</w:t>
      </w:r>
    </w:p>
    <w:p w14:paraId="28FF14E8">
      <w:pPr>
        <w:pStyle w:val="57"/>
        <w:ind w:firstLine="420"/>
      </w:pPr>
      <m:oMath>
        <m:sSub>
          <m:sSubPr>
            <m:ctrlPr>
              <w:rPr>
                <w:rFonts w:ascii="Cambria Math" w:hAnsi="Cambria Math"/>
                <w:i/>
                <w:kern w:val="2"/>
                <w:szCs w:val="21"/>
              </w:rPr>
            </m:ctrlPr>
          </m:sSubPr>
          <m:e>
            <m:r>
              <m:rPr>
                <m:sty m:val="p"/>
              </m:rPr>
              <w:rPr>
                <w:rFonts w:ascii="Cambria Math" w:hAnsi="Cambria Math"/>
              </w:rPr>
              <m:t>E</m:t>
            </m:r>
            <m:ctrlPr>
              <w:rPr>
                <w:rFonts w:ascii="Cambria Math" w:hAnsi="Cambria Math"/>
                <w:i/>
                <w:kern w:val="2"/>
                <w:szCs w:val="21"/>
              </w:rPr>
            </m:ctrlPr>
          </m:e>
          <m:sub>
            <m:r>
              <m:rPr/>
              <w:rPr>
                <w:rFonts w:ascii="Cambria Math" w:hAnsi="Cambria Math"/>
              </w:rPr>
              <m:t>生产</m:t>
            </m:r>
            <m:ctrlPr>
              <w:rPr>
                <w:rFonts w:ascii="Cambria Math" w:hAnsi="Cambria Math"/>
                <w:i/>
                <w:kern w:val="2"/>
                <w:szCs w:val="21"/>
              </w:rPr>
            </m:ctrlPr>
          </m:sub>
        </m:sSub>
      </m:oMath>
      <w:r>
        <w:rPr>
          <w:rFonts w:hint="eastAsia"/>
        </w:rPr>
        <w:t>——系统边界内产品生产过程产生的温室气体排放量，单位为吨二氧化碳（tCO</w:t>
      </w:r>
      <w:r>
        <w:rPr>
          <w:rFonts w:hint="eastAsia"/>
          <w:vertAlign w:val="subscript"/>
        </w:rPr>
        <w:t>2</w:t>
      </w:r>
      <w:r>
        <w:rPr>
          <w:rFonts w:hint="eastAsia"/>
        </w:rPr>
        <w:t>）；</w:t>
      </w:r>
    </w:p>
    <w:p w14:paraId="1D05DF23">
      <w:pPr>
        <w:pStyle w:val="57"/>
        <w:ind w:firstLine="420"/>
      </w:pPr>
      <m:oMath>
        <m:sSub>
          <m:sSubPr>
            <m:ctrlPr>
              <w:rPr>
                <w:rFonts w:ascii="Cambria Math" w:hAnsi="Cambria Math"/>
                <w:i/>
                <w:kern w:val="2"/>
                <w:szCs w:val="21"/>
              </w:rPr>
            </m:ctrlPr>
          </m:sSubPr>
          <m:e>
            <m:r>
              <m:rPr>
                <m:sty m:val="p"/>
              </m:rPr>
              <w:rPr>
                <w:rFonts w:ascii="Cambria Math" w:hAnsi="Cambria Math"/>
              </w:rPr>
              <m:t>E</m:t>
            </m:r>
            <m:ctrlPr>
              <w:rPr>
                <w:rFonts w:ascii="Cambria Math" w:hAnsi="Cambria Math"/>
                <w:i/>
                <w:kern w:val="2"/>
                <w:szCs w:val="21"/>
              </w:rPr>
            </m:ctrlPr>
          </m:e>
          <m:sub>
            <m:r>
              <m:rPr/>
              <w:rPr>
                <w:rFonts w:ascii="Cambria Math" w:hAnsi="Cambria Math"/>
              </w:rPr>
              <m:t>运输</m:t>
            </m:r>
            <m:ctrlPr>
              <w:rPr>
                <w:rFonts w:ascii="Cambria Math" w:hAnsi="Cambria Math"/>
                <w:i/>
                <w:kern w:val="2"/>
                <w:szCs w:val="21"/>
              </w:rPr>
            </m:ctrlPr>
          </m:sub>
        </m:sSub>
      </m:oMath>
      <w:r>
        <w:rPr>
          <w:rFonts w:hint="eastAsia"/>
        </w:rPr>
        <w:t>——系统边界内产品生产后运输阶段产生的温室气体排放量，单位为吨二氧化碳（tCO</w:t>
      </w:r>
      <w:r>
        <w:rPr>
          <w:rFonts w:hint="eastAsia"/>
          <w:vertAlign w:val="subscript"/>
        </w:rPr>
        <w:t>2</w:t>
      </w:r>
      <w:r>
        <w:rPr>
          <w:rFonts w:hint="eastAsia"/>
        </w:rPr>
        <w:t>）。</w:t>
      </w:r>
    </w:p>
    <w:p w14:paraId="4A17C153">
      <w:pPr>
        <w:pStyle w:val="66"/>
        <w:spacing w:before="120" w:after="120"/>
      </w:pPr>
      <w:r>
        <w:rPr>
          <w:rFonts w:hint="eastAsia"/>
        </w:rPr>
        <w:t>原材料总排放</w:t>
      </w:r>
    </w:p>
    <w:p w14:paraId="59A65CDE">
      <w:pPr>
        <w:pStyle w:val="57"/>
        <w:ind w:firstLine="420"/>
      </w:pPr>
      <w:r>
        <w:rPr>
          <w:rFonts w:hint="eastAsia"/>
        </w:rPr>
        <w:t>所需的活动水平数据，采用企业购买数据，对液体或气体能源，单位为吨（t）。原材料总排放按式（2）计算，原材料的生产碳排放量按式（3）计算，汽车紧固件生产中，一部分渗碳气氛会作为原材料被消耗，这是由于发生化学反应后生成的活性碳原子进入到产品中，并未通过直接燃烧产生二氧化碳排放。能源作为原材料用途的二氧化碳排放量按式（4）计算：</w:t>
      </w:r>
    </w:p>
    <w:p w14:paraId="4953788D">
      <w:pPr>
        <w:pStyle w:val="114"/>
      </w:pPr>
      <w:r>
        <w:tab/>
      </w:r>
      <m:oMath>
        <m:sSub>
          <m:sSubPr>
            <m:ctrlPr>
              <w:rPr>
                <w:rFonts w:ascii="Cambria Math" w:hAnsi="Cambria Math"/>
              </w:rPr>
            </m:ctrlPr>
          </m:sSubPr>
          <m:e>
            <m:r>
              <m:rPr>
                <m:sty m:val="p"/>
              </m:rPr>
              <w:rPr>
                <w:rFonts w:ascii="Cambria Math" w:hAnsi="Cambria Math"/>
              </w:rPr>
              <m:t>E</m:t>
            </m:r>
            <m:ctrlPr>
              <w:rPr>
                <w:rFonts w:ascii="Cambria Math" w:hAnsi="Cambria Math"/>
              </w:rPr>
            </m:ctrlPr>
          </m:e>
          <m:sub>
            <m:r>
              <m:rPr/>
              <w:rPr>
                <w:rFonts w:ascii="Cambria Math" w:hAnsi="Cambria Math"/>
              </w:rPr>
              <m:t>原材料总</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m:t>
            </m:r>
            <m:ctrlPr>
              <w:rPr>
                <w:rFonts w:ascii="Cambria Math" w:hAnsi="Cambria Math"/>
              </w:rPr>
            </m:ctrlPr>
          </m:e>
          <m:sub>
            <m:r>
              <m:rPr/>
              <w:rPr>
                <w:rFonts w:ascii="Cambria Math" w:hAnsi="Cambria Math"/>
              </w:rPr>
              <m:t>原材料</m:t>
            </m:r>
            <m:ctrlPr>
              <w:rPr>
                <w:rFonts w:ascii="Cambria Math" w:hAnsi="Cambria Math"/>
              </w:rPr>
            </m:ctrlPr>
          </m:sub>
        </m:sSub>
        <m:r>
          <m:rPr/>
          <w:rPr>
            <w:rFonts w:ascii="Cambria Math" w:hAnsi="Cambria Math"/>
          </w:rPr>
          <m:t>+</m:t>
        </m:r>
        <m:sSub>
          <m:sSubPr>
            <m:ctrlPr>
              <w:rPr>
                <w:rFonts w:ascii="Cambria Math" w:hAnsi="Cambria Math"/>
                <w:i/>
              </w:rPr>
            </m:ctrlPr>
          </m:sSubPr>
          <m:e>
            <m:r>
              <m:rPr>
                <m:sty m:val="p"/>
              </m:rPr>
              <w:rPr>
                <w:rFonts w:ascii="Cambria Math" w:hAnsi="Cambria Math"/>
              </w:rPr>
              <m:t>E</m:t>
            </m:r>
            <m:ctrlPr>
              <w:rPr>
                <w:rFonts w:ascii="Cambria Math" w:hAnsi="Cambria Math"/>
                <w:i/>
              </w:rPr>
            </m:ctrlPr>
          </m:e>
          <m:sub>
            <m:r>
              <m:rPr/>
              <w:rPr>
                <w:rFonts w:hint="eastAsia" w:ascii="Cambria Math" w:hAnsi="Cambria Math"/>
              </w:rPr>
              <m:t>能源</m:t>
            </m:r>
            <m:r>
              <m:rPr/>
              <w:rPr>
                <w:rFonts w:ascii="Cambria Math" w:hAnsi="Cambria Math"/>
              </w:rPr>
              <m:t>原材料</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497C54C9">
      <w:pPr>
        <w:pStyle w:val="114"/>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原材料</m:t>
            </m:r>
            <m:ctrlPr>
              <w:rPr>
                <w:rFonts w:ascii="Cambria Math" w:hAnsi="Cambria Math"/>
              </w:rPr>
            </m:ctrlPr>
          </m:sub>
        </m:sSub>
        <m:r>
          <m:rPr>
            <m:sty m:val="p"/>
          </m:rPr>
          <w:rPr>
            <w:rFonts w:ascii="Cambria Math" w:hAnsi="Cambria Math"/>
          </w:rPr>
          <m:t>=</m:t>
        </m:r>
        <m:d>
          <m:dPr>
            <m:ctrlPr>
              <w:rPr>
                <w:rFonts w:ascii="Cambria Math" w:hAnsi="Cambria Math"/>
              </w:rPr>
            </m:ctrlPr>
          </m:dPr>
          <m:e>
            <m:r>
              <m:rPr/>
              <w:rPr>
                <w:rFonts w:ascii="Cambria Math" w:hAnsi="Cambria Math"/>
              </w:rPr>
              <m:t>1−β</m:t>
            </m:r>
            <m:ctrlPr>
              <w:rPr>
                <w:rFonts w:ascii="Cambria Math" w:hAnsi="Cambria Math"/>
              </w:rPr>
            </m:ctrlPr>
          </m:e>
        </m:d>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其他原材料</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其他原材料</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21A2AB6F">
      <w:pPr>
        <w:pStyle w:val="114"/>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能源原材料</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能源原材料</m:t>
            </m:r>
            <m:ctrlPr>
              <w:rPr>
                <w:rFonts w:ascii="Cambria Math" w:hAnsi="Cambria Math"/>
              </w:rPr>
            </m:ctrlPr>
          </m:sub>
        </m:sSub>
        <m:r>
          <m:rPr/>
          <w:rPr>
            <w:rFonts w:ascii="Cambria Math" w:hAnsi="Cambria Math"/>
          </w:rPr>
          <m:t>×α×</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渗碳气氛</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1010AAAD">
      <w:pPr>
        <w:pStyle w:val="56"/>
        <w:ind w:firstLine="420"/>
      </w:pPr>
      <w:r>
        <w:rPr>
          <w:rFonts w:hint="eastAsia"/>
        </w:rPr>
        <w:t>式中：</w:t>
      </w:r>
    </w:p>
    <w:p w14:paraId="28AF9F44">
      <w:pPr>
        <w:pStyle w:val="57"/>
        <w:ind w:firstLine="420"/>
      </w:pPr>
      <m:oMath>
        <m:sSub>
          <m:sSubPr>
            <m:ctrlPr>
              <w:rPr>
                <w:rFonts w:ascii="Cambria Math" w:hAnsi="Cambria Math"/>
                <w:kern w:val="2"/>
                <w:szCs w:val="21"/>
              </w:rPr>
            </m:ctrlPr>
          </m:sSubPr>
          <m:e>
            <m:r>
              <m:rPr/>
              <w:rPr>
                <w:rFonts w:ascii="Cambria Math" w:hAnsi="Cambria Math"/>
              </w:rPr>
              <m:t>E</m:t>
            </m:r>
            <m:ctrlPr>
              <w:rPr>
                <w:rFonts w:ascii="Cambria Math" w:hAnsi="Cambria Math"/>
                <w:kern w:val="2"/>
                <w:szCs w:val="21"/>
              </w:rPr>
            </m:ctrlPr>
          </m:e>
          <m:sub>
            <m:r>
              <m:rPr/>
              <w:rPr>
                <w:rFonts w:ascii="Cambria Math" w:hAnsi="Cambria Math"/>
              </w:rPr>
              <m:t>原材料</m:t>
            </m:r>
            <m:ctrlPr>
              <w:rPr>
                <w:rFonts w:ascii="Cambria Math" w:hAnsi="Cambria Math"/>
                <w:kern w:val="2"/>
                <w:szCs w:val="21"/>
              </w:rPr>
            </m:ctrlPr>
          </m:sub>
        </m:sSub>
      </m:oMath>
      <w:r>
        <w:rPr>
          <w:rFonts w:hint="eastAsia"/>
        </w:rPr>
        <w:t>——原材料生产过程中的排放总量，单位为吨二氧化碳（tCO</w:t>
      </w:r>
      <w:r>
        <w:rPr>
          <w:rFonts w:hint="eastAsia"/>
          <w:vertAlign w:val="subscript"/>
        </w:rPr>
        <w:t>2</w:t>
      </w:r>
      <w:r>
        <w:rPr>
          <w:rFonts w:hint="eastAsia"/>
        </w:rPr>
        <w:t>）；</w:t>
      </w:r>
    </w:p>
    <w:p w14:paraId="193F5CD8">
      <w:pPr>
        <w:pStyle w:val="57"/>
        <w:ind w:firstLine="420"/>
      </w:pPr>
      <m:oMath>
        <m:r>
          <m:rPr/>
          <w:rPr>
            <w:rFonts w:ascii="Cambria Math" w:hAnsi="Cambria Math"/>
          </w:rPr>
          <m:t>β</m:t>
        </m:r>
      </m:oMath>
      <w:r>
        <w:rPr>
          <w:rFonts w:hint="eastAsia"/>
        </w:rPr>
        <w:t>——金属原材料回收率；</w:t>
      </w:r>
    </w:p>
    <w:p w14:paraId="6512D10C">
      <w:pPr>
        <w:pStyle w:val="57"/>
        <w:ind w:firstLine="420"/>
      </w:pPr>
      <m:oMath>
        <m:sSub>
          <m:sSubPr>
            <m:ctrlPr>
              <w:rPr>
                <w:rFonts w:ascii="Cambria Math" w:hAnsi="Cambria Math"/>
                <w:i/>
                <w:kern w:val="2"/>
                <w:szCs w:val="21"/>
              </w:rPr>
            </m:ctrlPr>
          </m:sSubPr>
          <m:e>
            <m:r>
              <m:rPr/>
              <w:rPr>
                <w:rFonts w:ascii="Cambria Math" w:hAnsi="Cambria Math"/>
              </w:rPr>
              <m:t>EF</m:t>
            </m:r>
            <m:ctrlPr>
              <w:rPr>
                <w:rFonts w:ascii="Cambria Math" w:hAnsi="Cambria Math"/>
                <w:i/>
                <w:kern w:val="2"/>
                <w:szCs w:val="21"/>
              </w:rPr>
            </m:ctrlPr>
          </m:e>
          <m:sub>
            <m:r>
              <m:rPr/>
              <w:rPr>
                <w:rFonts w:ascii="Cambria Math" w:hAnsi="Cambria Math"/>
              </w:rPr>
              <m:t>m</m:t>
            </m:r>
            <m:ctrlPr>
              <w:rPr>
                <w:rFonts w:ascii="Cambria Math" w:hAnsi="Cambria Math"/>
                <w:i/>
                <w:kern w:val="2"/>
                <w:szCs w:val="21"/>
              </w:rPr>
            </m:ctrlPr>
          </m:sub>
        </m:sSub>
      </m:oMath>
      <w:r>
        <w:rPr>
          <w:rFonts w:hint="eastAsia"/>
        </w:rPr>
        <w:t>——金属原材料的二氧化碳排放因子，单位为吨二氧化碳/吨（tCO</w:t>
      </w:r>
      <w:r>
        <w:rPr>
          <w:rFonts w:hint="eastAsia"/>
          <w:vertAlign w:val="subscript"/>
        </w:rPr>
        <w:t>2</w:t>
      </w:r>
      <w:r>
        <w:rPr>
          <w:rFonts w:hint="eastAsia"/>
        </w:rPr>
        <w:t>/t）；</w:t>
      </w:r>
    </w:p>
    <w:p w14:paraId="76C2ABDB">
      <w:pPr>
        <w:pStyle w:val="57"/>
        <w:ind w:firstLine="420"/>
      </w:pPr>
      <m:oMath>
        <m:sSub>
          <m:sSubPr>
            <m:ctrlPr>
              <w:rPr>
                <w:rFonts w:ascii="Cambria Math" w:hAnsi="Cambria Math"/>
                <w:i/>
                <w:kern w:val="2"/>
                <w:szCs w:val="21"/>
              </w:rPr>
            </m:ctrlPr>
          </m:sSubPr>
          <m:e>
            <m:r>
              <m:rPr/>
              <w:rPr>
                <w:rFonts w:ascii="Cambria Math" w:hAnsi="Cambria Math"/>
              </w:rPr>
              <m:t>AD</m:t>
            </m:r>
            <m:ctrlPr>
              <w:rPr>
                <w:rFonts w:ascii="Cambria Math" w:hAnsi="Cambria Math"/>
                <w:i/>
                <w:kern w:val="2"/>
                <w:szCs w:val="21"/>
              </w:rPr>
            </m:ctrlPr>
          </m:e>
          <m:sub>
            <m:r>
              <m:rPr/>
              <w:rPr>
                <w:rFonts w:ascii="Cambria Math" w:hAnsi="Cambria Math"/>
              </w:rPr>
              <m:t>m</m:t>
            </m:r>
            <m:ctrlPr>
              <w:rPr>
                <w:rFonts w:ascii="Cambria Math" w:hAnsi="Cambria Math"/>
                <w:i/>
                <w:kern w:val="2"/>
                <w:szCs w:val="21"/>
              </w:rPr>
            </m:ctrlPr>
          </m:sub>
        </m:sSub>
      </m:oMath>
      <w:r>
        <w:rPr>
          <w:rFonts w:hint="eastAsia"/>
        </w:rPr>
        <w:t>——金属原材料购买量，单位为吨（t）；</w:t>
      </w:r>
    </w:p>
    <w:p w14:paraId="6FC19BA0">
      <w:pPr>
        <w:pStyle w:val="57"/>
        <w:ind w:firstLine="420"/>
      </w:pPr>
      <m:oMath>
        <m:sSub>
          <m:sSubPr>
            <m:ctrlPr>
              <w:rPr>
                <w:rFonts w:ascii="Cambria Math" w:hAnsi="Cambria Math"/>
                <w:i/>
                <w:kern w:val="2"/>
                <w:szCs w:val="21"/>
              </w:rPr>
            </m:ctrlPr>
          </m:sSubPr>
          <m:e>
            <m:r>
              <m:rPr/>
              <w:rPr>
                <w:rFonts w:ascii="Cambria Math" w:hAnsi="Cambria Math"/>
              </w:rPr>
              <m:t>EF</m:t>
            </m:r>
            <m:ctrlPr>
              <w:rPr>
                <w:rFonts w:ascii="Cambria Math" w:hAnsi="Cambria Math"/>
                <w:i/>
                <w:kern w:val="2"/>
                <w:szCs w:val="21"/>
              </w:rPr>
            </m:ctrlPr>
          </m:e>
          <m:sub>
            <w:bookmarkStart w:id="86" w:name="OLE_LINK8"/>
            <w:bookmarkStart w:id="87" w:name="OLE_LINK7"/>
            <m:r>
              <m:rPr/>
              <w:rPr>
                <w:rFonts w:ascii="Cambria Math" w:hAnsi="Cambria Math"/>
              </w:rPr>
              <m:t>其他</m:t>
            </m:r>
            <w:bookmarkEnd w:id="86"/>
            <w:bookmarkEnd w:id="87"/>
            <m:r>
              <m:rPr/>
              <w:rPr>
                <w:rFonts w:ascii="Cambria Math" w:hAnsi="Cambria Math"/>
              </w:rPr>
              <m:t>原材料</m:t>
            </m:r>
            <m:ctrlPr>
              <w:rPr>
                <w:rFonts w:ascii="Cambria Math" w:hAnsi="Cambria Math"/>
                <w:i/>
                <w:kern w:val="2"/>
                <w:szCs w:val="21"/>
              </w:rPr>
            </m:ctrlPr>
          </m:sub>
        </m:sSub>
      </m:oMath>
      <w:r>
        <w:rPr>
          <w:rFonts w:hint="eastAsia"/>
        </w:rPr>
        <w:t>——其他原材料的二氧化碳排放因子，单位为吨二氧化碳/吨（tCO</w:t>
      </w:r>
      <w:r>
        <w:rPr>
          <w:rFonts w:hint="eastAsia"/>
          <w:vertAlign w:val="subscript"/>
        </w:rPr>
        <w:t>2</w:t>
      </w:r>
      <w:r>
        <w:rPr>
          <w:rFonts w:hint="eastAsia"/>
        </w:rPr>
        <w:t>/t）；</w:t>
      </w:r>
    </w:p>
    <w:p w14:paraId="17F3385F">
      <w:pPr>
        <w:pStyle w:val="57"/>
        <w:ind w:firstLine="420"/>
      </w:pPr>
      <m:oMath>
        <m:sSub>
          <m:sSubPr>
            <m:ctrlPr>
              <w:rPr>
                <w:rFonts w:ascii="Cambria Math" w:hAnsi="Cambria Math"/>
                <w:i/>
                <w:kern w:val="2"/>
                <w:szCs w:val="21"/>
              </w:rPr>
            </m:ctrlPr>
          </m:sSubPr>
          <m:e>
            <m:r>
              <m:rPr/>
              <w:rPr>
                <w:rFonts w:ascii="Cambria Math" w:hAnsi="Cambria Math"/>
              </w:rPr>
              <m:t>AD</m:t>
            </m:r>
            <m:ctrlPr>
              <w:rPr>
                <w:rFonts w:ascii="Cambria Math" w:hAnsi="Cambria Math"/>
                <w:i/>
                <w:kern w:val="2"/>
                <w:szCs w:val="21"/>
              </w:rPr>
            </m:ctrlPr>
          </m:e>
          <m:sub>
            <m:r>
              <m:rPr/>
              <w:rPr>
                <w:rFonts w:ascii="Cambria Math" w:hAnsi="Cambria Math"/>
              </w:rPr>
              <m:t>其他原材料</m:t>
            </m:r>
            <m:ctrlPr>
              <w:rPr>
                <w:rFonts w:ascii="Cambria Math" w:hAnsi="Cambria Math"/>
                <w:i/>
                <w:kern w:val="2"/>
                <w:szCs w:val="21"/>
              </w:rPr>
            </m:ctrlPr>
          </m:sub>
        </m:sSub>
      </m:oMath>
      <w:r>
        <w:rPr>
          <w:rFonts w:hint="eastAsia"/>
        </w:rPr>
        <w:t>——其他原材料的消耗量，单位为吨（t）；</w:t>
      </w:r>
    </w:p>
    <w:p w14:paraId="7B2A8FDE">
      <w:pPr>
        <w:pStyle w:val="57"/>
        <w:ind w:firstLine="420"/>
      </w:pPr>
      <m:oMath>
        <m:sSub>
          <m:sSubPr>
            <m:ctrlPr>
              <w:rPr>
                <w:rFonts w:ascii="Cambria Math" w:hAnsi="Cambria Math"/>
                <w:kern w:val="2"/>
                <w:szCs w:val="21"/>
              </w:rPr>
            </m:ctrlPr>
          </m:sSubPr>
          <m:e>
            <m:r>
              <m:rPr/>
              <w:rPr>
                <w:rFonts w:ascii="Cambria Math" w:hAnsi="Cambria Math"/>
              </w:rPr>
              <m:t>E</m:t>
            </m:r>
            <m:ctrlPr>
              <w:rPr>
                <w:rFonts w:ascii="Cambria Math" w:hAnsi="Cambria Math"/>
                <w:kern w:val="2"/>
                <w:szCs w:val="21"/>
              </w:rPr>
            </m:ctrlPr>
          </m:e>
          <m:sub>
            <m:r>
              <m:rPr/>
              <w:rPr>
                <w:rFonts w:ascii="Cambria Math" w:hAnsi="Cambria Math"/>
              </w:rPr>
              <m:t>能源原材料</m:t>
            </m:r>
            <m:ctrlPr>
              <w:rPr>
                <w:rFonts w:ascii="Cambria Math" w:hAnsi="Cambria Math"/>
                <w:kern w:val="2"/>
                <w:szCs w:val="21"/>
              </w:rPr>
            </m:ctrlPr>
          </m:sub>
        </m:sSub>
      </m:oMath>
      <w:r>
        <w:rPr>
          <w:rFonts w:hint="eastAsia"/>
        </w:rPr>
        <w:t>——能源作为原材料用途导致的二氧化碳排放量，单位为吨二氧化碳（tCO</w:t>
      </w:r>
      <w:r>
        <w:rPr>
          <w:rFonts w:hint="eastAsia"/>
          <w:vertAlign w:val="subscript"/>
        </w:rPr>
        <w:t>2</w:t>
      </w:r>
      <w:r>
        <w:rPr>
          <w:rFonts w:hint="eastAsia"/>
        </w:rPr>
        <w:t>）；</w:t>
      </w:r>
    </w:p>
    <w:p w14:paraId="38417B79">
      <w:pPr>
        <w:pStyle w:val="57"/>
        <w:ind w:firstLine="420"/>
      </w:pPr>
      <m:oMath>
        <m:sSub>
          <m:sSubPr>
            <m:ctrlPr>
              <w:rPr>
                <w:rFonts w:ascii="Cambria Math" w:hAnsi="Cambria Math"/>
                <w:kern w:val="2"/>
                <w:szCs w:val="21"/>
              </w:rPr>
            </m:ctrlPr>
          </m:sSubPr>
          <m:e>
            <m:r>
              <m:rPr/>
              <w:rPr>
                <w:rFonts w:ascii="Cambria Math" w:hAnsi="Cambria Math"/>
              </w:rPr>
              <m:t>EF</m:t>
            </m:r>
            <m:ctrlPr>
              <w:rPr>
                <w:rFonts w:ascii="Cambria Math" w:hAnsi="Cambria Math"/>
                <w:kern w:val="2"/>
                <w:szCs w:val="21"/>
              </w:rPr>
            </m:ctrlPr>
          </m:e>
          <m:sub>
            <m:r>
              <m:rPr/>
              <w:rPr>
                <w:rFonts w:ascii="Cambria Math" w:hAnsi="Cambria Math"/>
              </w:rPr>
              <m:t>能源原材料</m:t>
            </m:r>
            <m:ctrlPr>
              <w:rPr>
                <w:rFonts w:ascii="Cambria Math" w:hAnsi="Cambria Math"/>
                <w:kern w:val="2"/>
                <w:szCs w:val="21"/>
              </w:rPr>
            </m:ctrlPr>
          </m:sub>
        </m:sSub>
      </m:oMath>
      <w:r>
        <w:rPr>
          <w:rFonts w:hint="eastAsia"/>
        </w:rPr>
        <w:t>——能源产品作为渗碳气氛进入到产品中的二氧化碳排放因子，单位为吨二氧化碳/吨（tCO</w:t>
      </w:r>
      <w:r>
        <w:rPr>
          <w:rFonts w:hint="eastAsia"/>
          <w:vertAlign w:val="subscript"/>
        </w:rPr>
        <w:t>2</w:t>
      </w:r>
      <w:r>
        <w:rPr>
          <w:rFonts w:hint="eastAsia"/>
        </w:rPr>
        <w:t>/t）；</w:t>
      </w:r>
    </w:p>
    <w:p w14:paraId="760D7B2E">
      <w:pPr>
        <w:ind w:firstLine="480"/>
      </w:pPr>
      <m:oMath>
        <m:r>
          <m:rPr/>
          <w:rPr>
            <w:rFonts w:ascii="Cambria Math" w:hAnsi="Cambria Math"/>
          </w:rPr>
          <m:t>α</m:t>
        </m:r>
      </m:oMath>
      <w:r>
        <w:rPr>
          <w:rFonts w:hint="eastAsia"/>
        </w:rPr>
        <w:t>——比例系数，渗碳气氛中渗入产品的部分占使用渗碳气氛总重的比例；</w:t>
      </w:r>
    </w:p>
    <w:p w14:paraId="1E4990CF">
      <w:pPr>
        <w:pStyle w:val="57"/>
        <w:ind w:firstLine="420"/>
      </w:pPr>
      <m:oMath>
        <m:sSub>
          <m:sSubPr>
            <m:ctrlPr>
              <w:rPr>
                <w:rFonts w:ascii="Cambria Math" w:hAnsi="Cambria Math"/>
                <w:i/>
                <w:kern w:val="2"/>
                <w:szCs w:val="21"/>
              </w:rPr>
            </m:ctrlPr>
          </m:sSubPr>
          <m:e>
            <m:r>
              <m:rPr/>
              <w:rPr>
                <w:rFonts w:ascii="Cambria Math" w:hAnsi="Cambria Math"/>
              </w:rPr>
              <m:t>AD</m:t>
            </m:r>
            <m:ctrlPr>
              <w:rPr>
                <w:rFonts w:ascii="Cambria Math" w:hAnsi="Cambria Math"/>
                <w:i/>
                <w:kern w:val="2"/>
                <w:szCs w:val="21"/>
              </w:rPr>
            </m:ctrlPr>
          </m:e>
          <m:sub>
            <m:r>
              <m:rPr/>
              <w:rPr>
                <w:rFonts w:ascii="Cambria Math" w:hAnsi="Cambria Math"/>
              </w:rPr>
              <m:t>渗碳气氛</m:t>
            </m:r>
            <m:ctrlPr>
              <w:rPr>
                <w:rFonts w:ascii="Cambria Math" w:hAnsi="Cambria Math"/>
                <w:i/>
                <w:kern w:val="2"/>
                <w:szCs w:val="21"/>
              </w:rPr>
            </m:ctrlPr>
          </m:sub>
        </m:sSub>
      </m:oMath>
      <w:r>
        <w:rPr>
          <w:rFonts w:hint="eastAsia"/>
        </w:rPr>
        <w:t>——活动水平数据，即渗碳气氛的消耗量，单位为吨（t）。</w:t>
      </w:r>
    </w:p>
    <w:p w14:paraId="044C1D9B">
      <w:pPr>
        <w:pStyle w:val="66"/>
        <w:spacing w:before="120" w:after="120"/>
      </w:pPr>
      <w:r>
        <w:rPr>
          <w:rFonts w:hint="eastAsia"/>
        </w:rPr>
        <w:t>生产过程排放</w:t>
      </w:r>
    </w:p>
    <w:p w14:paraId="00D875D6">
      <w:pPr>
        <w:pStyle w:val="95"/>
        <w:spacing w:before="120" w:after="120"/>
      </w:pPr>
      <w:r>
        <w:rPr>
          <w:rFonts w:hint="eastAsia"/>
        </w:rPr>
        <w:t>燃料燃烧排放</w:t>
      </w:r>
    </w:p>
    <w:p w14:paraId="704A8F4E">
      <w:pPr>
        <w:pStyle w:val="168"/>
      </w:pPr>
      <w:r>
        <w:rPr>
          <w:rFonts w:hint="eastAsia"/>
        </w:rPr>
        <w:t>燃料燃烧导致的二氧化碳排放量是企业核算和报告年度内各种燃料燃烧产生的二氧化碳排放量的加总，按式（5）计算：</w:t>
      </w:r>
    </w:p>
    <w:p w14:paraId="14A7B772">
      <w:pPr>
        <w:pStyle w:val="114"/>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燃烧</m:t>
            </m:r>
            <m:ctrlPr>
              <w:rPr>
                <w:rFonts w:ascii="Cambria Math" w:hAnsi="Cambria Math"/>
              </w:rPr>
            </m:ctrlPr>
          </m:sub>
        </m:sSub>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n</m:t>
            </m:r>
            <m:ctrlPr>
              <w:rPr>
                <w:rFonts w:ascii="Cambria Math" w:hAnsi="Cambria Math"/>
              </w:rPr>
            </m:ctrlPr>
          </m:sup>
          <m:e>
            <m:d>
              <m:dPr>
                <m:ctrlPr>
                  <w:rPr>
                    <w:rFonts w:ascii="Cambria Math" w:hAnsi="Cambria Math"/>
                    <w:i/>
                  </w:rPr>
                </m:ctrlPr>
              </m:dPr>
              <m:e>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rPr>
            </m:ctrlPr>
          </m:e>
        </m:nary>
      </m:oMath>
      <w:r>
        <w:rPr>
          <w:rFonts w:ascii="微软雅黑" w:hAnsi="微软雅黑" w:eastAsia="微软雅黑"/>
        </w:rPr>
        <w:tab/>
      </w:r>
      <w:r>
        <w:t>(</w:t>
      </w:r>
      <w:r>
        <w:fldChar w:fldCharType="begin"/>
      </w:r>
      <w:r>
        <w:instrText xml:space="preserve"> AUTONUM </w:instrText>
      </w:r>
      <w:r>
        <w:fldChar w:fldCharType="end"/>
      </w:r>
      <w:r>
        <w:t>)</w:t>
      </w:r>
    </w:p>
    <w:p w14:paraId="300A9246">
      <w:pPr>
        <w:pStyle w:val="56"/>
        <w:ind w:firstLine="420"/>
      </w:pPr>
      <w:r>
        <w:rPr>
          <w:rFonts w:hint="eastAsia"/>
        </w:rPr>
        <w:t>式中：</w:t>
      </w:r>
    </w:p>
    <w:p w14:paraId="743FAF59">
      <w:pPr>
        <w:pStyle w:val="57"/>
        <w:ind w:firstLine="420"/>
      </w:pPr>
      <m:oMath>
        <m:sSub>
          <m:sSubPr>
            <m:ctrlPr>
              <w:rPr>
                <w:rFonts w:ascii="Cambria Math" w:hAnsi="Cambria Math"/>
                <w:kern w:val="2"/>
                <w:szCs w:val="21"/>
              </w:rPr>
            </m:ctrlPr>
          </m:sSubPr>
          <m:e>
            <m:r>
              <m:rPr/>
              <w:rPr>
                <w:rFonts w:ascii="Cambria Math" w:hAnsi="Cambria Math"/>
              </w:rPr>
              <m:t>E</m:t>
            </m:r>
            <m:ctrlPr>
              <w:rPr>
                <w:rFonts w:ascii="Cambria Math" w:hAnsi="Cambria Math"/>
                <w:kern w:val="2"/>
                <w:szCs w:val="21"/>
              </w:rPr>
            </m:ctrlPr>
          </m:e>
          <m:sub>
            <m:r>
              <m:rPr/>
              <w:rPr>
                <w:rFonts w:ascii="Cambria Math" w:hAnsi="Cambria Math"/>
              </w:rPr>
              <m:t>燃烧</m:t>
            </m:r>
            <m:ctrlPr>
              <w:rPr>
                <w:rFonts w:ascii="Cambria Math" w:hAnsi="Cambria Math"/>
                <w:kern w:val="2"/>
                <w:szCs w:val="21"/>
              </w:rPr>
            </m:ctrlPr>
          </m:sub>
        </m:sSub>
      </m:oMath>
      <w:r>
        <w:rPr>
          <w:rFonts w:hint="eastAsia"/>
        </w:rPr>
        <w:t>——化石燃料燃烧产生的二氧化碳排放量，单位为吨二氧化碳（tCO</w:t>
      </w:r>
      <w:r>
        <w:rPr>
          <w:rFonts w:hint="eastAsia"/>
          <w:vertAlign w:val="subscript"/>
        </w:rPr>
        <w:t>2</w:t>
      </w:r>
      <w:r>
        <w:rPr>
          <w:rFonts w:hint="eastAsia"/>
        </w:rPr>
        <w:t>）；</w:t>
      </w:r>
    </w:p>
    <w:p w14:paraId="6B7F4D35">
      <w:pPr>
        <w:pStyle w:val="57"/>
        <w:ind w:firstLine="420"/>
      </w:pPr>
      <m:oMath>
        <m:sSub>
          <m:sSubPr>
            <m:ctrlPr>
              <w:rPr>
                <w:rFonts w:ascii="Cambria Math" w:hAnsi="Cambria Math"/>
                <w:i/>
                <w:kern w:val="2"/>
                <w:szCs w:val="21"/>
              </w:rPr>
            </m:ctrlPr>
          </m:sSubPr>
          <m:e>
            <m:r>
              <m:rPr/>
              <w:rPr>
                <w:rFonts w:ascii="Cambria Math" w:hAnsi="Cambria Math"/>
              </w:rPr>
              <m:t>AD</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rPr>
        <w:t>——第 i 种化石燃料的活动数据，单位为百万千焦（GJ）；</w:t>
      </w:r>
    </w:p>
    <w:p w14:paraId="1DF3A373">
      <w:pPr>
        <w:pStyle w:val="57"/>
        <w:ind w:firstLine="420"/>
      </w:pPr>
      <m:oMath>
        <m:sSub>
          <m:sSubPr>
            <m:ctrlPr>
              <w:rPr>
                <w:rFonts w:ascii="Cambria Math" w:hAnsi="Cambria Math"/>
                <w:i/>
                <w:kern w:val="2"/>
                <w:szCs w:val="21"/>
              </w:rPr>
            </m:ctrlPr>
          </m:sSubPr>
          <m:e>
            <m:r>
              <m:rPr/>
              <w:rPr>
                <w:rFonts w:ascii="Cambria Math" w:hAnsi="Cambria Math"/>
              </w:rPr>
              <m:t>EF</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rPr>
        <w:t>——第 i 种化石燃料的二氧化碳排放因子，单位为吨二氧化碳/百万千焦（tCO</w:t>
      </w:r>
      <w:r>
        <w:rPr>
          <w:rFonts w:hint="eastAsia"/>
          <w:vertAlign w:val="subscript"/>
        </w:rPr>
        <w:t>2</w:t>
      </w:r>
      <w:r>
        <w:rPr>
          <w:rFonts w:hint="eastAsia"/>
        </w:rPr>
        <w:t>/GJ）；</w:t>
      </w:r>
    </w:p>
    <w:p w14:paraId="341E6BCC">
      <w:pPr>
        <w:pStyle w:val="57"/>
        <w:ind w:firstLine="420"/>
      </w:pPr>
      <m:oMath>
        <m:r>
          <m:rPr/>
          <w:rPr>
            <w:rFonts w:ascii="Cambria Math" w:hAnsi="Cambria Math"/>
          </w:rPr>
          <m:t>i</m:t>
        </m:r>
      </m:oMath>
      <w:r>
        <w:rPr>
          <w:rFonts w:hint="eastAsia"/>
        </w:rPr>
        <w:t>——化石燃料类型代号。</w:t>
      </w:r>
    </w:p>
    <w:p w14:paraId="469CB37B">
      <w:pPr>
        <w:pStyle w:val="168"/>
      </w:pPr>
      <w:r>
        <w:rPr>
          <w:rFonts w:hint="eastAsia"/>
        </w:rPr>
        <w:t>燃料燃烧的活动数据是核算和报告年度内各种燃料的消耗量与平均低位发热量的乘积，按式（6）计算：</w:t>
      </w:r>
    </w:p>
    <w:p w14:paraId="342A6B54">
      <w:pPr>
        <w:pStyle w:val="114"/>
      </w:pPr>
      <w:r>
        <w:tab/>
      </w:r>
      <m:oMath>
        <m:sSub>
          <m:sSubPr>
            <m:ctrlPr>
              <w:rPr>
                <w:rFonts w:ascii="Cambria Math" w:hAnsi="Cambria Math"/>
              </w:rPr>
            </m:ctrlPr>
          </m:sSubPr>
          <m:e>
            <m:r>
              <m:rPr/>
              <w:rPr>
                <w:rFonts w:ascii="Cambria Math" w:hAnsi="Cambria Math"/>
              </w:rPr>
              <m:t>AD</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NCV</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FC</m:t>
            </m:r>
            <m:ctrlPr>
              <w:rPr>
                <w:rFonts w:ascii="Cambria Math" w:hAnsi="Cambria Math"/>
                <w:i/>
              </w:rPr>
            </m:ctrlPr>
          </m:e>
          <m:sub>
            <m:r>
              <m:rPr/>
              <w:rPr>
                <w:rFonts w:ascii="Cambria Math" w:hAnsi="Cambria Math"/>
              </w:rPr>
              <m:t>i</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7B434B99">
      <w:pPr>
        <w:pStyle w:val="56"/>
        <w:ind w:firstLine="420"/>
      </w:pPr>
      <w:r>
        <w:rPr>
          <w:rFonts w:hint="eastAsia"/>
        </w:rPr>
        <w:t>式中：</w:t>
      </w:r>
    </w:p>
    <w:p w14:paraId="3696EF17">
      <w:pPr>
        <w:pStyle w:val="57"/>
        <w:ind w:firstLine="420"/>
      </w:pPr>
      <m:oMath>
        <m:sSub>
          <m:sSubPr>
            <m:ctrlPr>
              <w:rPr>
                <w:rFonts w:ascii="Cambria Math" w:hAnsi="Cambria Math"/>
                <w:kern w:val="2"/>
                <w:szCs w:val="21"/>
              </w:rPr>
            </m:ctrlPr>
          </m:sSubPr>
          <m:e>
            <m:r>
              <m:rPr/>
              <w:rPr>
                <w:rFonts w:ascii="Cambria Math" w:hAnsi="Cambria Math"/>
              </w:rPr>
              <m:t>NCV</m:t>
            </m:r>
            <m:ctrlPr>
              <w:rPr>
                <w:rFonts w:ascii="Cambria Math" w:hAnsi="Cambria Math"/>
                <w:kern w:val="2"/>
                <w:szCs w:val="21"/>
              </w:rPr>
            </m:ctrlPr>
          </m:e>
          <m:sub>
            <m:r>
              <m:rPr/>
              <w:rPr>
                <w:rFonts w:ascii="Cambria Math" w:hAnsi="Cambria Math"/>
              </w:rPr>
              <m:t>i</m:t>
            </m:r>
            <m:ctrlPr>
              <w:rPr>
                <w:rFonts w:ascii="Cambria Math" w:hAnsi="Cambria Math"/>
                <w:kern w:val="2"/>
                <w:szCs w:val="21"/>
              </w:rPr>
            </m:ctrlPr>
          </m:sub>
        </m:sSub>
      </m:oMath>
      <w:r>
        <w:rPr>
          <w:rFonts w:hint="eastAsia"/>
        </w:rPr>
        <w:t>——第 i 种燃料的平均低位发热量；对固体或液体燃料，单位为百万千焦/吨（GJ/t）；对气体燃料，单位为百万千焦/万立方米（GJ/万 Nm</w:t>
      </w:r>
      <w:r>
        <w:rPr>
          <w:rFonts w:hint="eastAsia"/>
          <w:vertAlign w:val="superscript"/>
        </w:rPr>
        <w:t>3</w:t>
      </w:r>
      <w:r>
        <w:rPr>
          <w:rFonts w:hint="eastAsia"/>
        </w:rPr>
        <w:t xml:space="preserve">）； </w:t>
      </w:r>
    </w:p>
    <w:p w14:paraId="4793BA99">
      <w:pPr>
        <w:pStyle w:val="57"/>
        <w:ind w:firstLine="420"/>
      </w:pPr>
      <m:oMath>
        <m:sSub>
          <m:sSubPr>
            <m:ctrlPr>
              <w:rPr>
                <w:rFonts w:ascii="Cambria Math" w:hAnsi="Cambria Math"/>
                <w:i/>
                <w:kern w:val="2"/>
                <w:szCs w:val="21"/>
              </w:rPr>
            </m:ctrlPr>
          </m:sSubPr>
          <m:e>
            <m:r>
              <m:rPr/>
              <w:rPr>
                <w:rFonts w:ascii="Cambria Math" w:hAnsi="Cambria Math"/>
              </w:rPr>
              <m:t>FC</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rPr>
        <w:t>——第 i 种燃料的净消耗量，对固体或液体燃料，单位为吨（t）；对气体燃料，单位为万立方米（万 Nm</w:t>
      </w:r>
      <w:r>
        <w:rPr>
          <w:rFonts w:hint="eastAsia"/>
          <w:vertAlign w:val="superscript"/>
        </w:rPr>
        <w:t>3</w:t>
      </w:r>
      <w:r>
        <w:rPr>
          <w:rFonts w:hint="eastAsia"/>
        </w:rPr>
        <w:t>）。</w:t>
      </w:r>
    </w:p>
    <w:p w14:paraId="38237B6E">
      <w:pPr>
        <w:pStyle w:val="168"/>
      </w:pPr>
      <w:r>
        <w:rPr>
          <w:rFonts w:hint="eastAsia"/>
        </w:rPr>
        <w:t>燃料燃烧的二氧化碳排放因子按式（7）计算：</w:t>
      </w:r>
    </w:p>
    <w:p w14:paraId="4CF301AD">
      <w:pPr>
        <w:pStyle w:val="114"/>
      </w:pPr>
      <w:r>
        <w:tab/>
      </w: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CC</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OF</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44</m:t>
            </m:r>
            <m:ctrlPr>
              <w:rPr>
                <w:rFonts w:ascii="Cambria Math" w:hAnsi="Cambria Math"/>
                <w:i/>
              </w:rPr>
            </m:ctrlPr>
          </m:num>
          <m:den>
            <m:r>
              <m:rPr/>
              <w:rPr>
                <w:rFonts w:ascii="Cambria Math" w:hAnsi="Cambria Math"/>
              </w:rPr>
              <m:t>12</m:t>
            </m:r>
            <m:ctrlPr>
              <w:rPr>
                <w:rFonts w:ascii="Cambria Math" w:hAnsi="Cambria Math"/>
                <w:i/>
              </w:rPr>
            </m:ctrlPr>
          </m:den>
        </m:f>
      </m:oMath>
      <w:r>
        <w:rPr>
          <w:rFonts w:ascii="微软雅黑" w:hAnsi="微软雅黑" w:eastAsia="微软雅黑"/>
        </w:rPr>
        <w:tab/>
      </w:r>
      <w:r>
        <w:t>(</w:t>
      </w:r>
      <w:r>
        <w:fldChar w:fldCharType="begin"/>
      </w:r>
      <w:r>
        <w:instrText xml:space="preserve"> AUTONUM </w:instrText>
      </w:r>
      <w:r>
        <w:fldChar w:fldCharType="end"/>
      </w:r>
      <w:r>
        <w:t>)</w:t>
      </w:r>
    </w:p>
    <w:p w14:paraId="63E85FB0">
      <w:pPr>
        <w:pStyle w:val="56"/>
        <w:ind w:firstLine="420"/>
      </w:pPr>
      <w:r>
        <w:rPr>
          <w:rFonts w:hint="eastAsia"/>
        </w:rPr>
        <w:t>式中：</w:t>
      </w:r>
    </w:p>
    <w:p w14:paraId="39C06B43">
      <w:pPr>
        <w:pStyle w:val="57"/>
        <w:ind w:firstLine="420"/>
      </w:pPr>
      <m:oMath>
        <m:sSub>
          <m:sSubPr>
            <m:ctrlPr>
              <w:rPr>
                <w:rFonts w:ascii="Cambria Math" w:hAnsi="Cambria Math"/>
                <w:kern w:val="2"/>
                <w:szCs w:val="21"/>
              </w:rPr>
            </m:ctrlPr>
          </m:sSubPr>
          <m:e>
            <m:r>
              <m:rPr/>
              <w:rPr>
                <w:rFonts w:ascii="Cambria Math" w:hAnsi="Cambria Math"/>
              </w:rPr>
              <m:t>CC</m:t>
            </m:r>
            <m:ctrlPr>
              <w:rPr>
                <w:rFonts w:ascii="Cambria Math" w:hAnsi="Cambria Math"/>
                <w:kern w:val="2"/>
                <w:szCs w:val="21"/>
              </w:rPr>
            </m:ctrlPr>
          </m:e>
          <m:sub>
            <m:r>
              <m:rPr/>
              <w:rPr>
                <w:rFonts w:ascii="Cambria Math" w:hAnsi="Cambria Math"/>
              </w:rPr>
              <m:t>i</m:t>
            </m:r>
            <m:ctrlPr>
              <w:rPr>
                <w:rFonts w:ascii="Cambria Math" w:hAnsi="Cambria Math"/>
                <w:kern w:val="2"/>
                <w:szCs w:val="21"/>
              </w:rPr>
            </m:ctrlPr>
          </m:sub>
        </m:sSub>
      </m:oMath>
      <w:r>
        <w:rPr>
          <w:rFonts w:hint="eastAsia"/>
        </w:rPr>
        <w:t>——第 i 种燃料的单位热值含碳量，单位为吨碳/百万千焦（tC/GJ）；</w:t>
      </w:r>
    </w:p>
    <w:p w14:paraId="54A235A1">
      <w:pPr>
        <w:pStyle w:val="57"/>
        <w:ind w:firstLine="420"/>
      </w:pPr>
      <m:oMath>
        <m:sSub>
          <m:sSubPr>
            <m:ctrlPr>
              <w:rPr>
                <w:rFonts w:ascii="Cambria Math" w:hAnsi="Cambria Math"/>
                <w:i/>
                <w:kern w:val="2"/>
                <w:szCs w:val="21"/>
              </w:rPr>
            </m:ctrlPr>
          </m:sSubPr>
          <m:e>
            <m:r>
              <m:rPr/>
              <w:rPr>
                <w:rFonts w:ascii="Cambria Math" w:hAnsi="Cambria Math"/>
              </w:rPr>
              <m:t>OF</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w:r>
        <w:rPr>
          <w:rFonts w:hint="eastAsia"/>
        </w:rPr>
        <w:t>——第 i 种化石燃料的碳氧化率；</w:t>
      </w:r>
    </w:p>
    <w:p w14:paraId="63549296">
      <w:pPr>
        <w:pStyle w:val="57"/>
        <w:ind w:firstLine="420"/>
      </w:pPr>
      <m:oMath>
        <m:f>
          <m:fPr>
            <m:ctrlPr>
              <w:rPr>
                <w:rFonts w:ascii="Cambria Math" w:hAnsi="Cambria Math"/>
                <w:i/>
                <w:kern w:val="2"/>
                <w:szCs w:val="21"/>
              </w:rPr>
            </m:ctrlPr>
          </m:fPr>
          <m:num>
            <m:r>
              <m:rPr/>
              <w:rPr>
                <w:rFonts w:ascii="Cambria Math" w:hAnsi="Cambria Math"/>
              </w:rPr>
              <m:t>44</m:t>
            </m:r>
            <m:ctrlPr>
              <w:rPr>
                <w:rFonts w:ascii="Cambria Math" w:hAnsi="Cambria Math"/>
                <w:i/>
                <w:kern w:val="2"/>
                <w:szCs w:val="21"/>
              </w:rPr>
            </m:ctrlPr>
          </m:num>
          <m:den>
            <m:r>
              <m:rPr/>
              <w:rPr>
                <w:rFonts w:ascii="Cambria Math" w:hAnsi="Cambria Math"/>
              </w:rPr>
              <m:t>12</m:t>
            </m:r>
            <m:ctrlPr>
              <w:rPr>
                <w:rFonts w:ascii="Cambria Math" w:hAnsi="Cambria Math"/>
                <w:i/>
                <w:kern w:val="2"/>
                <w:szCs w:val="21"/>
              </w:rPr>
            </m:ctrlPr>
          </m:den>
        </m:f>
      </m:oMath>
      <w:r>
        <w:rPr>
          <w:rFonts w:hint="eastAsia"/>
        </w:rPr>
        <w:t>——二氧化碳与碳的分子量之比。</w:t>
      </w:r>
    </w:p>
    <w:p w14:paraId="0DDEEEFF">
      <w:pPr>
        <w:pStyle w:val="95"/>
        <w:spacing w:before="120" w:after="120"/>
      </w:pPr>
      <w:r>
        <w:rPr>
          <w:rFonts w:hint="eastAsia"/>
        </w:rPr>
        <w:t>净购入电力产生的排放</w:t>
      </w:r>
    </w:p>
    <w:p w14:paraId="07AF0D24">
      <w:pPr>
        <w:pStyle w:val="57"/>
        <w:ind w:firstLine="420"/>
      </w:pPr>
      <w:r>
        <w:rPr>
          <w:rFonts w:hint="eastAsia"/>
        </w:rPr>
        <w:t>企业购入的电力消费所对应的电力生产环节二氧化碳排放量按式（8）计算：</w:t>
      </w:r>
    </w:p>
    <w:p w14:paraId="219ACF71">
      <w:pPr>
        <w:pStyle w:val="114"/>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hint="eastAsia" w:ascii="Cambria Math" w:hAnsi="Cambria Math"/>
              </w:rPr>
              <m:t>电</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EF</m:t>
            </m:r>
            <m:ctrlPr>
              <w:rPr>
                <w:rFonts w:ascii="Cambria Math" w:hAnsi="Cambria Math"/>
              </w:rPr>
            </m:ctrlPr>
          </m:e>
          <m:sub>
            <m:r>
              <m:rPr/>
              <w:rPr>
                <w:rFonts w:hint="eastAsia" w:ascii="Cambria Math" w:hAnsi="Cambria Math"/>
              </w:rPr>
              <m:t>电</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hint="eastAsia" w:ascii="Cambria Math" w:hAnsi="Cambria Math"/>
              </w:rPr>
              <m:t>电</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25A8FEFD">
      <w:pPr>
        <w:pStyle w:val="56"/>
        <w:ind w:firstLine="420"/>
      </w:pPr>
      <w:r>
        <w:rPr>
          <w:rFonts w:hint="eastAsia"/>
        </w:rPr>
        <w:t>式中：</w:t>
      </w:r>
    </w:p>
    <w:p w14:paraId="1546425E">
      <w:pPr>
        <w:pStyle w:val="57"/>
        <w:ind w:firstLine="420"/>
      </w:pPr>
      <m:oMath>
        <m:sSub>
          <m:sSubPr>
            <m:ctrlPr>
              <w:rPr>
                <w:rFonts w:ascii="Cambria Math" w:hAnsi="Cambria Math"/>
                <w:kern w:val="2"/>
                <w:szCs w:val="21"/>
              </w:rPr>
            </m:ctrlPr>
          </m:sSubPr>
          <m:e>
            <m:r>
              <m:rPr/>
              <w:rPr>
                <w:rFonts w:ascii="Cambria Math" w:hAnsi="Cambria Math"/>
              </w:rPr>
              <m:t>E</m:t>
            </m:r>
            <m:ctrlPr>
              <w:rPr>
                <w:rFonts w:ascii="Cambria Math" w:hAnsi="Cambria Math"/>
                <w:kern w:val="2"/>
                <w:szCs w:val="21"/>
              </w:rPr>
            </m:ctrlPr>
          </m:e>
          <m:sub>
            <m:r>
              <m:rPr/>
              <w:rPr>
                <w:rFonts w:hint="eastAsia" w:ascii="Cambria Math" w:hAnsi="Cambria Math"/>
              </w:rPr>
              <m:t>电</m:t>
            </m:r>
            <m:ctrlPr>
              <w:rPr>
                <w:rFonts w:ascii="Cambria Math" w:hAnsi="Cambria Math"/>
                <w:kern w:val="2"/>
                <w:szCs w:val="21"/>
              </w:rPr>
            </m:ctrlPr>
          </m:sub>
        </m:sSub>
      </m:oMath>
      <w:r>
        <w:rPr>
          <w:rFonts w:hint="eastAsia"/>
        </w:rPr>
        <w:t>——购入的电力所对应的电力生产环节二氧化碳排放量，单位为吨二氧化碳（tCO</w:t>
      </w:r>
      <w:r>
        <w:rPr>
          <w:rFonts w:hint="eastAsia"/>
          <w:vertAlign w:val="subscript"/>
        </w:rPr>
        <w:t>2</w:t>
      </w:r>
      <w:r>
        <w:rPr>
          <w:rFonts w:hint="eastAsia"/>
        </w:rPr>
        <w:t>）；</w:t>
      </w:r>
    </w:p>
    <w:p w14:paraId="4D359884">
      <w:pPr>
        <w:pStyle w:val="57"/>
        <w:ind w:firstLine="420"/>
      </w:pPr>
      <m:oMath>
        <m:sSub>
          <m:sSubPr>
            <m:ctrlPr>
              <w:rPr>
                <w:rFonts w:ascii="Cambria Math" w:hAnsi="Cambria Math"/>
                <w:kern w:val="2"/>
                <w:szCs w:val="21"/>
              </w:rPr>
            </m:ctrlPr>
          </m:sSubPr>
          <m:e>
            <m:r>
              <m:rPr/>
              <w:rPr>
                <w:rFonts w:ascii="Cambria Math" w:hAnsi="Cambria Math"/>
              </w:rPr>
              <m:t>EF</m:t>
            </m:r>
            <m:ctrlPr>
              <w:rPr>
                <w:rFonts w:ascii="Cambria Math" w:hAnsi="Cambria Math"/>
                <w:kern w:val="2"/>
                <w:szCs w:val="21"/>
              </w:rPr>
            </m:ctrlPr>
          </m:e>
          <m:sub>
            <m:r>
              <m:rPr/>
              <w:rPr>
                <w:rFonts w:hint="eastAsia" w:ascii="Cambria Math" w:hAnsi="Cambria Math"/>
              </w:rPr>
              <m:t>电</m:t>
            </m:r>
            <m:ctrlPr>
              <w:rPr>
                <w:rFonts w:ascii="Cambria Math" w:hAnsi="Cambria Math"/>
                <w:kern w:val="2"/>
                <w:szCs w:val="21"/>
              </w:rPr>
            </m:ctrlPr>
          </m:sub>
        </m:sSub>
      </m:oMath>
      <w:r>
        <w:rPr>
          <w:rFonts w:hint="eastAsia"/>
        </w:rPr>
        <w:t>——区域电网年平均供电排放因子，优先选用国家最新公布的相应区域电网排放因子，单位为吨二氧化碳/兆瓦时（tCO</w:t>
      </w:r>
      <w:r>
        <w:rPr>
          <w:rFonts w:hint="eastAsia"/>
          <w:vertAlign w:val="subscript"/>
        </w:rPr>
        <w:t>2</w:t>
      </w:r>
      <w:r>
        <w:rPr>
          <w:rFonts w:hint="eastAsia"/>
        </w:rPr>
        <w:t>/MWh）；</w:t>
      </w:r>
    </w:p>
    <w:p w14:paraId="123A9A6D">
      <w:pPr>
        <w:pStyle w:val="57"/>
        <w:ind w:firstLine="420"/>
      </w:pPr>
      <m:oMath>
        <m:sSub>
          <m:sSubPr>
            <m:ctrlPr>
              <w:rPr>
                <w:rFonts w:ascii="Cambria Math" w:hAnsi="Cambria Math"/>
                <w:i/>
                <w:kern w:val="2"/>
                <w:szCs w:val="21"/>
              </w:rPr>
            </m:ctrlPr>
          </m:sSubPr>
          <m:e>
            <m:r>
              <m:rPr/>
              <w:rPr>
                <w:rFonts w:ascii="Cambria Math" w:hAnsi="Cambria Math"/>
              </w:rPr>
              <m:t>AD</m:t>
            </m:r>
            <m:ctrlPr>
              <w:rPr>
                <w:rFonts w:ascii="Cambria Math" w:hAnsi="Cambria Math"/>
                <w:i/>
                <w:kern w:val="2"/>
                <w:szCs w:val="21"/>
              </w:rPr>
            </m:ctrlPr>
          </m:e>
          <m:sub>
            <m:r>
              <m:rPr/>
              <w:rPr>
                <w:rFonts w:hint="eastAsia" w:ascii="Cambria Math" w:hAnsi="Cambria Math"/>
              </w:rPr>
              <m:t>电</m:t>
            </m:r>
            <m:ctrlPr>
              <w:rPr>
                <w:rFonts w:ascii="Cambria Math" w:hAnsi="Cambria Math"/>
                <w:i/>
                <w:kern w:val="2"/>
                <w:szCs w:val="21"/>
              </w:rPr>
            </m:ctrlPr>
          </m:sub>
        </m:sSub>
      </m:oMath>
      <w:r>
        <w:rPr>
          <w:rFonts w:hint="eastAsia"/>
        </w:rPr>
        <w:t>——净外购电量，单位为兆瓦时（MWh）。</w:t>
      </w:r>
    </w:p>
    <w:p w14:paraId="63D7BDBC">
      <w:pPr>
        <w:pStyle w:val="95"/>
        <w:spacing w:before="120" w:after="120"/>
      </w:pPr>
      <w:r>
        <w:rPr>
          <w:rFonts w:hint="eastAsia"/>
        </w:rPr>
        <w:t>净购入热力产生的排放</w:t>
      </w:r>
    </w:p>
    <w:p w14:paraId="16CECC01">
      <w:pPr>
        <w:pStyle w:val="57"/>
        <w:ind w:firstLine="420"/>
      </w:pPr>
      <w:r>
        <w:rPr>
          <w:rFonts w:hint="eastAsia"/>
        </w:rPr>
        <w:t>企业购入的热力消费所对应的热力生产环节二氧化碳排放量按式（9）计算：</w:t>
      </w:r>
    </w:p>
    <w:p w14:paraId="5E657360">
      <w:pPr>
        <w:pStyle w:val="114"/>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hint="eastAsia" w:ascii="Cambria Math" w:hAnsi="Cambria Math"/>
              </w:rPr>
              <m:t>热</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EF</m:t>
            </m:r>
            <m:ctrlPr>
              <w:rPr>
                <w:rFonts w:ascii="Cambria Math" w:hAnsi="Cambria Math"/>
              </w:rPr>
            </m:ctrlPr>
          </m:e>
          <m:sub>
            <m:r>
              <m:rPr/>
              <w:rPr>
                <w:rFonts w:hint="eastAsia" w:ascii="Cambria Math" w:hAnsi="Cambria Math"/>
              </w:rPr>
              <m:t>热</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hint="eastAsia" w:ascii="Cambria Math" w:hAnsi="Cambria Math"/>
              </w:rPr>
              <m:t>热</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34BDF0B8">
      <w:pPr>
        <w:pStyle w:val="56"/>
        <w:ind w:firstLine="420"/>
      </w:pPr>
      <w:r>
        <w:rPr>
          <w:rFonts w:hint="eastAsia"/>
        </w:rPr>
        <w:t>式中：</w:t>
      </w:r>
    </w:p>
    <w:p w14:paraId="0A5BF1B2">
      <w:pPr>
        <w:pStyle w:val="57"/>
        <w:ind w:firstLine="420"/>
      </w:pPr>
      <m:oMath>
        <m:sSub>
          <m:sSubPr>
            <m:ctrlPr>
              <w:rPr>
                <w:rFonts w:ascii="Cambria Math" w:hAnsi="Cambria Math"/>
                <w:kern w:val="2"/>
                <w:szCs w:val="21"/>
              </w:rPr>
            </m:ctrlPr>
          </m:sSubPr>
          <m:e>
            <m:r>
              <m:rPr/>
              <w:rPr>
                <w:rFonts w:ascii="Cambria Math" w:hAnsi="Cambria Math"/>
              </w:rPr>
              <m:t>E</m:t>
            </m:r>
            <m:ctrlPr>
              <w:rPr>
                <w:rFonts w:ascii="Cambria Math" w:hAnsi="Cambria Math"/>
                <w:kern w:val="2"/>
                <w:szCs w:val="21"/>
              </w:rPr>
            </m:ctrlPr>
          </m:e>
          <m:sub>
            <m:r>
              <m:rPr/>
              <w:rPr>
                <w:rFonts w:hint="eastAsia" w:ascii="Cambria Math" w:hAnsi="Cambria Math"/>
              </w:rPr>
              <m:t>热</m:t>
            </m:r>
            <m:ctrlPr>
              <w:rPr>
                <w:rFonts w:ascii="Cambria Math" w:hAnsi="Cambria Math"/>
                <w:kern w:val="2"/>
                <w:szCs w:val="21"/>
              </w:rPr>
            </m:ctrlPr>
          </m:sub>
        </m:sSub>
      </m:oMath>
      <w:r>
        <w:rPr>
          <w:rFonts w:hint="eastAsia"/>
        </w:rPr>
        <w:t>——购入的热力所对应的热力生产环节二氧化碳排放量，单位为吨二氧化碳（tCO</w:t>
      </w:r>
      <w:r>
        <w:rPr>
          <w:rFonts w:hint="eastAsia"/>
          <w:vertAlign w:val="subscript"/>
        </w:rPr>
        <w:t>2</w:t>
      </w:r>
      <w:r>
        <w:rPr>
          <w:rFonts w:hint="eastAsia"/>
        </w:rPr>
        <w:t>）；</w:t>
      </w:r>
    </w:p>
    <w:p w14:paraId="1B0DF686">
      <w:pPr>
        <w:pStyle w:val="57"/>
        <w:ind w:firstLine="420"/>
      </w:pPr>
      <m:oMath>
        <m:sSub>
          <m:sSubPr>
            <m:ctrlPr>
              <w:rPr>
                <w:rFonts w:ascii="Cambria Math" w:hAnsi="Cambria Math"/>
                <w:kern w:val="2"/>
                <w:szCs w:val="21"/>
              </w:rPr>
            </m:ctrlPr>
          </m:sSubPr>
          <m:e>
            <m:r>
              <m:rPr/>
              <w:rPr>
                <w:rFonts w:ascii="Cambria Math" w:hAnsi="Cambria Math"/>
              </w:rPr>
              <m:t>EF</m:t>
            </m:r>
            <m:ctrlPr>
              <w:rPr>
                <w:rFonts w:ascii="Cambria Math" w:hAnsi="Cambria Math"/>
                <w:kern w:val="2"/>
                <w:szCs w:val="21"/>
              </w:rPr>
            </m:ctrlPr>
          </m:e>
          <m:sub>
            <m:r>
              <m:rPr/>
              <w:rPr>
                <w:rFonts w:hint="eastAsia" w:ascii="Cambria Math" w:hAnsi="Cambria Math"/>
              </w:rPr>
              <m:t>热</m:t>
            </m:r>
            <m:ctrlPr>
              <w:rPr>
                <w:rFonts w:ascii="Cambria Math" w:hAnsi="Cambria Math"/>
                <w:kern w:val="2"/>
                <w:szCs w:val="21"/>
              </w:rPr>
            </m:ctrlPr>
          </m:sub>
        </m:sSub>
      </m:oMath>
      <w:r>
        <w:rPr>
          <w:rFonts w:hint="eastAsia"/>
        </w:rPr>
        <w:t>——年平均供热排放因子，单位为吨二氧化碳/百万千焦 （tCO</w:t>
      </w:r>
      <w:r>
        <w:rPr>
          <w:rFonts w:hint="eastAsia"/>
          <w:vertAlign w:val="subscript"/>
        </w:rPr>
        <w:t>2</w:t>
      </w:r>
      <w:r>
        <w:rPr>
          <w:rFonts w:hint="eastAsia"/>
        </w:rPr>
        <w:t>/GJ）；</w:t>
      </w:r>
    </w:p>
    <w:p w14:paraId="4B74E826">
      <w:pPr>
        <w:pStyle w:val="57"/>
        <w:ind w:firstLine="420"/>
      </w:pPr>
      <m:oMath>
        <m:sSub>
          <m:sSubPr>
            <m:ctrlPr>
              <w:rPr>
                <w:rFonts w:ascii="Cambria Math" w:hAnsi="Cambria Math"/>
                <w:i/>
                <w:kern w:val="2"/>
                <w:szCs w:val="21"/>
              </w:rPr>
            </m:ctrlPr>
          </m:sSubPr>
          <m:e>
            <m:r>
              <m:rPr/>
              <w:rPr>
                <w:rFonts w:ascii="Cambria Math" w:hAnsi="Cambria Math"/>
              </w:rPr>
              <m:t>AD</m:t>
            </m:r>
            <m:ctrlPr>
              <w:rPr>
                <w:rFonts w:ascii="Cambria Math" w:hAnsi="Cambria Math"/>
                <w:i/>
                <w:kern w:val="2"/>
                <w:szCs w:val="21"/>
              </w:rPr>
            </m:ctrlPr>
          </m:e>
          <m:sub>
            <m:r>
              <m:rPr/>
              <w:rPr>
                <w:rFonts w:hint="eastAsia" w:ascii="Cambria Math" w:hAnsi="Cambria Math"/>
              </w:rPr>
              <m:t>热</m:t>
            </m:r>
            <m:ctrlPr>
              <w:rPr>
                <w:rFonts w:ascii="Cambria Math" w:hAnsi="Cambria Math"/>
                <w:i/>
                <w:kern w:val="2"/>
                <w:szCs w:val="21"/>
              </w:rPr>
            </m:ctrlPr>
          </m:sub>
        </m:sSub>
      </m:oMath>
      <w:r>
        <w:rPr>
          <w:rFonts w:hint="eastAsia"/>
        </w:rPr>
        <w:t>——净外购热力，单位为百万千焦（GJ）。</w:t>
      </w:r>
    </w:p>
    <w:p w14:paraId="05224F59">
      <w:pPr>
        <w:pStyle w:val="95"/>
        <w:spacing w:before="120" w:after="120"/>
      </w:pPr>
      <w:r>
        <w:rPr>
          <w:rFonts w:hint="eastAsia"/>
        </w:rPr>
        <w:t>生产过程中碳排放量</w:t>
      </w:r>
    </w:p>
    <w:p w14:paraId="10A43ABC">
      <w:pPr>
        <w:pStyle w:val="57"/>
        <w:ind w:firstLine="420"/>
      </w:pPr>
      <w:r>
        <w:rPr>
          <w:rFonts w:hint="eastAsia"/>
        </w:rPr>
        <w:t>生产过程中碳排放量的计算方法为：</w:t>
      </w:r>
    </w:p>
    <w:p w14:paraId="16D2566A">
      <w:pPr>
        <w:pStyle w:val="114"/>
      </w:pPr>
      <w:r>
        <w:tab/>
      </w:r>
      <m:oMath>
        <m:sSub>
          <m:sSubPr>
            <m:ctrlPr>
              <w:rPr>
                <w:rFonts w:ascii="Cambria Math" w:hAnsi="Cambria Math"/>
              </w:rPr>
            </m:ctrlPr>
          </m:sSubPr>
          <m:e>
            <m:r>
              <m:rPr>
                <m:sty m:val="p"/>
              </m:rPr>
              <w:rPr>
                <w:rFonts w:hint="eastAsia" w:ascii="Cambria Math" w:hAnsi="Cambria Math"/>
              </w:rPr>
              <m:t>E</m:t>
            </m:r>
            <m:ctrlPr>
              <w:rPr>
                <w:rFonts w:ascii="Cambria Math" w:hAnsi="Cambria Math"/>
              </w:rPr>
            </m:ctrlPr>
          </m:e>
          <m:sub>
            <m:r>
              <m:rPr/>
              <w:rPr>
                <w:rFonts w:ascii="Cambria Math" w:hAnsi="Cambria Math"/>
              </w:rPr>
              <m:t>生产过程</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hint="eastAsia" w:ascii="Cambria Math" w:hAnsi="Cambria Math"/>
              </w:rPr>
              <m:t>E</m:t>
            </m:r>
            <m:ctrlPr>
              <w:rPr>
                <w:rFonts w:ascii="Cambria Math" w:hAnsi="Cambria Math"/>
              </w:rPr>
            </m:ctrlPr>
          </m:e>
          <m:sub>
            <m:r>
              <m:rPr/>
              <w:rPr>
                <w:rFonts w:ascii="Cambria Math" w:hAnsi="Cambria Math"/>
              </w:rPr>
              <m:t>燃烧</m:t>
            </m:r>
            <m:ctrlPr>
              <w:rPr>
                <w:rFonts w:ascii="Cambria Math" w:hAnsi="Cambria Math"/>
              </w:rPr>
            </m:ctrlPr>
          </m:sub>
        </m:sSub>
        <m:r>
          <m:rPr/>
          <w:rPr>
            <w:rFonts w:ascii="Cambria Math" w:hAnsi="Cambria Math"/>
          </w:rPr>
          <m:t>+</m:t>
        </m:r>
        <m:sSub>
          <m:sSubPr>
            <m:ctrlPr>
              <w:rPr>
                <w:rFonts w:ascii="Cambria Math" w:hAnsi="Cambria Math"/>
                <w:i/>
              </w:rPr>
            </m:ctrlPr>
          </m:sSubPr>
          <m:e>
            <m:r>
              <m:rPr>
                <m:sty m:val="p"/>
              </m:rPr>
              <w:rPr>
                <w:rFonts w:hint="eastAsia" w:ascii="Cambria Math" w:hAnsi="Cambria Math"/>
              </w:rPr>
              <m:t>E</m:t>
            </m:r>
            <m:ctrlPr>
              <w:rPr>
                <w:rFonts w:ascii="Cambria Math" w:hAnsi="Cambria Math"/>
                <w:i/>
              </w:rPr>
            </m:ctrlPr>
          </m:e>
          <m:sub>
            <m:r>
              <m:rPr/>
              <w:rPr>
                <w:rFonts w:ascii="Cambria Math" w:hAnsi="Cambria Math"/>
              </w:rPr>
              <m:t>电</m:t>
            </m:r>
            <m:ctrlPr>
              <w:rPr>
                <w:rFonts w:ascii="Cambria Math" w:hAnsi="Cambria Math"/>
                <w:i/>
              </w:rPr>
            </m:ctrlPr>
          </m:sub>
        </m:sSub>
        <m:r>
          <m:rPr/>
          <w:rPr>
            <w:rFonts w:ascii="Cambria Math" w:hAnsi="Cambria Math"/>
          </w:rPr>
          <m:t>+</m:t>
        </m:r>
        <m:sSub>
          <m:sSubPr>
            <m:ctrlPr>
              <w:rPr>
                <w:rFonts w:ascii="Cambria Math" w:hAnsi="Cambria Math"/>
                <w:i/>
              </w:rPr>
            </m:ctrlPr>
          </m:sSubPr>
          <m:e>
            <m:r>
              <m:rPr>
                <m:sty m:val="p"/>
              </m:rPr>
              <w:rPr>
                <w:rFonts w:hint="eastAsia" w:ascii="Cambria Math" w:hAnsi="Cambria Math"/>
              </w:rPr>
              <m:t>E</m:t>
            </m:r>
            <m:ctrlPr>
              <w:rPr>
                <w:rFonts w:ascii="Cambria Math" w:hAnsi="Cambria Math"/>
                <w:i/>
              </w:rPr>
            </m:ctrlPr>
          </m:e>
          <m:sub>
            <m:r>
              <m:rPr/>
              <w:rPr>
                <w:rFonts w:ascii="Cambria Math" w:hAnsi="Cambria Math"/>
              </w:rPr>
              <m:t>热</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1DA1F5CD">
      <w:pPr>
        <w:pStyle w:val="66"/>
        <w:spacing w:before="120" w:after="120"/>
        <w:rPr>
          <w:shd w:val="clear" w:color="auto" w:fill="FFFFFF"/>
        </w:rPr>
      </w:pPr>
      <w:r>
        <w:rPr>
          <w:rFonts w:hint="eastAsia"/>
          <w:shd w:val="clear" w:color="auto" w:fill="FFFFFF"/>
        </w:rPr>
        <w:t>运输过程排放</w:t>
      </w:r>
    </w:p>
    <w:p w14:paraId="5F86EADE">
      <w:pPr>
        <w:pStyle w:val="57"/>
        <w:ind w:firstLine="420"/>
      </w:pPr>
      <w:r>
        <w:rPr>
          <w:rFonts w:hint="eastAsia"/>
        </w:rPr>
        <w:t>汽车紧固件产品运输过程包括厂区内的产品运输和厂区外产品运输，厂内运输方式主要为叉车运输，电叉车运输产生的温室气体排放量为电力消耗量与电力排放因子的乘积，而其他运输方式的温室气体排放则为燃料生产和燃料燃烧产生的温室气体排放量之和，不同运输方式产生的二氧化碳排放量进行加和，按式（11）计算：</w:t>
      </w:r>
    </w:p>
    <w:p w14:paraId="5D7DF00D">
      <w:pPr>
        <w:pStyle w:val="114"/>
      </w:pPr>
      <w:r>
        <w:tab/>
      </w:r>
      <m:oMath>
        <m:sSub>
          <m:sSubPr>
            <m:ctrlPr>
              <w:rPr>
                <w:rFonts w:ascii="Cambria Math" w:hAnsi="Cambria Math"/>
              </w:rPr>
            </m:ctrlPr>
          </m:sSubPr>
          <m:e>
            <m:r>
              <m:rPr>
                <m:sty m:val="p"/>
              </m:rPr>
              <w:rPr>
                <w:rFonts w:hint="eastAsia" w:ascii="Cambria Math" w:hAnsi="Cambria Math"/>
              </w:rPr>
              <m:t>E</m:t>
            </m:r>
            <m:ctrlPr>
              <w:rPr>
                <w:rFonts w:ascii="Cambria Math" w:hAnsi="Cambria Math"/>
              </w:rPr>
            </m:ctrlPr>
          </m:e>
          <m:sub>
            <m:r>
              <m:rPr/>
              <w:rPr>
                <w:rFonts w:hint="eastAsia" w:ascii="Cambria Math" w:hAnsi="Cambria Math"/>
              </w:rPr>
              <m:t>运输</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hint="eastAsia" w:ascii="Cambria Math" w:hAnsi="Cambria Math"/>
              </w:rPr>
              <m:t>E</m:t>
            </m:r>
            <m:ctrlPr>
              <w:rPr>
                <w:rFonts w:ascii="Cambria Math" w:hAnsi="Cambria Math"/>
              </w:rPr>
            </m:ctrlPr>
          </m:e>
          <m:sub>
            <m:r>
              <m:rPr/>
              <w:rPr>
                <w:rFonts w:hint="eastAsia" w:ascii="Cambria Math" w:hAnsi="Cambria Math"/>
              </w:rPr>
              <m:t>叉车</m:t>
            </m:r>
            <m:r>
              <m:rPr/>
              <w:rPr>
                <w:rFonts w:ascii="Cambria Math" w:hAnsi="Cambria Math"/>
              </w:rPr>
              <m:t>电力</m:t>
            </m:r>
            <m:ctrlPr>
              <w:rPr>
                <w:rFonts w:ascii="Cambria Math" w:hAnsi="Cambria Math"/>
              </w:rPr>
            </m:ctrlPr>
          </m:sub>
        </m:sSub>
        <m:r>
          <m:rPr/>
          <w:rPr>
            <w:rFonts w:ascii="Cambria Math" w:hAnsi="Cambria Math"/>
          </w:rPr>
          <m:t>+</m:t>
        </m:r>
        <m:sSub>
          <m:sSubPr>
            <m:ctrlPr>
              <w:rPr>
                <w:rFonts w:ascii="Cambria Math" w:hAnsi="Cambria Math"/>
                <w:i/>
              </w:rPr>
            </m:ctrlPr>
          </m:sSubPr>
          <m:e>
            <m:r>
              <m:rPr>
                <m:sty m:val="p"/>
              </m:rPr>
              <w:rPr>
                <w:rFonts w:hint="eastAsia" w:ascii="Cambria Math" w:hAnsi="Cambria Math"/>
              </w:rPr>
              <m:t>E</m:t>
            </m:r>
            <m:ctrlPr>
              <w:rPr>
                <w:rFonts w:ascii="Cambria Math" w:hAnsi="Cambria Math"/>
                <w:i/>
              </w:rPr>
            </m:ctrlPr>
          </m:e>
          <m:sub>
            <m:r>
              <m:rPr/>
              <w:rPr>
                <w:rFonts w:hint="eastAsia" w:ascii="Cambria Math" w:hAnsi="Cambria Math"/>
              </w:rPr>
              <m:t>燃油</m:t>
            </m:r>
            <m:r>
              <m:rPr/>
              <w:rPr>
                <w:rFonts w:ascii="Cambria Math" w:hAnsi="Cambria Math"/>
              </w:rPr>
              <m:t>燃烧</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30DCA46F">
      <w:pPr>
        <w:pStyle w:val="56"/>
        <w:ind w:firstLine="420"/>
      </w:pPr>
      <w:r>
        <w:rPr>
          <w:rFonts w:hint="eastAsia"/>
        </w:rPr>
        <w:t>式中：</w:t>
      </w:r>
    </w:p>
    <w:p w14:paraId="28E871F2">
      <w:pPr>
        <w:pStyle w:val="57"/>
        <w:ind w:firstLine="420"/>
      </w:pPr>
      <m:oMath>
        <m:sSub>
          <m:sSubPr>
            <m:ctrlPr>
              <w:rPr>
                <w:rFonts w:ascii="Cambria Math" w:hAnsi="Cambria Math"/>
                <w:kern w:val="2"/>
                <w:szCs w:val="21"/>
              </w:rPr>
            </m:ctrlPr>
          </m:sSubPr>
          <m:e>
            <m:r>
              <m:rPr>
                <m:sty m:val="p"/>
              </m:rPr>
              <w:rPr>
                <w:rFonts w:hint="eastAsia" w:ascii="Cambria Math" w:hAnsi="Cambria Math"/>
              </w:rPr>
              <m:t>E</m:t>
            </m:r>
            <m:ctrlPr>
              <w:rPr>
                <w:rFonts w:ascii="Cambria Math" w:hAnsi="Cambria Math"/>
                <w:kern w:val="2"/>
                <w:szCs w:val="21"/>
              </w:rPr>
            </m:ctrlPr>
          </m:e>
          <m:sub>
            <m:r>
              <m:rPr/>
              <w:rPr>
                <w:rFonts w:hint="eastAsia" w:ascii="Cambria Math" w:hAnsi="Cambria Math"/>
              </w:rPr>
              <m:t>叉车</m:t>
            </m:r>
            <m:r>
              <m:rPr/>
              <w:rPr>
                <w:rFonts w:ascii="Cambria Math" w:hAnsi="Cambria Math"/>
              </w:rPr>
              <m:t>电力</m:t>
            </m:r>
            <m:ctrlPr>
              <w:rPr>
                <w:rFonts w:ascii="Cambria Math" w:hAnsi="Cambria Math"/>
                <w:kern w:val="2"/>
                <w:szCs w:val="21"/>
              </w:rPr>
            </m:ctrlPr>
          </m:sub>
        </m:sSub>
      </m:oMath>
      <w:r>
        <w:rPr>
          <w:rFonts w:hint="eastAsia"/>
        </w:rPr>
        <w:t>——厂内运输过程中电力消耗产生的二氧化碳排放量，单位为吨二氧化碳</w:t>
      </w:r>
      <w:bookmarkStart w:id="88" w:name="OLE_LINK9"/>
      <w:r>
        <w:rPr>
          <w:rFonts w:hint="eastAsia"/>
        </w:rPr>
        <w:t>（tCO</w:t>
      </w:r>
      <w:r>
        <w:rPr>
          <w:rFonts w:hint="eastAsia"/>
          <w:vertAlign w:val="subscript"/>
        </w:rPr>
        <w:t>2</w:t>
      </w:r>
      <w:r>
        <w:rPr>
          <w:rFonts w:hint="eastAsia"/>
        </w:rPr>
        <w:t>）</w:t>
      </w:r>
      <w:bookmarkEnd w:id="88"/>
      <w:r>
        <w:rPr>
          <w:rFonts w:hint="eastAsia"/>
        </w:rPr>
        <w:t>；</w:t>
      </w:r>
    </w:p>
    <w:p w14:paraId="106298CB">
      <w:pPr>
        <w:pStyle w:val="57"/>
        <w:ind w:firstLine="420"/>
      </w:pPr>
      <m:oMath>
        <m:sSub>
          <m:sSubPr>
            <m:ctrlPr>
              <w:rPr>
                <w:rFonts w:ascii="Cambria Math" w:hAnsi="Cambria Math"/>
                <w:i/>
                <w:kern w:val="2"/>
                <w:szCs w:val="21"/>
              </w:rPr>
            </m:ctrlPr>
          </m:sSubPr>
          <m:e>
            <m:r>
              <m:rPr>
                <m:sty m:val="p"/>
              </m:rPr>
              <w:rPr>
                <w:rFonts w:hint="eastAsia" w:ascii="Cambria Math" w:hAnsi="Cambria Math"/>
              </w:rPr>
              <m:t>E</m:t>
            </m:r>
            <m:ctrlPr>
              <w:rPr>
                <w:rFonts w:ascii="Cambria Math" w:hAnsi="Cambria Math"/>
                <w:i/>
                <w:kern w:val="2"/>
                <w:szCs w:val="21"/>
              </w:rPr>
            </m:ctrlPr>
          </m:e>
          <m:sub>
            <m:r>
              <m:rPr/>
              <w:rPr>
                <w:rFonts w:hint="eastAsia" w:ascii="Cambria Math" w:hAnsi="Cambria Math"/>
              </w:rPr>
              <m:t>燃油</m:t>
            </m:r>
            <m:r>
              <m:rPr/>
              <w:rPr>
                <w:rFonts w:ascii="Cambria Math" w:hAnsi="Cambria Math"/>
              </w:rPr>
              <m:t>燃烧</m:t>
            </m:r>
            <m:ctrlPr>
              <w:rPr>
                <w:rFonts w:ascii="Cambria Math" w:hAnsi="Cambria Math"/>
                <w:i/>
                <w:kern w:val="2"/>
                <w:szCs w:val="21"/>
              </w:rPr>
            </m:ctrlPr>
          </m:sub>
        </m:sSub>
      </m:oMath>
      <w:r>
        <w:rPr>
          <w:rFonts w:hint="eastAsia"/>
        </w:rPr>
        <w:t>——场外运输时车辆产生的二氧化碳排放量，单位为吨二氧化碳（tCO</w:t>
      </w:r>
      <w:r>
        <w:rPr>
          <w:rFonts w:hint="eastAsia"/>
          <w:vertAlign w:val="subscript"/>
        </w:rPr>
        <w:t>2</w:t>
      </w:r>
      <w:r>
        <w:rPr>
          <w:rFonts w:hint="eastAsia"/>
        </w:rPr>
        <w:t>）。</w:t>
      </w:r>
    </w:p>
    <w:p w14:paraId="204A2C5E">
      <w:pPr>
        <w:pStyle w:val="106"/>
        <w:spacing w:before="120" w:after="120"/>
        <w:rPr>
          <w:shd w:val="clear" w:color="auto" w:fill="FFFFFF"/>
        </w:rPr>
      </w:pPr>
      <w:r>
        <w:rPr>
          <w:shd w:val="clear" w:color="auto" w:fill="FFFFFF"/>
        </w:rPr>
        <w:t>不确定性分析​</w:t>
      </w:r>
    </w:p>
    <w:p w14:paraId="3E4025AF">
      <w:pPr>
        <w:pStyle w:val="57"/>
        <w:ind w:firstLine="420"/>
      </w:pPr>
      <w:r>
        <w:rPr>
          <w:shd w:val="clear" w:color="auto" w:fill="FFFFFF"/>
        </w:rPr>
        <w:t>应对量化结果进行不确定性分析，评估数据质量、计算方法、假设条件等因素对结果的影响。不确定性分析方法可采用蒙特卡罗模拟、误差传播法等，并在报告中说明分析结果。</w:t>
      </w:r>
    </w:p>
    <w:p w14:paraId="0CC71312">
      <w:pPr>
        <w:pStyle w:val="105"/>
        <w:spacing w:before="240" w:after="240"/>
      </w:pPr>
      <w:bookmarkStart w:id="89" w:name="_Toc194932454"/>
      <w:bookmarkStart w:id="90" w:name="_Toc194591301"/>
      <w:bookmarkStart w:id="91" w:name="_Toc194593848"/>
      <w:r>
        <w:t>结果解释</w:t>
      </w:r>
      <w:bookmarkEnd w:id="89"/>
      <w:bookmarkEnd w:id="90"/>
      <w:bookmarkEnd w:id="91"/>
    </w:p>
    <w:p w14:paraId="35E0A2EA">
      <w:pPr>
        <w:pStyle w:val="106"/>
        <w:spacing w:before="120" w:after="120"/>
      </w:pPr>
      <w:r>
        <w:rPr>
          <w:rFonts w:hint="eastAsia"/>
        </w:rPr>
        <w:t>解释步骤</w:t>
      </w:r>
    </w:p>
    <w:p w14:paraId="77DEBE91">
      <w:pPr>
        <w:pStyle w:val="57"/>
        <w:ind w:firstLine="420"/>
      </w:pPr>
      <w:r>
        <w:rPr>
          <w:rFonts w:hint="eastAsia"/>
        </w:rPr>
        <w:t>汽车紧固件碳足迹的生命周期结果解释应包括以下步骤：</w:t>
      </w:r>
    </w:p>
    <w:p w14:paraId="4DD5CD25">
      <w:pPr>
        <w:pStyle w:val="175"/>
      </w:pPr>
      <w:r>
        <w:rPr>
          <w:rFonts w:hint="eastAsia"/>
        </w:rPr>
        <w:t>根据生命周期清单分析和生命周期影响评价的汽车紧固件碳足迹的量化结果,识别显著环节（可包括生命周期阶段、单元过程）</w:t>
      </w:r>
    </w:p>
    <w:p w14:paraId="67A4BBE1">
      <w:pPr>
        <w:pStyle w:val="175"/>
      </w:pPr>
      <w:r>
        <w:rPr>
          <w:rFonts w:hint="eastAsia"/>
        </w:rPr>
        <w:t>完整性、一致性和敏感性分析的评估；</w:t>
      </w:r>
    </w:p>
    <w:p w14:paraId="7DD5643B">
      <w:pPr>
        <w:pStyle w:val="175"/>
      </w:pPr>
      <w:r>
        <w:rPr>
          <w:rFonts w:hint="eastAsia"/>
        </w:rPr>
        <w:t>结论、局限性和建议的编制。</w:t>
      </w:r>
    </w:p>
    <w:p w14:paraId="34D4DB87">
      <w:pPr>
        <w:pStyle w:val="106"/>
        <w:spacing w:before="120" w:after="120"/>
      </w:pPr>
      <w:r>
        <w:rPr>
          <w:rFonts w:hint="eastAsia"/>
        </w:rPr>
        <w:t>解释内容</w:t>
      </w:r>
    </w:p>
    <w:p w14:paraId="6889CAE9">
      <w:pPr>
        <w:pStyle w:val="166"/>
      </w:pPr>
      <w:r>
        <w:rPr>
          <w:rFonts w:hint="eastAsia"/>
        </w:rPr>
        <w:t>应根据汽车紧固件碳足迹研究的目的和范围进行结果解释，解释应包括以下内容：</w:t>
      </w:r>
    </w:p>
    <w:p w14:paraId="18FFF29E">
      <w:pPr>
        <w:pStyle w:val="175"/>
        <w:numPr>
          <w:ilvl w:val="0"/>
          <w:numId w:val="33"/>
        </w:numPr>
      </w:pPr>
      <w:r>
        <w:rPr>
          <w:rFonts w:hint="eastAsia"/>
        </w:rPr>
        <w:t>说明汽车紧固件碳足迹；</w:t>
      </w:r>
    </w:p>
    <w:p w14:paraId="5AD62E20">
      <w:pPr>
        <w:pStyle w:val="175"/>
      </w:pPr>
      <w:r>
        <w:rPr>
          <w:rFonts w:hint="eastAsia"/>
        </w:rPr>
        <w:t>分析不确定性，包括取舍准则的应用或范围；</w:t>
      </w:r>
    </w:p>
    <w:p w14:paraId="23907C73">
      <w:pPr>
        <w:pStyle w:val="175"/>
      </w:pPr>
      <w:r>
        <w:rPr>
          <w:rFonts w:hint="eastAsia"/>
        </w:rPr>
        <w:t>详细记录选定的分配程序；</w:t>
      </w:r>
    </w:p>
    <w:p w14:paraId="04EFFCBA">
      <w:pPr>
        <w:pStyle w:val="175"/>
      </w:pPr>
      <w:r>
        <w:rPr>
          <w:rFonts w:hint="eastAsia"/>
        </w:rPr>
        <w:t>说明汽车紧固件碳足迹研究的局限性（按照但不限于 GB/T 24067-2024 附录A）。</w:t>
      </w:r>
    </w:p>
    <w:p w14:paraId="5BBE610C">
      <w:pPr>
        <w:pStyle w:val="166"/>
      </w:pPr>
      <w:r>
        <w:rPr>
          <w:rFonts w:hint="eastAsia"/>
        </w:rPr>
        <w:t>结果解释宜包括以下内容：</w:t>
      </w:r>
    </w:p>
    <w:p w14:paraId="4D200A50">
      <w:pPr>
        <w:pStyle w:val="175"/>
        <w:numPr>
          <w:ilvl w:val="0"/>
          <w:numId w:val="34"/>
        </w:numPr>
      </w:pPr>
      <w:r>
        <w:rPr>
          <w:rFonts w:hint="eastAsia"/>
        </w:rPr>
        <w:t>分析重要输入、输出和方法学选择（包括分配程序）的敏感性，以了解结果的敏感性和不确定性；</w:t>
      </w:r>
    </w:p>
    <w:p w14:paraId="7283BA3A">
      <w:pPr>
        <w:pStyle w:val="175"/>
      </w:pPr>
      <w:r>
        <w:rPr>
          <w:rFonts w:hint="eastAsia"/>
        </w:rPr>
        <w:t>评估替代使用情景对最终结果的影响评价；</w:t>
      </w:r>
    </w:p>
    <w:p w14:paraId="3E039743">
      <w:pPr>
        <w:pStyle w:val="175"/>
      </w:pPr>
      <w:r>
        <w:rPr>
          <w:rFonts w:hint="eastAsia"/>
        </w:rPr>
        <w:t>评估不同生命末期阶段情景对最终结果的影响评价；</w:t>
      </w:r>
    </w:p>
    <w:p w14:paraId="613715D8">
      <w:pPr>
        <w:pStyle w:val="175"/>
      </w:pPr>
      <w:r>
        <w:rPr>
          <w:rFonts w:hint="eastAsia"/>
        </w:rPr>
        <w:t>评估建议对结果的影响；</w:t>
      </w:r>
    </w:p>
    <w:p w14:paraId="14636C7D">
      <w:pPr>
        <w:pStyle w:val="175"/>
      </w:pPr>
      <w:r>
        <w:rPr>
          <w:rFonts w:hint="eastAsia"/>
        </w:rPr>
        <w:t>描述地理格网的划分方法及地理格网的尺度要求原则（如适用）。</w:t>
      </w:r>
    </w:p>
    <w:p w14:paraId="08348438">
      <w:pPr>
        <w:pStyle w:val="105"/>
        <w:spacing w:before="240" w:after="240"/>
      </w:pPr>
      <w:bookmarkStart w:id="92" w:name="_Toc194591302"/>
      <w:bookmarkStart w:id="93" w:name="_Toc194593849"/>
      <w:bookmarkStart w:id="94" w:name="_Toc194932455"/>
      <w:r>
        <w:t>报告</w:t>
      </w:r>
      <w:bookmarkEnd w:id="92"/>
      <w:bookmarkEnd w:id="93"/>
      <w:bookmarkEnd w:id="94"/>
    </w:p>
    <w:p w14:paraId="63F2BDF6">
      <w:pPr>
        <w:pStyle w:val="106"/>
        <w:spacing w:before="120" w:after="120"/>
      </w:pPr>
      <w:r>
        <w:rPr>
          <w:rFonts w:hint="eastAsia"/>
        </w:rPr>
        <w:t>报告内容</w:t>
      </w:r>
      <w:r>
        <w:rPr>
          <w:rFonts w:hint="eastAsia" w:ascii="MS Gothic" w:hAnsi="MS Gothic" w:eastAsia="MS Gothic" w:cs="MS Gothic"/>
        </w:rPr>
        <w:t>​</w:t>
      </w:r>
    </w:p>
    <w:p w14:paraId="695E2EC5">
      <w:pPr>
        <w:pStyle w:val="66"/>
        <w:spacing w:before="120" w:after="120"/>
      </w:pPr>
      <w:r>
        <w:rPr>
          <w:rFonts w:hint="eastAsia"/>
        </w:rPr>
        <w:t>基本信息</w:t>
      </w:r>
      <w:r>
        <w:rPr>
          <w:rFonts w:hint="eastAsia" w:ascii="MS Gothic" w:hAnsi="MS Gothic" w:eastAsia="MS Gothic" w:cs="MS Gothic"/>
        </w:rPr>
        <w:t>​</w:t>
      </w:r>
    </w:p>
    <w:p w14:paraId="3F82EDC3">
      <w:pPr>
        <w:pStyle w:val="57"/>
        <w:ind w:firstLine="420"/>
      </w:pPr>
      <w:r>
        <w:rPr>
          <w:rFonts w:hint="eastAsia"/>
        </w:rPr>
        <w:t>产品名称、型号、功能单位、生产企业名称、报告日期等。</w:t>
      </w:r>
      <w:r>
        <w:rPr>
          <w:rFonts w:hint="eastAsia" w:ascii="MS Gothic" w:hAnsi="MS Gothic" w:eastAsia="MS Gothic" w:cs="MS Gothic"/>
        </w:rPr>
        <w:t>​</w:t>
      </w:r>
    </w:p>
    <w:p w14:paraId="37297023">
      <w:pPr>
        <w:pStyle w:val="66"/>
        <w:spacing w:before="120" w:after="120"/>
      </w:pPr>
      <w:r>
        <w:rPr>
          <w:rFonts w:hint="eastAsia"/>
        </w:rPr>
        <w:t>量化目标与范围</w:t>
      </w:r>
      <w:r>
        <w:rPr>
          <w:rFonts w:hint="eastAsia" w:ascii="MS Gothic" w:hAnsi="MS Gothic" w:eastAsia="MS Gothic" w:cs="MS Gothic"/>
        </w:rPr>
        <w:t>​</w:t>
      </w:r>
    </w:p>
    <w:p w14:paraId="34606907">
      <w:pPr>
        <w:pStyle w:val="57"/>
        <w:ind w:firstLine="420"/>
      </w:pPr>
      <w:r>
        <w:rPr>
          <w:rFonts w:hint="eastAsia"/>
        </w:rPr>
        <w:t>明确量化的目的、系统边界、生命周期阶段、温室气体种类和地理边界等。</w:t>
      </w:r>
      <w:r>
        <w:rPr>
          <w:rFonts w:hint="eastAsia" w:ascii="MS Gothic" w:hAnsi="MS Gothic" w:eastAsia="MS Gothic" w:cs="MS Gothic"/>
        </w:rPr>
        <w:t>​</w:t>
      </w:r>
    </w:p>
    <w:p w14:paraId="777766DE">
      <w:pPr>
        <w:pStyle w:val="66"/>
        <w:spacing w:before="120" w:after="120"/>
      </w:pPr>
      <w:r>
        <w:rPr>
          <w:rFonts w:hint="eastAsia"/>
        </w:rPr>
        <w:t>数据来源与处理</w:t>
      </w:r>
      <w:r>
        <w:rPr>
          <w:rFonts w:hint="eastAsia" w:ascii="MS Gothic" w:hAnsi="MS Gothic" w:eastAsia="MS Gothic" w:cs="MS Gothic"/>
        </w:rPr>
        <w:t>​</w:t>
      </w:r>
    </w:p>
    <w:p w14:paraId="740EBE92">
      <w:pPr>
        <w:pStyle w:val="57"/>
        <w:ind w:firstLine="420"/>
      </w:pPr>
      <w:r>
        <w:rPr>
          <w:rFonts w:hint="eastAsia"/>
        </w:rPr>
        <w:t>说明数据的来源、收集方法、数据质量控制措施、数据分配方法和取舍准则等。</w:t>
      </w:r>
      <w:r>
        <w:rPr>
          <w:rFonts w:hint="eastAsia" w:ascii="MS Gothic" w:hAnsi="MS Gothic" w:eastAsia="MS Gothic" w:cs="MS Gothic"/>
        </w:rPr>
        <w:t>​</w:t>
      </w:r>
    </w:p>
    <w:p w14:paraId="2F4B594E">
      <w:pPr>
        <w:pStyle w:val="66"/>
        <w:spacing w:before="120" w:after="120"/>
      </w:pPr>
      <w:r>
        <w:rPr>
          <w:rFonts w:hint="eastAsia"/>
        </w:rPr>
        <w:t>量化结果</w:t>
      </w:r>
      <w:r>
        <w:rPr>
          <w:rFonts w:hint="eastAsia" w:ascii="MS Gothic" w:hAnsi="MS Gothic" w:eastAsia="MS Gothic" w:cs="MS Gothic"/>
        </w:rPr>
        <w:t>​</w:t>
      </w:r>
    </w:p>
    <w:p w14:paraId="70AFE665">
      <w:pPr>
        <w:pStyle w:val="57"/>
        <w:ind w:firstLine="420"/>
      </w:pPr>
      <w:r>
        <w:rPr>
          <w:rFonts w:hint="eastAsia"/>
        </w:rPr>
        <w:t>各生命周期阶段的温室气体排放量、总碳足迹、不确定性分析结果等。</w:t>
      </w:r>
      <w:r>
        <w:rPr>
          <w:rFonts w:hint="eastAsia" w:ascii="MS Gothic" w:hAnsi="MS Gothic" w:eastAsia="MS Gothic" w:cs="MS Gothic"/>
        </w:rPr>
        <w:t>​</w:t>
      </w:r>
    </w:p>
    <w:p w14:paraId="4B71E364">
      <w:pPr>
        <w:pStyle w:val="66"/>
        <w:spacing w:before="120" w:after="120"/>
      </w:pPr>
      <w:r>
        <w:rPr>
          <w:rFonts w:hint="eastAsia"/>
        </w:rPr>
        <w:t>结果分析与建议</w:t>
      </w:r>
      <w:r>
        <w:rPr>
          <w:rFonts w:hint="eastAsia" w:ascii="MS Gothic" w:hAnsi="MS Gothic" w:eastAsia="MS Gothic" w:cs="MS Gothic"/>
        </w:rPr>
        <w:t>​</w:t>
      </w:r>
    </w:p>
    <w:p w14:paraId="218C6CF9">
      <w:pPr>
        <w:pStyle w:val="57"/>
        <w:ind w:firstLine="420"/>
      </w:pPr>
      <w:r>
        <w:rPr>
          <w:rFonts w:hint="eastAsia"/>
        </w:rPr>
        <w:t>对量化结果进行分析，提出降低产品碳足迹的建议和措施，如改进生产工艺、优化运输方案、加强回收利用等。</w:t>
      </w:r>
      <w:r>
        <w:rPr>
          <w:rFonts w:hint="eastAsia" w:ascii="MS Gothic" w:hAnsi="MS Gothic" w:eastAsia="MS Gothic" w:cs="MS Gothic"/>
        </w:rPr>
        <w:t>​</w:t>
      </w:r>
    </w:p>
    <w:p w14:paraId="55BE9687">
      <w:pPr>
        <w:pStyle w:val="66"/>
        <w:spacing w:before="120" w:after="120"/>
      </w:pPr>
      <w:r>
        <w:rPr>
          <w:rFonts w:hint="eastAsia"/>
        </w:rPr>
        <w:t>其他信息</w:t>
      </w:r>
      <w:r>
        <w:rPr>
          <w:rFonts w:hint="eastAsia" w:ascii="MS Gothic" w:hAnsi="MS Gothic" w:eastAsia="MS Gothic" w:cs="MS Gothic"/>
        </w:rPr>
        <w:t>​</w:t>
      </w:r>
    </w:p>
    <w:p w14:paraId="4259A4E8">
      <w:pPr>
        <w:pStyle w:val="57"/>
        <w:ind w:firstLine="420"/>
      </w:pPr>
      <w:r>
        <w:rPr>
          <w:rFonts w:hint="eastAsia"/>
        </w:rPr>
        <w:t>包括报告编制过程中遵循的标准和规范、参考文献、声明等。</w:t>
      </w:r>
      <w:r>
        <w:rPr>
          <w:rFonts w:hint="eastAsia" w:ascii="MS Gothic" w:hAnsi="MS Gothic" w:eastAsia="MS Gothic" w:cs="MS Gothic"/>
        </w:rPr>
        <w:t>​</w:t>
      </w:r>
    </w:p>
    <w:p w14:paraId="45739273">
      <w:pPr>
        <w:pStyle w:val="106"/>
        <w:spacing w:before="120" w:after="120"/>
      </w:pPr>
      <w:r>
        <w:rPr>
          <w:rFonts w:hint="eastAsia"/>
        </w:rPr>
        <w:t>报告格式</w:t>
      </w:r>
      <w:r>
        <w:rPr>
          <w:rFonts w:hint="eastAsia" w:ascii="MS Gothic" w:hAnsi="MS Gothic" w:eastAsia="MS Gothic" w:cs="MS Gothic"/>
        </w:rPr>
        <w:t>​</w:t>
      </w:r>
    </w:p>
    <w:p w14:paraId="4B00F162">
      <w:pPr>
        <w:pStyle w:val="57"/>
        <w:ind w:firstLine="420"/>
      </w:pPr>
      <w:r>
        <w:rPr>
          <w:rFonts w:hint="eastAsia"/>
        </w:rPr>
        <w:t>报告应采用清晰、易读的格式，可参考附录 A 提供的模板进行编制。报告中的图表应准确、规范，并配有相应的说明。</w:t>
      </w:r>
    </w:p>
    <w:p w14:paraId="1B42F5CD">
      <w:pPr>
        <w:pStyle w:val="57"/>
        <w:ind w:firstLine="420"/>
      </w:pPr>
    </w:p>
    <w:p w14:paraId="089C6333">
      <w:pPr>
        <w:pStyle w:val="57"/>
        <w:ind w:firstLine="420"/>
      </w:pPr>
    </w:p>
    <w:p w14:paraId="627F4CDC">
      <w:pPr>
        <w:pStyle w:val="57"/>
        <w:ind w:firstLine="420"/>
        <w:sectPr>
          <w:pgSz w:w="11906" w:h="16838"/>
          <w:pgMar w:top="1928" w:right="1134" w:bottom="1134" w:left="1134" w:header="1418" w:footer="1134" w:gutter="284"/>
          <w:pgNumType w:start="1"/>
          <w:cols w:space="425" w:num="1"/>
          <w:formProt w:val="0"/>
          <w:docGrid w:linePitch="312" w:charSpace="0"/>
        </w:sectPr>
      </w:pPr>
    </w:p>
    <w:bookmarkEnd w:id="26"/>
    <w:p w14:paraId="4434F69F">
      <w:pPr>
        <w:pStyle w:val="199"/>
        <w:rPr>
          <w:vanish w:val="0"/>
        </w:rPr>
      </w:pPr>
      <w:bookmarkStart w:id="95" w:name="BookMark5"/>
    </w:p>
    <w:p w14:paraId="77C91F91">
      <w:pPr>
        <w:pStyle w:val="200"/>
        <w:rPr>
          <w:vanish w:val="0"/>
        </w:rPr>
      </w:pPr>
    </w:p>
    <w:p w14:paraId="4FD6C5CA">
      <w:pPr>
        <w:pStyle w:val="77"/>
        <w:spacing w:after="120"/>
      </w:pPr>
      <w:r>
        <w:br w:type="textWrapping"/>
      </w:r>
      <w:bookmarkStart w:id="96" w:name="_Toc194593850"/>
      <w:bookmarkStart w:id="97" w:name="_Toc194932456"/>
      <w:bookmarkStart w:id="98" w:name="_Toc194591303"/>
      <w:r>
        <w:rPr>
          <w:rFonts w:hint="eastAsia"/>
        </w:rPr>
        <w:t>（资料性）</w:t>
      </w:r>
      <w:r>
        <w:br w:type="textWrapping"/>
      </w:r>
      <w:bookmarkStart w:id="99" w:name="OLE_LINK10"/>
      <w:r>
        <w:rPr>
          <w:rFonts w:hint="eastAsia"/>
        </w:rPr>
        <w:t>汽车紧固件碳足迹报告</w:t>
      </w:r>
      <w:bookmarkEnd w:id="99"/>
      <w:r>
        <w:rPr>
          <w:rFonts w:hint="eastAsia"/>
        </w:rPr>
        <w:t>模版</w:t>
      </w:r>
      <w:bookmarkEnd w:id="96"/>
      <w:bookmarkEnd w:id="97"/>
      <w:bookmarkEnd w:id="98"/>
    </w:p>
    <w:p w14:paraId="6B75750A">
      <w:pPr>
        <w:pStyle w:val="57"/>
        <w:ind w:firstLine="420"/>
      </w:pPr>
      <w:r>
        <w:rPr>
          <w:rFonts w:hint="eastAsia"/>
        </w:rPr>
        <w:t>汽车紧固件碳足迹报告模版如下：</w:t>
      </w:r>
    </w:p>
    <w:tbl>
      <w:tblPr>
        <w:tblStyle w:val="2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374"/>
      </w:tblGrid>
      <w:tr w14:paraId="13F6FD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Header/>
          <w:jc w:val="center"/>
        </w:trPr>
        <w:tc>
          <w:tcPr>
            <w:tcW w:w="9374" w:type="dxa"/>
            <w:shd w:val="clear" w:color="auto" w:fill="auto"/>
            <w:vAlign w:val="center"/>
          </w:tcPr>
          <w:p w14:paraId="5E61E527">
            <w:pPr>
              <w:pStyle w:val="179"/>
              <w:rPr>
                <w:sz w:val="36"/>
                <w:szCs w:val="36"/>
              </w:rPr>
            </w:pPr>
            <w:r>
              <w:rPr>
                <w:rFonts w:hint="eastAsia"/>
                <w:sz w:val="36"/>
                <w:szCs w:val="36"/>
              </w:rPr>
              <w:t>汽车紧固件碳足迹报告</w:t>
            </w:r>
          </w:p>
          <w:p w14:paraId="3AABE570">
            <w:pPr>
              <w:pStyle w:val="179"/>
              <w:rPr>
                <w:sz w:val="30"/>
                <w:szCs w:val="30"/>
              </w:rPr>
            </w:pPr>
          </w:p>
          <w:p w14:paraId="7BADDA99">
            <w:pPr>
              <w:pStyle w:val="179"/>
              <w:rPr>
                <w:sz w:val="30"/>
                <w:szCs w:val="30"/>
              </w:rPr>
            </w:pPr>
          </w:p>
          <w:p w14:paraId="3E534963">
            <w:pPr>
              <w:pStyle w:val="179"/>
              <w:rPr>
                <w:sz w:val="30"/>
                <w:szCs w:val="30"/>
              </w:rPr>
            </w:pPr>
          </w:p>
          <w:p w14:paraId="66AC5A6A">
            <w:pPr>
              <w:pStyle w:val="179"/>
              <w:rPr>
                <w:sz w:val="30"/>
                <w:szCs w:val="30"/>
              </w:rPr>
            </w:pPr>
          </w:p>
          <w:p w14:paraId="590810D4">
            <w:pPr>
              <w:pStyle w:val="179"/>
              <w:rPr>
                <w:sz w:val="30"/>
                <w:szCs w:val="30"/>
              </w:rPr>
            </w:pPr>
          </w:p>
          <w:p w14:paraId="4D1F1077">
            <w:pPr>
              <w:pStyle w:val="179"/>
              <w:rPr>
                <w:sz w:val="30"/>
                <w:szCs w:val="30"/>
              </w:rPr>
            </w:pPr>
          </w:p>
          <w:p w14:paraId="2D32810A">
            <w:pPr>
              <w:pStyle w:val="179"/>
              <w:rPr>
                <w:sz w:val="30"/>
                <w:szCs w:val="30"/>
              </w:rPr>
            </w:pPr>
          </w:p>
          <w:p w14:paraId="304761EA">
            <w:pPr>
              <w:pStyle w:val="179"/>
              <w:rPr>
                <w:sz w:val="30"/>
                <w:szCs w:val="30"/>
              </w:rPr>
            </w:pPr>
          </w:p>
          <w:p w14:paraId="691D8DA8">
            <w:pPr>
              <w:pStyle w:val="179"/>
              <w:rPr>
                <w:sz w:val="30"/>
                <w:szCs w:val="30"/>
              </w:rPr>
            </w:pPr>
          </w:p>
          <w:p w14:paraId="05FB79D2">
            <w:pPr>
              <w:pStyle w:val="179"/>
              <w:rPr>
                <w:sz w:val="30"/>
                <w:szCs w:val="30"/>
              </w:rPr>
            </w:pPr>
          </w:p>
          <w:p w14:paraId="06B2BD62">
            <w:pPr>
              <w:pStyle w:val="179"/>
              <w:rPr>
                <w:sz w:val="30"/>
                <w:szCs w:val="30"/>
              </w:rPr>
            </w:pPr>
          </w:p>
          <w:p w14:paraId="7B43725E">
            <w:pPr>
              <w:pStyle w:val="179"/>
              <w:ind w:firstLine="2700" w:firstLineChars="900"/>
              <w:jc w:val="both"/>
              <w:rPr>
                <w:sz w:val="30"/>
                <w:szCs w:val="30"/>
              </w:rPr>
            </w:pPr>
            <w:r>
              <w:rPr>
                <w:rFonts w:hint="eastAsia"/>
                <w:sz w:val="30"/>
                <w:szCs w:val="30"/>
              </w:rPr>
              <w:t>产 品 名 称：</w:t>
            </w:r>
            <w:r>
              <w:rPr>
                <w:rFonts w:hint="eastAsia"/>
                <w:sz w:val="30"/>
                <w:szCs w:val="30"/>
                <w:u w:val="single"/>
              </w:rPr>
              <w:t xml:space="preserve">              </w:t>
            </w:r>
          </w:p>
          <w:p w14:paraId="06C15F21">
            <w:pPr>
              <w:pStyle w:val="179"/>
              <w:ind w:firstLine="2700" w:firstLineChars="900"/>
              <w:jc w:val="both"/>
              <w:rPr>
                <w:sz w:val="30"/>
                <w:szCs w:val="30"/>
              </w:rPr>
            </w:pPr>
            <w:r>
              <w:rPr>
                <w:rFonts w:hint="eastAsia"/>
                <w:sz w:val="30"/>
                <w:szCs w:val="30"/>
              </w:rPr>
              <w:t>生产企业名称：</w:t>
            </w:r>
            <w:r>
              <w:rPr>
                <w:rFonts w:hint="eastAsia"/>
                <w:sz w:val="30"/>
                <w:szCs w:val="30"/>
                <w:u w:val="single"/>
              </w:rPr>
              <w:t xml:space="preserve">             </w:t>
            </w:r>
          </w:p>
          <w:p w14:paraId="7096EDCD">
            <w:pPr>
              <w:pStyle w:val="179"/>
              <w:ind w:firstLine="2700" w:firstLineChars="900"/>
              <w:jc w:val="both"/>
              <w:rPr>
                <w:sz w:val="30"/>
                <w:szCs w:val="30"/>
              </w:rPr>
            </w:pPr>
            <w:r>
              <w:rPr>
                <w:rFonts w:hint="eastAsia"/>
                <w:sz w:val="30"/>
                <w:szCs w:val="30"/>
              </w:rPr>
              <w:t>报 告 编 号：</w:t>
            </w:r>
            <w:r>
              <w:rPr>
                <w:rFonts w:hint="eastAsia"/>
                <w:sz w:val="30"/>
                <w:szCs w:val="30"/>
                <w:u w:val="single"/>
              </w:rPr>
              <w:t xml:space="preserve">              </w:t>
            </w:r>
          </w:p>
          <w:p w14:paraId="4BEFEF44">
            <w:pPr>
              <w:pStyle w:val="179"/>
            </w:pPr>
          </w:p>
          <w:p w14:paraId="032ED13E">
            <w:pPr>
              <w:pStyle w:val="179"/>
            </w:pPr>
          </w:p>
          <w:p w14:paraId="0826DD19">
            <w:pPr>
              <w:pStyle w:val="179"/>
            </w:pPr>
          </w:p>
          <w:p w14:paraId="61333889">
            <w:pPr>
              <w:pStyle w:val="179"/>
            </w:pPr>
          </w:p>
          <w:p w14:paraId="73EB3AD7">
            <w:pPr>
              <w:pStyle w:val="179"/>
            </w:pPr>
          </w:p>
          <w:p w14:paraId="1C840CC2">
            <w:pPr>
              <w:pStyle w:val="179"/>
            </w:pPr>
          </w:p>
          <w:p w14:paraId="2F259C74">
            <w:pPr>
              <w:pStyle w:val="179"/>
            </w:pPr>
          </w:p>
          <w:p w14:paraId="1A355333">
            <w:pPr>
              <w:pStyle w:val="179"/>
            </w:pPr>
          </w:p>
          <w:p w14:paraId="75539B59">
            <w:pPr>
              <w:pStyle w:val="179"/>
            </w:pPr>
          </w:p>
          <w:p w14:paraId="5F6E9D5B">
            <w:pPr>
              <w:pStyle w:val="179"/>
            </w:pPr>
          </w:p>
          <w:p w14:paraId="6FAF803F">
            <w:pPr>
              <w:pStyle w:val="179"/>
            </w:pPr>
          </w:p>
          <w:p w14:paraId="18121C53">
            <w:pPr>
              <w:pStyle w:val="179"/>
            </w:pPr>
          </w:p>
          <w:p w14:paraId="51A44C9C">
            <w:pPr>
              <w:pStyle w:val="179"/>
            </w:pPr>
          </w:p>
          <w:p w14:paraId="14E07849">
            <w:pPr>
              <w:pStyle w:val="179"/>
            </w:pPr>
          </w:p>
          <w:p w14:paraId="46E475DB">
            <w:pPr>
              <w:pStyle w:val="179"/>
            </w:pPr>
          </w:p>
          <w:p w14:paraId="082160B1">
            <w:pPr>
              <w:pStyle w:val="179"/>
            </w:pPr>
          </w:p>
          <w:p w14:paraId="69CA0DF6">
            <w:pPr>
              <w:pStyle w:val="179"/>
            </w:pPr>
          </w:p>
          <w:p w14:paraId="1E693F41">
            <w:pPr>
              <w:pStyle w:val="179"/>
            </w:pPr>
          </w:p>
          <w:p w14:paraId="5197ADE1">
            <w:pPr>
              <w:pStyle w:val="179"/>
              <w:rPr>
                <w:sz w:val="30"/>
                <w:szCs w:val="30"/>
              </w:rPr>
            </w:pPr>
            <w:r>
              <w:rPr>
                <w:rFonts w:hint="eastAsia"/>
                <w:sz w:val="30"/>
                <w:szCs w:val="30"/>
              </w:rPr>
              <w:t xml:space="preserve">                         出具报告机构（若有）：</w:t>
            </w:r>
            <w:r>
              <w:rPr>
                <w:rFonts w:hint="eastAsia"/>
                <w:sz w:val="30"/>
                <w:szCs w:val="30"/>
                <w:u w:val="single"/>
              </w:rPr>
              <w:t xml:space="preserve">        </w:t>
            </w:r>
            <w:r>
              <w:rPr>
                <w:rFonts w:hint="eastAsia"/>
                <w:sz w:val="30"/>
                <w:szCs w:val="30"/>
              </w:rPr>
              <w:t>（盖章）</w:t>
            </w:r>
          </w:p>
          <w:p w14:paraId="1D220D11">
            <w:pPr>
              <w:pStyle w:val="179"/>
              <w:rPr>
                <w:sz w:val="30"/>
                <w:szCs w:val="30"/>
              </w:rPr>
            </w:pPr>
            <w:r>
              <w:rPr>
                <w:rFonts w:hint="eastAsia"/>
                <w:sz w:val="30"/>
                <w:szCs w:val="30"/>
              </w:rPr>
              <w:t xml:space="preserve">                                        日期：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14:paraId="089EA00C">
            <w:pPr>
              <w:pStyle w:val="179"/>
            </w:pPr>
          </w:p>
        </w:tc>
      </w:tr>
    </w:tbl>
    <w:p w14:paraId="0AC12A9A">
      <w:pPr>
        <w:pStyle w:val="57"/>
        <w:ind w:firstLine="0" w:firstLineChars="0"/>
      </w:pPr>
    </w:p>
    <w:tbl>
      <w:tblPr>
        <w:tblStyle w:val="2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374"/>
      </w:tblGrid>
      <w:tr w14:paraId="0ADC01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Header/>
          <w:jc w:val="center"/>
        </w:trPr>
        <w:tc>
          <w:tcPr>
            <w:tcW w:w="9570" w:type="dxa"/>
            <w:shd w:val="clear" w:color="auto" w:fill="auto"/>
            <w:vAlign w:val="center"/>
          </w:tcPr>
          <w:p w14:paraId="5AC7ED99">
            <w:pPr>
              <w:pStyle w:val="179"/>
              <w:ind w:firstLine="280" w:firstLineChars="100"/>
              <w:jc w:val="both"/>
              <w:rPr>
                <w:sz w:val="28"/>
                <w:szCs w:val="28"/>
              </w:rPr>
            </w:pPr>
            <w:r>
              <w:rPr>
                <w:rFonts w:hint="eastAsia"/>
                <w:sz w:val="28"/>
                <w:szCs w:val="28"/>
              </w:rPr>
              <w:t>一、概况</w:t>
            </w:r>
          </w:p>
          <w:p w14:paraId="2500D15E">
            <w:pPr>
              <w:pStyle w:val="179"/>
              <w:spacing w:before="120" w:beforeLines="50" w:after="120" w:afterLines="50"/>
              <w:ind w:firstLine="240" w:firstLineChars="100"/>
              <w:jc w:val="both"/>
              <w:rPr>
                <w:sz w:val="24"/>
                <w:szCs w:val="24"/>
              </w:rPr>
            </w:pPr>
            <w:r>
              <w:rPr>
                <w:rFonts w:hint="eastAsia"/>
                <w:sz w:val="24"/>
                <w:szCs w:val="24"/>
              </w:rPr>
              <w:t>1、生产者信息</w:t>
            </w:r>
          </w:p>
          <w:p w14:paraId="25C92C7D">
            <w:pPr>
              <w:pStyle w:val="179"/>
              <w:ind w:firstLine="210" w:firstLineChars="100"/>
              <w:jc w:val="both"/>
              <w:rPr>
                <w:sz w:val="21"/>
                <w:szCs w:val="21"/>
              </w:rPr>
            </w:pPr>
            <w:r>
              <w:rPr>
                <w:rFonts w:hint="eastAsia"/>
                <w:sz w:val="21"/>
                <w:szCs w:val="21"/>
              </w:rPr>
              <w:t>生 产 者 名 称：</w:t>
            </w:r>
            <w:r>
              <w:rPr>
                <w:rFonts w:hint="eastAsia"/>
                <w:sz w:val="21"/>
                <w:szCs w:val="21"/>
                <w:u w:val="single"/>
              </w:rPr>
              <w:t xml:space="preserve">          </w:t>
            </w:r>
          </w:p>
          <w:p w14:paraId="0A86B922">
            <w:pPr>
              <w:pStyle w:val="179"/>
              <w:ind w:firstLine="210" w:firstLineChars="100"/>
              <w:jc w:val="both"/>
              <w:rPr>
                <w:sz w:val="21"/>
                <w:szCs w:val="21"/>
                <w:u w:val="single"/>
              </w:rPr>
            </w:pPr>
            <w:r>
              <w:rPr>
                <w:rFonts w:hint="eastAsia"/>
                <w:sz w:val="21"/>
                <w:szCs w:val="21"/>
              </w:rPr>
              <w:t>地          址：</w:t>
            </w:r>
            <w:r>
              <w:rPr>
                <w:rFonts w:hint="eastAsia"/>
                <w:sz w:val="21"/>
                <w:szCs w:val="21"/>
                <w:u w:val="single"/>
              </w:rPr>
              <w:t xml:space="preserve">          </w:t>
            </w:r>
          </w:p>
          <w:p w14:paraId="4D364A7D">
            <w:pPr>
              <w:pStyle w:val="179"/>
              <w:ind w:firstLine="210" w:firstLineChars="100"/>
              <w:jc w:val="both"/>
              <w:rPr>
                <w:sz w:val="21"/>
                <w:szCs w:val="21"/>
              </w:rPr>
            </w:pPr>
            <w:r>
              <w:rPr>
                <w:rFonts w:hint="eastAsia"/>
                <w:sz w:val="21"/>
                <w:szCs w:val="21"/>
              </w:rPr>
              <w:t>法 定 代 表 人：</w:t>
            </w:r>
            <w:r>
              <w:rPr>
                <w:rFonts w:hint="eastAsia"/>
                <w:sz w:val="21"/>
                <w:szCs w:val="21"/>
                <w:u w:val="single"/>
              </w:rPr>
              <w:t xml:space="preserve">          </w:t>
            </w:r>
          </w:p>
          <w:p w14:paraId="31633EDA">
            <w:pPr>
              <w:pStyle w:val="179"/>
              <w:ind w:firstLine="210" w:firstLineChars="100"/>
              <w:jc w:val="both"/>
              <w:rPr>
                <w:sz w:val="21"/>
                <w:szCs w:val="21"/>
              </w:rPr>
            </w:pPr>
            <w:r>
              <w:rPr>
                <w:rFonts w:hint="eastAsia"/>
                <w:sz w:val="21"/>
                <w:szCs w:val="21"/>
              </w:rPr>
              <w:t>授权人(联系人)：</w:t>
            </w:r>
            <w:r>
              <w:rPr>
                <w:rFonts w:hint="eastAsia"/>
                <w:sz w:val="21"/>
                <w:szCs w:val="21"/>
                <w:u w:val="single"/>
              </w:rPr>
              <w:t xml:space="preserve">          </w:t>
            </w:r>
          </w:p>
          <w:p w14:paraId="7198DB3B">
            <w:pPr>
              <w:pStyle w:val="179"/>
              <w:ind w:firstLine="210" w:firstLineChars="100"/>
              <w:jc w:val="both"/>
              <w:rPr>
                <w:sz w:val="21"/>
                <w:szCs w:val="21"/>
              </w:rPr>
            </w:pPr>
            <w:r>
              <w:rPr>
                <w:rFonts w:hint="eastAsia"/>
                <w:sz w:val="21"/>
                <w:szCs w:val="21"/>
              </w:rPr>
              <w:t>联  系  电  话：</w:t>
            </w:r>
            <w:r>
              <w:rPr>
                <w:rFonts w:hint="eastAsia"/>
                <w:sz w:val="21"/>
                <w:szCs w:val="21"/>
                <w:u w:val="single"/>
              </w:rPr>
              <w:t xml:space="preserve">          </w:t>
            </w:r>
          </w:p>
          <w:p w14:paraId="2FF3EC5C">
            <w:pPr>
              <w:pStyle w:val="179"/>
              <w:ind w:firstLine="210" w:firstLineChars="100"/>
              <w:jc w:val="both"/>
              <w:rPr>
                <w:sz w:val="21"/>
                <w:szCs w:val="21"/>
                <w:u w:val="single"/>
              </w:rPr>
            </w:pPr>
            <w:r>
              <w:rPr>
                <w:rFonts w:hint="eastAsia"/>
                <w:sz w:val="21"/>
                <w:szCs w:val="21"/>
              </w:rPr>
              <w:t>企  业  概  况：</w:t>
            </w:r>
            <w:r>
              <w:rPr>
                <w:rFonts w:hint="eastAsia"/>
                <w:sz w:val="21"/>
                <w:szCs w:val="21"/>
                <w:u w:val="single"/>
              </w:rPr>
              <w:t xml:space="preserve">          </w:t>
            </w:r>
          </w:p>
          <w:p w14:paraId="2DDE4ECB">
            <w:pPr>
              <w:pStyle w:val="179"/>
              <w:jc w:val="both"/>
              <w:rPr>
                <w:sz w:val="21"/>
                <w:szCs w:val="21"/>
              </w:rPr>
            </w:pPr>
          </w:p>
          <w:p w14:paraId="3FB3E4CE">
            <w:pPr>
              <w:pStyle w:val="179"/>
              <w:spacing w:before="120" w:beforeLines="50" w:after="120" w:afterLines="50"/>
              <w:ind w:firstLine="240" w:firstLineChars="100"/>
              <w:jc w:val="both"/>
            </w:pPr>
            <w:r>
              <w:rPr>
                <w:rFonts w:hint="eastAsia"/>
                <w:sz w:val="24"/>
                <w:szCs w:val="24"/>
              </w:rPr>
              <w:t>2、产品信息</w:t>
            </w:r>
          </w:p>
          <w:p w14:paraId="21F14788">
            <w:pPr>
              <w:pStyle w:val="179"/>
              <w:ind w:firstLine="210" w:firstLineChars="100"/>
              <w:jc w:val="both"/>
              <w:rPr>
                <w:sz w:val="21"/>
                <w:szCs w:val="21"/>
              </w:rPr>
            </w:pPr>
            <w:r>
              <w:rPr>
                <w:rFonts w:hint="eastAsia"/>
                <w:sz w:val="21"/>
                <w:szCs w:val="21"/>
              </w:rPr>
              <w:t>产  品  名  称：</w:t>
            </w:r>
            <w:r>
              <w:rPr>
                <w:rFonts w:hint="eastAsia"/>
                <w:sz w:val="21"/>
                <w:szCs w:val="21"/>
                <w:u w:val="single"/>
              </w:rPr>
              <w:t xml:space="preserve">          </w:t>
            </w:r>
          </w:p>
          <w:p w14:paraId="26F2ED73">
            <w:pPr>
              <w:pStyle w:val="179"/>
              <w:ind w:firstLine="210" w:firstLineChars="100"/>
              <w:jc w:val="both"/>
              <w:rPr>
                <w:sz w:val="21"/>
                <w:szCs w:val="21"/>
              </w:rPr>
            </w:pPr>
            <w:r>
              <w:rPr>
                <w:rFonts w:hint="eastAsia"/>
                <w:sz w:val="21"/>
                <w:szCs w:val="21"/>
              </w:rPr>
              <w:t>产  品  功  能：</w:t>
            </w:r>
            <w:r>
              <w:rPr>
                <w:rFonts w:hint="eastAsia"/>
                <w:sz w:val="21"/>
                <w:szCs w:val="21"/>
                <w:u w:val="single"/>
              </w:rPr>
              <w:t xml:space="preserve">          </w:t>
            </w:r>
          </w:p>
          <w:p w14:paraId="64E1EFE9">
            <w:pPr>
              <w:pStyle w:val="179"/>
              <w:ind w:firstLine="210" w:firstLineChars="100"/>
              <w:jc w:val="both"/>
              <w:rPr>
                <w:sz w:val="21"/>
                <w:szCs w:val="21"/>
              </w:rPr>
            </w:pPr>
            <w:r>
              <w:rPr>
                <w:rFonts w:hint="eastAsia"/>
                <w:sz w:val="21"/>
                <w:szCs w:val="21"/>
              </w:rPr>
              <w:t>产  品  介  绍：</w:t>
            </w:r>
            <w:r>
              <w:rPr>
                <w:rFonts w:hint="eastAsia"/>
                <w:sz w:val="21"/>
                <w:szCs w:val="21"/>
                <w:u w:val="single"/>
              </w:rPr>
              <w:t xml:space="preserve">          </w:t>
            </w:r>
          </w:p>
          <w:p w14:paraId="18D9D6F6">
            <w:pPr>
              <w:pStyle w:val="179"/>
              <w:ind w:firstLine="210" w:firstLineChars="100"/>
              <w:jc w:val="both"/>
              <w:rPr>
                <w:sz w:val="21"/>
                <w:szCs w:val="21"/>
              </w:rPr>
            </w:pPr>
            <w:r>
              <w:rPr>
                <w:rFonts w:hint="eastAsia"/>
                <w:sz w:val="21"/>
                <w:szCs w:val="21"/>
              </w:rPr>
              <w:t>产  品  图  片：</w:t>
            </w:r>
            <w:r>
              <w:rPr>
                <w:rFonts w:hint="eastAsia"/>
                <w:sz w:val="21"/>
                <w:szCs w:val="21"/>
                <w:u w:val="single"/>
              </w:rPr>
              <w:t xml:space="preserve">          </w:t>
            </w:r>
          </w:p>
          <w:p w14:paraId="550E11E8">
            <w:pPr>
              <w:pStyle w:val="179"/>
              <w:jc w:val="both"/>
            </w:pPr>
          </w:p>
          <w:p w14:paraId="089AFBCB">
            <w:pPr>
              <w:pStyle w:val="179"/>
              <w:spacing w:before="120" w:beforeLines="50" w:after="120" w:afterLines="50"/>
              <w:ind w:firstLine="240" w:firstLineChars="100"/>
              <w:jc w:val="both"/>
              <w:rPr>
                <w:sz w:val="24"/>
                <w:szCs w:val="24"/>
              </w:rPr>
            </w:pPr>
            <w:r>
              <w:rPr>
                <w:rFonts w:hint="eastAsia"/>
                <w:sz w:val="24"/>
                <w:szCs w:val="24"/>
              </w:rPr>
              <w:t>3、量化方法</w:t>
            </w:r>
          </w:p>
          <w:p w14:paraId="0FD91D22">
            <w:pPr>
              <w:pStyle w:val="179"/>
              <w:spacing w:before="120" w:beforeLines="50" w:after="120" w:afterLines="50"/>
              <w:ind w:firstLine="210" w:firstLineChars="100"/>
              <w:jc w:val="both"/>
              <w:rPr>
                <w:sz w:val="21"/>
                <w:szCs w:val="21"/>
              </w:rPr>
            </w:pPr>
            <w:r>
              <w:rPr>
                <w:rFonts w:hint="eastAsia"/>
                <w:sz w:val="21"/>
                <w:szCs w:val="21"/>
              </w:rPr>
              <w:t>依  据  标  准：</w:t>
            </w:r>
            <w:r>
              <w:rPr>
                <w:rFonts w:hint="eastAsia"/>
                <w:sz w:val="21"/>
                <w:szCs w:val="21"/>
                <w:u w:val="single"/>
              </w:rPr>
              <w:t xml:space="preserve">          </w:t>
            </w:r>
          </w:p>
          <w:p w14:paraId="0F3CB6DB">
            <w:pPr>
              <w:pStyle w:val="179"/>
              <w:jc w:val="both"/>
            </w:pPr>
          </w:p>
          <w:p w14:paraId="02F30424">
            <w:pPr>
              <w:pStyle w:val="179"/>
              <w:ind w:firstLine="280" w:firstLineChars="100"/>
              <w:jc w:val="both"/>
              <w:rPr>
                <w:sz w:val="28"/>
                <w:szCs w:val="28"/>
              </w:rPr>
            </w:pPr>
            <w:r>
              <w:rPr>
                <w:rFonts w:hint="eastAsia"/>
                <w:sz w:val="28"/>
                <w:szCs w:val="28"/>
              </w:rPr>
              <w:t>二、量化目的</w:t>
            </w:r>
          </w:p>
          <w:p w14:paraId="39F29F6E">
            <w:pPr>
              <w:pStyle w:val="179"/>
              <w:jc w:val="both"/>
            </w:pPr>
          </w:p>
          <w:p w14:paraId="6D545E41">
            <w:pPr>
              <w:pStyle w:val="179"/>
              <w:jc w:val="both"/>
            </w:pPr>
          </w:p>
          <w:p w14:paraId="62553FC3">
            <w:pPr>
              <w:pStyle w:val="179"/>
              <w:jc w:val="both"/>
            </w:pPr>
          </w:p>
          <w:p w14:paraId="52542049">
            <w:pPr>
              <w:pStyle w:val="179"/>
              <w:jc w:val="both"/>
            </w:pPr>
          </w:p>
          <w:p w14:paraId="7AA2189C">
            <w:pPr>
              <w:pStyle w:val="179"/>
              <w:jc w:val="both"/>
            </w:pPr>
          </w:p>
          <w:p w14:paraId="1ED27B31">
            <w:pPr>
              <w:pStyle w:val="179"/>
              <w:jc w:val="both"/>
            </w:pPr>
          </w:p>
          <w:p w14:paraId="07D94266">
            <w:pPr>
              <w:pStyle w:val="179"/>
              <w:ind w:firstLine="280" w:firstLineChars="100"/>
              <w:jc w:val="both"/>
              <w:rPr>
                <w:sz w:val="28"/>
                <w:szCs w:val="28"/>
              </w:rPr>
            </w:pPr>
            <w:r>
              <w:rPr>
                <w:rFonts w:hint="eastAsia"/>
                <w:sz w:val="28"/>
                <w:szCs w:val="28"/>
              </w:rPr>
              <w:t>三、量化范围</w:t>
            </w:r>
          </w:p>
          <w:p w14:paraId="4212AAE7">
            <w:pPr>
              <w:pStyle w:val="179"/>
              <w:spacing w:before="120" w:beforeLines="50" w:after="120" w:afterLines="50"/>
              <w:ind w:firstLine="240" w:firstLineChars="100"/>
              <w:jc w:val="both"/>
              <w:rPr>
                <w:sz w:val="24"/>
                <w:szCs w:val="24"/>
              </w:rPr>
            </w:pPr>
            <w:r>
              <w:rPr>
                <w:rFonts w:hint="eastAsia"/>
                <w:sz w:val="24"/>
                <w:szCs w:val="24"/>
              </w:rPr>
              <w:t>1、声明单位</w:t>
            </w:r>
          </w:p>
          <w:p w14:paraId="4E281097">
            <w:pPr>
              <w:pStyle w:val="179"/>
              <w:spacing w:before="120" w:beforeLines="50" w:after="120" w:afterLines="50"/>
              <w:ind w:firstLine="210" w:firstLineChars="100"/>
              <w:jc w:val="both"/>
              <w:rPr>
                <w:sz w:val="21"/>
                <w:szCs w:val="21"/>
              </w:rPr>
            </w:pPr>
            <w:r>
              <w:rPr>
                <w:rFonts w:hint="eastAsia"/>
                <w:sz w:val="21"/>
                <w:szCs w:val="21"/>
              </w:rPr>
              <w:t>以</w:t>
            </w:r>
            <w:r>
              <w:rPr>
                <w:rFonts w:hint="eastAsia"/>
                <w:sz w:val="21"/>
                <w:szCs w:val="21"/>
                <w:u w:val="single"/>
              </w:rPr>
              <w:t xml:space="preserve">          </w:t>
            </w:r>
            <w:r>
              <w:rPr>
                <w:rFonts w:hint="eastAsia"/>
                <w:sz w:val="21"/>
                <w:szCs w:val="21"/>
              </w:rPr>
              <w:t>为声明单位。</w:t>
            </w:r>
          </w:p>
          <w:p w14:paraId="5F0B440D">
            <w:pPr>
              <w:pStyle w:val="179"/>
              <w:spacing w:before="120" w:beforeLines="50" w:after="120" w:afterLines="50"/>
              <w:ind w:firstLine="240" w:firstLineChars="100"/>
              <w:jc w:val="both"/>
              <w:rPr>
                <w:sz w:val="21"/>
                <w:szCs w:val="21"/>
              </w:rPr>
            </w:pPr>
            <w:r>
              <w:rPr>
                <w:rFonts w:hint="eastAsia"/>
                <w:sz w:val="24"/>
                <w:szCs w:val="24"/>
              </w:rPr>
              <w:t>2、系统边界</w:t>
            </w:r>
          </w:p>
          <w:p w14:paraId="414EEC9C">
            <w:pPr>
              <w:pStyle w:val="179"/>
              <w:jc w:val="both"/>
              <w:rPr>
                <w:sz w:val="21"/>
                <w:szCs w:val="21"/>
              </w:rPr>
            </w:pPr>
            <w:r>
              <w:rPr>
                <w:rFonts w:hint="eastAsia"/>
              </w:rPr>
              <w:t xml:space="preserve">   </w:t>
            </w:r>
            <w:r>
              <w:rPr>
                <w:rFonts w:hint="eastAsia"/>
                <w:sz w:val="21"/>
                <w:szCs w:val="21"/>
              </w:rPr>
              <w:sym w:font="Wingdings" w:char="00A8"/>
            </w:r>
            <w:r>
              <w:rPr>
                <w:rFonts w:hint="eastAsia"/>
                <w:sz w:val="21"/>
                <w:szCs w:val="21"/>
              </w:rPr>
              <w:t xml:space="preserve">原材料获取阶段  </w:t>
            </w:r>
            <w:r>
              <w:rPr>
                <w:rFonts w:hint="eastAsia"/>
                <w:sz w:val="21"/>
                <w:szCs w:val="21"/>
              </w:rPr>
              <w:sym w:font="Wingdings" w:char="00A8"/>
            </w:r>
            <w:r>
              <w:rPr>
                <w:rFonts w:hint="eastAsia"/>
                <w:sz w:val="21"/>
                <w:szCs w:val="21"/>
              </w:rPr>
              <w:t xml:space="preserve">生产阶段  </w:t>
            </w:r>
            <w:r>
              <w:rPr>
                <w:rFonts w:hint="eastAsia"/>
                <w:sz w:val="21"/>
                <w:szCs w:val="21"/>
              </w:rPr>
              <w:sym w:font="Wingdings" w:char="00A8"/>
            </w:r>
            <w:r>
              <w:rPr>
                <w:rFonts w:hint="eastAsia"/>
                <w:sz w:val="21"/>
                <w:szCs w:val="21"/>
              </w:rPr>
              <w:t xml:space="preserve">运储（交付）阶段  </w:t>
            </w:r>
            <w:r>
              <w:rPr>
                <w:rFonts w:hint="eastAsia"/>
                <w:sz w:val="21"/>
                <w:szCs w:val="21"/>
              </w:rPr>
              <w:sym w:font="Wingdings" w:char="00A8"/>
            </w:r>
            <w:r>
              <w:rPr>
                <w:rFonts w:hint="eastAsia"/>
                <w:sz w:val="21"/>
                <w:szCs w:val="21"/>
              </w:rPr>
              <w:t xml:space="preserve">使用阶段  </w:t>
            </w:r>
            <w:r>
              <w:rPr>
                <w:rFonts w:hint="eastAsia"/>
                <w:sz w:val="21"/>
                <w:szCs w:val="21"/>
              </w:rPr>
              <w:sym w:font="Wingdings" w:char="00A8"/>
            </w:r>
            <w:r>
              <w:rPr>
                <w:rFonts w:hint="eastAsia"/>
                <w:sz w:val="21"/>
                <w:szCs w:val="21"/>
              </w:rPr>
              <w:t>生命末期阶段</w:t>
            </w:r>
          </w:p>
          <w:p w14:paraId="1821941A">
            <w:pPr>
              <w:pStyle w:val="179"/>
              <w:jc w:val="both"/>
            </w:pPr>
            <w:r>
              <w:rPr>
                <w:rFonts w:hint="eastAsia"/>
              </w:rPr>
              <w:t xml:space="preserve">   </w:t>
            </w:r>
            <w:r>
              <w:rPr>
                <w:rFonts w:hint="eastAsia"/>
                <w:sz w:val="21"/>
                <w:szCs w:val="21"/>
              </w:rPr>
              <w:t>系统边界图见图 1。</w:t>
            </w:r>
          </w:p>
          <w:p w14:paraId="4E6C0DF3">
            <w:pPr>
              <w:pStyle w:val="179"/>
              <w:jc w:val="both"/>
            </w:pPr>
            <w:r>
              <w:rPr>
                <w:rFonts w:hint="eastAsia"/>
              </w:rPr>
              <w:t xml:space="preserve">   </w:t>
            </w:r>
          </w:p>
          <w:p w14:paraId="7B33311B">
            <w:pPr>
              <w:pStyle w:val="179"/>
              <w:jc w:val="both"/>
            </w:pPr>
            <w:r>
              <w:rPr>
                <w:rFonts w:hint="eastAsia"/>
              </w:rPr>
              <w:t xml:space="preserve">   </w:t>
            </w:r>
          </w:p>
          <w:p w14:paraId="01479D4B">
            <w:pPr>
              <w:pStyle w:val="179"/>
              <w:jc w:val="both"/>
            </w:pPr>
          </w:p>
          <w:p w14:paraId="73677457">
            <w:pPr>
              <w:pStyle w:val="84"/>
              <w:numPr>
                <w:ilvl w:val="0"/>
                <w:numId w:val="0"/>
              </w:numPr>
              <w:spacing w:before="120" w:after="120"/>
            </w:pPr>
            <w:bookmarkStart w:id="100" w:name="OLE_LINK4"/>
            <w:r>
              <w:rPr>
                <w:rFonts w:hint="eastAsia"/>
              </w:rPr>
              <w:t>图1  XX</w:t>
            </w:r>
            <w:bookmarkEnd w:id="100"/>
            <w:r>
              <w:rPr>
                <w:rFonts w:hint="eastAsia"/>
              </w:rPr>
              <w:t>产品碳足迹量化系统边界图</w:t>
            </w:r>
          </w:p>
          <w:p w14:paraId="2DAD92C2">
            <w:pPr>
              <w:pStyle w:val="179"/>
              <w:spacing w:before="120" w:beforeLines="50" w:after="120" w:afterLines="50"/>
              <w:ind w:firstLine="240" w:firstLineChars="100"/>
              <w:jc w:val="both"/>
              <w:rPr>
                <w:sz w:val="21"/>
                <w:szCs w:val="21"/>
              </w:rPr>
            </w:pPr>
            <w:r>
              <w:rPr>
                <w:rFonts w:hint="eastAsia"/>
                <w:sz w:val="24"/>
                <w:szCs w:val="24"/>
              </w:rPr>
              <w:t>3、取舍准则</w:t>
            </w:r>
          </w:p>
          <w:p w14:paraId="79BE0959">
            <w:pPr>
              <w:pStyle w:val="57"/>
              <w:ind w:firstLine="210" w:firstLineChars="100"/>
              <w:rPr>
                <w:szCs w:val="21"/>
              </w:rPr>
            </w:pPr>
            <w:r>
              <w:rPr>
                <w:rFonts w:hint="eastAsia"/>
                <w:szCs w:val="21"/>
              </w:rPr>
              <w:t>采用的取舍准则以</w:t>
            </w:r>
            <w:r>
              <w:rPr>
                <w:rFonts w:hint="eastAsia"/>
                <w:szCs w:val="21"/>
                <w:u w:val="single"/>
              </w:rPr>
              <w:t xml:space="preserve">            </w:t>
            </w:r>
            <w:r>
              <w:rPr>
                <w:rFonts w:hint="eastAsia"/>
                <w:szCs w:val="21"/>
              </w:rPr>
              <w:t>为依据，具体规则如下：</w:t>
            </w:r>
          </w:p>
          <w:p w14:paraId="59071DF9">
            <w:pPr>
              <w:pStyle w:val="179"/>
              <w:spacing w:before="120" w:beforeLines="50" w:after="120" w:afterLines="50"/>
              <w:ind w:firstLine="240" w:firstLineChars="100"/>
              <w:jc w:val="both"/>
              <w:rPr>
                <w:sz w:val="21"/>
                <w:szCs w:val="21"/>
              </w:rPr>
            </w:pPr>
            <w:r>
              <w:rPr>
                <w:rFonts w:hint="eastAsia"/>
                <w:sz w:val="24"/>
                <w:szCs w:val="24"/>
              </w:rPr>
              <w:t>4、时间范围</w:t>
            </w:r>
          </w:p>
          <w:p w14:paraId="129FF523">
            <w:pPr>
              <w:pStyle w:val="57"/>
              <w:ind w:firstLine="199" w:firstLineChars="95"/>
            </w:pPr>
            <w:r>
              <w:rPr>
                <w:rFonts w:hint="eastAsia"/>
                <w:szCs w:val="21"/>
                <w:u w:val="single"/>
              </w:rPr>
              <w:t xml:space="preserve">             </w:t>
            </w:r>
            <w:r>
              <w:rPr>
                <w:rFonts w:hint="eastAsia"/>
                <w:szCs w:val="21"/>
              </w:rPr>
              <w:t>年度。</w:t>
            </w:r>
          </w:p>
          <w:p w14:paraId="12C9B912">
            <w:pPr>
              <w:pStyle w:val="179"/>
              <w:jc w:val="both"/>
            </w:pPr>
          </w:p>
          <w:p w14:paraId="15617944">
            <w:pPr>
              <w:pStyle w:val="179"/>
              <w:jc w:val="both"/>
            </w:pPr>
          </w:p>
        </w:tc>
      </w:tr>
    </w:tbl>
    <w:p w14:paraId="32C8D211">
      <w:pPr>
        <w:pStyle w:val="57"/>
        <w:ind w:firstLine="420"/>
      </w:pPr>
    </w:p>
    <w:tbl>
      <w:tblPr>
        <w:tblStyle w:val="2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374"/>
      </w:tblGrid>
      <w:tr w14:paraId="02F590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Header/>
          <w:jc w:val="center"/>
        </w:trPr>
        <w:tc>
          <w:tcPr>
            <w:tcW w:w="9570" w:type="dxa"/>
            <w:shd w:val="clear" w:color="auto" w:fill="auto"/>
            <w:vAlign w:val="center"/>
          </w:tcPr>
          <w:p w14:paraId="66F132C9">
            <w:pPr>
              <w:pStyle w:val="179"/>
              <w:ind w:firstLine="280" w:firstLineChars="100"/>
              <w:jc w:val="both"/>
              <w:rPr>
                <w:sz w:val="28"/>
                <w:szCs w:val="28"/>
              </w:rPr>
            </w:pPr>
            <w:r>
              <w:rPr>
                <w:rFonts w:hint="eastAsia"/>
                <w:sz w:val="28"/>
                <w:szCs w:val="28"/>
              </w:rPr>
              <w:t>四、清单分析</w:t>
            </w:r>
          </w:p>
          <w:p w14:paraId="573DFA9F">
            <w:pPr>
              <w:pStyle w:val="179"/>
              <w:spacing w:before="120" w:beforeLines="50" w:after="120" w:afterLines="50"/>
              <w:ind w:firstLine="240" w:firstLineChars="100"/>
              <w:jc w:val="both"/>
              <w:rPr>
                <w:sz w:val="24"/>
                <w:szCs w:val="24"/>
              </w:rPr>
            </w:pPr>
            <w:r>
              <w:rPr>
                <w:rFonts w:hint="eastAsia"/>
                <w:sz w:val="24"/>
                <w:szCs w:val="24"/>
              </w:rPr>
              <w:t>1、数据来源声明</w:t>
            </w:r>
          </w:p>
          <w:p w14:paraId="76705583">
            <w:pPr>
              <w:pStyle w:val="179"/>
              <w:ind w:firstLine="210" w:firstLineChars="100"/>
              <w:jc w:val="both"/>
              <w:rPr>
                <w:sz w:val="21"/>
                <w:szCs w:val="21"/>
              </w:rPr>
            </w:pPr>
            <w:r>
              <w:rPr>
                <w:rFonts w:hint="eastAsia"/>
                <w:sz w:val="21"/>
                <w:szCs w:val="21"/>
              </w:rPr>
              <w:t>初  级  数  据：</w:t>
            </w:r>
            <w:r>
              <w:rPr>
                <w:rFonts w:hint="eastAsia"/>
                <w:sz w:val="21"/>
                <w:szCs w:val="21"/>
                <w:u w:val="single"/>
              </w:rPr>
              <w:t xml:space="preserve">          </w:t>
            </w:r>
          </w:p>
          <w:p w14:paraId="2951CD82">
            <w:pPr>
              <w:pStyle w:val="179"/>
              <w:ind w:firstLine="210" w:firstLineChars="100"/>
              <w:jc w:val="both"/>
              <w:rPr>
                <w:sz w:val="21"/>
                <w:szCs w:val="21"/>
              </w:rPr>
            </w:pPr>
            <w:r>
              <w:rPr>
                <w:rFonts w:hint="eastAsia"/>
                <w:sz w:val="21"/>
                <w:szCs w:val="21"/>
              </w:rPr>
              <w:t>次  级  数  据：</w:t>
            </w:r>
            <w:r>
              <w:rPr>
                <w:rFonts w:hint="eastAsia"/>
                <w:sz w:val="21"/>
                <w:szCs w:val="21"/>
                <w:u w:val="single"/>
              </w:rPr>
              <w:t xml:space="preserve">          </w:t>
            </w:r>
          </w:p>
          <w:p w14:paraId="2AB6523C">
            <w:pPr>
              <w:pStyle w:val="179"/>
              <w:spacing w:before="120" w:beforeLines="50" w:after="120" w:afterLines="50"/>
              <w:ind w:firstLine="240" w:firstLineChars="100"/>
              <w:jc w:val="both"/>
              <w:rPr>
                <w:sz w:val="24"/>
                <w:szCs w:val="24"/>
              </w:rPr>
            </w:pPr>
            <w:r>
              <w:rPr>
                <w:rFonts w:hint="eastAsia"/>
                <w:sz w:val="24"/>
                <w:szCs w:val="24"/>
              </w:rPr>
              <w:t>2、分配原则与程序</w:t>
            </w:r>
          </w:p>
          <w:p w14:paraId="765BCBE8">
            <w:pPr>
              <w:pStyle w:val="179"/>
              <w:ind w:firstLine="210" w:firstLineChars="100"/>
              <w:jc w:val="both"/>
              <w:rPr>
                <w:sz w:val="21"/>
                <w:szCs w:val="21"/>
              </w:rPr>
            </w:pPr>
            <w:r>
              <w:rPr>
                <w:rFonts w:hint="eastAsia"/>
                <w:sz w:val="21"/>
                <w:szCs w:val="21"/>
              </w:rPr>
              <w:t>分  配  依  据：</w:t>
            </w:r>
            <w:r>
              <w:rPr>
                <w:rFonts w:hint="eastAsia"/>
                <w:sz w:val="21"/>
                <w:szCs w:val="21"/>
                <w:u w:val="single"/>
              </w:rPr>
              <w:t xml:space="preserve">          </w:t>
            </w:r>
          </w:p>
          <w:p w14:paraId="31339C5B">
            <w:pPr>
              <w:pStyle w:val="179"/>
              <w:ind w:firstLine="210" w:firstLineChars="100"/>
              <w:jc w:val="both"/>
              <w:rPr>
                <w:sz w:val="21"/>
                <w:szCs w:val="21"/>
                <w:u w:val="single"/>
              </w:rPr>
            </w:pPr>
            <w:r>
              <w:rPr>
                <w:rFonts w:hint="eastAsia"/>
                <w:sz w:val="21"/>
                <w:szCs w:val="21"/>
              </w:rPr>
              <w:t>初  级  程  序：</w:t>
            </w:r>
            <w:r>
              <w:rPr>
                <w:rFonts w:hint="eastAsia"/>
                <w:sz w:val="21"/>
                <w:szCs w:val="21"/>
                <w:u w:val="single"/>
              </w:rPr>
              <w:t xml:space="preserve">          </w:t>
            </w:r>
          </w:p>
          <w:p w14:paraId="5B2F5F00">
            <w:pPr>
              <w:pStyle w:val="179"/>
              <w:spacing w:before="120" w:beforeLines="50" w:after="120" w:afterLines="50"/>
              <w:ind w:firstLine="240" w:firstLineChars="100"/>
              <w:jc w:val="both"/>
              <w:rPr>
                <w:sz w:val="24"/>
                <w:szCs w:val="24"/>
              </w:rPr>
            </w:pPr>
            <w:r>
              <w:rPr>
                <w:rFonts w:hint="eastAsia"/>
                <w:sz w:val="24"/>
                <w:szCs w:val="24"/>
              </w:rPr>
              <w:t>3、清算结果及计算</w:t>
            </w:r>
          </w:p>
          <w:p w14:paraId="6367FA00">
            <w:pPr>
              <w:pStyle w:val="179"/>
              <w:spacing w:before="120" w:beforeLines="50" w:after="120" w:afterLines="50"/>
              <w:ind w:firstLine="210" w:firstLineChars="100"/>
              <w:jc w:val="both"/>
              <w:rPr>
                <w:sz w:val="21"/>
                <w:szCs w:val="21"/>
              </w:rPr>
            </w:pPr>
            <w:r>
              <w:rPr>
                <w:rFonts w:hint="eastAsia"/>
                <w:sz w:val="21"/>
                <w:szCs w:val="21"/>
              </w:rPr>
              <w:t>生命周期各个阶段碳排放计算说明见表 1。</w:t>
            </w:r>
          </w:p>
          <w:p w14:paraId="13DB1A42">
            <w:pPr>
              <w:pStyle w:val="179"/>
              <w:spacing w:before="120" w:beforeLines="50" w:after="120" w:afterLines="50"/>
              <w:ind w:firstLine="210" w:firstLineChars="100"/>
              <w:rPr>
                <w:rFonts w:ascii="黑体" w:hAnsi="黑体" w:eastAsia="黑体"/>
                <w:sz w:val="21"/>
                <w:szCs w:val="21"/>
              </w:rPr>
            </w:pPr>
            <w:r>
              <w:rPr>
                <w:rFonts w:hint="eastAsia" w:ascii="黑体" w:hAnsi="黑体" w:eastAsia="黑体"/>
                <w:sz w:val="21"/>
                <w:szCs w:val="21"/>
              </w:rPr>
              <w:t>表1  汽车紧固件生命周期碳排放清单说明</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24"/>
              <w:gridCol w:w="1167"/>
              <w:gridCol w:w="2333"/>
              <w:gridCol w:w="2334"/>
              <w:gridCol w:w="2334"/>
            </w:tblGrid>
            <w:tr w14:paraId="6C2D6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91"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C0E4889">
                  <w:pPr>
                    <w:pStyle w:val="25"/>
                    <w:widowControl/>
                    <w:autoSpaceDE w:val="0"/>
                    <w:autoSpaceDN w:val="0"/>
                    <w:adjustRightInd/>
                    <w:spacing w:line="240" w:lineRule="auto"/>
                    <w:jc w:val="center"/>
                    <w:rPr>
                      <w:sz w:val="18"/>
                      <w:szCs w:val="18"/>
                    </w:rPr>
                  </w:pPr>
                  <w:r>
                    <w:rPr>
                      <w:sz w:val="18"/>
                      <w:szCs w:val="18"/>
                    </w:rPr>
                    <w:t>生命周期阶段</w:t>
                  </w:r>
                </w:p>
              </w:tc>
              <w:tc>
                <w:tcPr>
                  <w:tcW w:w="2333" w:type="dxa"/>
                  <w:tcBorders>
                    <w:top w:val="single" w:color="auto" w:sz="8" w:space="0"/>
                    <w:left w:val="single" w:color="auto" w:sz="4" w:space="0"/>
                    <w:bottom w:val="single" w:color="auto" w:sz="8" w:space="0"/>
                    <w:right w:val="single" w:color="auto" w:sz="4" w:space="0"/>
                  </w:tcBorders>
                  <w:shd w:val="clear" w:color="auto" w:fill="auto"/>
                  <w:vAlign w:val="center"/>
                </w:tcPr>
                <w:p w14:paraId="106C22CC">
                  <w:pPr>
                    <w:pStyle w:val="25"/>
                    <w:widowControl/>
                    <w:autoSpaceDE w:val="0"/>
                    <w:autoSpaceDN w:val="0"/>
                    <w:adjustRightInd/>
                    <w:spacing w:line="240" w:lineRule="auto"/>
                    <w:jc w:val="center"/>
                    <w:rPr>
                      <w:sz w:val="18"/>
                      <w:szCs w:val="18"/>
                    </w:rPr>
                  </w:pPr>
                  <w:r>
                    <w:rPr>
                      <w:sz w:val="18"/>
                      <w:szCs w:val="18"/>
                    </w:rPr>
                    <w:t>活动数据</w:t>
                  </w:r>
                </w:p>
              </w:tc>
              <w:tc>
                <w:tcPr>
                  <w:tcW w:w="2334" w:type="dxa"/>
                  <w:tcBorders>
                    <w:top w:val="single" w:color="auto" w:sz="8" w:space="0"/>
                    <w:left w:val="single" w:color="auto" w:sz="4" w:space="0"/>
                    <w:bottom w:val="single" w:color="auto" w:sz="8" w:space="0"/>
                    <w:right w:val="single" w:color="auto" w:sz="4" w:space="0"/>
                  </w:tcBorders>
                  <w:shd w:val="clear" w:color="auto" w:fill="auto"/>
                  <w:vAlign w:val="center"/>
                </w:tcPr>
                <w:p w14:paraId="2481877D">
                  <w:pPr>
                    <w:pStyle w:val="25"/>
                    <w:widowControl/>
                    <w:autoSpaceDE w:val="0"/>
                    <w:autoSpaceDN w:val="0"/>
                    <w:adjustRightInd/>
                    <w:spacing w:line="240" w:lineRule="auto"/>
                    <w:jc w:val="center"/>
                    <w:rPr>
                      <w:sz w:val="18"/>
                      <w:szCs w:val="18"/>
                    </w:rPr>
                  </w:pPr>
                  <w:r>
                    <w:rPr>
                      <w:sz w:val="18"/>
                      <w:szCs w:val="18"/>
                    </w:rPr>
                    <w:t>排放因子</w:t>
                  </w:r>
                </w:p>
              </w:tc>
              <w:tc>
                <w:tcPr>
                  <w:tcW w:w="2334" w:type="dxa"/>
                  <w:tcBorders>
                    <w:top w:val="single" w:color="auto" w:sz="8" w:space="0"/>
                    <w:left w:val="single" w:color="auto" w:sz="4" w:space="0"/>
                    <w:bottom w:val="single" w:color="auto" w:sz="8" w:space="0"/>
                    <w:right w:val="single" w:color="auto" w:sz="8" w:space="0"/>
                  </w:tcBorders>
                  <w:shd w:val="clear" w:color="auto" w:fill="auto"/>
                  <w:vAlign w:val="center"/>
                </w:tcPr>
                <w:p w14:paraId="7E58B39C">
                  <w:pPr>
                    <w:pStyle w:val="25"/>
                    <w:widowControl/>
                    <w:autoSpaceDE w:val="0"/>
                    <w:autoSpaceDN w:val="0"/>
                    <w:adjustRightInd/>
                    <w:spacing w:line="240" w:lineRule="auto"/>
                    <w:jc w:val="center"/>
                    <w:rPr>
                      <w:sz w:val="18"/>
                      <w:szCs w:val="18"/>
                    </w:rPr>
                  </w:pPr>
                  <w:r>
                    <w:rPr>
                      <w:sz w:val="18"/>
                      <w:szCs w:val="18"/>
                    </w:rPr>
                    <w:t>碳足迹（</w:t>
                  </w:r>
                  <w:r>
                    <w:rPr>
                      <w:rFonts w:hint="eastAsia" w:ascii="宋体" w:hAnsi="宋体"/>
                      <w:sz w:val="18"/>
                      <w:szCs w:val="18"/>
                    </w:rPr>
                    <w:t>kg CO</w:t>
                  </w:r>
                  <w:r>
                    <w:rPr>
                      <w:rFonts w:hint="eastAsia" w:ascii="宋体" w:hAnsi="宋体"/>
                      <w:sz w:val="18"/>
                      <w:szCs w:val="18"/>
                      <w:vertAlign w:val="subscript"/>
                    </w:rPr>
                    <w:t>2</w:t>
                  </w:r>
                  <w:r>
                    <w:rPr>
                      <w:rFonts w:hint="eastAsia" w:ascii="宋体" w:hAnsi="宋体"/>
                      <w:sz w:val="18"/>
                      <w:szCs w:val="18"/>
                    </w:rPr>
                    <w:t>e/</w:t>
                  </w:r>
                  <w:r>
                    <w:rPr>
                      <w:rFonts w:hint="eastAsia"/>
                      <w:sz w:val="18"/>
                      <w:szCs w:val="18"/>
                    </w:rPr>
                    <w:t>声明单位</w:t>
                  </w:r>
                  <w:r>
                    <w:rPr>
                      <w:sz w:val="18"/>
                      <w:szCs w:val="18"/>
                    </w:rPr>
                    <w:t>）</w:t>
                  </w:r>
                </w:p>
              </w:tc>
            </w:tr>
            <w:tr w14:paraId="572C6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restart"/>
                  <w:tcBorders>
                    <w:top w:val="single" w:color="auto" w:sz="8" w:space="0"/>
                    <w:left w:val="single" w:color="auto" w:sz="8" w:space="0"/>
                    <w:right w:val="single" w:color="auto" w:sz="4" w:space="0"/>
                  </w:tcBorders>
                  <w:shd w:val="clear" w:color="auto" w:fill="auto"/>
                  <w:vAlign w:val="center"/>
                </w:tcPr>
                <w:p w14:paraId="3A416DA3">
                  <w:pPr>
                    <w:pStyle w:val="25"/>
                    <w:widowControl/>
                    <w:autoSpaceDE w:val="0"/>
                    <w:autoSpaceDN w:val="0"/>
                    <w:adjustRightInd/>
                    <w:spacing w:line="240" w:lineRule="auto"/>
                    <w:jc w:val="center"/>
                    <w:rPr>
                      <w:sz w:val="21"/>
                    </w:rPr>
                  </w:pPr>
                  <w:r>
                    <w:rPr>
                      <w:sz w:val="21"/>
                    </w:rPr>
                    <w:t>原材料获取</w:t>
                  </w:r>
                </w:p>
              </w:tc>
              <w:tc>
                <w:tcPr>
                  <w:tcW w:w="2333" w:type="dxa"/>
                  <w:tcBorders>
                    <w:top w:val="single" w:color="auto" w:sz="8" w:space="0"/>
                    <w:left w:val="single" w:color="auto" w:sz="4" w:space="0"/>
                    <w:bottom w:val="single" w:color="auto" w:sz="4" w:space="0"/>
                    <w:right w:val="single" w:color="auto" w:sz="4" w:space="0"/>
                  </w:tcBorders>
                  <w:shd w:val="clear" w:color="auto" w:fill="auto"/>
                  <w:vAlign w:val="center"/>
                </w:tcPr>
                <w:p w14:paraId="45DBCD09">
                  <w:pPr>
                    <w:pStyle w:val="25"/>
                    <w:widowControl/>
                    <w:autoSpaceDE w:val="0"/>
                    <w:autoSpaceDN w:val="0"/>
                    <w:adjustRightInd/>
                    <w:spacing w:line="240" w:lineRule="auto"/>
                    <w:ind w:left="840" w:hanging="420"/>
                    <w:jc w:val="center"/>
                    <w:rPr>
                      <w:sz w:val="21"/>
                    </w:rPr>
                  </w:pPr>
                </w:p>
              </w:tc>
              <w:tc>
                <w:tcPr>
                  <w:tcW w:w="2334" w:type="dxa"/>
                  <w:tcBorders>
                    <w:top w:val="single" w:color="auto" w:sz="8" w:space="0"/>
                    <w:left w:val="single" w:color="auto" w:sz="4" w:space="0"/>
                    <w:bottom w:val="single" w:color="auto" w:sz="4" w:space="0"/>
                    <w:right w:val="single" w:color="auto" w:sz="4" w:space="0"/>
                  </w:tcBorders>
                  <w:shd w:val="clear" w:color="auto" w:fill="auto"/>
                  <w:vAlign w:val="center"/>
                </w:tcPr>
                <w:p w14:paraId="34457B22">
                  <w:pPr>
                    <w:pStyle w:val="25"/>
                    <w:widowControl/>
                    <w:autoSpaceDE w:val="0"/>
                    <w:autoSpaceDN w:val="0"/>
                    <w:adjustRightInd/>
                    <w:spacing w:line="240" w:lineRule="auto"/>
                    <w:ind w:left="840" w:hanging="420"/>
                    <w:jc w:val="center"/>
                    <w:rPr>
                      <w:sz w:val="21"/>
                    </w:rPr>
                  </w:pPr>
                </w:p>
              </w:tc>
              <w:tc>
                <w:tcPr>
                  <w:tcW w:w="2334" w:type="dxa"/>
                  <w:tcBorders>
                    <w:top w:val="single" w:color="auto" w:sz="8" w:space="0"/>
                    <w:left w:val="single" w:color="auto" w:sz="4" w:space="0"/>
                    <w:bottom w:val="single" w:color="auto" w:sz="4" w:space="0"/>
                    <w:right w:val="single" w:color="auto" w:sz="8" w:space="0"/>
                  </w:tcBorders>
                  <w:shd w:val="clear" w:color="auto" w:fill="auto"/>
                  <w:vAlign w:val="center"/>
                </w:tcPr>
                <w:p w14:paraId="3C6D0AA6">
                  <w:pPr>
                    <w:pStyle w:val="25"/>
                    <w:widowControl/>
                    <w:autoSpaceDE w:val="0"/>
                    <w:autoSpaceDN w:val="0"/>
                    <w:adjustRightInd/>
                    <w:spacing w:line="240" w:lineRule="auto"/>
                    <w:ind w:left="840" w:hanging="420"/>
                    <w:jc w:val="center"/>
                    <w:rPr>
                      <w:sz w:val="21"/>
                    </w:rPr>
                  </w:pPr>
                </w:p>
              </w:tc>
            </w:tr>
            <w:tr w14:paraId="64DD1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continue"/>
                  <w:tcBorders>
                    <w:left w:val="single" w:color="auto" w:sz="8" w:space="0"/>
                    <w:right w:val="single" w:color="auto" w:sz="4" w:space="0"/>
                  </w:tcBorders>
                  <w:shd w:val="clear" w:color="auto" w:fill="auto"/>
                  <w:vAlign w:val="center"/>
                </w:tcPr>
                <w:p w14:paraId="1C21767D">
                  <w:pPr>
                    <w:pStyle w:val="25"/>
                    <w:widowControl/>
                    <w:autoSpaceDE w:val="0"/>
                    <w:autoSpaceDN w:val="0"/>
                    <w:adjustRightInd/>
                    <w:spacing w:line="240" w:lineRule="auto"/>
                    <w:ind w:left="840" w:hanging="420"/>
                    <w:jc w:val="center"/>
                    <w:rPr>
                      <w:sz w:val="21"/>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CE87B50">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474EFC6">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7B956AE7">
                  <w:pPr>
                    <w:pStyle w:val="25"/>
                    <w:widowControl/>
                    <w:autoSpaceDE w:val="0"/>
                    <w:autoSpaceDN w:val="0"/>
                    <w:adjustRightInd/>
                    <w:spacing w:line="240" w:lineRule="auto"/>
                    <w:ind w:left="840" w:hanging="420"/>
                    <w:jc w:val="center"/>
                    <w:rPr>
                      <w:sz w:val="21"/>
                    </w:rPr>
                  </w:pPr>
                </w:p>
              </w:tc>
            </w:tr>
            <w:tr w14:paraId="136F9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continue"/>
                  <w:tcBorders>
                    <w:left w:val="single" w:color="auto" w:sz="8" w:space="0"/>
                    <w:bottom w:val="single" w:color="auto" w:sz="4" w:space="0"/>
                    <w:right w:val="single" w:color="auto" w:sz="4" w:space="0"/>
                  </w:tcBorders>
                  <w:shd w:val="clear" w:color="auto" w:fill="auto"/>
                  <w:vAlign w:val="center"/>
                </w:tcPr>
                <w:p w14:paraId="0C67C48E">
                  <w:pPr>
                    <w:pStyle w:val="25"/>
                    <w:widowControl/>
                    <w:autoSpaceDE w:val="0"/>
                    <w:autoSpaceDN w:val="0"/>
                    <w:adjustRightInd/>
                    <w:spacing w:line="240" w:lineRule="auto"/>
                    <w:ind w:left="840" w:hanging="420"/>
                    <w:jc w:val="center"/>
                    <w:rPr>
                      <w:sz w:val="21"/>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CDEF772">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05CA0F6">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049FFF38">
                  <w:pPr>
                    <w:pStyle w:val="25"/>
                    <w:widowControl/>
                    <w:autoSpaceDE w:val="0"/>
                    <w:autoSpaceDN w:val="0"/>
                    <w:adjustRightInd/>
                    <w:spacing w:line="240" w:lineRule="auto"/>
                    <w:ind w:left="840" w:hanging="420"/>
                    <w:jc w:val="center"/>
                    <w:rPr>
                      <w:sz w:val="21"/>
                    </w:rPr>
                  </w:pPr>
                </w:p>
              </w:tc>
            </w:tr>
            <w:tr w14:paraId="67A96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restart"/>
                  <w:tcBorders>
                    <w:top w:val="single" w:color="auto" w:sz="4" w:space="0"/>
                    <w:left w:val="single" w:color="auto" w:sz="8" w:space="0"/>
                    <w:right w:val="single" w:color="auto" w:sz="4" w:space="0"/>
                  </w:tcBorders>
                  <w:shd w:val="clear" w:color="auto" w:fill="auto"/>
                  <w:vAlign w:val="center"/>
                </w:tcPr>
                <w:p w14:paraId="52F6821B">
                  <w:pPr>
                    <w:pStyle w:val="25"/>
                    <w:widowControl/>
                    <w:autoSpaceDE w:val="0"/>
                    <w:autoSpaceDN w:val="0"/>
                    <w:adjustRightInd/>
                    <w:spacing w:line="240" w:lineRule="auto"/>
                    <w:jc w:val="center"/>
                    <w:rPr>
                      <w:sz w:val="21"/>
                    </w:rPr>
                  </w:pPr>
                  <w:r>
                    <w:rPr>
                      <w:sz w:val="21"/>
                    </w:rPr>
                    <w:t>生产</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A0E028B">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FFE0819">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59D3BC48">
                  <w:pPr>
                    <w:pStyle w:val="25"/>
                    <w:widowControl/>
                    <w:autoSpaceDE w:val="0"/>
                    <w:autoSpaceDN w:val="0"/>
                    <w:adjustRightInd/>
                    <w:spacing w:line="240" w:lineRule="auto"/>
                    <w:ind w:left="840" w:hanging="420"/>
                    <w:jc w:val="center"/>
                    <w:rPr>
                      <w:sz w:val="21"/>
                    </w:rPr>
                  </w:pPr>
                </w:p>
              </w:tc>
            </w:tr>
            <w:tr w14:paraId="0CEA1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continue"/>
                  <w:tcBorders>
                    <w:left w:val="single" w:color="auto" w:sz="8" w:space="0"/>
                    <w:right w:val="single" w:color="auto" w:sz="4" w:space="0"/>
                  </w:tcBorders>
                  <w:shd w:val="clear" w:color="auto" w:fill="auto"/>
                  <w:vAlign w:val="center"/>
                </w:tcPr>
                <w:p w14:paraId="010A50C1">
                  <w:pPr>
                    <w:pStyle w:val="25"/>
                    <w:widowControl/>
                    <w:autoSpaceDE w:val="0"/>
                    <w:autoSpaceDN w:val="0"/>
                    <w:adjustRightInd/>
                    <w:spacing w:line="240" w:lineRule="auto"/>
                    <w:ind w:left="840" w:hanging="420"/>
                    <w:jc w:val="center"/>
                    <w:rPr>
                      <w:sz w:val="21"/>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D7411AC">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5F5EFEC8">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3F354201">
                  <w:pPr>
                    <w:pStyle w:val="25"/>
                    <w:widowControl/>
                    <w:autoSpaceDE w:val="0"/>
                    <w:autoSpaceDN w:val="0"/>
                    <w:adjustRightInd/>
                    <w:spacing w:line="240" w:lineRule="auto"/>
                    <w:ind w:left="840" w:hanging="420"/>
                    <w:jc w:val="center"/>
                    <w:rPr>
                      <w:sz w:val="21"/>
                    </w:rPr>
                  </w:pPr>
                </w:p>
              </w:tc>
            </w:tr>
            <w:tr w14:paraId="48E95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continue"/>
                  <w:tcBorders>
                    <w:left w:val="single" w:color="auto" w:sz="8" w:space="0"/>
                    <w:bottom w:val="single" w:color="auto" w:sz="4" w:space="0"/>
                    <w:right w:val="single" w:color="auto" w:sz="4" w:space="0"/>
                  </w:tcBorders>
                  <w:shd w:val="clear" w:color="auto" w:fill="auto"/>
                  <w:vAlign w:val="center"/>
                </w:tcPr>
                <w:p w14:paraId="49A1B823">
                  <w:pPr>
                    <w:pStyle w:val="25"/>
                    <w:widowControl/>
                    <w:autoSpaceDE w:val="0"/>
                    <w:autoSpaceDN w:val="0"/>
                    <w:adjustRightInd/>
                    <w:spacing w:line="240" w:lineRule="auto"/>
                    <w:ind w:left="840" w:hanging="420"/>
                    <w:jc w:val="center"/>
                    <w:rPr>
                      <w:sz w:val="21"/>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1FDBFED">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E0DCBDF">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2DAC7DE9">
                  <w:pPr>
                    <w:pStyle w:val="25"/>
                    <w:widowControl/>
                    <w:autoSpaceDE w:val="0"/>
                    <w:autoSpaceDN w:val="0"/>
                    <w:adjustRightInd/>
                    <w:spacing w:line="240" w:lineRule="auto"/>
                    <w:ind w:left="840" w:hanging="420"/>
                    <w:jc w:val="center"/>
                    <w:rPr>
                      <w:sz w:val="21"/>
                    </w:rPr>
                  </w:pPr>
                </w:p>
              </w:tc>
            </w:tr>
            <w:tr w14:paraId="7D04B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24" w:type="dxa"/>
                  <w:vMerge w:val="restart"/>
                  <w:tcBorders>
                    <w:top w:val="single" w:color="auto" w:sz="4" w:space="0"/>
                    <w:left w:val="single" w:color="auto" w:sz="8" w:space="0"/>
                    <w:right w:val="single" w:color="auto" w:sz="4" w:space="0"/>
                  </w:tcBorders>
                  <w:shd w:val="clear" w:color="auto" w:fill="auto"/>
                  <w:vAlign w:val="center"/>
                </w:tcPr>
                <w:p w14:paraId="70F15538">
                  <w:pPr>
                    <w:pStyle w:val="25"/>
                    <w:widowControl/>
                    <w:autoSpaceDE w:val="0"/>
                    <w:autoSpaceDN w:val="0"/>
                    <w:adjustRightInd/>
                    <w:spacing w:line="240" w:lineRule="auto"/>
                    <w:rPr>
                      <w:sz w:val="21"/>
                    </w:rPr>
                  </w:pPr>
                  <w:r>
                    <w:rPr>
                      <w:sz w:val="21"/>
                    </w:rPr>
                    <w:t>运输</w:t>
                  </w:r>
                  <w:r>
                    <w:rPr>
                      <w:rFonts w:hint="eastAsia" w:ascii="宋体" w:hAnsi="宋体"/>
                      <w:sz w:val="21"/>
                    </w:rPr>
                    <w:t>/</w:t>
                  </w:r>
                  <w:r>
                    <w:rPr>
                      <w:rFonts w:hint="eastAsia"/>
                      <w:sz w:val="21"/>
                    </w:rPr>
                    <w:t>交付</w:t>
                  </w:r>
                </w:p>
              </w:tc>
              <w:tc>
                <w:tcPr>
                  <w:tcW w:w="1167" w:type="dxa"/>
                  <w:tcBorders>
                    <w:top w:val="single" w:color="auto" w:sz="4" w:space="0"/>
                    <w:left w:val="single" w:color="auto" w:sz="8" w:space="0"/>
                    <w:right w:val="single" w:color="auto" w:sz="4" w:space="0"/>
                  </w:tcBorders>
                  <w:shd w:val="clear" w:color="auto" w:fill="auto"/>
                  <w:vAlign w:val="center"/>
                </w:tcPr>
                <w:p w14:paraId="7451579C">
                  <w:pPr>
                    <w:pStyle w:val="25"/>
                    <w:widowControl/>
                    <w:autoSpaceDE w:val="0"/>
                    <w:autoSpaceDN w:val="0"/>
                    <w:adjustRightInd/>
                    <w:spacing w:line="240" w:lineRule="auto"/>
                    <w:jc w:val="center"/>
                    <w:rPr>
                      <w:sz w:val="21"/>
                    </w:rPr>
                  </w:pPr>
                  <w:r>
                    <w:rPr>
                      <w:sz w:val="21"/>
                    </w:rPr>
                    <w:t>运输</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041859A">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09E13CB6">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20D32666">
                  <w:pPr>
                    <w:pStyle w:val="25"/>
                    <w:widowControl/>
                    <w:autoSpaceDE w:val="0"/>
                    <w:autoSpaceDN w:val="0"/>
                    <w:adjustRightInd/>
                    <w:spacing w:line="240" w:lineRule="auto"/>
                    <w:ind w:left="840" w:hanging="420"/>
                    <w:jc w:val="center"/>
                    <w:rPr>
                      <w:sz w:val="21"/>
                    </w:rPr>
                  </w:pPr>
                </w:p>
              </w:tc>
            </w:tr>
            <w:tr w14:paraId="6263D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24" w:type="dxa"/>
                  <w:vMerge w:val="continue"/>
                  <w:tcBorders>
                    <w:left w:val="single" w:color="auto" w:sz="8" w:space="0"/>
                    <w:bottom w:val="single" w:color="auto" w:sz="4" w:space="0"/>
                    <w:right w:val="single" w:color="auto" w:sz="4" w:space="0"/>
                  </w:tcBorders>
                  <w:shd w:val="clear" w:color="auto" w:fill="auto"/>
                  <w:vAlign w:val="center"/>
                </w:tcPr>
                <w:p w14:paraId="0BAF3DF9">
                  <w:pPr>
                    <w:pStyle w:val="25"/>
                    <w:widowControl/>
                    <w:autoSpaceDE w:val="0"/>
                    <w:autoSpaceDN w:val="0"/>
                    <w:adjustRightInd/>
                    <w:spacing w:line="240" w:lineRule="auto"/>
                    <w:ind w:left="840" w:hanging="420"/>
                    <w:jc w:val="center"/>
                    <w:rPr>
                      <w:sz w:val="21"/>
                    </w:rPr>
                  </w:pPr>
                </w:p>
              </w:tc>
              <w:tc>
                <w:tcPr>
                  <w:tcW w:w="1167" w:type="dxa"/>
                  <w:tcBorders>
                    <w:left w:val="single" w:color="auto" w:sz="8" w:space="0"/>
                    <w:bottom w:val="single" w:color="auto" w:sz="4" w:space="0"/>
                    <w:right w:val="single" w:color="auto" w:sz="4" w:space="0"/>
                  </w:tcBorders>
                  <w:shd w:val="clear" w:color="auto" w:fill="auto"/>
                  <w:vAlign w:val="center"/>
                </w:tcPr>
                <w:p w14:paraId="25239551">
                  <w:pPr>
                    <w:pStyle w:val="25"/>
                    <w:widowControl/>
                    <w:autoSpaceDE w:val="0"/>
                    <w:autoSpaceDN w:val="0"/>
                    <w:adjustRightInd/>
                    <w:spacing w:line="240" w:lineRule="auto"/>
                    <w:jc w:val="center"/>
                    <w:rPr>
                      <w:sz w:val="21"/>
                    </w:rPr>
                  </w:pPr>
                  <w:r>
                    <w:rPr>
                      <w:sz w:val="21"/>
                    </w:rPr>
                    <w:t>仓储</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50ED61E">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B4EB548">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551E19D5">
                  <w:pPr>
                    <w:pStyle w:val="25"/>
                    <w:widowControl/>
                    <w:autoSpaceDE w:val="0"/>
                    <w:autoSpaceDN w:val="0"/>
                    <w:adjustRightInd/>
                    <w:spacing w:line="240" w:lineRule="auto"/>
                    <w:ind w:left="840" w:hanging="420"/>
                    <w:jc w:val="center"/>
                    <w:rPr>
                      <w:sz w:val="21"/>
                    </w:rPr>
                  </w:pPr>
                </w:p>
              </w:tc>
            </w:tr>
            <w:tr w14:paraId="25688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48D848">
                  <w:pPr>
                    <w:pStyle w:val="25"/>
                    <w:widowControl/>
                    <w:autoSpaceDE w:val="0"/>
                    <w:autoSpaceDN w:val="0"/>
                    <w:adjustRightInd/>
                    <w:spacing w:line="240" w:lineRule="auto"/>
                    <w:jc w:val="center"/>
                    <w:rPr>
                      <w:sz w:val="21"/>
                    </w:rPr>
                  </w:pPr>
                  <w:r>
                    <w:rPr>
                      <w:sz w:val="21"/>
                    </w:rPr>
                    <w:t>使用</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6C28E71">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F59F611">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6200499A">
                  <w:pPr>
                    <w:pStyle w:val="25"/>
                    <w:widowControl/>
                    <w:autoSpaceDE w:val="0"/>
                    <w:autoSpaceDN w:val="0"/>
                    <w:adjustRightInd/>
                    <w:spacing w:line="240" w:lineRule="auto"/>
                    <w:ind w:left="840" w:hanging="420"/>
                    <w:jc w:val="center"/>
                    <w:rPr>
                      <w:sz w:val="21"/>
                    </w:rPr>
                  </w:pPr>
                </w:p>
              </w:tc>
            </w:tr>
            <w:tr w14:paraId="2CDF6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restart"/>
                  <w:tcBorders>
                    <w:top w:val="single" w:color="auto" w:sz="4" w:space="0"/>
                    <w:left w:val="single" w:color="auto" w:sz="8" w:space="0"/>
                    <w:right w:val="single" w:color="auto" w:sz="4" w:space="0"/>
                  </w:tcBorders>
                  <w:shd w:val="clear" w:color="auto" w:fill="auto"/>
                  <w:vAlign w:val="center"/>
                </w:tcPr>
                <w:p w14:paraId="3EBE87FF">
                  <w:pPr>
                    <w:pStyle w:val="25"/>
                    <w:widowControl/>
                    <w:autoSpaceDE w:val="0"/>
                    <w:autoSpaceDN w:val="0"/>
                    <w:adjustRightInd/>
                    <w:spacing w:line="240" w:lineRule="auto"/>
                    <w:jc w:val="center"/>
                    <w:rPr>
                      <w:sz w:val="21"/>
                    </w:rPr>
                  </w:pPr>
                  <w:r>
                    <w:rPr>
                      <w:sz w:val="21"/>
                    </w:rPr>
                    <w:t>生命末期</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5399F7E">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802B740">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62D391A6">
                  <w:pPr>
                    <w:pStyle w:val="25"/>
                    <w:widowControl/>
                    <w:autoSpaceDE w:val="0"/>
                    <w:autoSpaceDN w:val="0"/>
                    <w:adjustRightInd/>
                    <w:spacing w:line="240" w:lineRule="auto"/>
                    <w:ind w:left="840" w:hanging="420"/>
                    <w:jc w:val="center"/>
                    <w:rPr>
                      <w:sz w:val="21"/>
                    </w:rPr>
                  </w:pPr>
                </w:p>
              </w:tc>
            </w:tr>
            <w:tr w14:paraId="1F6DF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91" w:type="dxa"/>
                  <w:gridSpan w:val="2"/>
                  <w:vMerge w:val="continue"/>
                  <w:tcBorders>
                    <w:left w:val="single" w:color="auto" w:sz="8" w:space="0"/>
                    <w:bottom w:val="single" w:color="auto" w:sz="4" w:space="0"/>
                    <w:right w:val="single" w:color="auto" w:sz="4" w:space="0"/>
                  </w:tcBorders>
                  <w:shd w:val="clear" w:color="auto" w:fill="auto"/>
                  <w:vAlign w:val="center"/>
                </w:tcPr>
                <w:p w14:paraId="38376651">
                  <w:pPr>
                    <w:pStyle w:val="25"/>
                    <w:widowControl/>
                    <w:autoSpaceDE w:val="0"/>
                    <w:autoSpaceDN w:val="0"/>
                    <w:adjustRightInd/>
                    <w:spacing w:line="240" w:lineRule="auto"/>
                    <w:ind w:left="840" w:hanging="420"/>
                    <w:jc w:val="center"/>
                    <w:rPr>
                      <w:sz w:val="21"/>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DDB72B1">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1E773C0">
                  <w:pPr>
                    <w:pStyle w:val="25"/>
                    <w:widowControl/>
                    <w:autoSpaceDE w:val="0"/>
                    <w:autoSpaceDN w:val="0"/>
                    <w:adjustRightInd/>
                    <w:spacing w:line="240" w:lineRule="auto"/>
                    <w:ind w:left="840" w:hanging="420"/>
                    <w:jc w:val="center"/>
                    <w:rPr>
                      <w:sz w:val="21"/>
                    </w:rPr>
                  </w:pP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1FD1EA02">
                  <w:pPr>
                    <w:pStyle w:val="25"/>
                    <w:widowControl/>
                    <w:autoSpaceDE w:val="0"/>
                    <w:autoSpaceDN w:val="0"/>
                    <w:adjustRightInd/>
                    <w:spacing w:line="240" w:lineRule="auto"/>
                    <w:ind w:left="840" w:hanging="420"/>
                    <w:jc w:val="center"/>
                    <w:rPr>
                      <w:sz w:val="21"/>
                    </w:rPr>
                  </w:pPr>
                </w:p>
              </w:tc>
            </w:tr>
          </w:tbl>
          <w:p w14:paraId="3EDD002D">
            <w:pPr>
              <w:pStyle w:val="179"/>
              <w:spacing w:before="120" w:beforeLines="50" w:after="120" w:afterLines="50"/>
              <w:ind w:firstLine="240" w:firstLineChars="100"/>
              <w:jc w:val="both"/>
              <w:rPr>
                <w:sz w:val="24"/>
                <w:szCs w:val="24"/>
              </w:rPr>
            </w:pPr>
            <w:r>
              <w:rPr>
                <w:rFonts w:hint="eastAsia"/>
                <w:sz w:val="24"/>
                <w:szCs w:val="24"/>
              </w:rPr>
              <w:t>4、数据质量评价（可选项）</w:t>
            </w:r>
          </w:p>
          <w:p w14:paraId="6C8F41DA">
            <w:pPr>
              <w:pStyle w:val="179"/>
              <w:spacing w:before="120" w:beforeLines="50" w:after="120" w:afterLines="50"/>
              <w:ind w:firstLine="420" w:firstLineChars="200"/>
              <w:jc w:val="both"/>
              <w:rPr>
                <w:sz w:val="24"/>
                <w:szCs w:val="24"/>
              </w:rPr>
            </w:pPr>
            <w:r>
              <w:rPr>
                <w:rFonts w:hint="eastAsia"/>
                <w:sz w:val="21"/>
                <w:szCs w:val="21"/>
              </w:rPr>
              <w:t>数据质量可从定性和定量两个方面对报告使用的初级数据和次级数据进行评价，具体评价内容包括：数据来源、完整性、数据代表性(时间、地理、技术)和准确性。</w:t>
            </w:r>
          </w:p>
          <w:p w14:paraId="5AA3A6CA">
            <w:pPr>
              <w:pStyle w:val="179"/>
              <w:ind w:firstLine="280" w:firstLineChars="100"/>
              <w:jc w:val="both"/>
              <w:rPr>
                <w:sz w:val="28"/>
                <w:szCs w:val="28"/>
              </w:rPr>
            </w:pPr>
            <w:r>
              <w:rPr>
                <w:rFonts w:hint="eastAsia"/>
                <w:sz w:val="28"/>
                <w:szCs w:val="28"/>
              </w:rPr>
              <w:t>五、影响评价</w:t>
            </w:r>
          </w:p>
          <w:p w14:paraId="7C8E838F">
            <w:pPr>
              <w:pStyle w:val="179"/>
              <w:spacing w:before="120" w:beforeLines="50" w:after="120" w:afterLines="50"/>
              <w:ind w:firstLine="240" w:firstLineChars="100"/>
              <w:jc w:val="both"/>
              <w:rPr>
                <w:sz w:val="24"/>
                <w:szCs w:val="24"/>
              </w:rPr>
            </w:pPr>
            <w:bookmarkStart w:id="101" w:name="OLE_LINK1"/>
            <w:bookmarkStart w:id="102" w:name="OLE_LINK3"/>
            <w:r>
              <w:rPr>
                <w:rFonts w:hint="eastAsia"/>
                <w:sz w:val="24"/>
                <w:szCs w:val="24"/>
              </w:rPr>
              <w:t>1、影响</w:t>
            </w:r>
            <w:bookmarkEnd w:id="101"/>
            <w:bookmarkEnd w:id="102"/>
            <w:r>
              <w:rPr>
                <w:rFonts w:hint="eastAsia"/>
                <w:sz w:val="24"/>
                <w:szCs w:val="24"/>
              </w:rPr>
              <w:t>类型和特征化因子选择</w:t>
            </w:r>
          </w:p>
          <w:p w14:paraId="489AEE25">
            <w:pPr>
              <w:pStyle w:val="179"/>
              <w:spacing w:before="120" w:beforeLines="50" w:after="120" w:afterLines="50"/>
              <w:ind w:firstLine="420" w:firstLineChars="200"/>
              <w:jc w:val="both"/>
              <w:rPr>
                <w:sz w:val="21"/>
                <w:szCs w:val="21"/>
              </w:rPr>
            </w:pPr>
            <w:r>
              <w:rPr>
                <w:rFonts w:hint="eastAsia"/>
                <w:sz w:val="21"/>
                <w:szCs w:val="21"/>
              </w:rPr>
              <w:t>一般选择 IPCC 给出的 100 年 GWP。</w:t>
            </w:r>
          </w:p>
          <w:p w14:paraId="1F61F614">
            <w:pPr>
              <w:pStyle w:val="179"/>
              <w:spacing w:before="120" w:beforeLines="50" w:after="120" w:afterLines="50"/>
              <w:ind w:firstLine="240" w:firstLineChars="100"/>
              <w:jc w:val="both"/>
              <w:rPr>
                <w:sz w:val="24"/>
                <w:szCs w:val="24"/>
              </w:rPr>
            </w:pPr>
            <w:r>
              <w:rPr>
                <w:rFonts w:hint="eastAsia"/>
                <w:sz w:val="24"/>
                <w:szCs w:val="24"/>
              </w:rPr>
              <w:t>2、产品碳足迹结果计算</w:t>
            </w:r>
          </w:p>
          <w:p w14:paraId="4D70151A">
            <w:r>
              <w:rPr>
                <w:rFonts w:hint="eastAsia"/>
              </w:rPr>
              <w:t xml:space="preserve">  </w:t>
            </w:r>
          </w:p>
          <w:p w14:paraId="22FE08F5">
            <w:pPr>
              <w:pStyle w:val="179"/>
              <w:ind w:firstLine="280" w:firstLineChars="100"/>
              <w:jc w:val="both"/>
              <w:rPr>
                <w:sz w:val="28"/>
                <w:szCs w:val="28"/>
              </w:rPr>
            </w:pPr>
          </w:p>
          <w:p w14:paraId="29492CAE">
            <w:pPr>
              <w:pStyle w:val="179"/>
              <w:ind w:firstLine="280" w:firstLineChars="100"/>
              <w:jc w:val="both"/>
              <w:rPr>
                <w:sz w:val="28"/>
                <w:szCs w:val="28"/>
              </w:rPr>
            </w:pPr>
          </w:p>
          <w:p w14:paraId="1090473E">
            <w:pPr>
              <w:pStyle w:val="179"/>
              <w:ind w:firstLine="280" w:firstLineChars="100"/>
              <w:jc w:val="both"/>
              <w:rPr>
                <w:sz w:val="28"/>
                <w:szCs w:val="28"/>
              </w:rPr>
            </w:pPr>
          </w:p>
          <w:p w14:paraId="38E88F23">
            <w:pPr>
              <w:pStyle w:val="179"/>
              <w:ind w:firstLine="280" w:firstLineChars="100"/>
              <w:jc w:val="both"/>
              <w:rPr>
                <w:sz w:val="28"/>
                <w:szCs w:val="28"/>
              </w:rPr>
            </w:pPr>
          </w:p>
          <w:p w14:paraId="08EDB55B">
            <w:pPr>
              <w:pStyle w:val="179"/>
              <w:ind w:firstLine="280" w:firstLineChars="100"/>
              <w:jc w:val="both"/>
              <w:rPr>
                <w:sz w:val="28"/>
                <w:szCs w:val="28"/>
              </w:rPr>
            </w:pPr>
          </w:p>
          <w:p w14:paraId="6BD6DB20">
            <w:pPr>
              <w:pStyle w:val="179"/>
              <w:ind w:firstLine="180" w:firstLineChars="100"/>
              <w:jc w:val="both"/>
            </w:pPr>
            <w:r>
              <w:rPr>
                <w:rFonts w:hint="eastAsia"/>
              </w:rPr>
              <w:t xml:space="preserve"> </w:t>
            </w:r>
          </w:p>
        </w:tc>
      </w:tr>
    </w:tbl>
    <w:p w14:paraId="3BC5B251">
      <w:pPr>
        <w:pStyle w:val="57"/>
        <w:ind w:firstLine="420"/>
      </w:pPr>
    </w:p>
    <w:tbl>
      <w:tblPr>
        <w:tblStyle w:val="2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9374"/>
      </w:tblGrid>
      <w:tr w14:paraId="772E06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Header/>
          <w:jc w:val="center"/>
        </w:trPr>
        <w:tc>
          <w:tcPr>
            <w:tcW w:w="9570" w:type="dxa"/>
            <w:shd w:val="clear" w:color="auto" w:fill="auto"/>
            <w:vAlign w:val="center"/>
          </w:tcPr>
          <w:p w14:paraId="36FC4439">
            <w:pPr>
              <w:pStyle w:val="179"/>
              <w:spacing w:before="120" w:beforeLines="50" w:after="120" w:afterLines="50"/>
              <w:ind w:firstLine="280" w:firstLineChars="100"/>
              <w:jc w:val="both"/>
              <w:rPr>
                <w:sz w:val="28"/>
                <w:szCs w:val="28"/>
              </w:rPr>
            </w:pPr>
            <w:r>
              <w:rPr>
                <w:rFonts w:hint="eastAsia"/>
                <w:sz w:val="28"/>
                <w:szCs w:val="28"/>
              </w:rPr>
              <w:t>六、结果解释</w:t>
            </w:r>
          </w:p>
          <w:p w14:paraId="61AEE8E9">
            <w:pPr>
              <w:pStyle w:val="179"/>
              <w:spacing w:before="120" w:beforeLines="50" w:after="120" w:afterLines="50"/>
              <w:ind w:firstLine="240" w:firstLineChars="100"/>
              <w:jc w:val="both"/>
              <w:rPr>
                <w:sz w:val="28"/>
                <w:szCs w:val="28"/>
              </w:rPr>
            </w:pPr>
            <w:bookmarkStart w:id="103" w:name="OLE_LINK11"/>
            <w:r>
              <w:rPr>
                <w:rFonts w:hint="eastAsia"/>
                <w:sz w:val="24"/>
                <w:szCs w:val="24"/>
              </w:rPr>
              <w:t>1、结果说明</w:t>
            </w:r>
          </w:p>
          <w:bookmarkEnd w:id="103"/>
          <w:p w14:paraId="4CEBC947">
            <w:pPr>
              <w:pStyle w:val="179"/>
              <w:rPr>
                <w:sz w:val="21"/>
                <w:szCs w:val="21"/>
              </w:rPr>
            </w:pPr>
            <w:r>
              <w:rPr>
                <w:rFonts w:hint="eastAsia"/>
                <w:sz w:val="21"/>
                <w:szCs w:val="21"/>
              </w:rPr>
              <w:t xml:space="preserve">    </w:t>
            </w:r>
            <w:r>
              <w:rPr>
                <w:rFonts w:hint="eastAsia"/>
                <w:sz w:val="21"/>
                <w:szCs w:val="21"/>
                <w:u w:val="single"/>
              </w:rPr>
              <w:t xml:space="preserve">        </w:t>
            </w:r>
            <w:r>
              <w:rPr>
                <w:rFonts w:hint="eastAsia"/>
                <w:sz w:val="21"/>
                <w:szCs w:val="21"/>
              </w:rPr>
              <w:t>公司（填写产品生产者的全名）生产的</w:t>
            </w:r>
            <w:r>
              <w:rPr>
                <w:rFonts w:hint="eastAsia"/>
                <w:sz w:val="21"/>
                <w:szCs w:val="21"/>
                <w:u w:val="single"/>
              </w:rPr>
              <w:t xml:space="preserve">        </w:t>
            </w:r>
            <w:r>
              <w:rPr>
                <w:rFonts w:hint="eastAsia"/>
                <w:sz w:val="21"/>
                <w:szCs w:val="21"/>
              </w:rPr>
              <w:t xml:space="preserve"> （填写所评价的产品名称，每声明单位的产品），从</w:t>
            </w:r>
            <w:r>
              <w:rPr>
                <w:rFonts w:hint="eastAsia"/>
                <w:sz w:val="21"/>
                <w:szCs w:val="21"/>
                <w:u w:val="single"/>
              </w:rPr>
              <w:t xml:space="preserve">        </w:t>
            </w:r>
            <w:r>
              <w:rPr>
                <w:rFonts w:hint="eastAsia"/>
                <w:sz w:val="21"/>
                <w:szCs w:val="21"/>
              </w:rPr>
              <w:t>（填写某生命周期阶段）到</w:t>
            </w:r>
            <w:r>
              <w:rPr>
                <w:rFonts w:hint="eastAsia"/>
                <w:sz w:val="21"/>
                <w:szCs w:val="21"/>
                <w:u w:val="single"/>
              </w:rPr>
              <w:t xml:space="preserve">        </w:t>
            </w:r>
            <w:r>
              <w:rPr>
                <w:rFonts w:hint="eastAsia"/>
                <w:sz w:val="21"/>
                <w:szCs w:val="21"/>
              </w:rPr>
              <w:t xml:space="preserve"> （填写某生命周期阶段）生命周期碳</w:t>
            </w:r>
          </w:p>
          <w:p w14:paraId="34724C42">
            <w:pPr>
              <w:pStyle w:val="179"/>
              <w:jc w:val="both"/>
              <w:rPr>
                <w:sz w:val="21"/>
                <w:szCs w:val="21"/>
              </w:rPr>
            </w:pPr>
            <w:r>
              <w:rPr>
                <w:rFonts w:hint="eastAsia"/>
                <w:sz w:val="21"/>
                <w:szCs w:val="21"/>
              </w:rPr>
              <w:t>足迹为kgCO</w:t>
            </w:r>
            <w:r>
              <w:rPr>
                <w:rFonts w:hint="eastAsia"/>
                <w:sz w:val="21"/>
                <w:szCs w:val="21"/>
                <w:vertAlign w:val="subscript"/>
              </w:rPr>
              <w:t>2</w:t>
            </w:r>
            <w:r>
              <w:rPr>
                <w:rFonts w:hint="eastAsia"/>
                <w:sz w:val="21"/>
                <w:szCs w:val="21"/>
              </w:rPr>
              <w:t>e。各生命周期阶段的温室气体排放情况如表 2 和图 2 所示。</w:t>
            </w:r>
          </w:p>
          <w:p w14:paraId="5F1742B9">
            <w:pPr>
              <w:pStyle w:val="179"/>
              <w:spacing w:before="120" w:beforeLines="50" w:after="120" w:afterLines="50"/>
              <w:ind w:firstLine="210" w:firstLineChars="100"/>
              <w:rPr>
                <w:rFonts w:ascii="黑体" w:hAnsi="黑体" w:eastAsia="黑体"/>
                <w:sz w:val="21"/>
                <w:szCs w:val="21"/>
              </w:rPr>
            </w:pPr>
            <w:r>
              <w:rPr>
                <w:rFonts w:hint="eastAsia" w:ascii="黑体" w:hAnsi="黑体" w:eastAsia="黑体"/>
                <w:sz w:val="21"/>
                <w:szCs w:val="21"/>
              </w:rPr>
              <w:t>表2  生命周期各阶段碳排放情况</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87"/>
              <w:gridCol w:w="3425"/>
              <w:gridCol w:w="3426"/>
            </w:tblGrid>
            <w:tr w14:paraId="07DAE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87" w:type="dxa"/>
                  <w:tcBorders>
                    <w:top w:val="single" w:color="auto" w:sz="8" w:space="0"/>
                    <w:left w:val="single" w:color="auto" w:sz="8" w:space="0"/>
                    <w:bottom w:val="single" w:color="auto" w:sz="8" w:space="0"/>
                    <w:right w:val="single" w:color="auto" w:sz="4" w:space="0"/>
                  </w:tcBorders>
                  <w:shd w:val="clear" w:color="auto" w:fill="auto"/>
                  <w:vAlign w:val="center"/>
                </w:tcPr>
                <w:p w14:paraId="2230187B">
                  <w:pPr>
                    <w:pStyle w:val="25"/>
                    <w:widowControl/>
                    <w:autoSpaceDE w:val="0"/>
                    <w:autoSpaceDN w:val="0"/>
                    <w:adjustRightInd/>
                    <w:spacing w:line="240" w:lineRule="auto"/>
                    <w:ind w:left="780" w:hanging="360"/>
                    <w:jc w:val="center"/>
                    <w:rPr>
                      <w:sz w:val="18"/>
                      <w:szCs w:val="18"/>
                    </w:rPr>
                  </w:pPr>
                  <w:r>
                    <w:rPr>
                      <w:sz w:val="18"/>
                      <w:szCs w:val="18"/>
                    </w:rPr>
                    <w:t>生命周期阶段</w:t>
                  </w:r>
                </w:p>
              </w:tc>
              <w:tc>
                <w:tcPr>
                  <w:tcW w:w="3425" w:type="dxa"/>
                  <w:tcBorders>
                    <w:top w:val="single" w:color="auto" w:sz="8" w:space="0"/>
                    <w:left w:val="single" w:color="auto" w:sz="4" w:space="0"/>
                    <w:right w:val="single" w:color="auto" w:sz="8" w:space="0"/>
                  </w:tcBorders>
                  <w:shd w:val="clear" w:color="auto" w:fill="auto"/>
                  <w:vAlign w:val="center"/>
                </w:tcPr>
                <w:p w14:paraId="78B212DC">
                  <w:pPr>
                    <w:pStyle w:val="25"/>
                    <w:widowControl/>
                    <w:autoSpaceDE w:val="0"/>
                    <w:autoSpaceDN w:val="0"/>
                    <w:adjustRightInd/>
                    <w:spacing w:line="240" w:lineRule="auto"/>
                    <w:ind w:left="780" w:hanging="360"/>
                    <w:jc w:val="center"/>
                    <w:rPr>
                      <w:sz w:val="18"/>
                      <w:szCs w:val="18"/>
                    </w:rPr>
                  </w:pPr>
                  <w:r>
                    <w:rPr>
                      <w:sz w:val="18"/>
                      <w:szCs w:val="18"/>
                    </w:rPr>
                    <w:t>碳足迹（</w:t>
                  </w:r>
                  <w:r>
                    <w:rPr>
                      <w:rFonts w:hint="eastAsia" w:ascii="宋体" w:hAnsi="宋体"/>
                      <w:sz w:val="18"/>
                      <w:szCs w:val="18"/>
                    </w:rPr>
                    <w:t>kg CO</w:t>
                  </w:r>
                  <w:r>
                    <w:rPr>
                      <w:rFonts w:hint="eastAsia" w:ascii="宋体" w:hAnsi="宋体"/>
                      <w:sz w:val="18"/>
                      <w:szCs w:val="18"/>
                      <w:vertAlign w:val="subscript"/>
                    </w:rPr>
                    <w:t>2</w:t>
                  </w:r>
                  <w:r>
                    <w:rPr>
                      <w:rFonts w:hint="eastAsia" w:ascii="宋体" w:hAnsi="宋体"/>
                      <w:sz w:val="18"/>
                      <w:szCs w:val="18"/>
                    </w:rPr>
                    <w:t>e/</w:t>
                  </w:r>
                  <w:r>
                    <w:rPr>
                      <w:rFonts w:hint="eastAsia"/>
                      <w:sz w:val="18"/>
                      <w:szCs w:val="18"/>
                    </w:rPr>
                    <w:t>声明单位</w:t>
                  </w:r>
                  <w:r>
                    <w:rPr>
                      <w:sz w:val="18"/>
                      <w:szCs w:val="18"/>
                    </w:rPr>
                    <w:t>）</w:t>
                  </w:r>
                </w:p>
              </w:tc>
              <w:tc>
                <w:tcPr>
                  <w:tcW w:w="3426" w:type="dxa"/>
                  <w:tcBorders>
                    <w:top w:val="single" w:color="auto" w:sz="8" w:space="0"/>
                    <w:left w:val="single" w:color="auto" w:sz="4" w:space="0"/>
                    <w:right w:val="single" w:color="auto" w:sz="8" w:space="0"/>
                  </w:tcBorders>
                  <w:shd w:val="clear" w:color="auto" w:fill="auto"/>
                  <w:vAlign w:val="center"/>
                </w:tcPr>
                <w:p w14:paraId="364B947A">
                  <w:pPr>
                    <w:pStyle w:val="25"/>
                    <w:widowControl/>
                    <w:autoSpaceDE w:val="0"/>
                    <w:autoSpaceDN w:val="0"/>
                    <w:adjustRightInd/>
                    <w:spacing w:line="240" w:lineRule="auto"/>
                    <w:ind w:left="780" w:hanging="360"/>
                    <w:jc w:val="center"/>
                    <w:rPr>
                      <w:sz w:val="18"/>
                      <w:szCs w:val="18"/>
                    </w:rPr>
                  </w:pPr>
                  <w:r>
                    <w:rPr>
                      <w:sz w:val="18"/>
                      <w:szCs w:val="18"/>
                    </w:rPr>
                    <w:t>百分比</w:t>
                  </w:r>
                  <w:r>
                    <w:rPr>
                      <w:rFonts w:hint="eastAsia" w:ascii="宋体" w:hAnsi="宋体"/>
                      <w:sz w:val="18"/>
                      <w:szCs w:val="18"/>
                    </w:rPr>
                    <w:t>%</w:t>
                  </w:r>
                </w:p>
              </w:tc>
            </w:tr>
            <w:tr w14:paraId="436EE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87" w:type="dxa"/>
                  <w:tcBorders>
                    <w:top w:val="single" w:color="auto" w:sz="8" w:space="0"/>
                    <w:left w:val="single" w:color="auto" w:sz="8" w:space="0"/>
                    <w:bottom w:val="single" w:color="auto" w:sz="4" w:space="0"/>
                    <w:right w:val="single" w:color="auto" w:sz="4" w:space="0"/>
                  </w:tcBorders>
                  <w:shd w:val="clear" w:color="auto" w:fill="auto"/>
                  <w:vAlign w:val="center"/>
                </w:tcPr>
                <w:p w14:paraId="3CFF635C">
                  <w:pPr>
                    <w:pStyle w:val="25"/>
                    <w:widowControl/>
                    <w:autoSpaceDE w:val="0"/>
                    <w:autoSpaceDN w:val="0"/>
                    <w:adjustRightInd/>
                    <w:spacing w:line="240" w:lineRule="auto"/>
                    <w:ind w:left="840" w:hanging="420"/>
                    <w:jc w:val="center"/>
                    <w:rPr>
                      <w:sz w:val="21"/>
                    </w:rPr>
                  </w:pPr>
                  <w:r>
                    <w:rPr>
                      <w:sz w:val="21"/>
                    </w:rPr>
                    <w:t>原材料获取</w:t>
                  </w:r>
                </w:p>
              </w:tc>
              <w:tc>
                <w:tcPr>
                  <w:tcW w:w="3425" w:type="dxa"/>
                  <w:tcBorders>
                    <w:left w:val="single" w:color="auto" w:sz="4" w:space="0"/>
                    <w:right w:val="single" w:color="auto" w:sz="8" w:space="0"/>
                  </w:tcBorders>
                  <w:shd w:val="clear" w:color="auto" w:fill="auto"/>
                  <w:vAlign w:val="center"/>
                </w:tcPr>
                <w:p w14:paraId="42A144C5">
                  <w:pPr>
                    <w:pStyle w:val="25"/>
                    <w:widowControl/>
                    <w:autoSpaceDE w:val="0"/>
                    <w:autoSpaceDN w:val="0"/>
                    <w:adjustRightInd/>
                    <w:spacing w:line="240" w:lineRule="auto"/>
                    <w:ind w:left="840" w:hanging="420"/>
                    <w:jc w:val="center"/>
                    <w:rPr>
                      <w:sz w:val="21"/>
                    </w:rPr>
                  </w:pPr>
                </w:p>
              </w:tc>
              <w:tc>
                <w:tcPr>
                  <w:tcW w:w="3426" w:type="dxa"/>
                  <w:tcBorders>
                    <w:left w:val="single" w:color="auto" w:sz="4" w:space="0"/>
                    <w:right w:val="single" w:color="auto" w:sz="8" w:space="0"/>
                  </w:tcBorders>
                  <w:shd w:val="clear" w:color="auto" w:fill="auto"/>
                  <w:vAlign w:val="center"/>
                </w:tcPr>
                <w:p w14:paraId="6498EBB7">
                  <w:pPr>
                    <w:pStyle w:val="25"/>
                    <w:widowControl/>
                    <w:autoSpaceDE w:val="0"/>
                    <w:autoSpaceDN w:val="0"/>
                    <w:adjustRightInd/>
                    <w:spacing w:line="240" w:lineRule="auto"/>
                    <w:ind w:left="840" w:hanging="420"/>
                    <w:jc w:val="center"/>
                    <w:rPr>
                      <w:sz w:val="21"/>
                    </w:rPr>
                  </w:pPr>
                </w:p>
              </w:tc>
            </w:tr>
            <w:tr w14:paraId="7F6F3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2287" w:type="dxa"/>
                  <w:tcBorders>
                    <w:top w:val="single" w:color="auto" w:sz="4" w:space="0"/>
                    <w:left w:val="single" w:color="auto" w:sz="8" w:space="0"/>
                    <w:bottom w:val="single" w:color="auto" w:sz="4" w:space="0"/>
                    <w:right w:val="single" w:color="auto" w:sz="4" w:space="0"/>
                  </w:tcBorders>
                  <w:shd w:val="clear" w:color="auto" w:fill="auto"/>
                  <w:vAlign w:val="center"/>
                </w:tcPr>
                <w:p w14:paraId="4E748118">
                  <w:pPr>
                    <w:pStyle w:val="25"/>
                    <w:widowControl/>
                    <w:autoSpaceDE w:val="0"/>
                    <w:autoSpaceDN w:val="0"/>
                    <w:adjustRightInd/>
                    <w:spacing w:line="240" w:lineRule="auto"/>
                    <w:ind w:left="840" w:hanging="420"/>
                    <w:jc w:val="center"/>
                    <w:rPr>
                      <w:sz w:val="21"/>
                    </w:rPr>
                  </w:pPr>
                  <w:r>
                    <w:rPr>
                      <w:sz w:val="21"/>
                    </w:rPr>
                    <w:t>生产</w:t>
                  </w:r>
                </w:p>
              </w:tc>
              <w:tc>
                <w:tcPr>
                  <w:tcW w:w="3425" w:type="dxa"/>
                  <w:tcBorders>
                    <w:left w:val="single" w:color="auto" w:sz="4" w:space="0"/>
                    <w:right w:val="single" w:color="auto" w:sz="8" w:space="0"/>
                  </w:tcBorders>
                  <w:shd w:val="clear" w:color="auto" w:fill="auto"/>
                  <w:vAlign w:val="center"/>
                </w:tcPr>
                <w:p w14:paraId="4F1D3D7D">
                  <w:pPr>
                    <w:pStyle w:val="25"/>
                    <w:widowControl/>
                    <w:autoSpaceDE w:val="0"/>
                    <w:autoSpaceDN w:val="0"/>
                    <w:adjustRightInd/>
                    <w:spacing w:line="240" w:lineRule="auto"/>
                    <w:ind w:left="840" w:hanging="420"/>
                    <w:jc w:val="center"/>
                    <w:rPr>
                      <w:sz w:val="21"/>
                    </w:rPr>
                  </w:pPr>
                </w:p>
              </w:tc>
              <w:tc>
                <w:tcPr>
                  <w:tcW w:w="3426" w:type="dxa"/>
                  <w:tcBorders>
                    <w:left w:val="single" w:color="auto" w:sz="4" w:space="0"/>
                    <w:right w:val="single" w:color="auto" w:sz="8" w:space="0"/>
                  </w:tcBorders>
                  <w:shd w:val="clear" w:color="auto" w:fill="auto"/>
                  <w:vAlign w:val="center"/>
                </w:tcPr>
                <w:p w14:paraId="43065D7A">
                  <w:pPr>
                    <w:pStyle w:val="25"/>
                    <w:widowControl/>
                    <w:autoSpaceDE w:val="0"/>
                    <w:autoSpaceDN w:val="0"/>
                    <w:adjustRightInd/>
                    <w:spacing w:line="240" w:lineRule="auto"/>
                    <w:ind w:left="840" w:hanging="420"/>
                    <w:jc w:val="center"/>
                    <w:rPr>
                      <w:sz w:val="21"/>
                    </w:rPr>
                  </w:pPr>
                </w:p>
              </w:tc>
            </w:tr>
            <w:tr w14:paraId="5675B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87" w:type="dxa"/>
                  <w:tcBorders>
                    <w:top w:val="single" w:color="auto" w:sz="4" w:space="0"/>
                    <w:left w:val="single" w:color="auto" w:sz="8" w:space="0"/>
                    <w:right w:val="single" w:color="auto" w:sz="4" w:space="0"/>
                  </w:tcBorders>
                  <w:shd w:val="clear" w:color="auto" w:fill="auto"/>
                  <w:vAlign w:val="center"/>
                </w:tcPr>
                <w:p w14:paraId="3522C505">
                  <w:pPr>
                    <w:pStyle w:val="25"/>
                    <w:widowControl/>
                    <w:autoSpaceDE w:val="0"/>
                    <w:autoSpaceDN w:val="0"/>
                    <w:adjustRightInd/>
                    <w:spacing w:line="240" w:lineRule="auto"/>
                    <w:ind w:left="840" w:hanging="420"/>
                    <w:jc w:val="center"/>
                    <w:rPr>
                      <w:sz w:val="21"/>
                    </w:rPr>
                  </w:pPr>
                  <w:r>
                    <w:rPr>
                      <w:sz w:val="21"/>
                    </w:rPr>
                    <w:t>运储（</w:t>
                  </w:r>
                  <w:r>
                    <w:rPr>
                      <w:rFonts w:hint="eastAsia"/>
                      <w:sz w:val="21"/>
                    </w:rPr>
                    <w:t>交付</w:t>
                  </w:r>
                  <w:r>
                    <w:rPr>
                      <w:sz w:val="21"/>
                    </w:rPr>
                    <w:t>）</w:t>
                  </w:r>
                </w:p>
              </w:tc>
              <w:tc>
                <w:tcPr>
                  <w:tcW w:w="3425" w:type="dxa"/>
                  <w:tcBorders>
                    <w:left w:val="single" w:color="auto" w:sz="4" w:space="0"/>
                    <w:right w:val="single" w:color="auto" w:sz="8" w:space="0"/>
                  </w:tcBorders>
                  <w:shd w:val="clear" w:color="auto" w:fill="auto"/>
                  <w:vAlign w:val="center"/>
                </w:tcPr>
                <w:p w14:paraId="4A15118A">
                  <w:pPr>
                    <w:pStyle w:val="25"/>
                    <w:widowControl/>
                    <w:autoSpaceDE w:val="0"/>
                    <w:autoSpaceDN w:val="0"/>
                    <w:adjustRightInd/>
                    <w:spacing w:line="240" w:lineRule="auto"/>
                    <w:ind w:left="840" w:hanging="420"/>
                    <w:jc w:val="center"/>
                    <w:rPr>
                      <w:sz w:val="21"/>
                    </w:rPr>
                  </w:pPr>
                </w:p>
              </w:tc>
              <w:tc>
                <w:tcPr>
                  <w:tcW w:w="3426" w:type="dxa"/>
                  <w:tcBorders>
                    <w:left w:val="single" w:color="auto" w:sz="4" w:space="0"/>
                    <w:right w:val="single" w:color="auto" w:sz="8" w:space="0"/>
                  </w:tcBorders>
                  <w:shd w:val="clear" w:color="auto" w:fill="auto"/>
                  <w:vAlign w:val="center"/>
                </w:tcPr>
                <w:p w14:paraId="3CB1C26E">
                  <w:pPr>
                    <w:pStyle w:val="25"/>
                    <w:widowControl/>
                    <w:autoSpaceDE w:val="0"/>
                    <w:autoSpaceDN w:val="0"/>
                    <w:adjustRightInd/>
                    <w:spacing w:line="240" w:lineRule="auto"/>
                    <w:ind w:left="840" w:hanging="420"/>
                    <w:jc w:val="center"/>
                    <w:rPr>
                      <w:sz w:val="21"/>
                    </w:rPr>
                  </w:pPr>
                </w:p>
              </w:tc>
            </w:tr>
            <w:tr w14:paraId="496DA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87" w:type="dxa"/>
                  <w:tcBorders>
                    <w:left w:val="single" w:color="auto" w:sz="8" w:space="0"/>
                    <w:bottom w:val="single" w:color="auto" w:sz="4" w:space="0"/>
                    <w:right w:val="single" w:color="auto" w:sz="4" w:space="0"/>
                  </w:tcBorders>
                  <w:shd w:val="clear" w:color="auto" w:fill="auto"/>
                  <w:vAlign w:val="center"/>
                </w:tcPr>
                <w:p w14:paraId="710CD2B2">
                  <w:pPr>
                    <w:pStyle w:val="25"/>
                    <w:widowControl/>
                    <w:autoSpaceDE w:val="0"/>
                    <w:autoSpaceDN w:val="0"/>
                    <w:adjustRightInd/>
                    <w:spacing w:line="240" w:lineRule="auto"/>
                    <w:ind w:left="840" w:hanging="420"/>
                    <w:jc w:val="center"/>
                    <w:rPr>
                      <w:sz w:val="21"/>
                    </w:rPr>
                  </w:pPr>
                  <w:r>
                    <w:rPr>
                      <w:sz w:val="21"/>
                    </w:rPr>
                    <w:t>使用</w:t>
                  </w:r>
                </w:p>
              </w:tc>
              <w:tc>
                <w:tcPr>
                  <w:tcW w:w="3425" w:type="dxa"/>
                  <w:tcBorders>
                    <w:left w:val="single" w:color="auto" w:sz="4" w:space="0"/>
                    <w:right w:val="single" w:color="auto" w:sz="8" w:space="0"/>
                  </w:tcBorders>
                  <w:shd w:val="clear" w:color="auto" w:fill="auto"/>
                  <w:vAlign w:val="center"/>
                </w:tcPr>
                <w:p w14:paraId="1A0711BC">
                  <w:pPr>
                    <w:pStyle w:val="25"/>
                    <w:widowControl/>
                    <w:autoSpaceDE w:val="0"/>
                    <w:autoSpaceDN w:val="0"/>
                    <w:adjustRightInd/>
                    <w:spacing w:line="240" w:lineRule="auto"/>
                    <w:ind w:left="840" w:hanging="420"/>
                    <w:jc w:val="center"/>
                    <w:rPr>
                      <w:sz w:val="21"/>
                    </w:rPr>
                  </w:pPr>
                </w:p>
              </w:tc>
              <w:tc>
                <w:tcPr>
                  <w:tcW w:w="3426" w:type="dxa"/>
                  <w:tcBorders>
                    <w:left w:val="single" w:color="auto" w:sz="4" w:space="0"/>
                    <w:right w:val="single" w:color="auto" w:sz="8" w:space="0"/>
                  </w:tcBorders>
                  <w:shd w:val="clear" w:color="auto" w:fill="auto"/>
                  <w:vAlign w:val="center"/>
                </w:tcPr>
                <w:p w14:paraId="1C73CBFB">
                  <w:pPr>
                    <w:pStyle w:val="25"/>
                    <w:widowControl/>
                    <w:autoSpaceDE w:val="0"/>
                    <w:autoSpaceDN w:val="0"/>
                    <w:adjustRightInd/>
                    <w:spacing w:line="240" w:lineRule="auto"/>
                    <w:ind w:left="840" w:hanging="420"/>
                    <w:jc w:val="center"/>
                    <w:rPr>
                      <w:sz w:val="21"/>
                    </w:rPr>
                  </w:pPr>
                </w:p>
              </w:tc>
            </w:tr>
            <w:tr w14:paraId="0C8A0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87" w:type="dxa"/>
                  <w:tcBorders>
                    <w:top w:val="single" w:color="auto" w:sz="4" w:space="0"/>
                    <w:left w:val="single" w:color="auto" w:sz="8" w:space="0"/>
                    <w:bottom w:val="single" w:color="auto" w:sz="4" w:space="0"/>
                    <w:right w:val="single" w:color="auto" w:sz="4" w:space="0"/>
                  </w:tcBorders>
                  <w:shd w:val="clear" w:color="auto" w:fill="auto"/>
                  <w:vAlign w:val="center"/>
                </w:tcPr>
                <w:p w14:paraId="5E693258">
                  <w:pPr>
                    <w:pStyle w:val="25"/>
                    <w:widowControl/>
                    <w:autoSpaceDE w:val="0"/>
                    <w:autoSpaceDN w:val="0"/>
                    <w:adjustRightInd/>
                    <w:spacing w:line="240" w:lineRule="auto"/>
                    <w:ind w:left="840" w:hanging="420"/>
                    <w:jc w:val="center"/>
                    <w:rPr>
                      <w:sz w:val="21"/>
                    </w:rPr>
                  </w:pPr>
                  <w:r>
                    <w:rPr>
                      <w:sz w:val="21"/>
                    </w:rPr>
                    <w:t>生命末期</w:t>
                  </w:r>
                </w:p>
              </w:tc>
              <w:tc>
                <w:tcPr>
                  <w:tcW w:w="3425" w:type="dxa"/>
                  <w:tcBorders>
                    <w:left w:val="single" w:color="auto" w:sz="4" w:space="0"/>
                    <w:right w:val="single" w:color="auto" w:sz="8" w:space="0"/>
                  </w:tcBorders>
                  <w:shd w:val="clear" w:color="auto" w:fill="auto"/>
                  <w:vAlign w:val="center"/>
                </w:tcPr>
                <w:p w14:paraId="1FC5A315">
                  <w:pPr>
                    <w:pStyle w:val="25"/>
                    <w:widowControl/>
                    <w:autoSpaceDE w:val="0"/>
                    <w:autoSpaceDN w:val="0"/>
                    <w:adjustRightInd/>
                    <w:spacing w:line="240" w:lineRule="auto"/>
                    <w:ind w:left="840" w:hanging="420"/>
                    <w:jc w:val="center"/>
                    <w:rPr>
                      <w:sz w:val="21"/>
                    </w:rPr>
                  </w:pPr>
                </w:p>
              </w:tc>
              <w:tc>
                <w:tcPr>
                  <w:tcW w:w="3426" w:type="dxa"/>
                  <w:tcBorders>
                    <w:left w:val="single" w:color="auto" w:sz="4" w:space="0"/>
                    <w:right w:val="single" w:color="auto" w:sz="8" w:space="0"/>
                  </w:tcBorders>
                  <w:shd w:val="clear" w:color="auto" w:fill="auto"/>
                  <w:vAlign w:val="center"/>
                </w:tcPr>
                <w:p w14:paraId="3850F40F">
                  <w:pPr>
                    <w:pStyle w:val="25"/>
                    <w:widowControl/>
                    <w:autoSpaceDE w:val="0"/>
                    <w:autoSpaceDN w:val="0"/>
                    <w:adjustRightInd/>
                    <w:spacing w:line="240" w:lineRule="auto"/>
                    <w:ind w:left="840" w:hanging="420"/>
                    <w:jc w:val="center"/>
                    <w:rPr>
                      <w:sz w:val="21"/>
                    </w:rPr>
                  </w:pPr>
                </w:p>
              </w:tc>
            </w:tr>
            <w:tr w14:paraId="0BE27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2287" w:type="dxa"/>
                  <w:tcBorders>
                    <w:top w:val="single" w:color="auto" w:sz="4" w:space="0"/>
                    <w:left w:val="single" w:color="auto" w:sz="8" w:space="0"/>
                    <w:bottom w:val="single" w:color="auto" w:sz="4" w:space="0"/>
                    <w:right w:val="single" w:color="auto" w:sz="4" w:space="0"/>
                  </w:tcBorders>
                  <w:shd w:val="clear" w:color="auto" w:fill="auto"/>
                  <w:vAlign w:val="center"/>
                </w:tcPr>
                <w:p w14:paraId="00CB0619">
                  <w:pPr>
                    <w:pStyle w:val="25"/>
                    <w:widowControl/>
                    <w:autoSpaceDE w:val="0"/>
                    <w:autoSpaceDN w:val="0"/>
                    <w:adjustRightInd/>
                    <w:spacing w:line="240" w:lineRule="auto"/>
                    <w:ind w:left="840" w:hanging="420"/>
                    <w:jc w:val="center"/>
                    <w:rPr>
                      <w:sz w:val="21"/>
                    </w:rPr>
                  </w:pPr>
                  <w:r>
                    <w:rPr>
                      <w:sz w:val="21"/>
                    </w:rPr>
                    <w:t>总计</w:t>
                  </w:r>
                </w:p>
              </w:tc>
              <w:tc>
                <w:tcPr>
                  <w:tcW w:w="3425" w:type="dxa"/>
                  <w:tcBorders>
                    <w:left w:val="single" w:color="auto" w:sz="4" w:space="0"/>
                    <w:bottom w:val="single" w:color="auto" w:sz="4" w:space="0"/>
                    <w:right w:val="single" w:color="auto" w:sz="8" w:space="0"/>
                  </w:tcBorders>
                  <w:shd w:val="clear" w:color="auto" w:fill="auto"/>
                  <w:vAlign w:val="center"/>
                </w:tcPr>
                <w:p w14:paraId="45E4E7E7">
                  <w:pPr>
                    <w:pStyle w:val="25"/>
                    <w:widowControl/>
                    <w:autoSpaceDE w:val="0"/>
                    <w:autoSpaceDN w:val="0"/>
                    <w:adjustRightInd/>
                    <w:spacing w:line="240" w:lineRule="auto"/>
                    <w:ind w:left="840" w:hanging="420"/>
                    <w:jc w:val="center"/>
                    <w:rPr>
                      <w:sz w:val="21"/>
                    </w:rPr>
                  </w:pPr>
                </w:p>
              </w:tc>
              <w:tc>
                <w:tcPr>
                  <w:tcW w:w="3426" w:type="dxa"/>
                  <w:tcBorders>
                    <w:left w:val="single" w:color="auto" w:sz="4" w:space="0"/>
                    <w:bottom w:val="single" w:color="auto" w:sz="4" w:space="0"/>
                    <w:right w:val="single" w:color="auto" w:sz="8" w:space="0"/>
                  </w:tcBorders>
                  <w:shd w:val="clear" w:color="auto" w:fill="auto"/>
                  <w:vAlign w:val="center"/>
                </w:tcPr>
                <w:p w14:paraId="0F2F8895">
                  <w:pPr>
                    <w:pStyle w:val="25"/>
                    <w:widowControl/>
                    <w:autoSpaceDE w:val="0"/>
                    <w:autoSpaceDN w:val="0"/>
                    <w:adjustRightInd/>
                    <w:spacing w:line="240" w:lineRule="auto"/>
                    <w:ind w:left="840" w:hanging="420"/>
                    <w:jc w:val="center"/>
                    <w:rPr>
                      <w:sz w:val="21"/>
                    </w:rPr>
                  </w:pPr>
                </w:p>
              </w:tc>
            </w:tr>
          </w:tbl>
          <w:p w14:paraId="2D15A279">
            <w:pPr>
              <w:pStyle w:val="179"/>
            </w:pPr>
          </w:p>
          <w:p w14:paraId="0CCB41A7">
            <w:pPr>
              <w:pStyle w:val="179"/>
            </w:pPr>
          </w:p>
          <w:p w14:paraId="7111E4AF">
            <w:pPr>
              <w:pStyle w:val="179"/>
            </w:pPr>
          </w:p>
          <w:p w14:paraId="594E906A">
            <w:pPr>
              <w:pStyle w:val="179"/>
            </w:pPr>
          </w:p>
          <w:p w14:paraId="72D09355">
            <w:pPr>
              <w:pStyle w:val="179"/>
            </w:pPr>
          </w:p>
          <w:p w14:paraId="4FCDD19E">
            <w:pPr>
              <w:pStyle w:val="179"/>
            </w:pPr>
          </w:p>
          <w:p w14:paraId="0910E464">
            <w:pPr>
              <w:pStyle w:val="179"/>
            </w:pPr>
          </w:p>
          <w:p w14:paraId="4E716562">
            <w:pPr>
              <w:pStyle w:val="179"/>
            </w:pPr>
          </w:p>
          <w:p w14:paraId="7C87C6F2">
            <w:pPr>
              <w:pStyle w:val="179"/>
            </w:pPr>
          </w:p>
          <w:p w14:paraId="37E1B9EC">
            <w:pPr>
              <w:pStyle w:val="179"/>
            </w:pPr>
          </w:p>
          <w:p w14:paraId="4C14FDA7">
            <w:pPr>
              <w:pStyle w:val="179"/>
              <w:rPr>
                <w:rFonts w:ascii="黑体" w:hAnsi="黑体" w:eastAsia="黑体"/>
                <w:sz w:val="21"/>
                <w:szCs w:val="21"/>
              </w:rPr>
            </w:pPr>
            <w:r>
              <w:rPr>
                <w:rFonts w:hint="eastAsia" w:ascii="黑体" w:hAnsi="黑体" w:eastAsia="黑体"/>
                <w:sz w:val="21"/>
                <w:szCs w:val="21"/>
              </w:rPr>
              <w:t>图2  XX各生命周期阶段碳排放分布图</w:t>
            </w:r>
          </w:p>
          <w:p w14:paraId="7E53B8CC">
            <w:pPr>
              <w:pStyle w:val="180"/>
            </w:pPr>
            <w:r>
              <w:rPr>
                <w:rFonts w:hint="eastAsia"/>
              </w:rPr>
              <w:t>具体产品生命周期阶段碳排放分布图一般以饼状图或是柱形图表示各生命周期阶段的碳排放情况。</w:t>
            </w:r>
          </w:p>
          <w:p w14:paraId="237D01D7">
            <w:pPr>
              <w:pStyle w:val="179"/>
              <w:spacing w:before="120" w:beforeLines="50" w:after="120" w:afterLines="50"/>
              <w:ind w:firstLine="240" w:firstLineChars="100"/>
              <w:jc w:val="both"/>
              <w:rPr>
                <w:sz w:val="28"/>
                <w:szCs w:val="28"/>
              </w:rPr>
            </w:pPr>
            <w:r>
              <w:rPr>
                <w:rFonts w:hint="eastAsia"/>
                <w:sz w:val="24"/>
                <w:szCs w:val="24"/>
              </w:rPr>
              <w:t>2、假设和局限性说明（可选项）</w:t>
            </w:r>
          </w:p>
          <w:p w14:paraId="5046C08C">
            <w:pPr>
              <w:pStyle w:val="179"/>
              <w:spacing w:before="120" w:beforeLines="50" w:after="120" w:afterLines="50"/>
              <w:ind w:firstLine="210" w:firstLineChars="100"/>
              <w:jc w:val="both"/>
              <w:rPr>
                <w:sz w:val="28"/>
                <w:szCs w:val="28"/>
              </w:rPr>
            </w:pPr>
            <w:r>
              <w:rPr>
                <w:rFonts w:hint="eastAsia"/>
                <w:sz w:val="21"/>
                <w:szCs w:val="21"/>
              </w:rPr>
              <w:t>结合量化情况，对范围、数据选择、情景设定等相关的假设和局限进行说明。</w:t>
            </w:r>
          </w:p>
          <w:p w14:paraId="5F6297AA">
            <w:pPr>
              <w:pStyle w:val="179"/>
              <w:ind w:firstLine="240" w:firstLineChars="100"/>
              <w:jc w:val="both"/>
            </w:pPr>
            <w:r>
              <w:rPr>
                <w:rFonts w:hint="eastAsia"/>
                <w:sz w:val="24"/>
                <w:szCs w:val="24"/>
              </w:rPr>
              <w:t>3、改进建议</w:t>
            </w:r>
          </w:p>
          <w:p w14:paraId="6A066569">
            <w:r>
              <w:rPr>
                <w:rFonts w:hint="eastAsia"/>
              </w:rPr>
              <w:t xml:space="preserve">                                            </w:t>
            </w:r>
          </w:p>
          <w:p w14:paraId="14DDD679">
            <w:pPr>
              <w:pStyle w:val="179"/>
            </w:pPr>
          </w:p>
          <w:p w14:paraId="1E0BC979">
            <w:pPr>
              <w:pStyle w:val="179"/>
            </w:pPr>
          </w:p>
          <w:p w14:paraId="247B110F">
            <w:pPr>
              <w:pStyle w:val="179"/>
            </w:pPr>
          </w:p>
          <w:p w14:paraId="6F366BB2">
            <w:pPr>
              <w:pStyle w:val="179"/>
            </w:pPr>
          </w:p>
          <w:p w14:paraId="55A54614">
            <w:pPr>
              <w:pStyle w:val="179"/>
            </w:pPr>
          </w:p>
          <w:p w14:paraId="0E4AA2F7">
            <w:pPr>
              <w:pStyle w:val="179"/>
            </w:pPr>
          </w:p>
          <w:p w14:paraId="5EF162E4">
            <w:pPr>
              <w:pStyle w:val="179"/>
            </w:pPr>
          </w:p>
          <w:p w14:paraId="18F285B4">
            <w:pPr>
              <w:pStyle w:val="179"/>
            </w:pPr>
          </w:p>
          <w:p w14:paraId="1C001D58">
            <w:pPr>
              <w:pStyle w:val="179"/>
            </w:pPr>
          </w:p>
        </w:tc>
      </w:tr>
    </w:tbl>
    <w:p w14:paraId="7BA32945">
      <w:pPr>
        <w:pStyle w:val="57"/>
        <w:ind w:firstLine="420"/>
      </w:pPr>
    </w:p>
    <w:p w14:paraId="5EDEAFA9">
      <w:pPr>
        <w:pStyle w:val="57"/>
        <w:ind w:firstLine="420"/>
      </w:pPr>
    </w:p>
    <w:bookmarkEnd w:id="95"/>
    <w:p w14:paraId="309A7C24">
      <w:pPr>
        <w:pStyle w:val="57"/>
        <w:ind w:firstLine="420"/>
        <w:sectPr>
          <w:pgSz w:w="11906" w:h="16838"/>
          <w:pgMar w:top="1928" w:right="1134" w:bottom="1134" w:left="1134" w:header="1418" w:footer="1134" w:gutter="284"/>
          <w:cols w:space="425" w:num="1"/>
          <w:formProt w:val="0"/>
          <w:docGrid w:linePitch="312" w:charSpace="0"/>
        </w:sectPr>
      </w:pPr>
      <w:bookmarkStart w:id="104" w:name="BookMark6"/>
    </w:p>
    <w:p w14:paraId="364C6429">
      <w:pPr>
        <w:pStyle w:val="64"/>
        <w:spacing w:after="120"/>
      </w:pPr>
      <w:bookmarkStart w:id="105" w:name="_Toc194932457"/>
      <w:bookmarkStart w:id="106" w:name="_Toc194593851"/>
      <w:r>
        <w:rPr>
          <w:rFonts w:hint="eastAsia"/>
          <w:spacing w:val="105"/>
        </w:rPr>
        <w:t>参考文</w:t>
      </w:r>
      <w:r>
        <w:rPr>
          <w:rFonts w:hint="eastAsia"/>
        </w:rPr>
        <w:t>献</w:t>
      </w:r>
      <w:bookmarkEnd w:id="105"/>
      <w:bookmarkEnd w:id="106"/>
    </w:p>
    <w:p w14:paraId="55589C8E">
      <w:pPr>
        <w:pStyle w:val="110"/>
        <w:numPr>
          <w:ilvl w:val="0"/>
          <w:numId w:val="0"/>
        </w:numPr>
        <w:ind w:firstLine="420" w:firstLineChars="200"/>
      </w:pPr>
      <w:bookmarkStart w:id="107" w:name="OLE_LINK14"/>
      <w:r>
        <w:rPr>
          <w:rFonts w:hint="eastAsia"/>
        </w:rPr>
        <w:t>［1］GB/T 24040</w:t>
      </w:r>
      <w:bookmarkEnd w:id="107"/>
      <w:r>
        <w:rPr>
          <w:rFonts w:hint="eastAsia"/>
        </w:rPr>
        <w:t xml:space="preserve">  环境管理 生命周期评价 原则与框架</w:t>
      </w:r>
    </w:p>
    <w:p w14:paraId="1DDCDA46">
      <w:pPr>
        <w:pStyle w:val="57"/>
        <w:ind w:firstLine="420"/>
      </w:pPr>
      <w:bookmarkStart w:id="108" w:name="OLE_LINK15"/>
      <w:r>
        <w:rPr>
          <w:rFonts w:hint="eastAsia"/>
        </w:rPr>
        <w:t>［2］GB/T 24044</w:t>
      </w:r>
      <w:bookmarkEnd w:id="108"/>
      <w:r>
        <w:rPr>
          <w:rFonts w:hint="eastAsia"/>
        </w:rPr>
        <w:t xml:space="preserve">  环境管理 生命周期评价 要求与指南</w:t>
      </w:r>
    </w:p>
    <w:p w14:paraId="74D4C410">
      <w:pPr>
        <w:pStyle w:val="57"/>
        <w:ind w:firstLine="420"/>
      </w:pPr>
      <w:bookmarkStart w:id="109" w:name="OLE_LINK16"/>
      <w:r>
        <w:rPr>
          <w:rFonts w:hint="eastAsia"/>
        </w:rPr>
        <w:t xml:space="preserve">［3］GB/T 32150 </w:t>
      </w:r>
      <w:bookmarkEnd w:id="109"/>
      <w:r>
        <w:rPr>
          <w:rFonts w:hint="eastAsia"/>
        </w:rPr>
        <w:t xml:space="preserve"> 工业企业温室气体排放核算和报告通则</w:t>
      </w:r>
    </w:p>
    <w:p w14:paraId="257AFC00">
      <w:pPr>
        <w:pStyle w:val="57"/>
        <w:ind w:firstLine="420"/>
      </w:pPr>
    </w:p>
    <w:p w14:paraId="04F8D01E">
      <w:pPr>
        <w:pStyle w:val="57"/>
        <w:ind w:firstLine="420"/>
      </w:pPr>
    </w:p>
    <w:bookmarkEnd w:id="104"/>
    <w:p w14:paraId="54E3212F">
      <w:pPr>
        <w:pStyle w:val="57"/>
        <w:ind w:firstLine="420"/>
      </w:pPr>
    </w:p>
    <w:p w14:paraId="1EC98303">
      <w:pPr>
        <w:pStyle w:val="57"/>
        <w:ind w:firstLine="0" w:firstLineChars="0"/>
        <w:jc w:val="center"/>
      </w:pPr>
      <w:bookmarkStart w:id="110"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11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4ED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24B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B88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6518">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3307">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87EB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BB9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70767">
    <w:pPr>
      <w:pStyle w:val="62"/>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B927">
    <w:pPr>
      <w:pStyle w:val="18"/>
      <w:jc w:val="right"/>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Full" w:cryptAlgorithmClass="hash" w:cryptAlgorithmType="typeAny" w:cryptAlgorithmSid="4" w:cryptSpinCount="100000" w:hash="5queqWpqFyVCekuE7uKiTHVn3Yk=" w:salt="vVYA4vw8jQ5AMCpjmrNlU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375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878"/>
    <w:rsid w:val="000A19FC"/>
    <w:rsid w:val="000A296B"/>
    <w:rsid w:val="000A38A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B9A"/>
    <w:rsid w:val="001B71D0"/>
    <w:rsid w:val="001B71EE"/>
    <w:rsid w:val="001C04A8"/>
    <w:rsid w:val="001C08BD"/>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A0D"/>
    <w:rsid w:val="002253A1"/>
    <w:rsid w:val="00225CF8"/>
    <w:rsid w:val="00226A7C"/>
    <w:rsid w:val="0022794E"/>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97F5C"/>
    <w:rsid w:val="002A084B"/>
    <w:rsid w:val="002A1260"/>
    <w:rsid w:val="002A1589"/>
    <w:rsid w:val="002A1608"/>
    <w:rsid w:val="002A25DC"/>
    <w:rsid w:val="002A3AAB"/>
    <w:rsid w:val="002A44FA"/>
    <w:rsid w:val="002A4CEA"/>
    <w:rsid w:val="002A5977"/>
    <w:rsid w:val="002A5A13"/>
    <w:rsid w:val="002A757F"/>
    <w:rsid w:val="002A7F44"/>
    <w:rsid w:val="002B0C40"/>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2F7CF0"/>
    <w:rsid w:val="00300E63"/>
    <w:rsid w:val="00302F5F"/>
    <w:rsid w:val="0030441D"/>
    <w:rsid w:val="00306063"/>
    <w:rsid w:val="00313B85"/>
    <w:rsid w:val="00317988"/>
    <w:rsid w:val="003221B4"/>
    <w:rsid w:val="0032258D"/>
    <w:rsid w:val="00322E62"/>
    <w:rsid w:val="00324D13"/>
    <w:rsid w:val="00324EDD"/>
    <w:rsid w:val="00331A03"/>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4B5"/>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869"/>
    <w:rsid w:val="00405884"/>
    <w:rsid w:val="00407D39"/>
    <w:rsid w:val="004139D9"/>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D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703B6"/>
    <w:rsid w:val="00672060"/>
    <w:rsid w:val="00672BFD"/>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3B99"/>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78DD"/>
    <w:rsid w:val="009429D5"/>
    <w:rsid w:val="00942BF1"/>
    <w:rsid w:val="00945180"/>
    <w:rsid w:val="00945428"/>
    <w:rsid w:val="00945432"/>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573"/>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E7494"/>
    <w:rsid w:val="00AF0C18"/>
    <w:rsid w:val="00AF47C5"/>
    <w:rsid w:val="00AF5398"/>
    <w:rsid w:val="00B013AC"/>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4ABC"/>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0D82"/>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DD"/>
    <w:rsid w:val="00C25FE2"/>
    <w:rsid w:val="00C26B53"/>
    <w:rsid w:val="00C279B2"/>
    <w:rsid w:val="00C33E50"/>
    <w:rsid w:val="00C34C20"/>
    <w:rsid w:val="00C35A3E"/>
    <w:rsid w:val="00C40713"/>
    <w:rsid w:val="00C42130"/>
    <w:rsid w:val="00C423A4"/>
    <w:rsid w:val="00C423E3"/>
    <w:rsid w:val="00C44BF5"/>
    <w:rsid w:val="00C507C7"/>
    <w:rsid w:val="00C521D6"/>
    <w:rsid w:val="00C52748"/>
    <w:rsid w:val="00C5358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F048A"/>
    <w:rsid w:val="00CF155A"/>
    <w:rsid w:val="00CF2947"/>
    <w:rsid w:val="00CF686F"/>
    <w:rsid w:val="00CF6E60"/>
    <w:rsid w:val="00CF7BCA"/>
    <w:rsid w:val="00D008FD"/>
    <w:rsid w:val="00D00BB2"/>
    <w:rsid w:val="00D02F12"/>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055"/>
    <w:rsid w:val="00D4734F"/>
    <w:rsid w:val="00D51BF3"/>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0A0"/>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24F85DB9"/>
    <w:rsid w:val="305C4141"/>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2DC3776E8B4114BBFE201AC12A63C0"/>
        <w:style w:val=""/>
        <w:category>
          <w:name w:val="常规"/>
          <w:gallery w:val="placeholder"/>
        </w:category>
        <w:types>
          <w:type w:val="bbPlcHdr"/>
        </w:types>
        <w:behaviors>
          <w:behavior w:val="content"/>
        </w:behaviors>
        <w:description w:val=""/>
        <w:guid w:val="{A4BC3830-FE50-4F04-82F1-9AED722079F2}"/>
      </w:docPartPr>
      <w:docPartBody>
        <w:p w14:paraId="461A1DC6">
          <w:pPr>
            <w:pStyle w:val="5"/>
          </w:pPr>
          <w:r>
            <w:rPr>
              <w:rStyle w:val="4"/>
              <w:rFonts w:hint="eastAsia"/>
            </w:rPr>
            <w:t>单击或点击此处输入文字。</w:t>
          </w:r>
        </w:p>
      </w:docPartBody>
    </w:docPart>
    <w:docPart>
      <w:docPartPr>
        <w:name w:val="AC7EE699BF534036BFA5220FE67B2D5C"/>
        <w:style w:val=""/>
        <w:category>
          <w:name w:val="常规"/>
          <w:gallery w:val="placeholder"/>
        </w:category>
        <w:types>
          <w:type w:val="bbPlcHdr"/>
        </w:types>
        <w:behaviors>
          <w:behavior w:val="content"/>
        </w:behaviors>
        <w:description w:val=""/>
        <w:guid w:val="{EFF03B9B-B808-47B0-807D-813AEB1BF738}"/>
      </w:docPartPr>
      <w:docPartBody>
        <w:p w14:paraId="661B0113">
          <w:pPr>
            <w:pStyle w:val="6"/>
          </w:pPr>
          <w:r>
            <w:rPr>
              <w:rStyle w:val="4"/>
              <w:rFonts w:hint="eastAsia"/>
            </w:rPr>
            <w:t>选择一项。</w:t>
          </w:r>
        </w:p>
      </w:docPartBody>
    </w:docPart>
    <w:docPart>
      <w:docPartPr>
        <w:name w:val="8E072F9FDEB942A292F9B1A0E756B458"/>
        <w:style w:val=""/>
        <w:category>
          <w:name w:val="常规"/>
          <w:gallery w:val="placeholder"/>
        </w:category>
        <w:types>
          <w:type w:val="bbPlcHdr"/>
        </w:types>
        <w:behaviors>
          <w:behavior w:val="content"/>
        </w:behaviors>
        <w:description w:val=""/>
        <w:guid w:val="{A5F183F0-6DBE-4E34-BAA7-E14B08AE680C}"/>
      </w:docPartPr>
      <w:docPartBody>
        <w:p w14:paraId="4F50BC6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3D48"/>
    <w:rsid w:val="00267073"/>
    <w:rsid w:val="002948E5"/>
    <w:rsid w:val="00320C03"/>
    <w:rsid w:val="00377378"/>
    <w:rsid w:val="00387509"/>
    <w:rsid w:val="004D5F99"/>
    <w:rsid w:val="004F43F5"/>
    <w:rsid w:val="005B1B92"/>
    <w:rsid w:val="00613E05"/>
    <w:rsid w:val="009665F5"/>
    <w:rsid w:val="00A76A79"/>
    <w:rsid w:val="00A85C90"/>
    <w:rsid w:val="00B12AE1"/>
    <w:rsid w:val="00BE25FF"/>
    <w:rsid w:val="00D10DF8"/>
    <w:rsid w:val="00FC58F3"/>
    <w:rsid w:val="00FE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C2DC3776E8B4114BBFE201AC12A63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C7EE699BF534036BFA5220FE67B2D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E072F9FDEB942A292F9B1A0E756B45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C8873-0CCA-4878-A863-CAD94EFDCC7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6066</Words>
  <Characters>6552</Characters>
  <Lines>68</Lines>
  <Paragraphs>19</Paragraphs>
  <TotalTime>0</TotalTime>
  <ScaleCrop>false</ScaleCrop>
  <LinksUpToDate>false</LinksUpToDate>
  <CharactersWithSpaces>7167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2024-10-18T02:30:00Z</dcterms:created>
  <dc:creator>1</dc:creator>
  <dc:description>&lt;config cover="true" show_menu="true" version="1.0.0" doctype="SDKXY"&gt;_x000d_
&lt;/config&gt;</dc:description>
  <cp:lastModifiedBy>宗</cp:lastModifiedBy>
  <cp:lastPrinted>2025-04-08T02:15:00Z</cp:lastPrinted>
  <dcterms:modified xsi:type="dcterms:W3CDTF">2025-04-08T02:17:03Z</dcterms:modified>
  <dc:title>团体标准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2052-12.1.0.20784</vt:lpwstr>
  </property>
  <property fmtid="{D5CDD505-2E9C-101B-9397-08002B2CF9AE}" pid="16" name="ICV">
    <vt:lpwstr>D534908B6E1E480BBA03404B76ECF685_12</vt:lpwstr>
  </property>
</Properties>
</file>