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8"/>
          <w:szCs w:val="48"/>
          <w:highlight w:val="none"/>
          <w:lang w:val="en-US" w:eastAsia="zh-CN"/>
        </w:rPr>
      </w:pPr>
      <w:r>
        <w:rPr>
          <w:rFonts w:hint="default" w:ascii="Times New Roman" w:hAnsi="Times New Roman" w:eastAsia="黑体" w:cs="Times New Roman"/>
          <w:b/>
          <w:sz w:val="48"/>
          <w:szCs w:val="48"/>
          <w:highlight w:val="none"/>
          <w:lang w:val="en-US" w:eastAsia="zh-CN"/>
        </w:rPr>
        <w:t>绿色建筑工程造价数据维护与应用规范</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绿色建筑工程造价数据维护与应用规范</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w:t>
          </w:r>
          <w:bookmarkStart w:id="44" w:name="_GoBack"/>
          <w:bookmarkEnd w:id="44"/>
          <w:r>
            <w:rPr>
              <w:rFonts w:hint="default" w:ascii="Times New Roman" w:hAnsi="Times New Roman" w:eastAsia="黑体" w:cs="Times New Roman"/>
              <w:kern w:val="0"/>
              <w:sz w:val="28"/>
              <w:szCs w:val="40"/>
              <w:highlight w:val="none"/>
              <w:lang w:val="en-US" w:eastAsia="zh-CN"/>
            </w:rPr>
            <w:t>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绿色建筑工程造价数据维护与应用规范</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6CC963DA">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近年来，随着环保意识的提升和可持续发展理念的深入人心，绿色建筑逐渐成为建筑行业的重要发展方向。绿色建筑要求在建筑设计、施工、运营等全生命周期内，最大限度地节约资源、保护环境和减少污染，为人们提供健康、适用和高效的使用空间。然而，绿色建筑在实施过程中面临着诸多挑战，其中造价数据的维护与应用问题尤为突出。一方面，造价数据的来源广泛且复杂，包括人工费、材料费、机械使用费、管理费等多项费用，数据的准确性和完整性难以保证。另一方面，造价数据的维护与应用缺乏统一的标准和规范，导致不同项目之间的数据难以比较和分析，影响了造价管理的效率和准确性。此外，随着绿色建筑技术的不断更新和发展，造价数据也需要不断更新和完善，以适应新的技术和管理要求。</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绿色建筑工程造价数据维护与应用规范标准的研制。绿色建筑工程造价数据维护与应用规范项目的实施，对于推动绿色建筑的发展具有重要意义。首先，该项目有助于建立科学、系统、全面的造价数据维护与应用规范，提高造价管理的准确性和效率，为绿色建筑项目的决策提供有力支持。其次，通过规范造价数据的收集、整理、分析和应用，该项目有助于促进绿色建筑技术的研发和应用，推动绿色建筑行业的创新和发展。最后，该项目的实施还有助于提高社会对绿色建筑的认识和接受度，推动绿色建筑理念的普及和推广，为实现可持续发展目标做出贡献。</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建筑工程造价数据</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建筑工程造价数据</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建筑工程造价数据</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建筑工程造价数据</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建筑工程造价数据</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绿色建筑工程造价数据维护与应用规范</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绿色建筑工程造价数据维护与应用规范</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w:t>
      </w:r>
      <w:r>
        <w:rPr>
          <w:rFonts w:hint="default" w:ascii="Times New Roman" w:hAnsi="Times New Roman" w:cs="Times New Roman"/>
          <w:kern w:val="0"/>
          <w:sz w:val="28"/>
          <w:szCs w:val="28"/>
          <w:highlight w:val="none"/>
        </w:rPr>
        <w:t>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12</w:t>
      </w: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rPr>
        <w:t>部分，主要内容如下：</w:t>
      </w:r>
    </w:p>
    <w:p w14:paraId="01C834A4">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4884218"/>
      <w:bookmarkStart w:id="3" w:name="_Toc26648465"/>
      <w:bookmarkStart w:id="4" w:name="_Toc26986530"/>
      <w:bookmarkStart w:id="5" w:name="_Toc24884211"/>
      <w:bookmarkStart w:id="6" w:name="_Toc26718930"/>
      <w:bookmarkStart w:id="7" w:name="_Toc192769818"/>
      <w:bookmarkStart w:id="8" w:name="_Toc17233325"/>
      <w:bookmarkStart w:id="9" w:name="_Toc26986771"/>
      <w:bookmarkStart w:id="10" w:name="_Toc17233333"/>
      <w:bookmarkStart w:id="11" w:name="_Toc97192964"/>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p>
    <w:p w14:paraId="09000BAD">
      <w:pPr>
        <w:pStyle w:val="36"/>
        <w:widowControl/>
        <w:spacing w:line="360" w:lineRule="auto"/>
        <w:ind w:left="0" w:firstLine="420"/>
        <w:rPr>
          <w:rFonts w:hint="default" w:ascii="Times New Roman" w:hAnsi="Times New Roman" w:cs="Times New Roman"/>
          <w:sz w:val="28"/>
          <w:szCs w:val="28"/>
          <w:highlight w:val="none"/>
          <w:lang w:val="en-US"/>
        </w:rPr>
      </w:pPr>
      <w:bookmarkStart w:id="12" w:name="_Toc24884212"/>
      <w:bookmarkStart w:id="13" w:name="_Toc26648466"/>
      <w:bookmarkStart w:id="14" w:name="_Toc17233334"/>
      <w:bookmarkStart w:id="15" w:name="_Toc17233326"/>
      <w:bookmarkStart w:id="16" w:name="_Toc24884219"/>
      <w:r>
        <w:rPr>
          <w:rFonts w:hint="default" w:ascii="Times New Roman" w:hAnsi="Times New Roman" w:cs="Times New Roman"/>
          <w:sz w:val="28"/>
          <w:szCs w:val="28"/>
          <w:highlight w:val="none"/>
          <w:lang w:eastAsia="zh-CN"/>
        </w:rPr>
        <w:t>本文件规定了绿色建筑工程造价数据维护与应用的术语和定义、基本要求、数据采集、数据整理、数据存储、数据维护、数据应用、数据控制、培训与人员、实施监督相关内容。</w:t>
      </w:r>
    </w:p>
    <w:p w14:paraId="078004E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本文件适用于绿色建筑工程造价数据维护、应用。</w:t>
      </w:r>
    </w:p>
    <w:p w14:paraId="5DD1CCAB">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7" w:name="_Toc26986531"/>
      <w:bookmarkStart w:id="18" w:name="_Toc26986772"/>
      <w:bookmarkStart w:id="19" w:name="_Toc97192965"/>
      <w:bookmarkStart w:id="20" w:name="_Toc26718931"/>
      <w:bookmarkStart w:id="21" w:name="_Toc192769819"/>
      <w:r>
        <w:rPr>
          <w:rFonts w:hint="default" w:ascii="Times New Roman" w:hAnsi="Times New Roman" w:cs="Times New Roman"/>
          <w:sz w:val="28"/>
          <w:szCs w:val="28"/>
          <w:highlight w:val="none"/>
          <w:lang w:eastAsia="zh-CN"/>
        </w:rPr>
        <w:t>规范性引用文件</w:t>
      </w:r>
      <w:bookmarkEnd w:id="12"/>
      <w:bookmarkEnd w:id="13"/>
      <w:bookmarkEnd w:id="14"/>
      <w:bookmarkEnd w:id="15"/>
      <w:bookmarkEnd w:id="16"/>
      <w:bookmarkEnd w:id="17"/>
      <w:bookmarkEnd w:id="18"/>
      <w:bookmarkEnd w:id="19"/>
      <w:bookmarkEnd w:id="20"/>
      <w:bookmarkEnd w:id="21"/>
    </w:p>
    <w:p w14:paraId="6B9B82F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CA9C86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50500 </w:t>
      </w:r>
      <w:r>
        <w:rPr>
          <w:rFonts w:hint="default" w:ascii="Times New Roman" w:hAnsi="Times New Roman" w:cs="Times New Roman"/>
          <w:sz w:val="28"/>
          <w:szCs w:val="28"/>
          <w:highlight w:val="none"/>
          <w:lang w:eastAsia="zh-CN"/>
        </w:rPr>
        <w:t>建设工程工程量清单计价规范</w:t>
      </w:r>
    </w:p>
    <w:p w14:paraId="55B82A07">
      <w:pPr>
        <w:pStyle w:val="36"/>
        <w:widowControl/>
        <w:spacing w:line="360" w:lineRule="auto"/>
        <w:ind w:left="0" w:firstLine="420"/>
        <w:rPr>
          <w:rFonts w:hint="default" w:ascii="Times New Roman" w:hAnsi="Times New Roman" w:cs="Times New Roman"/>
          <w:sz w:val="28"/>
          <w:szCs w:val="28"/>
          <w:highlight w:val="none"/>
          <w:lang w:val="en-US"/>
        </w:rPr>
      </w:pPr>
      <w:bookmarkStart w:id="22" w:name="_Hlk192768678"/>
      <w:r>
        <w:rPr>
          <w:rFonts w:hint="default" w:ascii="Times New Roman" w:hAnsi="Times New Roman" w:cs="Times New Roman"/>
          <w:sz w:val="28"/>
          <w:szCs w:val="28"/>
          <w:highlight w:val="none"/>
          <w:lang w:val="en-US"/>
        </w:rPr>
        <w:t xml:space="preserve">GB/T 51095 </w:t>
      </w:r>
      <w:r>
        <w:rPr>
          <w:rFonts w:hint="default" w:ascii="Times New Roman" w:hAnsi="Times New Roman" w:cs="Times New Roman"/>
          <w:sz w:val="28"/>
          <w:szCs w:val="28"/>
          <w:highlight w:val="none"/>
          <w:lang w:eastAsia="zh-CN"/>
        </w:rPr>
        <w:t>建设工程造价咨询规范</w:t>
      </w:r>
    </w:p>
    <w:p w14:paraId="4BA4F9A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GB/T 51262</w:t>
      </w:r>
      <w:bookmarkEnd w:id="22"/>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建设工程造价鉴定规范</w:t>
      </w:r>
    </w:p>
    <w:p w14:paraId="355536C3">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3" w:name="_Toc97192966"/>
      <w:bookmarkStart w:id="24" w:name="_Toc192769820"/>
      <w:r>
        <w:rPr>
          <w:rFonts w:hint="default" w:ascii="Times New Roman" w:hAnsi="Times New Roman" w:cs="Times New Roman"/>
          <w:sz w:val="28"/>
          <w:szCs w:val="28"/>
          <w:highlight w:val="none"/>
          <w:lang w:eastAsia="zh-CN"/>
        </w:rPr>
        <w:t>术语和定义</w:t>
      </w:r>
      <w:bookmarkEnd w:id="23"/>
      <w:bookmarkEnd w:id="24"/>
    </w:p>
    <w:p w14:paraId="748A5A9A">
      <w:pPr>
        <w:pStyle w:val="36"/>
        <w:widowControl/>
        <w:spacing w:line="360" w:lineRule="auto"/>
        <w:ind w:left="0" w:firstLine="420"/>
        <w:rPr>
          <w:rFonts w:hint="default" w:ascii="Times New Roman" w:hAnsi="Times New Roman" w:cs="Times New Roman"/>
          <w:sz w:val="28"/>
          <w:szCs w:val="28"/>
          <w:highlight w:val="none"/>
          <w:lang w:val="en-US"/>
        </w:rPr>
      </w:pPr>
      <w:bookmarkStart w:id="25" w:name="_Toc26986532"/>
      <w:bookmarkEnd w:id="25"/>
      <w:r>
        <w:rPr>
          <w:rFonts w:hint="default" w:ascii="Times New Roman" w:hAnsi="Times New Roman" w:cs="Times New Roman"/>
          <w:sz w:val="28"/>
          <w:szCs w:val="28"/>
          <w:highlight w:val="none"/>
          <w:lang w:eastAsia="zh-CN"/>
        </w:rPr>
        <w:t>下列术语和定义适用于本文件。</w:t>
      </w:r>
    </w:p>
    <w:p w14:paraId="445173ED">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绿色建筑</w:t>
      </w:r>
      <w:r>
        <w:rPr>
          <w:rFonts w:hint="default" w:ascii="Times New Roman" w:hAnsi="Times New Roman" w:eastAsia="黑体" w:cs="Times New Roman"/>
          <w:sz w:val="28"/>
          <w:szCs w:val="28"/>
          <w:highlight w:val="none"/>
          <w:lang w:val="en-US"/>
        </w:rPr>
        <w:t xml:space="preserve"> green building</w:t>
      </w:r>
    </w:p>
    <w:p w14:paraId="17E5E21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在建筑全寿命期内，通过节约资源、保护环境、减少污染，为人们提供健康、适用、高效的使用空间，实现人与自然和谐共生的高质量建筑工程。</w:t>
      </w:r>
    </w:p>
    <w:p w14:paraId="4F2AC1A3">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p>
    <w:p w14:paraId="75A2200F">
      <w:pPr>
        <w:pStyle w:val="37"/>
        <w:widowControl/>
        <w:numPr>
          <w:numId w:val="0"/>
        </w:numPr>
        <w:tabs>
          <w:tab w:val="left" w:pos="851"/>
        </w:tabs>
        <w:spacing w:line="360" w:lineRule="auto"/>
        <w:ind w:left="420" w:firstLine="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工程造价</w:t>
      </w:r>
      <w:r>
        <w:rPr>
          <w:rFonts w:hint="default" w:ascii="Times New Roman" w:hAnsi="Times New Roman" w:eastAsia="黑体" w:cs="Times New Roman"/>
          <w:sz w:val="28"/>
          <w:szCs w:val="28"/>
          <w:highlight w:val="none"/>
          <w:lang w:val="en-US"/>
        </w:rPr>
        <w:t xml:space="preserve"> project costs</w:t>
      </w:r>
    </w:p>
    <w:p w14:paraId="671DE45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指建设项目的预计或实际发生的全部工程建设费用。</w:t>
      </w:r>
    </w:p>
    <w:p w14:paraId="21F0F959">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p>
    <w:p w14:paraId="5FF9E968">
      <w:pPr>
        <w:pStyle w:val="37"/>
        <w:widowControl/>
        <w:numPr>
          <w:numId w:val="0"/>
        </w:numPr>
        <w:tabs>
          <w:tab w:val="left" w:pos="851"/>
        </w:tabs>
        <w:spacing w:line="360" w:lineRule="auto"/>
        <w:ind w:left="420" w:firstLine="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工程量清单</w:t>
      </w:r>
      <w:r>
        <w:rPr>
          <w:rFonts w:hint="default" w:ascii="Times New Roman" w:hAnsi="Times New Roman" w:eastAsia="黑体" w:cs="Times New Roman"/>
          <w:sz w:val="28"/>
          <w:szCs w:val="28"/>
          <w:highlight w:val="none"/>
          <w:lang w:val="en-US"/>
        </w:rPr>
        <w:t xml:space="preserve"> bills of quantities</w:t>
      </w:r>
    </w:p>
    <w:p w14:paraId="432FF5D9">
      <w:pPr>
        <w:pStyle w:val="36"/>
        <w:widowControl/>
        <w:spacing w:line="360" w:lineRule="auto"/>
        <w:ind w:left="0" w:firstLine="420"/>
        <w:rPr>
          <w:rFonts w:hint="default" w:ascii="Times New Roman" w:hAnsi="Times New Roman" w:eastAsia="黑体" w:cs="Times New Roman"/>
          <w:sz w:val="28"/>
          <w:szCs w:val="28"/>
          <w:highlight w:val="none"/>
          <w:lang w:val="en-US"/>
        </w:rPr>
      </w:pPr>
      <w:r>
        <w:rPr>
          <w:rFonts w:hint="default" w:ascii="Times New Roman" w:hAnsi="Times New Roman" w:cs="Times New Roman"/>
          <w:sz w:val="28"/>
          <w:szCs w:val="28"/>
          <w:highlight w:val="none"/>
          <w:lang w:eastAsia="zh-CN"/>
        </w:rPr>
        <w:t>建设工程文件中载明各分部、分项工程名称、单位、特征和工程数量等。</w:t>
      </w:r>
    </w:p>
    <w:p w14:paraId="20BB2AA5">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数据维护</w:t>
      </w:r>
      <w:r>
        <w:rPr>
          <w:rFonts w:hint="default" w:ascii="Times New Roman" w:hAnsi="Times New Roman" w:eastAsia="黑体" w:cs="Times New Roman"/>
          <w:sz w:val="28"/>
          <w:szCs w:val="28"/>
          <w:highlight w:val="none"/>
          <w:lang w:val="en-US"/>
        </w:rPr>
        <w:t xml:space="preserve"> data maintenance</w:t>
      </w:r>
    </w:p>
    <w:p w14:paraId="5B2C38EF">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通过一系列操作保持数据库或信息系统的正常运行，确保数据的完整性、一致性和可维护性的过程。</w:t>
      </w:r>
    </w:p>
    <w:p w14:paraId="5FB0FD2E">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数据应用</w:t>
      </w:r>
      <w:r>
        <w:rPr>
          <w:rFonts w:hint="default" w:ascii="Times New Roman" w:hAnsi="Times New Roman" w:eastAsia="黑体" w:cs="Times New Roman"/>
          <w:sz w:val="28"/>
          <w:szCs w:val="28"/>
          <w:highlight w:val="none"/>
          <w:lang w:val="en-US"/>
        </w:rPr>
        <w:t xml:space="preserve"> data application</w:t>
      </w:r>
    </w:p>
    <w:p w14:paraId="41CFF2E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将收集、处理和分析后的数据转化为有价值的信息和知识，以支持决策制定、业务优化和创新实践的过程。</w:t>
      </w:r>
    </w:p>
    <w:p w14:paraId="0766CB7E">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192769821"/>
      <w:r>
        <w:rPr>
          <w:rFonts w:hint="default" w:ascii="Times New Roman" w:hAnsi="Times New Roman" w:cs="Times New Roman"/>
          <w:sz w:val="28"/>
          <w:szCs w:val="28"/>
          <w:highlight w:val="none"/>
          <w:lang w:eastAsia="zh-CN"/>
        </w:rPr>
        <w:t>基本原则</w:t>
      </w:r>
      <w:bookmarkEnd w:id="26"/>
    </w:p>
    <w:p w14:paraId="09C495B6">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w:t>
      </w:r>
    </w:p>
    <w:p w14:paraId="25C7B57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采集、记录和处理的工程造价数据应真实反映实际状况。</w:t>
      </w:r>
    </w:p>
    <w:p w14:paraId="621303B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应全面收集并妥善保存所有必要的工程造价信息，包括基础资料、工程量清单、成本估算、结算审计报告等。</w:t>
      </w:r>
    </w:p>
    <w:p w14:paraId="650064F0">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保密性</w:t>
      </w:r>
    </w:p>
    <w:p w14:paraId="306E2F1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应采取加密存储、权限控制、备份恢复机制等技术和管理措施保护工程造价数据。</w:t>
      </w:r>
    </w:p>
    <w:p w14:paraId="075A382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应明确商业秘密等涉密数据的保护措施，限制未经授权的人员获取和使用敏感数据，严格把控数据传输、交换操作。</w:t>
      </w:r>
    </w:p>
    <w:p w14:paraId="5A1FA5C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标准化</w:t>
      </w:r>
    </w:p>
    <w:p w14:paraId="6D2E0DC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工程造价数据应采用统一的数据格式和编码体系，对工程造价资料进行标识；</w:t>
      </w:r>
    </w:p>
    <w:p w14:paraId="2865A7A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工程造价数据应制定标准化的数据采集、录入、校验、存储、查询和应用流程；</w:t>
      </w:r>
    </w:p>
    <w:p w14:paraId="310A11A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工程造价数据交换应采用标准接口、协议、格式以及授权方式。</w:t>
      </w:r>
    </w:p>
    <w:p w14:paraId="600FA89F">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7" w:name="_Toc192769822"/>
      <w:r>
        <w:rPr>
          <w:rFonts w:hint="default" w:ascii="Times New Roman" w:hAnsi="Times New Roman" w:cs="Times New Roman"/>
          <w:sz w:val="28"/>
          <w:szCs w:val="28"/>
          <w:highlight w:val="none"/>
          <w:lang w:eastAsia="zh-CN"/>
        </w:rPr>
        <w:t>数据采集</w:t>
      </w:r>
      <w:bookmarkEnd w:id="27"/>
    </w:p>
    <w:p w14:paraId="1A75AF2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数据采集要求</w:t>
      </w:r>
    </w:p>
    <w:p w14:paraId="56509F3B">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应明确数据来源，包括以下内容：</w:t>
      </w:r>
    </w:p>
    <w:p w14:paraId="6904DAFD">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设计图纸；</w:t>
      </w:r>
    </w:p>
    <w:p w14:paraId="759F1C66">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合同文件；</w:t>
      </w:r>
    </w:p>
    <w:p w14:paraId="3D1C1185">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施工现场记录等。</w:t>
      </w:r>
    </w:p>
    <w:p w14:paraId="6B57EB4D">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数据采集方式</w:t>
      </w:r>
    </w:p>
    <w:p w14:paraId="62A67E3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应从设计、施工、监理等各个环节收集工程造价数据。</w:t>
      </w:r>
    </w:p>
    <w:p w14:paraId="0D90CC5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可通过工程项目管理系统实时录入并自动汇总各类工程数据，包括以下内容：</w:t>
      </w:r>
    </w:p>
    <w:p w14:paraId="5BB4A4C9">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项目名称；</w:t>
      </w:r>
    </w:p>
    <w:p w14:paraId="64648B69">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项目地点；</w:t>
      </w:r>
    </w:p>
    <w:p w14:paraId="6E6A3DB2">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建设规模；</w:t>
      </w:r>
    </w:p>
    <w:p w14:paraId="450A0741">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设计单位；</w:t>
      </w:r>
    </w:p>
    <w:p w14:paraId="00CF4FEB">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w:t>
      </w:r>
    </w:p>
    <w:p w14:paraId="0673DAEC">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采购单据；</w:t>
      </w:r>
    </w:p>
    <w:p w14:paraId="43AF968D">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工程量清单；</w:t>
      </w:r>
    </w:p>
    <w:p w14:paraId="129AAB6B">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计价信息；</w:t>
      </w:r>
    </w:p>
    <w:p w14:paraId="29B9016E">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材料设备价格；</w:t>
      </w:r>
    </w:p>
    <w:p w14:paraId="3C9588A2">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结算单；</w:t>
      </w:r>
    </w:p>
    <w:p w14:paraId="2EB11B28">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工程变更单；</w:t>
      </w:r>
    </w:p>
    <w:p w14:paraId="5CB34D00">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结算审计报告等。</w:t>
      </w:r>
    </w:p>
    <w:p w14:paraId="7703646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可采取电子扫描方式对设计图纸、合同文件、施工现场记录等纸质文件进行录入采集。</w:t>
      </w:r>
    </w:p>
    <w:p w14:paraId="46603730">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数据采集频率</w:t>
      </w:r>
    </w:p>
    <w:p w14:paraId="098A515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数据收集的频率，根据工程进度需求合理安排数据收集的时间节点和频率；可根据工程项目的规模、复杂程度及项目阶段的不同，明确各类型数据的最低采集频率。建设工程各阶段的数据采集时间节点应为：</w:t>
      </w:r>
    </w:p>
    <w:p w14:paraId="200097C4">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设计阶段：设计图纸更新或做出调整时，应及时计算新的工程量清单，并记录相应变更信息。</w:t>
      </w:r>
    </w:p>
    <w:p w14:paraId="7B3768E6">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招标与合同签订阶段：中标通知书或合同签订后的关键数据，如合同金额、付款条款、工期等应在签订后立即录入系统；招标期间获取的市场询价、供应商报价等相关价格数据应及时收集并整理。</w:t>
      </w:r>
    </w:p>
    <w:p w14:paraId="2FCB4B49">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施工阶段：施工日志、材料进场单、设备租赁单据等实时成本数据宜每周或每月进行一次汇总采集；工程变更、签证、索赔事件发生后，需在</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个工作日内完成相关数据的采集与更新；每月或每季度对施工现场的物资消耗、人力投入、机械使用等情况应进行全面盘点和统计，并对数据进行录入采集。</w:t>
      </w:r>
    </w:p>
    <w:p w14:paraId="0CFAD7C9">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结算审计阶段：竣工验收完成后，应尽快开展工程决算工作，及时编制竣工结算书，并将相关数据录入数据库；审计报告出具后，应立即将最终审定的工程造价数据录入系统。</w:t>
      </w:r>
    </w:p>
    <w:p w14:paraId="760E6BF2">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数据种类</w:t>
      </w:r>
    </w:p>
    <w:p w14:paraId="3DF4978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建设工程工程量清单计价应用软件用于数据交换的的数据表应遵循以下要求：</w:t>
      </w:r>
    </w:p>
    <w:p w14:paraId="409754E3">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工程项目包括：</w:t>
      </w:r>
    </w:p>
    <w:p w14:paraId="1CB14FB9">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工程项目基本信息表；</w:t>
      </w:r>
    </w:p>
    <w:p w14:paraId="3462D751">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工程项目招标信息表；</w:t>
      </w:r>
    </w:p>
    <w:p w14:paraId="576A34CB">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工程项目投标信息表；</w:t>
      </w:r>
    </w:p>
    <w:p w14:paraId="1DD0829A">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工程项目最高投标限价信息表；</w:t>
      </w:r>
    </w:p>
    <w:p w14:paraId="0288188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工程项目竣工结算价信息表；</w:t>
      </w:r>
    </w:p>
    <w:p w14:paraId="37D3A4C7">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工程项目附加信息表；</w:t>
      </w:r>
    </w:p>
    <w:p w14:paraId="12FB5955">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单项工程包括：</w:t>
      </w:r>
    </w:p>
    <w:p w14:paraId="73AC1A8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单项工程基本信息表；</w:t>
      </w:r>
    </w:p>
    <w:p w14:paraId="03DEB88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单项工程概况信息表；</w:t>
      </w:r>
    </w:p>
    <w:p w14:paraId="1CC7A77A">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单项工程附加信息表；</w:t>
      </w:r>
    </w:p>
    <w:p w14:paraId="6443247A">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单位工程包括：</w:t>
      </w:r>
    </w:p>
    <w:p w14:paraId="47461137">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单位工程基本信息表；</w:t>
      </w:r>
    </w:p>
    <w:p w14:paraId="54E1399C">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单位工程附加信息表；</w:t>
      </w:r>
    </w:p>
    <w:p w14:paraId="13E0E2D3">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分部分项包括：</w:t>
      </w:r>
    </w:p>
    <w:p w14:paraId="1D40FC3C">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单位工程附加信息表；</w:t>
      </w:r>
    </w:p>
    <w:p w14:paraId="5643C1B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分部分项信息表；</w:t>
      </w:r>
    </w:p>
    <w:p w14:paraId="50849607">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分部分项工程量清单与计价表；</w:t>
      </w:r>
    </w:p>
    <w:p w14:paraId="23822125">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分部分项工程量清单项目子目组价表；</w:t>
      </w:r>
    </w:p>
    <w:p w14:paraId="512EEA9B">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工料机含量表；</w:t>
      </w:r>
    </w:p>
    <w:p w14:paraId="20553825">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综合单价分析主要材料明细表；</w:t>
      </w:r>
    </w:p>
    <w:p w14:paraId="46B9F8B8">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措施项目信息表；</w:t>
      </w:r>
    </w:p>
    <w:p w14:paraId="3B5FACA4">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总价措施项目计价表；</w:t>
      </w:r>
    </w:p>
    <w:p w14:paraId="14C7638E">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单价措施项目计价表；</w:t>
      </w:r>
    </w:p>
    <w:p w14:paraId="4BFB7773">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单价措施项目子目组价表；</w:t>
      </w:r>
    </w:p>
    <w:p w14:paraId="59A3B308">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其它项目清单包括：</w:t>
      </w:r>
    </w:p>
    <w:p w14:paraId="2399E5AF">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其他项目清单与计价汇总表；</w:t>
      </w:r>
    </w:p>
    <w:p w14:paraId="07DE422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计日工信息表；</w:t>
      </w:r>
    </w:p>
    <w:p w14:paraId="1E36A5D8">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计日工明细表；</w:t>
      </w:r>
    </w:p>
    <w:p w14:paraId="0EFA2AFF">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暂列金额明细表；</w:t>
      </w:r>
    </w:p>
    <w:p w14:paraId="5EF84D94">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专业工程暂估价表；</w:t>
      </w:r>
    </w:p>
    <w:p w14:paraId="00DBF265">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材料暂估价表；</w:t>
      </w:r>
    </w:p>
    <w:p w14:paraId="49B5406C">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总承包服务标题；</w:t>
      </w:r>
    </w:p>
    <w:p w14:paraId="78308F2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总承包服务费计价表；</w:t>
      </w:r>
    </w:p>
    <w:p w14:paraId="7A606CD4">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工料机汇总表；</w:t>
      </w:r>
    </w:p>
    <w:p w14:paraId="2ED1C1D3">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费用项目计价表；</w:t>
      </w:r>
    </w:p>
    <w:p w14:paraId="6D3D17FC">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配合比材料明细表；</w:t>
      </w:r>
    </w:p>
    <w:p w14:paraId="7B669546">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索赔与现场签证明细表；</w:t>
      </w:r>
    </w:p>
    <w:p w14:paraId="4DE8141A">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承包人主要材料造价信息差额调整法；</w:t>
      </w:r>
    </w:p>
    <w:p w14:paraId="3B985D9E">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承包人主要材料指数信息差额调整法；</w:t>
      </w:r>
    </w:p>
    <w:p w14:paraId="2FFE48DA">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发包人提供材料和工程设备；</w:t>
      </w:r>
    </w:p>
    <w:p w14:paraId="21C72211">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取费文件。</w:t>
      </w:r>
    </w:p>
    <w:p w14:paraId="3E41237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应以工程量清单计价为主，其数据对象为采用</w:t>
      </w:r>
      <w:r>
        <w:rPr>
          <w:rFonts w:hint="default" w:ascii="Times New Roman" w:hAnsi="Times New Roman" w:cs="Times New Roman"/>
          <w:sz w:val="28"/>
          <w:szCs w:val="28"/>
          <w:highlight w:val="none"/>
          <w:lang w:val="en-US"/>
        </w:rPr>
        <w:t>GB 50500</w:t>
      </w:r>
      <w:r>
        <w:rPr>
          <w:rFonts w:hint="default" w:ascii="Times New Roman" w:hAnsi="Times New Roman" w:cs="Times New Roman"/>
          <w:sz w:val="28"/>
          <w:szCs w:val="28"/>
          <w:highlight w:val="none"/>
          <w:lang w:eastAsia="zh-CN"/>
        </w:rPr>
        <w:t>的各类建设工程计价软件生成的工程造价成果文件。</w:t>
      </w:r>
    </w:p>
    <w:p w14:paraId="0275BD68">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192769823"/>
      <w:r>
        <w:rPr>
          <w:rFonts w:hint="default" w:ascii="Times New Roman" w:hAnsi="Times New Roman" w:cs="Times New Roman"/>
          <w:sz w:val="28"/>
          <w:szCs w:val="28"/>
          <w:highlight w:val="none"/>
          <w:lang w:eastAsia="zh-CN"/>
        </w:rPr>
        <w:t>数据整理</w:t>
      </w:r>
      <w:bookmarkEnd w:id="28"/>
    </w:p>
    <w:p w14:paraId="4639918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数据清洗与验证</w:t>
      </w:r>
    </w:p>
    <w:p w14:paraId="3678314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应对采集到的数据进行有效性、完整性和一致性检查，剔除重复、错误或不完整的数据，可通过逻辑校验、格式化处理等方式确保数据质量，如对数字、日期等字段进行标准化处理。</w:t>
      </w:r>
    </w:p>
    <w:p w14:paraId="7A2A5724">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数据整合与关联</w:t>
      </w:r>
    </w:p>
    <w:p w14:paraId="17B8534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应建立并维护不同数据表之间的逻辑关联关系，如将分部分项工程量与对应的人工、材料、机械费用明细数据关联起来，形成完整的造价明细表。</w:t>
      </w:r>
    </w:p>
    <w:p w14:paraId="3DC8198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对于时间序列数据，应明确记录每条数据对应的工程进度节点或时间段，按照项目实施的时间顺序对数据进行排序和标记，实现工程造价数据的时间维度关联。</w:t>
      </w:r>
    </w:p>
    <w:p w14:paraId="5274867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对于周期性的数据，如月度成本报表、季度结算资料等，应明确记录并维护其对应的时间段。</w:t>
      </w:r>
    </w:p>
    <w:p w14:paraId="2C8FCE39">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数据提取</w:t>
      </w:r>
    </w:p>
    <w:p w14:paraId="7344563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可对整理后的数据进行初步统计分析，生成汇总表、趋势图等直观展示数据特征。</w:t>
      </w:r>
    </w:p>
    <w:p w14:paraId="3093318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可从录入数据中提取关键指标，计算比率、指数等生成数据集。</w:t>
      </w:r>
    </w:p>
    <w:p w14:paraId="00DAAF0E">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数据检索查询</w:t>
      </w:r>
    </w:p>
    <w:p w14:paraId="68FAE4BD">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应规定用于数据检索时的数据匹配策略和算法，可通过唯一标识符（如项目编号、合同号）进行精确匹配，或可运用模糊匹配技术对名称相似但表述不完全一致的数据进行关联。</w:t>
      </w:r>
    </w:p>
    <w:p w14:paraId="7AADE2F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数据质量控制</w:t>
      </w:r>
    </w:p>
    <w:p w14:paraId="268585F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在数据整合过程中，应实施严格的质量控制措施，可采用数据一致性检查、缺失值填充、重复数据消除等方式进行数据处理。</w:t>
      </w:r>
    </w:p>
    <w:p w14:paraId="2F14BA13">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数据更新</w:t>
      </w:r>
    </w:p>
    <w:p w14:paraId="176D415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对于变动频繁的实时成本信息（如材料市场价格、人工费用、机械设备租赁费等），应设置实时或每日更新机制，通过自动化工具抓取市场报价、内部结算系统导入等方式及时更新。</w:t>
      </w:r>
    </w:p>
    <w:p w14:paraId="3372D09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在项目关键阶段，如设计变更审批、合同修订、施工过程中的签证变更、阶段性付款结算等时间节点，应及时对相关造价数据进行更新和整理。</w:t>
      </w:r>
    </w:p>
    <w:p w14:paraId="2B76C82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应设定不同角色用户对数据的修改权限，所有更新操作应经过审核确认。</w:t>
      </w:r>
    </w:p>
    <w:p w14:paraId="7A5025E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应设置数据异常预警机制，当某项指标超过预设阈值时，系统自动提示并启动调查核实，从而驱动数据的更新和修正。</w:t>
      </w:r>
    </w:p>
    <w:p w14:paraId="0A8A0E4F">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文档归档与组织</w:t>
      </w:r>
    </w:p>
    <w:p w14:paraId="0ACCA1AB">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所有纸质或电子形式的原始数据文件（如设计图纸、合同文件、签证变更单等）应按照一定的目录结构进行归档，同时应规定可反映文档内容和属性的文档命名规则。</w:t>
      </w:r>
    </w:p>
    <w:p w14:paraId="2055717F">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9" w:name="_Toc192769824"/>
      <w:r>
        <w:rPr>
          <w:rFonts w:hint="default" w:ascii="Times New Roman" w:hAnsi="Times New Roman" w:cs="Times New Roman"/>
          <w:sz w:val="28"/>
          <w:szCs w:val="28"/>
          <w:highlight w:val="none"/>
          <w:lang w:eastAsia="zh-CN"/>
        </w:rPr>
        <w:t>数据存储</w:t>
      </w:r>
      <w:bookmarkEnd w:id="29"/>
    </w:p>
    <w:p w14:paraId="0F1AF3F4">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数据存储格式</w:t>
      </w:r>
    </w:p>
    <w:p w14:paraId="6652A7B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所有存储的工程造价数据应遵循统一的数据格式和编码规则，可采用行业或国家标准规定的</w:t>
      </w:r>
      <w:r>
        <w:rPr>
          <w:rFonts w:hint="default" w:ascii="Times New Roman" w:hAnsi="Times New Roman" w:cs="Times New Roman"/>
          <w:sz w:val="28"/>
          <w:szCs w:val="28"/>
          <w:highlight w:val="none"/>
          <w:lang w:val="en-US"/>
        </w:rPr>
        <w:t>XML</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JSON</w:t>
      </w:r>
      <w:r>
        <w:rPr>
          <w:rFonts w:hint="default" w:ascii="Times New Roman" w:hAnsi="Times New Roman" w:cs="Times New Roman"/>
          <w:sz w:val="28"/>
          <w:szCs w:val="28"/>
          <w:highlight w:val="none"/>
          <w:lang w:eastAsia="zh-CN"/>
        </w:rPr>
        <w:t>等结构化格式。</w:t>
      </w:r>
    </w:p>
    <w:p w14:paraId="56CD982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数据字段应按照业务需求定义清晰，应与国家或地方发布的工程造价信息标准相一致。</w:t>
      </w:r>
    </w:p>
    <w:p w14:paraId="5BE20546">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数据存储位置</w:t>
      </w:r>
    </w:p>
    <w:p w14:paraId="0EA4102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可根据实际情况考虑将部分数据存储在云端。</w:t>
      </w:r>
    </w:p>
    <w:p w14:paraId="30B06F9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数据安全与保密</w:t>
      </w:r>
    </w:p>
    <w:p w14:paraId="3E3FF83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应建立完善的数据加密机制，对敏感数据进行加密存储，在传输过程中可采用</w:t>
      </w:r>
      <w:r>
        <w:rPr>
          <w:rFonts w:hint="default" w:ascii="Times New Roman" w:hAnsi="Times New Roman" w:cs="Times New Roman"/>
          <w:sz w:val="28"/>
          <w:szCs w:val="28"/>
          <w:highlight w:val="none"/>
          <w:lang w:val="en-US"/>
        </w:rPr>
        <w:t>SSL/TLS</w:t>
      </w:r>
      <w:r>
        <w:rPr>
          <w:rFonts w:hint="default" w:ascii="Times New Roman" w:hAnsi="Times New Roman" w:cs="Times New Roman"/>
          <w:sz w:val="28"/>
          <w:szCs w:val="28"/>
          <w:highlight w:val="none"/>
          <w:lang w:eastAsia="zh-CN"/>
        </w:rPr>
        <w:t>加密协议。</w:t>
      </w:r>
    </w:p>
    <w:p w14:paraId="317C7D7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应实施严格的权限管理制度，明确不同角色用户对数据的访问、编辑、删除权限，可采取多层身份验证技术，如用户名密码结合动态口令或生物识别等方法进行登录验证。</w:t>
      </w:r>
    </w:p>
    <w:p w14:paraId="1DFA028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应建立日志管理系统，记录所有用户对工程造价数据的操作行为，便于追溯和审计。</w:t>
      </w:r>
    </w:p>
    <w:p w14:paraId="132336B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应定期进行内部审计和外部第三方审计，检查并改进安全策略执行情况。</w:t>
      </w:r>
    </w:p>
    <w:p w14:paraId="7C18666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应对全体员工定期组织信息安全保密培训。</w:t>
      </w:r>
    </w:p>
    <w:p w14:paraId="2430CB49">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备份与恢复策略</w:t>
      </w:r>
    </w:p>
    <w:p w14:paraId="7569A27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应定期执行数据备份操作，备份数据应可恢复到特定时间点，备份频率应满足业务连续性和灾难恢复的需求。</w:t>
      </w:r>
    </w:p>
    <w:p w14:paraId="6061261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存储系统应具备灾备能力，可采取异地备份、多副本冗余存储等措施。</w:t>
      </w:r>
    </w:p>
    <w:p w14:paraId="5C5BE48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各类数据的保存期限，应根据法律法规和项目特性设定合理的档案保管期限，如竣工决算资料至少保留一定年限。</w:t>
      </w:r>
    </w:p>
    <w:p w14:paraId="089908FA">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数据库设计与优化</w:t>
      </w:r>
    </w:p>
    <w:p w14:paraId="3FB3B3A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应根据数据特点和使用场景选择合适的数据库类型，如关系型数据库。</w:t>
      </w:r>
    </w:p>
    <w:p w14:paraId="275AA24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应对数据库进行定期维护与性能优化，包括索引构建、碎片整理、数据清理等工作。</w:t>
      </w:r>
    </w:p>
    <w:p w14:paraId="0D72965B">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数据合规</w:t>
      </w:r>
    </w:p>
    <w:p w14:paraId="10DA0CC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数据规范性应符合</w:t>
      </w:r>
      <w:r>
        <w:rPr>
          <w:rFonts w:hint="default" w:ascii="Times New Roman" w:hAnsi="Times New Roman" w:cs="Times New Roman"/>
          <w:sz w:val="28"/>
          <w:szCs w:val="28"/>
          <w:highlight w:val="none"/>
          <w:lang w:val="en-US"/>
        </w:rPr>
        <w:t>GB/T 51095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51262</w:t>
      </w:r>
      <w:r>
        <w:rPr>
          <w:rFonts w:hint="default" w:ascii="Times New Roman" w:hAnsi="Times New Roman" w:cs="Times New Roman"/>
          <w:sz w:val="28"/>
          <w:szCs w:val="28"/>
          <w:highlight w:val="none"/>
          <w:lang w:eastAsia="zh-CN"/>
        </w:rPr>
        <w:t>的规定。</w:t>
      </w:r>
    </w:p>
    <w:p w14:paraId="3DC3571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数据存储应配合审计需求必要时提供完整的数据修改记录和日志。</w:t>
      </w:r>
    </w:p>
    <w:p w14:paraId="726F2A61">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192769825"/>
      <w:r>
        <w:rPr>
          <w:rFonts w:hint="default" w:ascii="Times New Roman" w:hAnsi="Times New Roman" w:cs="Times New Roman"/>
          <w:sz w:val="28"/>
          <w:szCs w:val="28"/>
          <w:highlight w:val="none"/>
          <w:lang w:eastAsia="zh-CN"/>
        </w:rPr>
        <w:t>数据维护</w:t>
      </w:r>
      <w:bookmarkEnd w:id="30"/>
    </w:p>
    <w:p w14:paraId="45A7CE8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数据更新机制</w:t>
      </w:r>
    </w:p>
    <w:p w14:paraId="41B5D5A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应建立定期的数据审查机制，对存储在系统中的数据进行全面检查，识别并处理过时或无效的信息。审查周期应根据项目进展和数据变化频率进行合理设定。</w:t>
      </w:r>
    </w:p>
    <w:p w14:paraId="6C80CD5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当项目发生变更（如设计变更、材料替换、工程量调整等）时，宜立即更新相关数据，确保数据的实时性。这要求建立有效的数据变更通知流程，确保所有相关人员都能及时了解到数据的变化。</w:t>
      </w:r>
    </w:p>
    <w:p w14:paraId="3893490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在更新数据时，应保留历史版本，以便在需要时进行追溯或对比分析。历史数据的存储和管理应遵循一定的规则，确保数据的可访问性和完整性。</w:t>
      </w:r>
    </w:p>
    <w:p w14:paraId="42B4DB20">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数据备份与恢复</w:t>
      </w:r>
    </w:p>
    <w:p w14:paraId="320DE0B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应制定数据备份计划，定期对数据库进行备份，以防止数据丢失或损坏。备份的频率和存储位置应根据数据的重要性和恢复需求进行合理规划。</w:t>
      </w:r>
    </w:p>
    <w:p w14:paraId="6F1362F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备份完成后，宜进行备份验证，确保备份数据的可读性和完整性。这可以通过恢复测试来验证，以确保在需要时能够顺利恢复数据。</w:t>
      </w:r>
    </w:p>
    <w:p w14:paraId="6DCE115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应制定灾难恢复计划，以应对可能的数据丢失或损坏情况。该计划应包括数据恢复流程、恢复时间目标和恢复点目标等关键要素，确保在发生意外时能够迅速恢复数据。</w:t>
      </w:r>
    </w:p>
    <w:p w14:paraId="70B1C51D">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数据安全与访问控制</w:t>
      </w:r>
    </w:p>
    <w:p w14:paraId="037BFF8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应建立严格的访问权限管理制度，对不同用户设定不同的访问权限，确保只有授权人员能够访问敏感数据。权限管理应遵循最小权限原则，即用户只能访问其完成工作所需的最小数据集。</w:t>
      </w:r>
    </w:p>
    <w:p w14:paraId="715541D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对于敏感数据（如个人隐私、商业秘密等），宜采用加密技术进行保护。加密应涵盖数据传输和存储两个环节，确保数据在传输过程中不被窃听或篡改，在存储时不被非法访问。</w:t>
      </w:r>
    </w:p>
    <w:p w14:paraId="33DBA6F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应建立安全审计机制，记录所有对数据的访问和操作行为。这有助于及时发现异常行为，追踪数据泄露或损坏的源头，并为后续的安全改进提供依据。</w:t>
      </w:r>
    </w:p>
    <w:p w14:paraId="38F6836A">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数据质量监控</w:t>
      </w:r>
    </w:p>
    <w:p w14:paraId="63FCA3B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应定期进行数据质量检查，包括数据的完整性、准确性、一致性和时效性等方面。检查结果应形成报告，供相关人员参考和改进。</w:t>
      </w:r>
    </w:p>
    <w:p w14:paraId="4FFB08D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在发现数据质量问题时，宜及时进行数据清洗和修正。清洗过程应遵循一定的规则和标准，确保数据的一致性和准确性。修正后的数据应重新进行质量检查，确保问题得到妥善解决。</w:t>
      </w:r>
    </w:p>
    <w:p w14:paraId="1530AE5F">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92769826"/>
      <w:r>
        <w:rPr>
          <w:rFonts w:hint="default" w:ascii="Times New Roman" w:hAnsi="Times New Roman" w:cs="Times New Roman"/>
          <w:sz w:val="28"/>
          <w:szCs w:val="28"/>
          <w:highlight w:val="none"/>
          <w:lang w:eastAsia="zh-CN"/>
        </w:rPr>
        <w:t>数据应用</w:t>
      </w:r>
      <w:bookmarkEnd w:id="31"/>
    </w:p>
    <w:p w14:paraId="3E99351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成本分析与控制</w:t>
      </w:r>
    </w:p>
    <w:p w14:paraId="2371F48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应利用历史项目数据和当前市场情况，对绿色建筑工程进行初步的成本估算。这包括材料成本、人工成本、设备成本等各项费用的预测，为项目预算的制定提供依据。</w:t>
      </w:r>
    </w:p>
    <w:p w14:paraId="2337768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在项目实施过程中，宜定期对比实际成本与预算成本，分析成本偏差的原因，并采取相应的控制措施。可通过建立成本监控报表、设置成本预警阈值等方式实现。</w:t>
      </w:r>
    </w:p>
    <w:p w14:paraId="477D783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应利用数据分析工具，识别成本节约的潜力，提出成本优化的建议。例如，通过对比不同材料的价格和质量，选择性价比更高的材料；通过优化施工计划，减少资源浪费和停工待料的情况。</w:t>
      </w:r>
    </w:p>
    <w:p w14:paraId="3D3BB188">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预算编制与审核</w:t>
      </w:r>
    </w:p>
    <w:p w14:paraId="6AECA1A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应基于详细的设计文件和成本估算结果，编制绿色建筑工程的预算。预算编制过程中，宜充分考虑项目的特点和市场环境的变化，确保预算的合理性和准确性。</w:t>
      </w:r>
    </w:p>
    <w:p w14:paraId="0997470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预算编制完成后，宜进行预算审核，确保预算的合规性和可行性。审核过程中，应重点关注预算的完整性、合理性和风险控制等方面。</w:t>
      </w:r>
    </w:p>
    <w:p w14:paraId="05BAE6C9">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投标报价与合同管理</w:t>
      </w:r>
    </w:p>
    <w:p w14:paraId="4F0772B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在投标过程中，应充分利用造价数据，制定合理的投标报价。这包括分析竞争对手的报价策略、评估项目的风险和利润等因素，确保报价的竞争力。</w:t>
      </w:r>
    </w:p>
    <w:p w14:paraId="4AE5925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合同签订后，宜利用数据对合同执行情况进行跟踪和管理。这包括监控合同变更、处理合同索赔、评估合同风险等方面，确保合同的顺利履行。</w:t>
      </w:r>
    </w:p>
    <w:p w14:paraId="7B21F60E">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绩效评价与决策支持</w:t>
      </w:r>
    </w:p>
    <w:p w14:paraId="1F19136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项目完成后，应利用造价数据对项目的成本绩效进行评价。这包括对比实际成本与预算成本、分析成本节约或超支的原因、评估项目的经济效益和社会效益等方面。</w:t>
      </w:r>
    </w:p>
    <w:p w14:paraId="580C202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项目的各个阶段，宜利用数据分析工具为决策提供支持。例如，在设计阶段，可以通过分析不同设计方案的成本效益，选择最优的设计方案；在施工阶段，可以通过分析施工进度和成本数据，调整施工计划以降低成本和提高效率。</w:t>
      </w:r>
    </w:p>
    <w:p w14:paraId="655E9FD9">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数据可视化与报告</w:t>
      </w:r>
    </w:p>
    <w:p w14:paraId="3D37C4D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为了更直观地展示数据和分析结果，应利用数据可视化工具将数据转化为图表、图像等形式。这有助于相关人员更快地理解数据和分析结果，提高决策效率。</w:t>
      </w:r>
    </w:p>
    <w:p w14:paraId="1FE99B3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应定期编制数据应用报告，总结数据的分析结果和应用效果。报告应包含详细的数据分析过程、结论和建议，以及数据应用过程中遇到的问题和解决方案。</w:t>
      </w:r>
    </w:p>
    <w:p w14:paraId="1662CB29">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风险识别</w:t>
      </w:r>
    </w:p>
    <w:p w14:paraId="5CFB9F37">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可制定针对工程造价数据的风险识别策略，通过对历史工程造价数据的深入分析，发现潜在的成本超支点或节约空间；应建立风险应对措施及预案，及时调整成本控制方案。</w:t>
      </w:r>
    </w:p>
    <w:p w14:paraId="005F0850">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192769827"/>
      <w:r>
        <w:rPr>
          <w:rFonts w:hint="default" w:ascii="Times New Roman" w:hAnsi="Times New Roman" w:cs="Times New Roman"/>
          <w:sz w:val="28"/>
          <w:szCs w:val="28"/>
          <w:highlight w:val="none"/>
          <w:lang w:eastAsia="zh-CN"/>
        </w:rPr>
        <w:t>数据控制</w:t>
      </w:r>
      <w:bookmarkEnd w:id="32"/>
    </w:p>
    <w:p w14:paraId="650DFC7F">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数据格式</w:t>
      </w:r>
    </w:p>
    <w:p w14:paraId="1540DE2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应制定统一的数据格式标准，包括日期格式、数字格式、文本编码等，以确保不同来源的数据能够无缝集成和比较。</w:t>
      </w:r>
    </w:p>
    <w:p w14:paraId="126139A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宜采用国际或行业通用的数据格式标准，如</w:t>
      </w:r>
      <w:r>
        <w:rPr>
          <w:rFonts w:hint="default" w:ascii="Times New Roman" w:hAnsi="Times New Roman" w:cs="Times New Roman"/>
          <w:sz w:val="28"/>
          <w:szCs w:val="28"/>
          <w:highlight w:val="none"/>
          <w:lang w:val="en-US"/>
        </w:rPr>
        <w:t>CSV</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Excel</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JSON</w:t>
      </w:r>
      <w:r>
        <w:rPr>
          <w:rFonts w:hint="default" w:ascii="Times New Roman" w:hAnsi="Times New Roman" w:cs="Times New Roman"/>
          <w:sz w:val="28"/>
          <w:szCs w:val="28"/>
          <w:highlight w:val="none"/>
          <w:lang w:eastAsia="zh-CN"/>
        </w:rPr>
        <w:t>等，以提高数据的可读性和通用性。</w:t>
      </w:r>
    </w:p>
    <w:p w14:paraId="1A9BD05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应建立数据编码体系，对每一项数据进行唯一标识，确保数据的可追溯性和准确性。</w:t>
      </w:r>
    </w:p>
    <w:p w14:paraId="3C90F62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数据编码应遵循简洁、明了、易于理解的原则，避免使用模糊或容易引起歧义的编码方式。</w:t>
      </w:r>
    </w:p>
    <w:p w14:paraId="42D47611">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w:t>
      </w:r>
    </w:p>
    <w:p w14:paraId="0E0D446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数据应具有完整性，即数据应包含所有必要的信息，不应有遗漏或缺失。</w:t>
      </w:r>
    </w:p>
    <w:p w14:paraId="7F160F8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可通过数据校验和完整性检查等手段来检查数据的完整性、一致性。</w:t>
      </w:r>
    </w:p>
    <w:p w14:paraId="7454DC0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数据应具有准确性，即数据应真实反映实际情况，不应有错误或误导性信息。</w:t>
      </w:r>
    </w:p>
    <w:p w14:paraId="3D13837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宜采用数据清洗、数据验证等方法，提高数据的准确性和可靠性。</w:t>
      </w:r>
    </w:p>
    <w:p w14:paraId="7E3401F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数据应具有一致性，即不同来源或不同时间点的数据应保持一致性和可比性。</w:t>
      </w:r>
    </w:p>
    <w:p w14:paraId="7A7A747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宜建立数据一致性校验机制，对数据进行比较和验证，检查数据的一致性和准确性。</w:t>
      </w:r>
    </w:p>
    <w:p w14:paraId="4E2CDBFB">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数据应用规范</w:t>
      </w:r>
    </w:p>
    <w:p w14:paraId="1EC31B4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明确数据的应用场景和目的，应选择合适的数据和方法进行分析和应用。</w:t>
      </w:r>
    </w:p>
    <w:p w14:paraId="5E43871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根据项目的不同阶段和需求，应制定详细的数据应用计划。</w:t>
      </w:r>
    </w:p>
    <w:p w14:paraId="4769453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应采用科学、合理的分析方法对数据进行处理和分析，如统计分析、数据挖掘等。</w:t>
      </w:r>
    </w:p>
    <w:p w14:paraId="1560F03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遵循数据分析的规范和标准，分析结果应具有准确性和可靠性。</w:t>
      </w:r>
    </w:p>
    <w:p w14:paraId="351F81B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分析结果应以清晰、直观的方式呈现出来，如图表、报告等。</w:t>
      </w:r>
    </w:p>
    <w:p w14:paraId="05F81B0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注重结果的解释和说明，相关人员可准确理解分析结果和结论。</w:t>
      </w:r>
    </w:p>
    <w:p w14:paraId="4D5DCDE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数据安全与隐私保护</w:t>
      </w:r>
    </w:p>
    <w:p w14:paraId="1932794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应建立严格的数据访问控制机制，授权人员可访问敏感数据。</w:t>
      </w:r>
    </w:p>
    <w:p w14:paraId="5DF1A9E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宜采用身份验证、权限管理等手段，加强数据访问的安全性和可控性。</w:t>
      </w:r>
    </w:p>
    <w:p w14:paraId="45F66F0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应对敏感数据进行加密处理，数据在传输和存储过程中应具有安全性。</w:t>
      </w:r>
    </w:p>
    <w:p w14:paraId="136852A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采用安全的存储设备和存储方式，数据不应丢失或损坏。</w:t>
      </w:r>
    </w:p>
    <w:p w14:paraId="7265541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严格遵守相关法律法规和隐私保护政策，个人隐私不应被泄露或滥用。</w:t>
      </w:r>
    </w:p>
    <w:p w14:paraId="6F9EC81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应采用数据脱敏、匿名化等技术手段，保护个人隐私和数据安全。</w:t>
      </w:r>
    </w:p>
    <w:p w14:paraId="596969DD">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数据维护与更新</w:t>
      </w:r>
    </w:p>
    <w:p w14:paraId="4514B4C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应定期对数据进行维护，包括数据备份、数据清理、数据更新等。</w:t>
      </w:r>
    </w:p>
    <w:p w14:paraId="0F5D326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建立数据维护计划和维护记录，数据的持续应具有可用性和准确性。</w:t>
      </w:r>
    </w:p>
    <w:p w14:paraId="4C383B8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建立数据更新机制，数据应具有时效性和准确性。</w:t>
      </w:r>
    </w:p>
    <w:p w14:paraId="08D1DBB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宜采用自动化或半自动化的数据更新方式，提高数据更新的效率和准确性。</w:t>
      </w:r>
    </w:p>
    <w:p w14:paraId="15FAF41A">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192769828"/>
      <w:r>
        <w:rPr>
          <w:rFonts w:hint="default" w:ascii="Times New Roman" w:hAnsi="Times New Roman" w:cs="Times New Roman"/>
          <w:sz w:val="28"/>
          <w:szCs w:val="28"/>
          <w:highlight w:val="none"/>
          <w:lang w:eastAsia="zh-CN"/>
        </w:rPr>
        <w:t>培训与人员</w:t>
      </w:r>
      <w:bookmarkEnd w:id="33"/>
    </w:p>
    <w:p w14:paraId="3552CE3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培训要求</w:t>
      </w:r>
    </w:p>
    <w:p w14:paraId="3C41A0C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培训应涵盖绿色建筑工程的基础知识，可包括绿色建筑理念、工程造价原理、数据管理理论等。</w:t>
      </w:r>
    </w:p>
    <w:p w14:paraId="474792A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结合实际案例，宜培训内容更加生动、具体，易于理解和吸收。</w:t>
      </w:r>
    </w:p>
    <w:p w14:paraId="5BADA43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针对数据收集、处理、分析、应用等关键环节，应提供专业技能培训。</w:t>
      </w:r>
    </w:p>
    <w:p w14:paraId="5E0852C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应引入先进的数据处理和分析工具，如数据分析软件、数据库管理系统等，提升人员的技术操作能力。</w:t>
      </w:r>
    </w:p>
    <w:p w14:paraId="0FCD950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详细介绍与绿色建筑工程造价数据相关的法规、标准和规范，人员应合规操作。</w:t>
      </w:r>
    </w:p>
    <w:p w14:paraId="2EA02CA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应定期更新培训内容，紧跟行业动态和法规变化，保持人员的知识更新。</w:t>
      </w:r>
    </w:p>
    <w:p w14:paraId="442CABB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应加强沟通、协作、问题解决等软技能的培训，提升团队的整体效能。</w:t>
      </w:r>
    </w:p>
    <w:p w14:paraId="4EB5629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通过团队建设活动、角色扮演等方式，宜增强人员的团队合作意识和沟通协调能力。</w:t>
      </w:r>
    </w:p>
    <w:p w14:paraId="25EA977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人员要求</w:t>
      </w:r>
    </w:p>
    <w:p w14:paraId="46C8B54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人员应具备扎实的绿色建筑和工程造价专业知识，能够准确理解和应用相关数据。</w:t>
      </w:r>
    </w:p>
    <w:p w14:paraId="75DC6FB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宜具备持续学习的意识，不断跟进行业动态和技术发展，提升个人专业素养。</w:t>
      </w:r>
    </w:p>
    <w:p w14:paraId="041F774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人员应熟练掌握数据处理和分析工具，能够高效地进行数据操作和分析。</w:t>
      </w:r>
    </w:p>
    <w:p w14:paraId="2F69AE5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人员应具备解决复杂问题的能力，能够独立思考和应对数据应用过程中的挑战。</w:t>
      </w:r>
      <w:r>
        <w:rPr>
          <w:rFonts w:hint="default" w:ascii="Times New Roman" w:hAnsi="Times New Roman" w:cs="Times New Roman"/>
          <w:sz w:val="28"/>
          <w:szCs w:val="28"/>
          <w:highlight w:val="none"/>
          <w:lang w:eastAsia="zh-CN"/>
        </w:rPr>
        <w:t xml:space="preserve"> </w:t>
      </w:r>
    </w:p>
    <w:p w14:paraId="1861929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严格遵守相关法律法规和行业标准，数据处理应具有合规性和安全性。</w:t>
      </w:r>
    </w:p>
    <w:p w14:paraId="7FF5125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具备高度的责任心和职业道德，保护数据的隐私和安全，不应泄露敏感信息。</w:t>
      </w:r>
    </w:p>
    <w:p w14:paraId="05E7DF3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具备良好的沟通能力和团队协作精神，应与团队成员、其他部门或外部合作伙伴有效沟通。</w:t>
      </w:r>
    </w:p>
    <w:p w14:paraId="4D13EEE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积极参与团队活动和项目讨论，宜提出建设性意见和建议，共同推动项目的进展。</w:t>
      </w:r>
    </w:p>
    <w:p w14:paraId="5FDF3D7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宜鼓励人员参加专业培训、研讨会等活动，不断拓宽知识面和提升技能水平。</w:t>
      </w:r>
    </w:p>
    <w:p w14:paraId="3C5EEB5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建立个人学习计划，宜设定学习目标，定期评估学习成果，实现个人成长和职业发展。</w:t>
      </w:r>
    </w:p>
    <w:p w14:paraId="406572B0">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培训实施与评估</w:t>
      </w:r>
    </w:p>
    <w:p w14:paraId="320DADA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根据人员需求和项目要求，应制定详细的培训计划，包括培训内容、时间、方式等。</w:t>
      </w:r>
    </w:p>
    <w:p w14:paraId="56A23FB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邀请行业专家或内部资深人士进行授课，培训内容应具有权威性和实用性。</w:t>
      </w:r>
    </w:p>
    <w:p w14:paraId="5C881D8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通过考试、测试、项目实践等方式，应对培训效果进行评估。</w:t>
      </w:r>
    </w:p>
    <w:p w14:paraId="0C5086A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根据评估结果，应及时调整培训计划，优化培训内容和方法，提升培训效果。</w:t>
      </w:r>
    </w:p>
    <w:p w14:paraId="2353B19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建立持续培训机制，应定期更新培训内容，保持人员的知识更新和技能提升。</w:t>
      </w:r>
    </w:p>
    <w:p w14:paraId="3BC76A7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宜鼓励人员自主学习和分享经验，形成良好的学习氛围和团队文化。</w:t>
      </w:r>
    </w:p>
    <w:p w14:paraId="35E4BABF">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192769829"/>
      <w:r>
        <w:rPr>
          <w:rFonts w:hint="default" w:ascii="Times New Roman" w:hAnsi="Times New Roman" w:cs="Times New Roman"/>
          <w:sz w:val="28"/>
          <w:szCs w:val="28"/>
          <w:highlight w:val="none"/>
          <w:lang w:eastAsia="zh-CN"/>
        </w:rPr>
        <w:t>实施监督</w:t>
      </w:r>
      <w:bookmarkEnd w:id="34"/>
    </w:p>
    <w:p w14:paraId="2696F10F">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实施策略</w:t>
      </w:r>
    </w:p>
    <w:p w14:paraId="4A64D7D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明确项目的目标、范围、时间表和资源需求，应制定详细的项目计划。</w:t>
      </w:r>
    </w:p>
    <w:p w14:paraId="3F3069B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组织项目启动会议，所有相关方应对项目目标、职责分工和预期成果有清晰的认识。</w:t>
      </w:r>
    </w:p>
    <w:p w14:paraId="350CF4D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建立统一的数据收集渠道和格式，数据应具有完整性和准确性。</w:t>
      </w:r>
    </w:p>
    <w:p w14:paraId="002BC01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应采用自动化或半自动化的数据收集工具，提高数据收集的效率和质量。</w:t>
      </w:r>
    </w:p>
    <w:p w14:paraId="75B97F3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遵循既定的数据处理流程和分析方法，应对数据进行清洗、转换和分析。</w:t>
      </w:r>
    </w:p>
    <w:p w14:paraId="019A4AB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应采用先进的数据分析工具和技术，如机器学习、人工智能等，提升数据分析的深度和广度。</w:t>
      </w:r>
    </w:p>
    <w:p w14:paraId="6BB6C15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将数据应用于项目决策、成本控制、绩效评价等关键环节，提升项目的经济效益和社会效益。</w:t>
      </w:r>
    </w:p>
    <w:p w14:paraId="2AE9CBF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建立数据应用反馈机制，宜收集用户对数据的满意度和改进建议，持续优化数据应用效果。</w:t>
      </w:r>
    </w:p>
    <w:p w14:paraId="68C987D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应为相关人员提供必要的培训和支持，人员应具备处理和分析数据所需的知识和技能。</w:t>
      </w:r>
    </w:p>
    <w:p w14:paraId="0141F9E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应建立知识分享和协作机制，促进团队内部的知识传递和经验积累。</w:t>
      </w:r>
    </w:p>
    <w:p w14:paraId="615327ED">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监督措施</w:t>
      </w:r>
    </w:p>
    <w:p w14:paraId="2727DF2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定期监控项目的进度，各项任务应按计划执行。</w:t>
      </w:r>
    </w:p>
    <w:p w14:paraId="6852FD1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根据进度监控结果，及时调整项目计划，应对潜在的风险和挑战。</w:t>
      </w:r>
    </w:p>
    <w:p w14:paraId="5F24637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建立严格的数据质量控制体系，数据应具有准确性和可靠性。</w:t>
      </w:r>
    </w:p>
    <w:p w14:paraId="4770C24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应定期进行数据质量审核，发现问题及时整改，提升数据质量。</w:t>
      </w:r>
    </w:p>
    <w:p w14:paraId="6F2C6CC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严格遵守相关法律法规和行业标准，数据处理和应用应具有合规性。</w:t>
      </w:r>
    </w:p>
    <w:p w14:paraId="02AB92F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加强数据安全管理，数据不应出现泄露和滥用，保护个人隐私和商业秘密。</w:t>
      </w:r>
    </w:p>
    <w:p w14:paraId="5BAABF3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建立绩效评估机制，应定期评估项目的实施效果和用户满意度。</w:t>
      </w:r>
    </w:p>
    <w:p w14:paraId="0D101AD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根据绩效评估结果，宜给予相关人员相应的奖励和激励，提升团队的积极性和创造力。</w:t>
      </w:r>
    </w:p>
    <w:p w14:paraId="2985541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建立持续改进机制，应定期回顾和总结项目的实施经验，发现不足并提出改进措施。</w:t>
      </w:r>
    </w:p>
    <w:p w14:paraId="0759340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宜鼓励创新和实践，不断探索新的数据处理和分析方法，提升项目的整体效能。</w:t>
      </w:r>
    </w:p>
    <w:p w14:paraId="35F237DA">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协同</w:t>
      </w:r>
    </w:p>
    <w:p w14:paraId="7A4A981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加强跨部门协作，数据收集、处理、应用等各个环节应顺畅衔接。</w:t>
      </w:r>
    </w:p>
    <w:p w14:paraId="13445FF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建立跨部门沟通机制，应定期召开协调会议，解决实施过程中遇到的问题和挑战。</w:t>
      </w:r>
    </w:p>
    <w:p w14:paraId="2F03B15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邀请利益相关者参与项目的实施与监督过程，人员需求和利益应得到充分考虑。</w:t>
      </w:r>
    </w:p>
    <w:p w14:paraId="380B667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建立利益相关者反馈机制，宜收集他们的意见和建议，不断优化项目的实施策略和监督措施。</w:t>
      </w:r>
    </w:p>
    <w:p w14:paraId="6014C92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增加项目的透明度和公开度，应定期发布项目进展和实施效果，接受社会各界的监督。</w:t>
      </w:r>
    </w:p>
    <w:p w14:paraId="2A93D0B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应建立信息公开渠道，如官方网站、社交媒体等，利益相关者可获取项目相关信息。</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5"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5"/>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6"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36"/>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7"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37"/>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建筑工程造价数据</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38"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38"/>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9"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39"/>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0"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0"/>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1"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1"/>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2"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2"/>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3"/>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4F13F"/>
    <w:multiLevelType w:val="multilevel"/>
    <w:tmpl w:val="DE34F13F"/>
    <w:lvl w:ilvl="0" w:tentative="0">
      <w:start w:val="1"/>
      <w:numFmt w:val="none"/>
      <w:pStyle w:val="38"/>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1"/>
      <w:lvlText w:val=""/>
      <w:lvlJc w:val="left"/>
      <w:pPr>
        <w:ind w:left="851" w:hanging="431"/>
      </w:pPr>
      <w:rPr>
        <w:rFonts w:ascii="Symbol" w:hAnsi="Symbol" w:cs="Symbol"/>
        <w:sz w:val="21"/>
      </w:rPr>
    </w:lvl>
    <w:lvl w:ilvl="2" w:tentative="0">
      <w:start w:val="1"/>
      <w:numFmt w:val="bullet"/>
      <w:pStyle w:val="37"/>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2D172FAB"/>
    <w:multiLevelType w:val="multilevel"/>
    <w:tmpl w:val="2D172FAB"/>
    <w:lvl w:ilvl="0" w:tentative="0">
      <w:start w:val="1"/>
      <w:numFmt w:val="none"/>
      <w:suff w:val="nothing"/>
      <w:lvlText w:val="%1"/>
      <w:lvlJc w:val="left"/>
      <w:pPr>
        <w:ind w:left="0" w:firstLine="0"/>
      </w:pPr>
    </w:lvl>
    <w:lvl w:ilvl="1" w:tentative="0">
      <w:start w:val="1"/>
      <w:numFmt w:val="decimal"/>
      <w:pStyle w:val="35"/>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4"/>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0"/>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D467F37"/>
    <w:rsid w:val="2DAD6C8F"/>
    <w:rsid w:val="3AFC0F1D"/>
    <w:rsid w:val="40E14CE3"/>
    <w:rsid w:val="542D0422"/>
    <w:rsid w:val="57BF1D4F"/>
    <w:rsid w:val="663F4E49"/>
    <w:rsid w:val="67A80C44"/>
    <w:rsid w:val="6A437AD9"/>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条标题"/>
    <w:basedOn w:val="35"/>
    <w:next w:val="36"/>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5">
    <w:name w:val="标准文件_章标题"/>
    <w:basedOn w:val="1"/>
    <w:next w:val="36"/>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6">
    <w:name w:val="标准文件_段"/>
    <w:basedOn w:val="1"/>
    <w:link w:val="39"/>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7">
    <w:name w:val="标准文件_术语条一"/>
    <w:basedOn w:val="1"/>
    <w:next w:val="36"/>
    <w:uiPriority w:val="0"/>
    <w:pPr>
      <w:keepNext w:val="0"/>
      <w:keepLines w:val="0"/>
      <w:widowControl/>
      <w:numPr>
        <w:ilvl w:val="2"/>
        <w:numId w:val="3"/>
      </w:numPr>
      <w:suppressLineNumbers w:val="0"/>
      <w:adjustRightInd/>
      <w:spacing w:before="0" w:beforeAutospacing="0" w:after="0" w:afterAutospacing="0" w:line="240" w:lineRule="auto"/>
      <w:ind w:left="851" w:right="0" w:hanging="426"/>
      <w:jc w:val="both"/>
    </w:pPr>
    <w:rPr>
      <w:rFonts w:hint="eastAsia" w:ascii="宋体" w:hAnsi="Times New Roman" w:eastAsia="宋体" w:cs="Times New Roman"/>
      <w:kern w:val="0"/>
      <w:sz w:val="21"/>
      <w:szCs w:val="20"/>
      <w:lang w:val="en-US" w:eastAsia="zh-CN" w:bidi="ar"/>
    </w:rPr>
  </w:style>
  <w:style w:type="paragraph" w:customStyle="1" w:styleId="38">
    <w:name w:val="标准文件_一级项"/>
    <w:basedOn w:val="1"/>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character" w:customStyle="1" w:styleId="39">
    <w:name w:val="标准文件_段 Char"/>
    <w:basedOn w:val="14"/>
    <w:link w:val="36"/>
    <w:uiPriority w:val="0"/>
    <w:rPr>
      <w:rFonts w:hint="eastAsia" w:ascii="宋体" w:hAnsi="Times New Roman" w:eastAsia="宋体" w:cs="宋体"/>
      <w:sz w:val="21"/>
    </w:rPr>
  </w:style>
  <w:style w:type="paragraph" w:customStyle="1" w:styleId="40">
    <w:name w:val="标准文件_二级无标题"/>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1">
    <w:name w:val="标准文件_二级项2"/>
    <w:basedOn w:val="36"/>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1375</Words>
  <Characters>1394</Characters>
  <Lines>62</Lines>
  <Paragraphs>17</Paragraphs>
  <TotalTime>5</TotalTime>
  <ScaleCrop>false</ScaleCrop>
  <LinksUpToDate>false</LinksUpToDate>
  <CharactersWithSpaces>1438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2025-03-13T07:20:18Z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