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D0D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67C3F08">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78B10B7">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93.010</w:t>
            </w:r>
            <w:r>
              <w:rPr>
                <w:rFonts w:ascii="黑体" w:hAnsi="黑体" w:eastAsia="黑体"/>
                <w:sz w:val="21"/>
                <w:szCs w:val="21"/>
              </w:rPr>
              <w:fldChar w:fldCharType="end"/>
            </w:r>
            <w:bookmarkEnd w:id="0"/>
          </w:p>
        </w:tc>
      </w:tr>
      <w:tr w14:paraId="5914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871CCB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30A0CF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00C7FB8D">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03A12BAB">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07</w:t>
            </w:r>
            <w:r>
              <w:rPr>
                <w:rFonts w:ascii="黑体" w:hAnsi="黑体" w:eastAsia="黑体"/>
                <w:sz w:val="21"/>
                <w:szCs w:val="21"/>
              </w:rPr>
              <w:fldChar w:fldCharType="end"/>
            </w:r>
            <w:bookmarkEnd w:id="2"/>
          </w:p>
        </w:tc>
      </w:tr>
    </w:tbl>
    <w:p w14:paraId="137C3B64">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FFF28C6">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1ACBE54F">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B28D61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8A97098">
      <w:pPr>
        <w:pStyle w:val="50"/>
        <w:framePr w:w="9639" w:h="6976" w:hRule="exact" w:hSpace="0" w:vSpace="0" w:wrap="around" w:hAnchor="page" w:y="6408"/>
        <w:jc w:val="center"/>
        <w:rPr>
          <w:rFonts w:hint="eastAsia" w:ascii="黑体" w:hAnsi="黑体" w:eastAsia="黑体"/>
          <w:b w:val="0"/>
          <w:bCs w:val="0"/>
          <w:w w:val="100"/>
        </w:rPr>
      </w:pPr>
    </w:p>
    <w:p w14:paraId="67513AF4">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绿色建筑工程造价数据维护与应用规范</w:t>
      </w:r>
      <w:r>
        <w:fldChar w:fldCharType="end"/>
      </w:r>
      <w:bookmarkEnd w:id="9"/>
    </w:p>
    <w:p w14:paraId="324F8446">
      <w:pPr>
        <w:framePr w:w="9639" w:h="6974" w:hRule="exact" w:wrap="around" w:vAnchor="page" w:hAnchor="page" w:x="1419" w:y="6408" w:anchorLock="1"/>
        <w:ind w:left="-1418"/>
      </w:pPr>
    </w:p>
    <w:p w14:paraId="2F923EE8">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Green building project cost data maintenance and application specifications</w:t>
      </w:r>
      <w:r>
        <w:rPr>
          <w:rFonts w:eastAsia="黑体"/>
          <w:szCs w:val="28"/>
        </w:rPr>
        <w:fldChar w:fldCharType="end"/>
      </w:r>
      <w:bookmarkEnd w:id="10"/>
    </w:p>
    <w:p w14:paraId="18841D14">
      <w:pPr>
        <w:framePr w:w="9639" w:h="6974" w:hRule="exact" w:wrap="around" w:vAnchor="page" w:hAnchor="page" w:x="1419" w:y="6408" w:anchorLock="1"/>
        <w:spacing w:line="760" w:lineRule="exact"/>
        <w:ind w:left="-1418"/>
      </w:pPr>
    </w:p>
    <w:p w14:paraId="1F5C5718">
      <w:pPr>
        <w:pStyle w:val="125"/>
        <w:framePr w:w="9639" w:h="6974" w:hRule="exact" w:wrap="around" w:vAnchor="page" w:hAnchor="page" w:x="1419" w:y="6408" w:anchorLock="1"/>
        <w:textAlignment w:val="bottom"/>
        <w:rPr>
          <w:rFonts w:eastAsia="黑体"/>
          <w:szCs w:val="28"/>
        </w:rPr>
      </w:pPr>
    </w:p>
    <w:p w14:paraId="3485EA7E">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081B52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5B0F3052">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0BD987F">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49030C1">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1AAB3641">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54D22CC">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9A9FDF2">
      <w:pPr>
        <w:pStyle w:val="91"/>
        <w:spacing w:after="360"/>
        <w:rPr>
          <w:rFonts w:ascii="Times New Roman" w:hAnsi="Times New Roman"/>
        </w:rPr>
      </w:pPr>
      <w:bookmarkStart w:id="21" w:name="BookMark1"/>
      <w:r>
        <w:rPr>
          <w:rFonts w:ascii="Times New Roman" w:hAnsi="Times New Roman"/>
          <w:spacing w:val="320"/>
        </w:rPr>
        <w:t>目</w:t>
      </w:r>
      <w:r>
        <w:rPr>
          <w:rFonts w:ascii="Times New Roman" w:hAnsi="Times New Roman"/>
        </w:rPr>
        <w:t>次</w:t>
      </w:r>
    </w:p>
    <w:p w14:paraId="322BE282">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"_Toc192769817"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_Toc192769817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589D6B65">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"_Toc192769818"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_Toc192769818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A2DD73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"_Toc192769819"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_Toc192769819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BA5099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"_Toc192769820"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_Toc192769820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56D54FF">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"_Toc192769821" </w:instrText>
      </w:r>
      <w:r>
        <w:fldChar w:fldCharType="separate"/>
      </w:r>
      <w:r>
        <w:rPr>
          <w:rStyle w:val="32"/>
          <w:rFonts w:ascii="Times New Roman"/>
        </w:rPr>
        <w:t>4  基本原则</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_Toc192769821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E62998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"_Toc192769822" </w:instrText>
      </w:r>
      <w:r>
        <w:fldChar w:fldCharType="separate"/>
      </w:r>
      <w:r>
        <w:rPr>
          <w:rStyle w:val="32"/>
          <w:rFonts w:ascii="Times New Roman"/>
        </w:rPr>
        <w:t>5  数据采集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_Toc192769822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77A7755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"_Toc192769823" </w:instrText>
      </w:r>
      <w:r>
        <w:fldChar w:fldCharType="separate"/>
      </w:r>
      <w:r>
        <w:rPr>
          <w:rStyle w:val="32"/>
          <w:rFonts w:ascii="Times New Roman"/>
        </w:rPr>
        <w:t>6  数据整理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_Toc192769823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6E4CE95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"_Toc192769824" </w:instrText>
      </w:r>
      <w:r>
        <w:fldChar w:fldCharType="separate"/>
      </w:r>
      <w:r>
        <w:rPr>
          <w:rStyle w:val="32"/>
          <w:rFonts w:ascii="Times New Roman"/>
        </w:rPr>
        <w:t>7  数据存储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_Toc192769824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17A06F9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"_Toc192769825" </w:instrText>
      </w:r>
      <w:r>
        <w:fldChar w:fldCharType="separate"/>
      </w:r>
      <w:r>
        <w:rPr>
          <w:rStyle w:val="32"/>
          <w:rFonts w:ascii="Times New Roman"/>
        </w:rPr>
        <w:t>8  数据维护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_Toc192769825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00E4FA1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"_Toc192769826" </w:instrText>
      </w:r>
      <w:r>
        <w:fldChar w:fldCharType="separate"/>
      </w:r>
      <w:r>
        <w:rPr>
          <w:rStyle w:val="32"/>
          <w:rFonts w:ascii="Times New Roman"/>
        </w:rPr>
        <w:t>9  数据应用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_Toc192769826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6B5B648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"_Toc192769827" </w:instrText>
      </w:r>
      <w:r>
        <w:fldChar w:fldCharType="separate"/>
      </w:r>
      <w:r>
        <w:rPr>
          <w:rStyle w:val="32"/>
          <w:rFonts w:ascii="Times New Roman"/>
        </w:rPr>
        <w:t>10  数据控制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_Toc192769827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2C2D5C6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"_Toc192769828" </w:instrText>
      </w:r>
      <w:r>
        <w:fldChar w:fldCharType="separate"/>
      </w:r>
      <w:r>
        <w:rPr>
          <w:rStyle w:val="32"/>
          <w:rFonts w:ascii="Times New Roman"/>
        </w:rPr>
        <w:t>11  培训与人员</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_Toc192769828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633E9F1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"_Toc192769829" </w:instrText>
      </w:r>
      <w:r>
        <w:fldChar w:fldCharType="separate"/>
      </w:r>
      <w:r>
        <w:rPr>
          <w:rStyle w:val="32"/>
          <w:rFonts w:ascii="Times New Roman"/>
        </w:rPr>
        <w:t>12  实施监督</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_Toc192769829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2F4FCC5E">
      <w:pPr>
        <w:pStyle w:val="91"/>
        <w:spacing w:after="360"/>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bookmarkStart w:id="60" w:name="_GoBack"/>
      <w:bookmarkEnd w:id="60"/>
    </w:p>
    <w:bookmarkEnd w:id="21"/>
    <w:p w14:paraId="0E4BCB67">
      <w:pPr>
        <w:pStyle w:val="89"/>
        <w:spacing w:before="900" w:after="360"/>
        <w:rPr>
          <w:rFonts w:ascii="Times New Roman"/>
        </w:rPr>
      </w:pPr>
      <w:bookmarkStart w:id="22" w:name="_Toc192769817"/>
      <w:bookmarkStart w:id="23" w:name="BookMark2"/>
      <w:r>
        <w:rPr>
          <w:rFonts w:ascii="Times New Roman"/>
          <w:spacing w:val="320"/>
        </w:rPr>
        <w:t>前</w:t>
      </w:r>
      <w:r>
        <w:rPr>
          <w:rFonts w:ascii="Times New Roman"/>
        </w:rPr>
        <w:t>言</w:t>
      </w:r>
      <w:bookmarkEnd w:id="22"/>
    </w:p>
    <w:p w14:paraId="49E71342">
      <w:pPr>
        <w:pStyle w:val="56"/>
        <w:ind w:firstLine="420"/>
        <w:rPr>
          <w:rFonts w:ascii="Times New Roman"/>
        </w:rPr>
      </w:pPr>
      <w:r>
        <w:rPr>
          <w:rFonts w:ascii="Times New Roman"/>
        </w:rPr>
        <w:t>本文件按照GB/T 1.1—2020《标准化工作导则  第1部分：标准化文件的结构和起草规则》的规定起草。</w:t>
      </w:r>
    </w:p>
    <w:p w14:paraId="55B7E5C3">
      <w:pPr>
        <w:pStyle w:val="56"/>
        <w:ind w:firstLine="420"/>
        <w:rPr>
          <w:rFonts w:ascii="Times New Roman"/>
        </w:rPr>
      </w:pPr>
      <w:r>
        <w:rPr>
          <w:rFonts w:hint="eastAsia" w:ascii="Times New Roman"/>
        </w:rPr>
        <w:t>请注意本文件的某些内容可能涉及专利。本文件的发布机构不承担识别专利的责任。</w:t>
      </w:r>
    </w:p>
    <w:p w14:paraId="2812F368">
      <w:pPr>
        <w:pStyle w:val="56"/>
        <w:ind w:firstLine="420"/>
        <w:rPr>
          <w:rFonts w:ascii="Times New Roman"/>
        </w:rPr>
      </w:pPr>
      <w:r>
        <w:rPr>
          <w:rFonts w:ascii="Times New Roman"/>
        </w:rPr>
        <w:t>本文件由</w:t>
      </w:r>
      <w:r>
        <w:rPr>
          <w:rFonts w:hint="eastAsia" w:ascii="Times New Roman"/>
        </w:rPr>
        <w:t>丽水市莲都区乡村振兴农业发展有限公司</w:t>
      </w:r>
      <w:r>
        <w:rPr>
          <w:rFonts w:ascii="Times New Roman"/>
        </w:rPr>
        <w:t>提出。</w:t>
      </w:r>
    </w:p>
    <w:p w14:paraId="6A948D76">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105B12AE">
      <w:pPr>
        <w:pStyle w:val="56"/>
        <w:ind w:firstLine="420"/>
        <w:rPr>
          <w:rFonts w:hint="eastAsia" w:ascii="Times New Roman" w:eastAsia="宋体"/>
          <w:lang w:eastAsia="zh-CN"/>
        </w:rPr>
      </w:pPr>
      <w:r>
        <w:rPr>
          <w:rFonts w:ascii="Times New Roman"/>
        </w:rPr>
        <w:t>本文件起草单位：</w:t>
      </w:r>
      <w:r>
        <w:rPr>
          <w:rFonts w:hint="eastAsia" w:ascii="Times New Roman"/>
        </w:rPr>
        <w:t>丽水市莲都区乡村振兴农业发展有限公司</w:t>
      </w:r>
      <w:r>
        <w:rPr>
          <w:rFonts w:hint="eastAsia" w:ascii="Times New Roman"/>
          <w:lang w:eastAsia="zh-CN"/>
        </w:rPr>
        <w:t>。</w:t>
      </w:r>
    </w:p>
    <w:p w14:paraId="366C05DB">
      <w:pPr>
        <w:pStyle w:val="56"/>
        <w:ind w:firstLine="420"/>
        <w:rPr>
          <w:rFonts w:ascii="Times New Roman"/>
        </w:rPr>
      </w:pPr>
      <w:r>
        <w:rPr>
          <w:rFonts w:ascii="Times New Roman"/>
        </w:rPr>
        <w:t>本文件主要起草人：</w:t>
      </w:r>
    </w:p>
    <w:p w14:paraId="243DEF15">
      <w:pPr>
        <w:pStyle w:val="56"/>
        <w:ind w:firstLine="420"/>
        <w:rPr>
          <w:rFonts w:ascii="Times New Roman"/>
        </w:rPr>
      </w:pPr>
    </w:p>
    <w:p w14:paraId="74B8821E">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3"/>
    <w:p w14:paraId="6B3CB503">
      <w:pPr>
        <w:spacing w:line="20" w:lineRule="exact"/>
        <w:jc w:val="center"/>
        <w:rPr>
          <w:rFonts w:ascii="Times New Roman" w:hAnsi="Times New Roman" w:eastAsia="黑体"/>
          <w:sz w:val="32"/>
          <w:szCs w:val="32"/>
        </w:rPr>
      </w:pPr>
      <w:bookmarkStart w:id="24" w:name="BookMark4"/>
    </w:p>
    <w:p w14:paraId="12F92A2E">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440B1D1BE30E41EB8DC5D0ECB080E538"/>
        </w:placeholder>
      </w:sdtPr>
      <w:sdtEndPr>
        <w:rPr>
          <w:rFonts w:ascii="Times New Roman" w:hAnsi="Times New Roman"/>
        </w:rPr>
      </w:sdtEndPr>
      <w:sdtContent>
        <w:p w14:paraId="7BD3E460">
          <w:pPr>
            <w:pStyle w:val="177"/>
            <w:spacing w:before="2" w:beforeLines="1" w:after="528" w:afterLines="220"/>
            <w:rPr>
              <w:rFonts w:ascii="Times New Roman" w:hAnsi="Times New Roman"/>
            </w:rPr>
          </w:pPr>
          <w:bookmarkStart w:id="25" w:name="NEW_STAND_NAME"/>
          <w:r>
            <w:rPr>
              <w:rFonts w:ascii="Times New Roman" w:hAnsi="Times New Roman"/>
            </w:rPr>
            <w:t>绿色建筑工程造价数据维护与应用规范</w:t>
          </w:r>
        </w:p>
      </w:sdtContent>
    </w:sdt>
    <w:bookmarkEnd w:id="25"/>
    <w:p w14:paraId="0AED2386">
      <w:pPr>
        <w:pStyle w:val="104"/>
        <w:spacing w:before="240" w:after="240"/>
        <w:rPr>
          <w:rFonts w:ascii="Times New Roman"/>
        </w:rPr>
      </w:pPr>
      <w:bookmarkStart w:id="26" w:name="_Toc26648465"/>
      <w:bookmarkStart w:id="27" w:name="_Toc17233325"/>
      <w:bookmarkStart w:id="28" w:name="_Toc26986771"/>
      <w:bookmarkStart w:id="29" w:name="_Toc24884218"/>
      <w:bookmarkStart w:id="30" w:name="_Toc26986530"/>
      <w:bookmarkStart w:id="31" w:name="_Toc24884211"/>
      <w:bookmarkStart w:id="32" w:name="_Toc26718930"/>
      <w:bookmarkStart w:id="33" w:name="_Toc192769818"/>
      <w:bookmarkStart w:id="34" w:name="_Toc17233333"/>
      <w:bookmarkStart w:id="35" w:name="_Toc97192964"/>
      <w:r>
        <w:rPr>
          <w:rFonts w:ascii="Times New Roman"/>
        </w:rPr>
        <w:t>范围</w:t>
      </w:r>
      <w:bookmarkEnd w:id="26"/>
      <w:bookmarkEnd w:id="27"/>
      <w:bookmarkEnd w:id="28"/>
      <w:bookmarkEnd w:id="29"/>
      <w:bookmarkEnd w:id="30"/>
      <w:bookmarkEnd w:id="31"/>
      <w:bookmarkEnd w:id="32"/>
      <w:bookmarkEnd w:id="33"/>
      <w:bookmarkEnd w:id="34"/>
      <w:bookmarkEnd w:id="35"/>
    </w:p>
    <w:p w14:paraId="19C730B3">
      <w:pPr>
        <w:pStyle w:val="56"/>
        <w:ind w:firstLine="420"/>
        <w:rPr>
          <w:rFonts w:ascii="Times New Roman"/>
        </w:rPr>
      </w:pPr>
      <w:bookmarkStart w:id="36" w:name="_Toc17233326"/>
      <w:bookmarkStart w:id="37" w:name="_Toc17233334"/>
      <w:bookmarkStart w:id="38" w:name="_Toc24884219"/>
      <w:bookmarkStart w:id="39" w:name="_Toc26648466"/>
      <w:bookmarkStart w:id="40" w:name="_Toc24884212"/>
      <w:r>
        <w:rPr>
          <w:rFonts w:ascii="Times New Roman"/>
        </w:rPr>
        <w:t>本文件规定了绿色建筑工程造价数据维护与应用的术语和定义、基本要求、数据采集、数据整理、数据存储、数据维护、数据应用、数据控制、培训与人员、实施监督相关内容。</w:t>
      </w:r>
    </w:p>
    <w:p w14:paraId="09A3F5E8">
      <w:pPr>
        <w:pStyle w:val="56"/>
        <w:ind w:firstLine="420"/>
        <w:rPr>
          <w:rFonts w:ascii="Times New Roman"/>
        </w:rPr>
      </w:pPr>
      <w:r>
        <w:rPr>
          <w:rFonts w:ascii="Times New Roman"/>
        </w:rPr>
        <w:t>本文件适用于绿色建筑工程造价数据维护、应用。</w:t>
      </w:r>
    </w:p>
    <w:p w14:paraId="19E659DC">
      <w:pPr>
        <w:pStyle w:val="104"/>
        <w:spacing w:before="240" w:after="240"/>
        <w:rPr>
          <w:rFonts w:ascii="Times New Roman"/>
        </w:rPr>
      </w:pPr>
      <w:bookmarkStart w:id="41" w:name="_Toc26718931"/>
      <w:bookmarkStart w:id="42" w:name="_Toc192769819"/>
      <w:bookmarkStart w:id="43" w:name="_Toc26986531"/>
      <w:bookmarkStart w:id="44" w:name="_Toc97192965"/>
      <w:bookmarkStart w:id="45" w:name="_Toc26986772"/>
      <w:r>
        <w:rPr>
          <w:rFonts w:ascii="Times New Roman"/>
        </w:rPr>
        <w:t>规范性引用文件</w:t>
      </w:r>
      <w:bookmarkEnd w:id="36"/>
      <w:bookmarkEnd w:id="37"/>
      <w:bookmarkEnd w:id="38"/>
      <w:bookmarkEnd w:id="39"/>
      <w:bookmarkEnd w:id="40"/>
      <w:bookmarkEnd w:id="41"/>
      <w:bookmarkEnd w:id="42"/>
      <w:bookmarkEnd w:id="43"/>
      <w:bookmarkEnd w:id="44"/>
      <w:bookmarkEnd w:id="45"/>
    </w:p>
    <w:sdt>
      <w:sdtPr>
        <w:rPr>
          <w:rFonts w:ascii="Times New Roman"/>
        </w:rPr>
        <w:id w:val="715848253"/>
        <w:placeholder>
          <w:docPart w:val="9379E333603F426580F9E25AB8076AC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3511FDDA">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F144B74">
      <w:pPr>
        <w:pStyle w:val="56"/>
        <w:ind w:firstLine="420"/>
        <w:rPr>
          <w:rFonts w:ascii="Times New Roman"/>
        </w:rPr>
      </w:pPr>
      <w:r>
        <w:rPr>
          <w:rFonts w:ascii="Times New Roman"/>
        </w:rPr>
        <w:t>GB 50500 建设工程工程量清单计价规范</w:t>
      </w:r>
    </w:p>
    <w:p w14:paraId="7A9668FA">
      <w:pPr>
        <w:pStyle w:val="56"/>
        <w:ind w:firstLine="420"/>
        <w:rPr>
          <w:rFonts w:ascii="Times New Roman"/>
        </w:rPr>
      </w:pPr>
      <w:bookmarkStart w:id="46" w:name="_Hlk192768678"/>
      <w:r>
        <w:rPr>
          <w:rFonts w:ascii="Times New Roman"/>
        </w:rPr>
        <w:t>GB/T 51095 建设工程造价咨询规范</w:t>
      </w:r>
    </w:p>
    <w:p w14:paraId="525691BB">
      <w:pPr>
        <w:pStyle w:val="56"/>
        <w:ind w:firstLine="420"/>
        <w:rPr>
          <w:rFonts w:ascii="Times New Roman"/>
        </w:rPr>
      </w:pPr>
      <w:r>
        <w:rPr>
          <w:rFonts w:ascii="Times New Roman"/>
        </w:rPr>
        <w:t>GB/T 51262</w:t>
      </w:r>
      <w:bookmarkEnd w:id="46"/>
      <w:r>
        <w:rPr>
          <w:rFonts w:ascii="Times New Roman"/>
        </w:rPr>
        <w:t xml:space="preserve"> 建设工程造价鉴定规范</w:t>
      </w:r>
    </w:p>
    <w:p w14:paraId="70021AAD">
      <w:pPr>
        <w:pStyle w:val="104"/>
        <w:spacing w:before="240" w:after="240"/>
        <w:rPr>
          <w:rFonts w:ascii="Times New Roman"/>
        </w:rPr>
      </w:pPr>
      <w:bookmarkStart w:id="47" w:name="_Toc97192966"/>
      <w:bookmarkStart w:id="48" w:name="_Toc192769820"/>
      <w:r>
        <w:rPr>
          <w:rFonts w:ascii="Times New Roman"/>
          <w:szCs w:val="21"/>
        </w:rPr>
        <w:t>术语和定义</w:t>
      </w:r>
      <w:bookmarkEnd w:id="47"/>
      <w:bookmarkEnd w:id="48"/>
    </w:p>
    <w:sdt>
      <w:sdtPr>
        <w:rPr>
          <w:rFonts w:ascii="Times New Roman"/>
        </w:rPr>
        <w:id w:val="-1909835108"/>
        <w:placeholder>
          <w:docPart w:val="E5B5802BC02E40358EBBB10FD81DF0D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1BC646B3">
          <w:pPr>
            <w:pStyle w:val="56"/>
            <w:ind w:firstLine="420"/>
            <w:rPr>
              <w:rFonts w:ascii="Times New Roman"/>
            </w:rPr>
          </w:pPr>
          <w:bookmarkStart w:id="49" w:name="_Toc26986532"/>
          <w:bookmarkEnd w:id="49"/>
          <w:r>
            <w:rPr>
              <w:rFonts w:ascii="Times New Roman"/>
            </w:rPr>
            <w:t>下列术语和定义适用于本文件。</w:t>
          </w:r>
        </w:p>
      </w:sdtContent>
    </w:sdt>
    <w:p w14:paraId="2D69697C">
      <w:pPr>
        <w:pStyle w:val="223"/>
        <w:ind w:left="420" w:hanging="420" w:hangingChars="200"/>
        <w:rPr>
          <w:rFonts w:ascii="Times New Roman" w:eastAsia="黑体"/>
        </w:rPr>
      </w:pPr>
      <w:r>
        <w:rPr>
          <w:rFonts w:ascii="Times New Roman" w:eastAsia="黑体"/>
        </w:rPr>
        <w:br w:type="textWrapping"/>
      </w:r>
      <w:r>
        <w:rPr>
          <w:rFonts w:ascii="Times New Roman" w:eastAsia="黑体"/>
        </w:rPr>
        <w:t>绿色建筑 green building</w:t>
      </w:r>
    </w:p>
    <w:p w14:paraId="75788D9F">
      <w:pPr>
        <w:pStyle w:val="56"/>
        <w:ind w:firstLine="420"/>
        <w:rPr>
          <w:rFonts w:ascii="Times New Roman"/>
        </w:rPr>
      </w:pPr>
      <w:r>
        <w:rPr>
          <w:rFonts w:ascii="Times New Roman"/>
        </w:rPr>
        <w:t>在建筑全寿命期内，通过节约资源、保护环境、减少污染，为人们提供健康、适用、高效的使用空间，实现人与自然和谐共生的高质量建筑工程。</w:t>
      </w:r>
    </w:p>
    <w:p w14:paraId="648CCA2C">
      <w:pPr>
        <w:pStyle w:val="223"/>
        <w:ind w:left="420" w:hanging="420" w:hangingChars="200"/>
        <w:rPr>
          <w:rFonts w:ascii="Times New Roman" w:eastAsia="黑体"/>
        </w:rPr>
      </w:pPr>
    </w:p>
    <w:p w14:paraId="6CFFCBF1">
      <w:pPr>
        <w:pStyle w:val="223"/>
        <w:numPr>
          <w:ilvl w:val="0"/>
          <w:numId w:val="0"/>
        </w:numPr>
        <w:ind w:left="420"/>
        <w:rPr>
          <w:rFonts w:ascii="Times New Roman" w:eastAsia="黑体"/>
        </w:rPr>
      </w:pPr>
      <w:r>
        <w:rPr>
          <w:rFonts w:ascii="Times New Roman" w:eastAsia="黑体"/>
        </w:rPr>
        <w:t>工程造价 proje</w:t>
      </w:r>
      <w:r>
        <w:rPr>
          <w:rFonts w:hint="eastAsia" w:ascii="Times New Roman" w:eastAsia="黑体"/>
          <w:lang w:val="en-US" w:eastAsia="zh-CN"/>
        </w:rPr>
        <w:t>c</w:t>
      </w:r>
      <w:r>
        <w:rPr>
          <w:rFonts w:ascii="Times New Roman" w:eastAsia="黑体"/>
        </w:rPr>
        <w:t>t costs</w:t>
      </w:r>
    </w:p>
    <w:p w14:paraId="2C3FBB30">
      <w:pPr>
        <w:pStyle w:val="56"/>
        <w:ind w:firstLine="420"/>
        <w:rPr>
          <w:rFonts w:ascii="Times New Roman"/>
        </w:rPr>
      </w:pPr>
      <w:r>
        <w:rPr>
          <w:rFonts w:ascii="Times New Roman"/>
        </w:rPr>
        <w:t>指建设项目的预计或实际发生的全部工程建设费用。</w:t>
      </w:r>
    </w:p>
    <w:p w14:paraId="599009B6">
      <w:pPr>
        <w:pStyle w:val="223"/>
        <w:ind w:left="420" w:hanging="420" w:hangingChars="200"/>
        <w:rPr>
          <w:rFonts w:ascii="Times New Roman" w:eastAsia="黑体"/>
        </w:rPr>
      </w:pPr>
    </w:p>
    <w:p w14:paraId="206BDE31">
      <w:pPr>
        <w:pStyle w:val="223"/>
        <w:numPr>
          <w:ilvl w:val="0"/>
          <w:numId w:val="0"/>
        </w:numPr>
        <w:ind w:left="420"/>
        <w:rPr>
          <w:rFonts w:ascii="Times New Roman" w:eastAsia="黑体"/>
        </w:rPr>
      </w:pPr>
      <w:r>
        <w:rPr>
          <w:rFonts w:ascii="Times New Roman" w:eastAsia="黑体"/>
        </w:rPr>
        <w:t>工程量清单 bills of quantities</w:t>
      </w:r>
    </w:p>
    <w:p w14:paraId="76022533">
      <w:pPr>
        <w:pStyle w:val="56"/>
        <w:ind w:firstLine="420"/>
        <w:rPr>
          <w:rFonts w:ascii="Times New Roman" w:eastAsia="黑体"/>
        </w:rPr>
      </w:pPr>
      <w:r>
        <w:rPr>
          <w:rFonts w:ascii="Times New Roman"/>
        </w:rPr>
        <w:t>建设工程文件中载明各分部、分项工程名称、单位、特征和工程数量等。</w:t>
      </w:r>
    </w:p>
    <w:p w14:paraId="37BBEE43">
      <w:pPr>
        <w:pStyle w:val="223"/>
        <w:ind w:left="420" w:hanging="420" w:hangingChars="200"/>
        <w:rPr>
          <w:rFonts w:ascii="Times New Roman" w:eastAsia="黑体"/>
        </w:rPr>
      </w:pPr>
      <w:r>
        <w:rPr>
          <w:rFonts w:ascii="Times New Roman" w:eastAsia="黑体"/>
        </w:rPr>
        <w:br w:type="textWrapping"/>
      </w:r>
      <w:r>
        <w:rPr>
          <w:rFonts w:ascii="Times New Roman" w:eastAsia="黑体"/>
        </w:rPr>
        <w:t>数据维护 data maintenance</w:t>
      </w:r>
    </w:p>
    <w:p w14:paraId="47833CD0">
      <w:pPr>
        <w:pStyle w:val="56"/>
        <w:ind w:firstLine="420"/>
        <w:rPr>
          <w:rFonts w:ascii="Times New Roman"/>
        </w:rPr>
      </w:pPr>
      <w:r>
        <w:rPr>
          <w:rFonts w:ascii="Times New Roman"/>
        </w:rPr>
        <w:t>通过一系列操作保持数据库或信息系统的正常运行，确保数据的完整性、一致性和可维护性的过程。</w:t>
      </w:r>
    </w:p>
    <w:p w14:paraId="6D60A533">
      <w:pPr>
        <w:pStyle w:val="223"/>
        <w:ind w:left="420" w:hanging="420" w:hangingChars="200"/>
        <w:rPr>
          <w:rFonts w:ascii="Times New Roman" w:eastAsia="黑体"/>
        </w:rPr>
      </w:pPr>
      <w:r>
        <w:rPr>
          <w:rFonts w:ascii="Times New Roman" w:eastAsia="黑体"/>
        </w:rPr>
        <w:br w:type="textWrapping"/>
      </w:r>
      <w:r>
        <w:rPr>
          <w:rFonts w:ascii="Times New Roman" w:eastAsia="黑体"/>
        </w:rPr>
        <w:t>数据应用 data application</w:t>
      </w:r>
    </w:p>
    <w:p w14:paraId="08B1DCFB">
      <w:pPr>
        <w:pStyle w:val="56"/>
        <w:ind w:firstLine="420"/>
        <w:rPr>
          <w:rFonts w:ascii="Times New Roman"/>
        </w:rPr>
      </w:pPr>
      <w:r>
        <w:rPr>
          <w:rFonts w:ascii="Times New Roman"/>
        </w:rPr>
        <w:t>将收集、处理和分析后的数据转化为有价值的信息和知识，以支持决策制定、业务优化和创新实践的过程。</w:t>
      </w:r>
    </w:p>
    <w:p w14:paraId="1A72D0F7">
      <w:pPr>
        <w:pStyle w:val="104"/>
        <w:spacing w:before="240" w:after="240"/>
        <w:rPr>
          <w:rFonts w:ascii="Times New Roman"/>
        </w:rPr>
      </w:pPr>
      <w:bookmarkStart w:id="50" w:name="_Toc192769821"/>
      <w:r>
        <w:rPr>
          <w:rFonts w:ascii="Times New Roman"/>
        </w:rPr>
        <w:t>基本原则</w:t>
      </w:r>
      <w:bookmarkEnd w:id="50"/>
    </w:p>
    <w:p w14:paraId="41C764E1">
      <w:pPr>
        <w:pStyle w:val="105"/>
        <w:spacing w:before="120" w:after="120"/>
        <w:rPr>
          <w:rFonts w:ascii="Times New Roman"/>
        </w:rPr>
      </w:pPr>
      <w:r>
        <w:rPr>
          <w:rFonts w:ascii="Times New Roman"/>
        </w:rPr>
        <w:t>准确性</w:t>
      </w:r>
    </w:p>
    <w:p w14:paraId="1975DAB7">
      <w:pPr>
        <w:pStyle w:val="165"/>
        <w:rPr>
          <w:rFonts w:ascii="Times New Roman"/>
        </w:rPr>
      </w:pPr>
      <w:r>
        <w:rPr>
          <w:rFonts w:ascii="Times New Roman"/>
        </w:rPr>
        <w:t>采集、记录和处理的工程造价数据应真实反映实际状况。</w:t>
      </w:r>
    </w:p>
    <w:p w14:paraId="156E17EF">
      <w:pPr>
        <w:pStyle w:val="165"/>
        <w:rPr>
          <w:rFonts w:ascii="Times New Roman"/>
        </w:rPr>
      </w:pPr>
      <w:r>
        <w:rPr>
          <w:rFonts w:ascii="Times New Roman"/>
        </w:rPr>
        <w:t>应全面收集并妥善保存所有必要的工程造价信息，包括基础资料、工程量清单、成本估算、结算审计报告等。</w:t>
      </w:r>
    </w:p>
    <w:p w14:paraId="3B98EA17">
      <w:pPr>
        <w:pStyle w:val="105"/>
        <w:spacing w:before="120" w:after="120"/>
        <w:rPr>
          <w:rFonts w:ascii="Times New Roman"/>
        </w:rPr>
      </w:pPr>
      <w:r>
        <w:rPr>
          <w:rFonts w:ascii="Times New Roman"/>
        </w:rPr>
        <w:t>保密性</w:t>
      </w:r>
    </w:p>
    <w:p w14:paraId="74594C05">
      <w:pPr>
        <w:pStyle w:val="165"/>
        <w:rPr>
          <w:rFonts w:ascii="Times New Roman"/>
        </w:rPr>
      </w:pPr>
      <w:r>
        <w:rPr>
          <w:rFonts w:ascii="Times New Roman"/>
        </w:rPr>
        <w:t>应采取加密存储、权限控制、备份恢复机制等技术和管理措施保护工程造价数据。</w:t>
      </w:r>
    </w:p>
    <w:p w14:paraId="7201DD60">
      <w:pPr>
        <w:pStyle w:val="165"/>
        <w:rPr>
          <w:rFonts w:ascii="Times New Roman"/>
        </w:rPr>
      </w:pPr>
      <w:r>
        <w:rPr>
          <w:rFonts w:ascii="Times New Roman"/>
        </w:rPr>
        <w:t>应明确商业秘密等涉密数据的保护措施，限制未经授权的人员获取和使用敏感数据，严格把控数据传输、交换操作。</w:t>
      </w:r>
    </w:p>
    <w:p w14:paraId="4C969C91">
      <w:pPr>
        <w:pStyle w:val="105"/>
        <w:spacing w:before="120" w:after="120"/>
        <w:rPr>
          <w:rFonts w:ascii="Times New Roman"/>
        </w:rPr>
      </w:pPr>
      <w:r>
        <w:rPr>
          <w:rFonts w:ascii="Times New Roman"/>
        </w:rPr>
        <w:t>标准化</w:t>
      </w:r>
    </w:p>
    <w:p w14:paraId="490147B5">
      <w:pPr>
        <w:pStyle w:val="165"/>
        <w:rPr>
          <w:rFonts w:ascii="Times New Roman"/>
        </w:rPr>
      </w:pPr>
      <w:r>
        <w:rPr>
          <w:rFonts w:ascii="Times New Roman"/>
        </w:rPr>
        <w:t>工程造价数据应采用统一的数据格式和编码体系，对工程造价资料进行标识；</w:t>
      </w:r>
    </w:p>
    <w:p w14:paraId="5128CD35">
      <w:pPr>
        <w:pStyle w:val="165"/>
        <w:rPr>
          <w:rFonts w:ascii="Times New Roman"/>
        </w:rPr>
      </w:pPr>
      <w:r>
        <w:rPr>
          <w:rFonts w:ascii="Times New Roman"/>
        </w:rPr>
        <w:t>工程造价数据应制定标准化的数据采集、录入、校验、存储、查询和应用流程；</w:t>
      </w:r>
    </w:p>
    <w:p w14:paraId="25555E05">
      <w:pPr>
        <w:pStyle w:val="165"/>
        <w:rPr>
          <w:rFonts w:ascii="Times New Roman"/>
        </w:rPr>
      </w:pPr>
      <w:r>
        <w:rPr>
          <w:rFonts w:ascii="Times New Roman"/>
        </w:rPr>
        <w:t>工程造价数据交换应采用标准接口、协议、格式以及授权方式。</w:t>
      </w:r>
    </w:p>
    <w:p w14:paraId="5704B1A5">
      <w:pPr>
        <w:pStyle w:val="104"/>
        <w:spacing w:before="240" w:after="240"/>
        <w:rPr>
          <w:rFonts w:ascii="Times New Roman"/>
        </w:rPr>
      </w:pPr>
      <w:bookmarkStart w:id="51" w:name="_Toc192769822"/>
      <w:r>
        <w:rPr>
          <w:rFonts w:ascii="Times New Roman"/>
        </w:rPr>
        <w:t>数据采集</w:t>
      </w:r>
      <w:bookmarkEnd w:id="51"/>
    </w:p>
    <w:p w14:paraId="2DB9A3F7">
      <w:pPr>
        <w:pStyle w:val="105"/>
        <w:spacing w:before="120" w:after="120"/>
        <w:rPr>
          <w:rFonts w:ascii="Times New Roman"/>
        </w:rPr>
      </w:pPr>
      <w:r>
        <w:rPr>
          <w:rFonts w:ascii="Times New Roman"/>
        </w:rPr>
        <w:t>数据采集要求</w:t>
      </w:r>
    </w:p>
    <w:p w14:paraId="30ED5962">
      <w:pPr>
        <w:pStyle w:val="56"/>
        <w:ind w:firstLine="420"/>
        <w:rPr>
          <w:rFonts w:ascii="Times New Roman"/>
        </w:rPr>
      </w:pPr>
      <w:r>
        <w:rPr>
          <w:rFonts w:ascii="Times New Roman"/>
        </w:rPr>
        <w:t>应明确数据来源，包括以下内容：</w:t>
      </w:r>
    </w:p>
    <w:p w14:paraId="4A2C50EC">
      <w:pPr>
        <w:pStyle w:val="132"/>
        <w:rPr>
          <w:rFonts w:ascii="Times New Roman"/>
        </w:rPr>
      </w:pPr>
      <w:r>
        <w:rPr>
          <w:rFonts w:ascii="Times New Roman"/>
        </w:rPr>
        <w:t>设计图纸；</w:t>
      </w:r>
    </w:p>
    <w:p w14:paraId="0F77FC11">
      <w:pPr>
        <w:pStyle w:val="132"/>
        <w:rPr>
          <w:rFonts w:ascii="Times New Roman"/>
        </w:rPr>
      </w:pPr>
      <w:r>
        <w:rPr>
          <w:rFonts w:ascii="Times New Roman"/>
        </w:rPr>
        <w:t>合同文件；</w:t>
      </w:r>
    </w:p>
    <w:p w14:paraId="45D40CDA">
      <w:pPr>
        <w:pStyle w:val="132"/>
        <w:rPr>
          <w:rFonts w:ascii="Times New Roman"/>
        </w:rPr>
      </w:pPr>
      <w:r>
        <w:rPr>
          <w:rFonts w:ascii="Times New Roman"/>
        </w:rPr>
        <w:t>施工现场记录等。</w:t>
      </w:r>
    </w:p>
    <w:p w14:paraId="72FDE407">
      <w:pPr>
        <w:pStyle w:val="105"/>
        <w:spacing w:before="120" w:after="120"/>
        <w:rPr>
          <w:rFonts w:ascii="Times New Roman"/>
        </w:rPr>
      </w:pPr>
      <w:r>
        <w:rPr>
          <w:rFonts w:ascii="Times New Roman"/>
        </w:rPr>
        <w:t>数据采集方式</w:t>
      </w:r>
    </w:p>
    <w:p w14:paraId="1121E2C6">
      <w:pPr>
        <w:pStyle w:val="165"/>
        <w:rPr>
          <w:rFonts w:ascii="Times New Roman"/>
        </w:rPr>
      </w:pPr>
      <w:r>
        <w:rPr>
          <w:rFonts w:ascii="Times New Roman"/>
        </w:rPr>
        <w:t>应从设计、施工、监理等各个环节收集工程造价数据。</w:t>
      </w:r>
    </w:p>
    <w:p w14:paraId="66959E37">
      <w:pPr>
        <w:pStyle w:val="165"/>
        <w:rPr>
          <w:rFonts w:ascii="Times New Roman"/>
        </w:rPr>
      </w:pPr>
      <w:r>
        <w:rPr>
          <w:rFonts w:ascii="Times New Roman"/>
        </w:rPr>
        <w:t>可通过工程项目管理系统实时录入并自动汇总各类工程数据，包括以下内容：</w:t>
      </w:r>
    </w:p>
    <w:p w14:paraId="7F0A02D8">
      <w:pPr>
        <w:pStyle w:val="132"/>
        <w:rPr>
          <w:rFonts w:ascii="Times New Roman"/>
        </w:rPr>
      </w:pPr>
      <w:r>
        <w:rPr>
          <w:rFonts w:ascii="Times New Roman"/>
        </w:rPr>
        <w:t>项目名称；</w:t>
      </w:r>
    </w:p>
    <w:p w14:paraId="2616A118">
      <w:pPr>
        <w:pStyle w:val="132"/>
        <w:rPr>
          <w:rFonts w:ascii="Times New Roman"/>
        </w:rPr>
      </w:pPr>
      <w:r>
        <w:rPr>
          <w:rFonts w:ascii="Times New Roman"/>
        </w:rPr>
        <w:t>项目地点；</w:t>
      </w:r>
    </w:p>
    <w:p w14:paraId="3AABB8E5">
      <w:pPr>
        <w:pStyle w:val="132"/>
        <w:rPr>
          <w:rFonts w:ascii="Times New Roman"/>
        </w:rPr>
      </w:pPr>
      <w:r>
        <w:rPr>
          <w:rFonts w:ascii="Times New Roman"/>
        </w:rPr>
        <w:t>建设规模；</w:t>
      </w:r>
    </w:p>
    <w:p w14:paraId="05977B5F">
      <w:pPr>
        <w:pStyle w:val="132"/>
        <w:rPr>
          <w:rFonts w:ascii="Times New Roman"/>
        </w:rPr>
      </w:pPr>
      <w:r>
        <w:rPr>
          <w:rFonts w:ascii="Times New Roman"/>
        </w:rPr>
        <w:t>设计单位；</w:t>
      </w:r>
    </w:p>
    <w:p w14:paraId="615E9C57">
      <w:pPr>
        <w:pStyle w:val="132"/>
        <w:rPr>
          <w:rFonts w:ascii="Times New Roman"/>
        </w:rPr>
      </w:pPr>
      <w:r>
        <w:rPr>
          <w:rFonts w:ascii="Times New Roman"/>
        </w:rPr>
        <w:t>建设单位；</w:t>
      </w:r>
    </w:p>
    <w:p w14:paraId="72DFAEBE">
      <w:pPr>
        <w:pStyle w:val="132"/>
        <w:rPr>
          <w:rFonts w:ascii="Times New Roman"/>
        </w:rPr>
      </w:pPr>
      <w:r>
        <w:rPr>
          <w:rFonts w:ascii="Times New Roman"/>
        </w:rPr>
        <w:t>采购单据；</w:t>
      </w:r>
    </w:p>
    <w:p w14:paraId="74B87FCE">
      <w:pPr>
        <w:pStyle w:val="132"/>
        <w:rPr>
          <w:rFonts w:ascii="Times New Roman"/>
        </w:rPr>
      </w:pPr>
      <w:r>
        <w:rPr>
          <w:rFonts w:ascii="Times New Roman"/>
        </w:rPr>
        <w:t>工程量清单；</w:t>
      </w:r>
    </w:p>
    <w:p w14:paraId="75DF149F">
      <w:pPr>
        <w:pStyle w:val="132"/>
        <w:rPr>
          <w:rFonts w:ascii="Times New Roman"/>
        </w:rPr>
      </w:pPr>
      <w:r>
        <w:rPr>
          <w:rFonts w:ascii="Times New Roman"/>
        </w:rPr>
        <w:t>计价信息；</w:t>
      </w:r>
    </w:p>
    <w:p w14:paraId="5095C790">
      <w:pPr>
        <w:pStyle w:val="132"/>
        <w:rPr>
          <w:rFonts w:ascii="Times New Roman"/>
        </w:rPr>
      </w:pPr>
      <w:r>
        <w:rPr>
          <w:rFonts w:ascii="Times New Roman"/>
        </w:rPr>
        <w:t>材料设备价格；</w:t>
      </w:r>
    </w:p>
    <w:p w14:paraId="1B1A8F3F">
      <w:pPr>
        <w:pStyle w:val="132"/>
        <w:rPr>
          <w:rFonts w:ascii="Times New Roman"/>
        </w:rPr>
      </w:pPr>
      <w:r>
        <w:rPr>
          <w:rFonts w:ascii="Times New Roman"/>
        </w:rPr>
        <w:t>结算单；</w:t>
      </w:r>
    </w:p>
    <w:p w14:paraId="3A103406">
      <w:pPr>
        <w:pStyle w:val="132"/>
        <w:rPr>
          <w:rFonts w:ascii="Times New Roman"/>
        </w:rPr>
      </w:pPr>
      <w:r>
        <w:rPr>
          <w:rFonts w:ascii="Times New Roman"/>
        </w:rPr>
        <w:t>工程变更单；</w:t>
      </w:r>
    </w:p>
    <w:p w14:paraId="0A722097">
      <w:pPr>
        <w:pStyle w:val="132"/>
        <w:rPr>
          <w:rFonts w:ascii="Times New Roman"/>
        </w:rPr>
      </w:pPr>
      <w:r>
        <w:rPr>
          <w:rFonts w:ascii="Times New Roman"/>
        </w:rPr>
        <w:t>结算审计报告等。</w:t>
      </w:r>
    </w:p>
    <w:p w14:paraId="5758FB00">
      <w:pPr>
        <w:pStyle w:val="165"/>
        <w:rPr>
          <w:rFonts w:ascii="Times New Roman"/>
        </w:rPr>
      </w:pPr>
      <w:r>
        <w:rPr>
          <w:rFonts w:ascii="Times New Roman"/>
        </w:rPr>
        <w:t>可采取电子扫描方式对设计图纸、合同文件、施工现场记录等纸质文件进行录入采集。</w:t>
      </w:r>
    </w:p>
    <w:p w14:paraId="0BA2070B">
      <w:pPr>
        <w:pStyle w:val="105"/>
        <w:spacing w:before="120" w:after="120"/>
        <w:rPr>
          <w:rFonts w:ascii="Times New Roman"/>
        </w:rPr>
      </w:pPr>
      <w:r>
        <w:rPr>
          <w:rFonts w:ascii="Times New Roman"/>
        </w:rPr>
        <w:t>数据采集频率</w:t>
      </w:r>
    </w:p>
    <w:p w14:paraId="354CDAEF">
      <w:pPr>
        <w:pStyle w:val="56"/>
        <w:ind w:firstLine="420"/>
        <w:rPr>
          <w:rFonts w:ascii="Times New Roman"/>
        </w:rPr>
      </w:pPr>
      <w:r>
        <w:rPr>
          <w:rFonts w:ascii="Times New Roman"/>
        </w:rPr>
        <w:t>应明确数据收集的频率，根据工程进度需求合理安排数据收集的时间节点和频率；可根据工程项目的规模、复杂程度及项目阶段的不同，明确各类型数据的最低采集频率。建设工程各阶段的数据采集时间节点应为：</w:t>
      </w:r>
    </w:p>
    <w:p w14:paraId="6077D65E">
      <w:pPr>
        <w:pStyle w:val="132"/>
        <w:rPr>
          <w:rFonts w:ascii="Times New Roman"/>
        </w:rPr>
      </w:pPr>
      <w:r>
        <w:rPr>
          <w:rFonts w:ascii="Times New Roman"/>
        </w:rPr>
        <w:t>设计阶段：设计图纸更新或做出调整时，应及时计算新的工程量清单，并记录相应变更信息。</w:t>
      </w:r>
    </w:p>
    <w:p w14:paraId="57959189">
      <w:pPr>
        <w:pStyle w:val="132"/>
        <w:rPr>
          <w:rFonts w:ascii="Times New Roman"/>
        </w:rPr>
      </w:pPr>
      <w:r>
        <w:rPr>
          <w:rFonts w:ascii="Times New Roman"/>
        </w:rPr>
        <w:t>招标与合同签订阶段：中标通知书或合同签订后的关键数据，如合同金额、付款条款、工期等应在签订后立即录入系统；招标期间获取的市场询价、供应商报价等相关价格数据应及时收集并整理。</w:t>
      </w:r>
    </w:p>
    <w:p w14:paraId="04A48C24">
      <w:pPr>
        <w:pStyle w:val="132"/>
        <w:rPr>
          <w:rFonts w:ascii="Times New Roman"/>
        </w:rPr>
      </w:pPr>
      <w:r>
        <w:rPr>
          <w:rFonts w:ascii="Times New Roman"/>
        </w:rPr>
        <w:t>施工阶段：施工日志、材料进场单、设备租赁单据等实时成本数据宜每周或每月进行一次汇总采集；工程变更、签证、索赔事件发生后，需在5个工作日内完成相关数据的采集与更新；每月或每季度对施工现场的物资消耗、人力投入、机械使用等情况应进行全面盘点和统计，并对数据进行录入采集。</w:t>
      </w:r>
    </w:p>
    <w:p w14:paraId="3559D72E">
      <w:pPr>
        <w:pStyle w:val="132"/>
        <w:rPr>
          <w:rFonts w:ascii="Times New Roman"/>
        </w:rPr>
      </w:pPr>
      <w:r>
        <w:rPr>
          <w:rFonts w:ascii="Times New Roman"/>
        </w:rPr>
        <w:t>结算审计阶段：竣工验收完成后，应尽快开展工程决算工作，及时编制竣工结算书，并将相关数据录入数据库；审计报告出具后，应立即将最终审定的工程造价数据录入系统。</w:t>
      </w:r>
    </w:p>
    <w:p w14:paraId="1A2A895E">
      <w:pPr>
        <w:pStyle w:val="105"/>
        <w:spacing w:before="120" w:after="120"/>
        <w:rPr>
          <w:rFonts w:ascii="Times New Roman"/>
        </w:rPr>
      </w:pPr>
      <w:r>
        <w:rPr>
          <w:rFonts w:ascii="Times New Roman"/>
        </w:rPr>
        <w:t>数据种类</w:t>
      </w:r>
    </w:p>
    <w:p w14:paraId="6CE4A1F4">
      <w:pPr>
        <w:pStyle w:val="165"/>
        <w:rPr>
          <w:rFonts w:ascii="Times New Roman"/>
        </w:rPr>
      </w:pPr>
      <w:r>
        <w:rPr>
          <w:rFonts w:ascii="Times New Roman"/>
        </w:rPr>
        <w:t>建设工程工程量清单计价应用软件用于数据交换的的数据表应遵循以下要求：</w:t>
      </w:r>
    </w:p>
    <w:p w14:paraId="2B590B1F">
      <w:pPr>
        <w:pStyle w:val="132"/>
        <w:rPr>
          <w:rFonts w:ascii="Times New Roman"/>
        </w:rPr>
      </w:pPr>
      <w:r>
        <w:rPr>
          <w:rFonts w:ascii="Times New Roman"/>
        </w:rPr>
        <w:t>工程项目包括：</w:t>
      </w:r>
    </w:p>
    <w:p w14:paraId="17BAE853">
      <w:pPr>
        <w:pStyle w:val="187"/>
        <w:rPr>
          <w:rFonts w:ascii="Times New Roman"/>
        </w:rPr>
      </w:pPr>
      <w:r>
        <w:rPr>
          <w:rFonts w:ascii="Times New Roman"/>
        </w:rPr>
        <w:t>工程项目基本信息表；</w:t>
      </w:r>
    </w:p>
    <w:p w14:paraId="62FD2323">
      <w:pPr>
        <w:pStyle w:val="187"/>
        <w:rPr>
          <w:rFonts w:ascii="Times New Roman"/>
        </w:rPr>
      </w:pPr>
      <w:r>
        <w:rPr>
          <w:rFonts w:ascii="Times New Roman"/>
        </w:rPr>
        <w:t>工程项目招标信息表；</w:t>
      </w:r>
    </w:p>
    <w:p w14:paraId="7E5BB24B">
      <w:pPr>
        <w:pStyle w:val="187"/>
        <w:rPr>
          <w:rFonts w:ascii="Times New Roman"/>
        </w:rPr>
      </w:pPr>
      <w:r>
        <w:rPr>
          <w:rFonts w:ascii="Times New Roman"/>
        </w:rPr>
        <w:t>工程项目投标信息表；</w:t>
      </w:r>
    </w:p>
    <w:p w14:paraId="671FE992">
      <w:pPr>
        <w:pStyle w:val="187"/>
        <w:rPr>
          <w:rFonts w:ascii="Times New Roman"/>
        </w:rPr>
      </w:pPr>
      <w:r>
        <w:rPr>
          <w:rFonts w:ascii="Times New Roman"/>
        </w:rPr>
        <w:t>工程项目最高投标限价信息表；</w:t>
      </w:r>
    </w:p>
    <w:p w14:paraId="1C6D61F5">
      <w:pPr>
        <w:pStyle w:val="187"/>
        <w:rPr>
          <w:rFonts w:ascii="Times New Roman"/>
        </w:rPr>
      </w:pPr>
      <w:r>
        <w:rPr>
          <w:rFonts w:ascii="Times New Roman"/>
        </w:rPr>
        <w:t>工程项目竣工结算价信息表；</w:t>
      </w:r>
    </w:p>
    <w:p w14:paraId="3EEB604A">
      <w:pPr>
        <w:pStyle w:val="187"/>
        <w:rPr>
          <w:rFonts w:ascii="Times New Roman"/>
        </w:rPr>
      </w:pPr>
      <w:r>
        <w:rPr>
          <w:rFonts w:ascii="Times New Roman"/>
        </w:rPr>
        <w:t>工程项目附加信息表；</w:t>
      </w:r>
    </w:p>
    <w:p w14:paraId="6F710E46">
      <w:pPr>
        <w:pStyle w:val="132"/>
        <w:rPr>
          <w:rFonts w:ascii="Times New Roman"/>
        </w:rPr>
      </w:pPr>
      <w:r>
        <w:rPr>
          <w:rFonts w:ascii="Times New Roman"/>
        </w:rPr>
        <w:t>单项工程包括：</w:t>
      </w:r>
    </w:p>
    <w:p w14:paraId="4D8ACDB2">
      <w:pPr>
        <w:pStyle w:val="187"/>
        <w:rPr>
          <w:rFonts w:ascii="Times New Roman"/>
        </w:rPr>
      </w:pPr>
      <w:r>
        <w:rPr>
          <w:rFonts w:ascii="Times New Roman"/>
        </w:rPr>
        <w:t>单项工程基本信息表；</w:t>
      </w:r>
    </w:p>
    <w:p w14:paraId="3884B795">
      <w:pPr>
        <w:pStyle w:val="187"/>
        <w:rPr>
          <w:rFonts w:ascii="Times New Roman"/>
        </w:rPr>
      </w:pPr>
      <w:r>
        <w:rPr>
          <w:rFonts w:ascii="Times New Roman"/>
        </w:rPr>
        <w:t>单项工程概况信息表；</w:t>
      </w:r>
    </w:p>
    <w:p w14:paraId="66D9D909">
      <w:pPr>
        <w:pStyle w:val="187"/>
        <w:rPr>
          <w:rFonts w:ascii="Times New Roman"/>
        </w:rPr>
      </w:pPr>
      <w:r>
        <w:rPr>
          <w:rFonts w:ascii="Times New Roman"/>
        </w:rPr>
        <w:t>单项工程附加信息表；</w:t>
      </w:r>
    </w:p>
    <w:p w14:paraId="1FB9F4A8">
      <w:pPr>
        <w:pStyle w:val="132"/>
        <w:rPr>
          <w:rFonts w:ascii="Times New Roman"/>
        </w:rPr>
      </w:pPr>
      <w:r>
        <w:rPr>
          <w:rFonts w:ascii="Times New Roman"/>
        </w:rPr>
        <w:t>单位工程包括：</w:t>
      </w:r>
    </w:p>
    <w:p w14:paraId="3D9E3BE6">
      <w:pPr>
        <w:pStyle w:val="187"/>
        <w:rPr>
          <w:rFonts w:ascii="Times New Roman"/>
        </w:rPr>
      </w:pPr>
      <w:r>
        <w:rPr>
          <w:rFonts w:ascii="Times New Roman"/>
        </w:rPr>
        <w:t>单位工程基本信息表；</w:t>
      </w:r>
    </w:p>
    <w:p w14:paraId="4E682C86">
      <w:pPr>
        <w:pStyle w:val="187"/>
        <w:rPr>
          <w:rFonts w:ascii="Times New Roman"/>
        </w:rPr>
      </w:pPr>
      <w:r>
        <w:rPr>
          <w:rFonts w:ascii="Times New Roman"/>
        </w:rPr>
        <w:t>单位工程附加信息表；</w:t>
      </w:r>
    </w:p>
    <w:p w14:paraId="404D93D9">
      <w:pPr>
        <w:pStyle w:val="132"/>
        <w:rPr>
          <w:rFonts w:ascii="Times New Roman"/>
        </w:rPr>
      </w:pPr>
      <w:r>
        <w:rPr>
          <w:rFonts w:ascii="Times New Roman"/>
        </w:rPr>
        <w:t>分部分项包括：</w:t>
      </w:r>
    </w:p>
    <w:p w14:paraId="53EB2F58">
      <w:pPr>
        <w:pStyle w:val="187"/>
        <w:rPr>
          <w:rFonts w:ascii="Times New Roman"/>
        </w:rPr>
      </w:pPr>
      <w:r>
        <w:rPr>
          <w:rFonts w:ascii="Times New Roman"/>
        </w:rPr>
        <w:t>单位工程附加信息表；</w:t>
      </w:r>
    </w:p>
    <w:p w14:paraId="45373F81">
      <w:pPr>
        <w:pStyle w:val="187"/>
        <w:rPr>
          <w:rFonts w:ascii="Times New Roman"/>
        </w:rPr>
      </w:pPr>
      <w:r>
        <w:rPr>
          <w:rFonts w:ascii="Times New Roman"/>
        </w:rPr>
        <w:t>分部分项信息表；</w:t>
      </w:r>
    </w:p>
    <w:p w14:paraId="4749719A">
      <w:pPr>
        <w:pStyle w:val="187"/>
        <w:rPr>
          <w:rFonts w:ascii="Times New Roman"/>
        </w:rPr>
      </w:pPr>
      <w:r>
        <w:rPr>
          <w:rFonts w:ascii="Times New Roman"/>
        </w:rPr>
        <w:t>分部分项工程量清单与计价表；</w:t>
      </w:r>
    </w:p>
    <w:p w14:paraId="26109DB9">
      <w:pPr>
        <w:pStyle w:val="187"/>
        <w:rPr>
          <w:rFonts w:ascii="Times New Roman"/>
        </w:rPr>
      </w:pPr>
      <w:r>
        <w:rPr>
          <w:rFonts w:ascii="Times New Roman"/>
        </w:rPr>
        <w:t>分部分项工程量清单项目子目组价表；</w:t>
      </w:r>
    </w:p>
    <w:p w14:paraId="667F86B1">
      <w:pPr>
        <w:pStyle w:val="132"/>
        <w:rPr>
          <w:rFonts w:ascii="Times New Roman"/>
        </w:rPr>
      </w:pPr>
      <w:r>
        <w:rPr>
          <w:rFonts w:ascii="Times New Roman"/>
        </w:rPr>
        <w:t>工料机含量表；</w:t>
      </w:r>
    </w:p>
    <w:p w14:paraId="455F0EE4">
      <w:pPr>
        <w:pStyle w:val="132"/>
        <w:rPr>
          <w:rFonts w:ascii="Times New Roman"/>
        </w:rPr>
      </w:pPr>
      <w:r>
        <w:rPr>
          <w:rFonts w:ascii="Times New Roman"/>
        </w:rPr>
        <w:t>综合单价分析主要材料明细表；</w:t>
      </w:r>
    </w:p>
    <w:p w14:paraId="6ACB0B74">
      <w:pPr>
        <w:pStyle w:val="132"/>
        <w:rPr>
          <w:rFonts w:ascii="Times New Roman"/>
        </w:rPr>
      </w:pPr>
      <w:r>
        <w:rPr>
          <w:rFonts w:ascii="Times New Roman"/>
        </w:rPr>
        <w:t>措施项目信息表；</w:t>
      </w:r>
    </w:p>
    <w:p w14:paraId="0A835E0D">
      <w:pPr>
        <w:pStyle w:val="132"/>
        <w:rPr>
          <w:rFonts w:ascii="Times New Roman"/>
        </w:rPr>
      </w:pPr>
      <w:r>
        <w:rPr>
          <w:rFonts w:ascii="Times New Roman"/>
        </w:rPr>
        <w:t>总价措施项目计价表；</w:t>
      </w:r>
    </w:p>
    <w:p w14:paraId="6CBBC467">
      <w:pPr>
        <w:pStyle w:val="132"/>
        <w:rPr>
          <w:rFonts w:ascii="Times New Roman"/>
        </w:rPr>
      </w:pPr>
      <w:r>
        <w:rPr>
          <w:rFonts w:ascii="Times New Roman"/>
        </w:rPr>
        <w:t>单价措施项目计价表；</w:t>
      </w:r>
    </w:p>
    <w:p w14:paraId="7A6A9FA5">
      <w:pPr>
        <w:pStyle w:val="132"/>
        <w:rPr>
          <w:rFonts w:ascii="Times New Roman"/>
        </w:rPr>
      </w:pPr>
      <w:r>
        <w:rPr>
          <w:rFonts w:ascii="Times New Roman"/>
        </w:rPr>
        <w:t>单价措施项目子目组价表；</w:t>
      </w:r>
    </w:p>
    <w:p w14:paraId="694AE565">
      <w:pPr>
        <w:pStyle w:val="132"/>
        <w:rPr>
          <w:rFonts w:ascii="Times New Roman"/>
        </w:rPr>
      </w:pPr>
      <w:r>
        <w:rPr>
          <w:rFonts w:ascii="Times New Roman"/>
        </w:rPr>
        <w:t>其它项目清单包括：</w:t>
      </w:r>
    </w:p>
    <w:p w14:paraId="71002EBC">
      <w:pPr>
        <w:pStyle w:val="187"/>
        <w:rPr>
          <w:rFonts w:ascii="Times New Roman"/>
        </w:rPr>
      </w:pPr>
      <w:r>
        <w:rPr>
          <w:rFonts w:ascii="Times New Roman"/>
        </w:rPr>
        <w:t>其他项目清单与计价汇总表；</w:t>
      </w:r>
    </w:p>
    <w:p w14:paraId="4FE662FE">
      <w:pPr>
        <w:pStyle w:val="187"/>
        <w:rPr>
          <w:rFonts w:ascii="Times New Roman"/>
        </w:rPr>
      </w:pPr>
      <w:r>
        <w:rPr>
          <w:rFonts w:ascii="Times New Roman"/>
        </w:rPr>
        <w:t>计日工信息表；</w:t>
      </w:r>
    </w:p>
    <w:p w14:paraId="6E522DEE">
      <w:pPr>
        <w:pStyle w:val="187"/>
        <w:rPr>
          <w:rFonts w:ascii="Times New Roman"/>
        </w:rPr>
      </w:pPr>
      <w:r>
        <w:rPr>
          <w:rFonts w:ascii="Times New Roman"/>
        </w:rPr>
        <w:t>计日工明细表；</w:t>
      </w:r>
    </w:p>
    <w:p w14:paraId="17C329D8">
      <w:pPr>
        <w:pStyle w:val="187"/>
        <w:rPr>
          <w:rFonts w:ascii="Times New Roman"/>
        </w:rPr>
      </w:pPr>
      <w:r>
        <w:rPr>
          <w:rFonts w:ascii="Times New Roman"/>
        </w:rPr>
        <w:t>暂列金额明细表；</w:t>
      </w:r>
    </w:p>
    <w:p w14:paraId="2629835F">
      <w:pPr>
        <w:pStyle w:val="187"/>
        <w:rPr>
          <w:rFonts w:ascii="Times New Roman"/>
        </w:rPr>
      </w:pPr>
      <w:r>
        <w:rPr>
          <w:rFonts w:ascii="Times New Roman"/>
        </w:rPr>
        <w:t>专业工程暂估价表；</w:t>
      </w:r>
    </w:p>
    <w:p w14:paraId="0FC17FE3">
      <w:pPr>
        <w:pStyle w:val="187"/>
        <w:rPr>
          <w:rFonts w:ascii="Times New Roman"/>
        </w:rPr>
      </w:pPr>
      <w:r>
        <w:rPr>
          <w:rFonts w:ascii="Times New Roman"/>
        </w:rPr>
        <w:t>材料暂估价表；</w:t>
      </w:r>
    </w:p>
    <w:p w14:paraId="1174E334">
      <w:pPr>
        <w:pStyle w:val="187"/>
        <w:rPr>
          <w:rFonts w:ascii="Times New Roman"/>
        </w:rPr>
      </w:pPr>
      <w:r>
        <w:rPr>
          <w:rFonts w:ascii="Times New Roman"/>
        </w:rPr>
        <w:t>总承包服务标题；</w:t>
      </w:r>
    </w:p>
    <w:p w14:paraId="086E3B54">
      <w:pPr>
        <w:pStyle w:val="187"/>
        <w:rPr>
          <w:rFonts w:ascii="Times New Roman"/>
        </w:rPr>
      </w:pPr>
      <w:r>
        <w:rPr>
          <w:rFonts w:ascii="Times New Roman"/>
        </w:rPr>
        <w:t>总承包服务费计价表；</w:t>
      </w:r>
    </w:p>
    <w:p w14:paraId="07E6BE9D">
      <w:pPr>
        <w:pStyle w:val="132"/>
        <w:rPr>
          <w:rFonts w:ascii="Times New Roman"/>
        </w:rPr>
      </w:pPr>
      <w:r>
        <w:rPr>
          <w:rFonts w:ascii="Times New Roman"/>
        </w:rPr>
        <w:t>工料机汇总表；</w:t>
      </w:r>
    </w:p>
    <w:p w14:paraId="3A2B503F">
      <w:pPr>
        <w:pStyle w:val="132"/>
        <w:rPr>
          <w:rFonts w:ascii="Times New Roman"/>
        </w:rPr>
      </w:pPr>
      <w:r>
        <w:rPr>
          <w:rFonts w:ascii="Times New Roman"/>
        </w:rPr>
        <w:t>费用项目计价表；</w:t>
      </w:r>
    </w:p>
    <w:p w14:paraId="2AB2581B">
      <w:pPr>
        <w:pStyle w:val="132"/>
        <w:rPr>
          <w:rFonts w:ascii="Times New Roman"/>
        </w:rPr>
      </w:pPr>
      <w:r>
        <w:rPr>
          <w:rFonts w:ascii="Times New Roman"/>
        </w:rPr>
        <w:t>配合比材料明细表；</w:t>
      </w:r>
    </w:p>
    <w:p w14:paraId="16EAC7C5">
      <w:pPr>
        <w:pStyle w:val="132"/>
        <w:rPr>
          <w:rFonts w:ascii="Times New Roman"/>
        </w:rPr>
      </w:pPr>
      <w:r>
        <w:rPr>
          <w:rFonts w:ascii="Times New Roman"/>
        </w:rPr>
        <w:t>索赔与现场签证明细表；</w:t>
      </w:r>
    </w:p>
    <w:p w14:paraId="47FEA0BD">
      <w:pPr>
        <w:pStyle w:val="132"/>
        <w:rPr>
          <w:rFonts w:ascii="Times New Roman"/>
        </w:rPr>
      </w:pPr>
      <w:r>
        <w:rPr>
          <w:rFonts w:ascii="Times New Roman"/>
        </w:rPr>
        <w:t>承包人主要材料造价信息差额调整法；</w:t>
      </w:r>
    </w:p>
    <w:p w14:paraId="0E695A24">
      <w:pPr>
        <w:pStyle w:val="132"/>
        <w:rPr>
          <w:rFonts w:ascii="Times New Roman"/>
        </w:rPr>
      </w:pPr>
      <w:r>
        <w:rPr>
          <w:rFonts w:ascii="Times New Roman"/>
        </w:rPr>
        <w:t>承包人主要材料指数信息差额调整法；</w:t>
      </w:r>
    </w:p>
    <w:p w14:paraId="7AB3C4A2">
      <w:pPr>
        <w:pStyle w:val="132"/>
        <w:rPr>
          <w:rFonts w:ascii="Times New Roman"/>
        </w:rPr>
      </w:pPr>
      <w:r>
        <w:rPr>
          <w:rFonts w:ascii="Times New Roman"/>
        </w:rPr>
        <w:t>发包人提供材料和工程设备；</w:t>
      </w:r>
    </w:p>
    <w:p w14:paraId="19B42C79">
      <w:pPr>
        <w:pStyle w:val="132"/>
        <w:rPr>
          <w:rFonts w:ascii="Times New Roman"/>
        </w:rPr>
      </w:pPr>
      <w:r>
        <w:rPr>
          <w:rFonts w:ascii="Times New Roman"/>
        </w:rPr>
        <w:t>取费文件。</w:t>
      </w:r>
    </w:p>
    <w:p w14:paraId="0BE81DEC">
      <w:pPr>
        <w:pStyle w:val="165"/>
        <w:rPr>
          <w:rFonts w:ascii="Times New Roman"/>
        </w:rPr>
      </w:pPr>
      <w:r>
        <w:rPr>
          <w:rFonts w:ascii="Times New Roman"/>
        </w:rPr>
        <w:t>应以工程量清单计价为主，其数据对象为采用GB 50500的各类建设工程计价软件生成的工程造价成果文件。</w:t>
      </w:r>
    </w:p>
    <w:p w14:paraId="369B6357">
      <w:pPr>
        <w:pStyle w:val="104"/>
        <w:spacing w:before="240" w:after="240"/>
        <w:rPr>
          <w:rFonts w:ascii="Times New Roman"/>
        </w:rPr>
      </w:pPr>
      <w:bookmarkStart w:id="52" w:name="_Toc192769823"/>
      <w:r>
        <w:rPr>
          <w:rFonts w:ascii="Times New Roman"/>
        </w:rPr>
        <w:t>数据整理</w:t>
      </w:r>
      <w:bookmarkEnd w:id="52"/>
    </w:p>
    <w:p w14:paraId="023EDF2B">
      <w:pPr>
        <w:pStyle w:val="105"/>
        <w:spacing w:before="120" w:after="120"/>
        <w:rPr>
          <w:rFonts w:ascii="Times New Roman"/>
        </w:rPr>
      </w:pPr>
      <w:r>
        <w:rPr>
          <w:rFonts w:ascii="Times New Roman"/>
        </w:rPr>
        <w:t>数据清洗与验证</w:t>
      </w:r>
    </w:p>
    <w:p w14:paraId="58D6497F">
      <w:pPr>
        <w:pStyle w:val="56"/>
        <w:ind w:firstLine="420"/>
        <w:rPr>
          <w:rFonts w:ascii="Times New Roman"/>
        </w:rPr>
      </w:pPr>
      <w:r>
        <w:rPr>
          <w:rFonts w:ascii="Times New Roman"/>
        </w:rPr>
        <w:t>应对采集到的数据进行有效性、完整性和一致性检查，剔除重复、错误或不完整的数据</w:t>
      </w:r>
      <w:r>
        <w:rPr>
          <w:rFonts w:hint="eastAsia" w:ascii="Times New Roman"/>
        </w:rPr>
        <w:t>，</w:t>
      </w:r>
      <w:r>
        <w:rPr>
          <w:rFonts w:ascii="Times New Roman"/>
        </w:rPr>
        <w:t>可通过逻辑校验、格式化处理等方式确保数据质量，如对数字、日期等字段进行标准化处理。</w:t>
      </w:r>
    </w:p>
    <w:p w14:paraId="2FCE639B">
      <w:pPr>
        <w:pStyle w:val="105"/>
        <w:spacing w:before="120" w:after="120"/>
        <w:rPr>
          <w:rFonts w:ascii="Times New Roman"/>
        </w:rPr>
      </w:pPr>
      <w:r>
        <w:rPr>
          <w:rFonts w:ascii="Times New Roman"/>
        </w:rPr>
        <w:t>数据整合与关联</w:t>
      </w:r>
    </w:p>
    <w:p w14:paraId="150F5C16">
      <w:pPr>
        <w:pStyle w:val="165"/>
        <w:rPr>
          <w:rFonts w:ascii="Times New Roman"/>
        </w:rPr>
      </w:pPr>
      <w:r>
        <w:rPr>
          <w:rFonts w:ascii="Times New Roman"/>
        </w:rPr>
        <w:t>应建立并维护不同数据表之间的逻辑关联关系，如将分部分项工程量与对应的人工、材料、机械费用明细数据关联起来，形成完整的造价明细表。</w:t>
      </w:r>
    </w:p>
    <w:p w14:paraId="553F1B32">
      <w:pPr>
        <w:pStyle w:val="165"/>
        <w:rPr>
          <w:rFonts w:ascii="Times New Roman"/>
        </w:rPr>
      </w:pPr>
      <w:r>
        <w:rPr>
          <w:rFonts w:ascii="Times New Roman"/>
        </w:rPr>
        <w:t>对于时间序列数据，应明确记录每条数据对应的工程进度节点或时间段，按照项目实施的时间顺序对数据进行排序和标记，实现工程造价数据的时间维度关联。</w:t>
      </w:r>
    </w:p>
    <w:p w14:paraId="1FE26FB6">
      <w:pPr>
        <w:pStyle w:val="165"/>
        <w:rPr>
          <w:rFonts w:ascii="Times New Roman"/>
        </w:rPr>
      </w:pPr>
      <w:r>
        <w:rPr>
          <w:rFonts w:ascii="Times New Roman"/>
        </w:rPr>
        <w:t>对于周期性的数据，如月度成本报表、季度结算资料等，应明确记录并维护其对应的时间段。</w:t>
      </w:r>
    </w:p>
    <w:p w14:paraId="4CE46060">
      <w:pPr>
        <w:pStyle w:val="105"/>
        <w:spacing w:before="120" w:after="120"/>
        <w:rPr>
          <w:rFonts w:ascii="Times New Roman"/>
        </w:rPr>
      </w:pPr>
      <w:r>
        <w:rPr>
          <w:rFonts w:ascii="Times New Roman"/>
        </w:rPr>
        <w:t>数据提取</w:t>
      </w:r>
    </w:p>
    <w:p w14:paraId="705212BF">
      <w:pPr>
        <w:pStyle w:val="165"/>
        <w:rPr>
          <w:rFonts w:ascii="Times New Roman"/>
        </w:rPr>
      </w:pPr>
      <w:r>
        <w:rPr>
          <w:rFonts w:ascii="Times New Roman"/>
        </w:rPr>
        <w:t>可对整理后的数据进行初步统计分析，生成汇总表、趋势图等直观展示数据特征。</w:t>
      </w:r>
    </w:p>
    <w:p w14:paraId="17A61B5B">
      <w:pPr>
        <w:pStyle w:val="165"/>
        <w:rPr>
          <w:rFonts w:ascii="Times New Roman"/>
        </w:rPr>
      </w:pPr>
      <w:r>
        <w:rPr>
          <w:rFonts w:ascii="Times New Roman"/>
        </w:rPr>
        <w:t>可从录入数据中提取关键指标，计算比率、指数等生成数据集。</w:t>
      </w:r>
    </w:p>
    <w:p w14:paraId="5A74302C">
      <w:pPr>
        <w:pStyle w:val="105"/>
        <w:spacing w:before="120" w:after="120"/>
        <w:rPr>
          <w:rFonts w:ascii="Times New Roman"/>
        </w:rPr>
      </w:pPr>
      <w:r>
        <w:rPr>
          <w:rFonts w:ascii="Times New Roman"/>
        </w:rPr>
        <w:t>数据检索查询</w:t>
      </w:r>
    </w:p>
    <w:p w14:paraId="7401E6E9">
      <w:pPr>
        <w:pStyle w:val="56"/>
        <w:ind w:firstLine="420"/>
        <w:rPr>
          <w:rFonts w:ascii="Times New Roman"/>
        </w:rPr>
      </w:pPr>
      <w:r>
        <w:rPr>
          <w:rFonts w:ascii="Times New Roman"/>
        </w:rPr>
        <w:t>应规定用于数据检索时的数据匹配策略和算法，可通过唯一标识符（如项目编号、合同号）进行精确匹配，或可运用模糊匹配技术对名称相似但表述不完全一致的数据进行关联。</w:t>
      </w:r>
    </w:p>
    <w:p w14:paraId="08047C13">
      <w:pPr>
        <w:pStyle w:val="105"/>
        <w:spacing w:before="120" w:after="120"/>
        <w:rPr>
          <w:rFonts w:ascii="Times New Roman"/>
        </w:rPr>
      </w:pPr>
      <w:r>
        <w:rPr>
          <w:rFonts w:ascii="Times New Roman"/>
        </w:rPr>
        <w:t>数据质量控制</w:t>
      </w:r>
    </w:p>
    <w:p w14:paraId="5B502D4B">
      <w:pPr>
        <w:pStyle w:val="56"/>
        <w:ind w:firstLine="420"/>
        <w:rPr>
          <w:rFonts w:ascii="Times New Roman"/>
        </w:rPr>
      </w:pPr>
      <w:r>
        <w:rPr>
          <w:rFonts w:ascii="Times New Roman"/>
        </w:rPr>
        <w:t>在数据整合过程中，应实施严格的质量控制措施，可采用数据一致性检查、缺失值填充、重复数据消除等方式进行数据处理。</w:t>
      </w:r>
    </w:p>
    <w:p w14:paraId="2DE66C57">
      <w:pPr>
        <w:pStyle w:val="105"/>
        <w:spacing w:before="120" w:after="120"/>
        <w:rPr>
          <w:rFonts w:ascii="Times New Roman"/>
        </w:rPr>
      </w:pPr>
      <w:r>
        <w:rPr>
          <w:rFonts w:ascii="Times New Roman"/>
        </w:rPr>
        <w:t>数据更新</w:t>
      </w:r>
    </w:p>
    <w:p w14:paraId="052C1D9E">
      <w:pPr>
        <w:pStyle w:val="165"/>
        <w:rPr>
          <w:rFonts w:ascii="Times New Roman"/>
        </w:rPr>
      </w:pPr>
      <w:r>
        <w:rPr>
          <w:rFonts w:ascii="Times New Roman"/>
        </w:rPr>
        <w:t>对于变动频繁的实时成本信息（如材料市场价格、人工费用、机械设备租赁费等），应设置实时或每日更新机制，通过自动化工具抓取市场报价、内部结算系统导入等方式及时更新。</w:t>
      </w:r>
    </w:p>
    <w:p w14:paraId="22E77A15">
      <w:pPr>
        <w:pStyle w:val="165"/>
        <w:rPr>
          <w:rFonts w:ascii="Times New Roman"/>
        </w:rPr>
      </w:pPr>
      <w:r>
        <w:rPr>
          <w:rFonts w:ascii="Times New Roman"/>
        </w:rPr>
        <w:t>在项目关键阶段，如设计变更审批、合同修订、施工过程中的签证变更、阶段性付款结算等时间节点，应及时对相关造价数据进行更新和整理。</w:t>
      </w:r>
    </w:p>
    <w:p w14:paraId="254339F1">
      <w:pPr>
        <w:pStyle w:val="165"/>
        <w:rPr>
          <w:rFonts w:ascii="Times New Roman"/>
        </w:rPr>
      </w:pPr>
      <w:r>
        <w:rPr>
          <w:rFonts w:ascii="Times New Roman"/>
        </w:rPr>
        <w:t>应设定不同角色用户对数据的修改权限，所有更新操作应经过审核确认。</w:t>
      </w:r>
    </w:p>
    <w:p w14:paraId="28FF3A6D">
      <w:pPr>
        <w:pStyle w:val="165"/>
        <w:rPr>
          <w:rFonts w:ascii="Times New Roman"/>
        </w:rPr>
      </w:pPr>
      <w:r>
        <w:rPr>
          <w:rFonts w:ascii="Times New Roman"/>
        </w:rPr>
        <w:t>应设置数据异常预警机制，当某项指标超过预设阈值时，系统自动提示并启动调查核实，从而驱动数据的更新和修正。</w:t>
      </w:r>
    </w:p>
    <w:p w14:paraId="62713346">
      <w:pPr>
        <w:pStyle w:val="105"/>
        <w:spacing w:before="120" w:after="120"/>
        <w:rPr>
          <w:rFonts w:ascii="Times New Roman"/>
        </w:rPr>
      </w:pPr>
      <w:r>
        <w:rPr>
          <w:rFonts w:ascii="Times New Roman"/>
        </w:rPr>
        <w:t>文档归档与组织</w:t>
      </w:r>
    </w:p>
    <w:p w14:paraId="56A4707A">
      <w:pPr>
        <w:pStyle w:val="56"/>
        <w:ind w:firstLine="420"/>
        <w:rPr>
          <w:rFonts w:ascii="Times New Roman"/>
        </w:rPr>
      </w:pPr>
      <w:r>
        <w:rPr>
          <w:rFonts w:ascii="Times New Roman"/>
        </w:rPr>
        <w:t>所有纸质或电子形式的原始数据文件（如设计图纸、合同文件、签证变更单等）应按照一定的目录结构进行归档</w:t>
      </w:r>
      <w:r>
        <w:rPr>
          <w:rFonts w:hint="eastAsia" w:ascii="Times New Roman"/>
        </w:rPr>
        <w:t>，</w:t>
      </w:r>
      <w:r>
        <w:rPr>
          <w:rFonts w:ascii="Times New Roman"/>
        </w:rPr>
        <w:t>同时应规定可反映文档内容和属性的文档命名规则。</w:t>
      </w:r>
    </w:p>
    <w:p w14:paraId="1E9E69CF">
      <w:pPr>
        <w:pStyle w:val="104"/>
        <w:spacing w:before="240" w:after="240"/>
        <w:rPr>
          <w:rFonts w:ascii="Times New Roman"/>
        </w:rPr>
      </w:pPr>
      <w:bookmarkStart w:id="53" w:name="_Toc192769824"/>
      <w:r>
        <w:rPr>
          <w:rFonts w:ascii="Times New Roman"/>
        </w:rPr>
        <w:t>数据存储</w:t>
      </w:r>
      <w:bookmarkEnd w:id="53"/>
    </w:p>
    <w:p w14:paraId="3E4DFB0D">
      <w:pPr>
        <w:pStyle w:val="105"/>
        <w:spacing w:before="120" w:after="120"/>
        <w:rPr>
          <w:rFonts w:ascii="Times New Roman"/>
        </w:rPr>
      </w:pPr>
      <w:r>
        <w:rPr>
          <w:rFonts w:ascii="Times New Roman"/>
        </w:rPr>
        <w:t>数据存储格式</w:t>
      </w:r>
    </w:p>
    <w:p w14:paraId="50A4EBD3">
      <w:pPr>
        <w:pStyle w:val="165"/>
        <w:rPr>
          <w:rFonts w:ascii="Times New Roman"/>
        </w:rPr>
      </w:pPr>
      <w:r>
        <w:rPr>
          <w:rFonts w:ascii="Times New Roman"/>
        </w:rPr>
        <w:t>所有存储的工程造价数据应遵循统一的数据格式和编码规则，可采用行业或国家标准规定的XML、JSON等结构化格式。</w:t>
      </w:r>
    </w:p>
    <w:p w14:paraId="61F7F024">
      <w:pPr>
        <w:pStyle w:val="165"/>
        <w:rPr>
          <w:rFonts w:ascii="Times New Roman"/>
        </w:rPr>
      </w:pPr>
      <w:r>
        <w:rPr>
          <w:rFonts w:ascii="Times New Roman"/>
        </w:rPr>
        <w:t>数据字段应按照业务需求定义清晰，应与国家或地方发布的工程造价信息标准相一致。</w:t>
      </w:r>
    </w:p>
    <w:p w14:paraId="7FC483E5">
      <w:pPr>
        <w:pStyle w:val="105"/>
        <w:spacing w:before="120" w:after="120"/>
        <w:rPr>
          <w:rFonts w:ascii="Times New Roman"/>
        </w:rPr>
      </w:pPr>
      <w:r>
        <w:rPr>
          <w:rFonts w:ascii="Times New Roman"/>
        </w:rPr>
        <w:t>数据存储位置</w:t>
      </w:r>
    </w:p>
    <w:p w14:paraId="3104DAD5">
      <w:pPr>
        <w:pStyle w:val="56"/>
        <w:ind w:firstLine="420"/>
        <w:rPr>
          <w:rFonts w:ascii="Times New Roman"/>
        </w:rPr>
      </w:pPr>
      <w:r>
        <w:rPr>
          <w:rFonts w:ascii="Times New Roman"/>
        </w:rPr>
        <w:t>可根据实际情况考虑将部分数据存储在云端。</w:t>
      </w:r>
    </w:p>
    <w:p w14:paraId="224BF3EC">
      <w:pPr>
        <w:pStyle w:val="105"/>
        <w:spacing w:before="120" w:after="120"/>
        <w:rPr>
          <w:rFonts w:ascii="Times New Roman"/>
        </w:rPr>
      </w:pPr>
      <w:r>
        <w:rPr>
          <w:rFonts w:ascii="Times New Roman"/>
        </w:rPr>
        <w:t>数据安全与保密</w:t>
      </w:r>
    </w:p>
    <w:p w14:paraId="56D976B4">
      <w:pPr>
        <w:pStyle w:val="165"/>
        <w:rPr>
          <w:rFonts w:ascii="Times New Roman"/>
        </w:rPr>
      </w:pPr>
      <w:r>
        <w:rPr>
          <w:rFonts w:ascii="Times New Roman"/>
        </w:rPr>
        <w:t>应建立完善的数据加密机制，对敏感数据进行加密存储，在传输过程中可采用SSL/TLS加密协议。</w:t>
      </w:r>
    </w:p>
    <w:p w14:paraId="6FABCCA7">
      <w:pPr>
        <w:pStyle w:val="165"/>
        <w:rPr>
          <w:rFonts w:ascii="Times New Roman"/>
        </w:rPr>
      </w:pPr>
      <w:r>
        <w:rPr>
          <w:rFonts w:ascii="Times New Roman"/>
        </w:rPr>
        <w:t>应实施严格的权限管理制度，明确不同角色用户对数据的访问、编辑、删除权限，可采取多层身份验证技术，如用户名密码结合动态口令或生物识别等方法进行登录验证。</w:t>
      </w:r>
    </w:p>
    <w:p w14:paraId="2CD706C6">
      <w:pPr>
        <w:pStyle w:val="165"/>
        <w:rPr>
          <w:rFonts w:ascii="Times New Roman"/>
        </w:rPr>
      </w:pPr>
      <w:r>
        <w:rPr>
          <w:rFonts w:ascii="Times New Roman"/>
        </w:rPr>
        <w:t>应建立日志管理系统，记录所有用户对工程造价数据的操作行为，便于追溯和审计。</w:t>
      </w:r>
    </w:p>
    <w:p w14:paraId="502BA72E">
      <w:pPr>
        <w:pStyle w:val="165"/>
        <w:rPr>
          <w:rFonts w:ascii="Times New Roman"/>
        </w:rPr>
      </w:pPr>
      <w:r>
        <w:rPr>
          <w:rFonts w:ascii="Times New Roman"/>
        </w:rPr>
        <w:t>应定期进行内部审计和外部第三方审计，检查并改进安全策略执行情况。</w:t>
      </w:r>
    </w:p>
    <w:p w14:paraId="35B973F7">
      <w:pPr>
        <w:pStyle w:val="165"/>
        <w:rPr>
          <w:rFonts w:ascii="Times New Roman"/>
        </w:rPr>
      </w:pPr>
      <w:r>
        <w:rPr>
          <w:rFonts w:ascii="Times New Roman"/>
        </w:rPr>
        <w:t>应对全体员工定期组织信息安全保密培训。</w:t>
      </w:r>
    </w:p>
    <w:p w14:paraId="26A2A5EC">
      <w:pPr>
        <w:pStyle w:val="105"/>
        <w:spacing w:before="120" w:after="120"/>
        <w:rPr>
          <w:rFonts w:ascii="Times New Roman"/>
        </w:rPr>
      </w:pPr>
      <w:r>
        <w:rPr>
          <w:rFonts w:ascii="Times New Roman"/>
        </w:rPr>
        <w:t>备份与恢复策略</w:t>
      </w:r>
    </w:p>
    <w:p w14:paraId="48C40462">
      <w:pPr>
        <w:pStyle w:val="165"/>
        <w:rPr>
          <w:rFonts w:ascii="Times New Roman"/>
        </w:rPr>
      </w:pPr>
      <w:r>
        <w:rPr>
          <w:rFonts w:ascii="Times New Roman"/>
        </w:rPr>
        <w:t>应定期执行数据备份操作，备份数据应可恢复到特定时间点，备份频率应满足业务连续性和灾难恢复的需求。</w:t>
      </w:r>
    </w:p>
    <w:p w14:paraId="22E8FF8A">
      <w:pPr>
        <w:pStyle w:val="165"/>
        <w:rPr>
          <w:rFonts w:ascii="Times New Roman"/>
        </w:rPr>
      </w:pPr>
      <w:r>
        <w:rPr>
          <w:rFonts w:ascii="Times New Roman"/>
        </w:rPr>
        <w:t>存储系统应具备灾备能力，可采取异地备份、多副本冗余存储等措施。</w:t>
      </w:r>
    </w:p>
    <w:p w14:paraId="1DE28C8A">
      <w:pPr>
        <w:pStyle w:val="165"/>
        <w:rPr>
          <w:rFonts w:ascii="Times New Roman"/>
        </w:rPr>
      </w:pPr>
      <w:r>
        <w:rPr>
          <w:rFonts w:ascii="Times New Roman"/>
        </w:rPr>
        <w:t>各类数据的保存期限，应根据法律法规和项目特性设定合理的档案保管期限，如竣工决算资料至少保留一定年限。</w:t>
      </w:r>
    </w:p>
    <w:p w14:paraId="17363C7D">
      <w:pPr>
        <w:pStyle w:val="105"/>
        <w:spacing w:before="120" w:after="120"/>
        <w:rPr>
          <w:rFonts w:ascii="Times New Roman"/>
        </w:rPr>
      </w:pPr>
      <w:r>
        <w:rPr>
          <w:rFonts w:ascii="Times New Roman"/>
        </w:rPr>
        <w:t>数据库设计与优化</w:t>
      </w:r>
    </w:p>
    <w:p w14:paraId="16BB3D49">
      <w:pPr>
        <w:pStyle w:val="165"/>
        <w:rPr>
          <w:rFonts w:ascii="Times New Roman"/>
        </w:rPr>
      </w:pPr>
      <w:r>
        <w:rPr>
          <w:rFonts w:ascii="Times New Roman"/>
        </w:rPr>
        <w:t>应根据数据特点和使用场景选择合适的数据库类型，如关系型数据库。</w:t>
      </w:r>
    </w:p>
    <w:p w14:paraId="282AE400">
      <w:pPr>
        <w:pStyle w:val="165"/>
        <w:rPr>
          <w:rFonts w:ascii="Times New Roman"/>
        </w:rPr>
      </w:pPr>
      <w:r>
        <w:rPr>
          <w:rFonts w:ascii="Times New Roman"/>
        </w:rPr>
        <w:t>应对数据库进行定期维护与性能优化，包括索引构建、碎片整理、数据清理等工作。</w:t>
      </w:r>
    </w:p>
    <w:p w14:paraId="10799C9C">
      <w:pPr>
        <w:pStyle w:val="105"/>
        <w:spacing w:before="120" w:after="120"/>
        <w:rPr>
          <w:rFonts w:ascii="Times New Roman"/>
        </w:rPr>
      </w:pPr>
      <w:r>
        <w:rPr>
          <w:rFonts w:ascii="Times New Roman"/>
        </w:rPr>
        <w:t>数据合规</w:t>
      </w:r>
    </w:p>
    <w:p w14:paraId="2479C086">
      <w:pPr>
        <w:pStyle w:val="165"/>
        <w:rPr>
          <w:rFonts w:ascii="Times New Roman"/>
        </w:rPr>
      </w:pPr>
      <w:r>
        <w:rPr>
          <w:rFonts w:ascii="Times New Roman"/>
        </w:rPr>
        <w:t>数据规范性应符合GB/T 51095、GB/T 51262的规定。</w:t>
      </w:r>
    </w:p>
    <w:p w14:paraId="6DDBA2D4">
      <w:pPr>
        <w:pStyle w:val="165"/>
        <w:rPr>
          <w:rFonts w:ascii="Times New Roman"/>
        </w:rPr>
      </w:pPr>
      <w:r>
        <w:rPr>
          <w:rFonts w:ascii="Times New Roman"/>
        </w:rPr>
        <w:t>数据存储应配合审计需求必要时提供完整的数据修改记录和日志。</w:t>
      </w:r>
    </w:p>
    <w:p w14:paraId="491B14CD">
      <w:pPr>
        <w:pStyle w:val="104"/>
        <w:spacing w:before="240" w:after="240"/>
        <w:rPr>
          <w:rFonts w:ascii="Times New Roman"/>
        </w:rPr>
      </w:pPr>
      <w:bookmarkStart w:id="54" w:name="_Toc192769825"/>
      <w:r>
        <w:rPr>
          <w:rFonts w:ascii="Times New Roman"/>
        </w:rPr>
        <w:t>数据维护</w:t>
      </w:r>
      <w:bookmarkEnd w:id="54"/>
    </w:p>
    <w:p w14:paraId="3F74C5B2">
      <w:pPr>
        <w:pStyle w:val="105"/>
        <w:spacing w:before="120" w:after="120"/>
        <w:rPr>
          <w:rFonts w:ascii="Times New Roman"/>
        </w:rPr>
      </w:pPr>
      <w:r>
        <w:rPr>
          <w:rFonts w:ascii="Times New Roman"/>
        </w:rPr>
        <w:t>数据更新机制</w:t>
      </w:r>
    </w:p>
    <w:p w14:paraId="7DD10CC9">
      <w:pPr>
        <w:pStyle w:val="165"/>
        <w:rPr>
          <w:rFonts w:ascii="Times New Roman"/>
        </w:rPr>
      </w:pPr>
      <w:r>
        <w:rPr>
          <w:rFonts w:ascii="Times New Roman"/>
        </w:rPr>
        <w:t>应建立定期的数据审查机制，对存储在系统中的数据进行全面检查，识别并处理过时或无效的信息。审查周期应根据项目进展和数据变化频率进行合理设定。</w:t>
      </w:r>
    </w:p>
    <w:p w14:paraId="57E47407">
      <w:pPr>
        <w:pStyle w:val="165"/>
        <w:rPr>
          <w:rFonts w:ascii="Times New Roman"/>
        </w:rPr>
      </w:pPr>
      <w:r>
        <w:rPr>
          <w:rFonts w:ascii="Times New Roman"/>
        </w:rPr>
        <w:t>当项目发生变更（如设计变更、材料替换、工程量调整等）时，宜立即更新相关数据，确保数据的实时性。这要求建立有效的数据变更通知流程，确保所有相关人员都能及时了解到数据的变化。</w:t>
      </w:r>
    </w:p>
    <w:p w14:paraId="724417DE">
      <w:pPr>
        <w:pStyle w:val="165"/>
        <w:rPr>
          <w:rFonts w:ascii="Times New Roman"/>
        </w:rPr>
      </w:pPr>
      <w:r>
        <w:rPr>
          <w:rFonts w:ascii="Times New Roman"/>
        </w:rPr>
        <w:t>在更新数据时，应保留历史版本，以便在需要时进行追溯或对比分析。历史数据的存储和管理应遵循一定的规则，确保数据的可访问性和完整性。</w:t>
      </w:r>
    </w:p>
    <w:p w14:paraId="39548BFF">
      <w:pPr>
        <w:pStyle w:val="105"/>
        <w:spacing w:before="120" w:after="120"/>
        <w:rPr>
          <w:rFonts w:ascii="Times New Roman"/>
        </w:rPr>
      </w:pPr>
      <w:r>
        <w:rPr>
          <w:rFonts w:ascii="Times New Roman"/>
        </w:rPr>
        <w:t>数据备份与恢复</w:t>
      </w:r>
    </w:p>
    <w:p w14:paraId="7B8B8249">
      <w:pPr>
        <w:pStyle w:val="165"/>
        <w:rPr>
          <w:rFonts w:ascii="Times New Roman"/>
        </w:rPr>
      </w:pPr>
      <w:r>
        <w:rPr>
          <w:rFonts w:ascii="Times New Roman"/>
        </w:rPr>
        <w:t>应制定数据备份计划，定期对数据库进行备份，以防止数据丢失或损坏。备份的频率和存储位置应根据数据的重要性和恢复需求进行合理规划。</w:t>
      </w:r>
    </w:p>
    <w:p w14:paraId="321223C1">
      <w:pPr>
        <w:pStyle w:val="165"/>
        <w:rPr>
          <w:rFonts w:ascii="Times New Roman"/>
        </w:rPr>
      </w:pPr>
      <w:r>
        <w:rPr>
          <w:rFonts w:ascii="Times New Roman"/>
        </w:rPr>
        <w:t>备份完成后，宜进行备份验证，确保备份数据的可读性和完整性。这可以通过恢复测试来验证，以确保在需要时能够顺利恢复数据。</w:t>
      </w:r>
    </w:p>
    <w:p w14:paraId="7CF2790D">
      <w:pPr>
        <w:pStyle w:val="165"/>
        <w:rPr>
          <w:rFonts w:ascii="Times New Roman"/>
        </w:rPr>
      </w:pPr>
      <w:r>
        <w:rPr>
          <w:rFonts w:ascii="Times New Roman"/>
        </w:rPr>
        <w:t>应制定灾难恢复计划，以应对可能的数据丢失或损坏情况。该计划应包括数据恢复流程、恢复时间目标和恢复点目标等关键要素，确保在发生意外时能够迅速恢复数据。</w:t>
      </w:r>
    </w:p>
    <w:p w14:paraId="7D1AF509">
      <w:pPr>
        <w:pStyle w:val="105"/>
        <w:spacing w:before="120" w:after="120"/>
        <w:rPr>
          <w:rFonts w:ascii="Times New Roman"/>
        </w:rPr>
      </w:pPr>
      <w:r>
        <w:rPr>
          <w:rFonts w:ascii="Times New Roman"/>
        </w:rPr>
        <w:t>数据安全与访问控制</w:t>
      </w:r>
    </w:p>
    <w:p w14:paraId="0E374A4A">
      <w:pPr>
        <w:pStyle w:val="165"/>
        <w:rPr>
          <w:rFonts w:ascii="Times New Roman"/>
        </w:rPr>
      </w:pPr>
      <w:r>
        <w:rPr>
          <w:rFonts w:ascii="Times New Roman"/>
        </w:rPr>
        <w:t>应建立严格的访问权限管理制度，对不同用户设定不同的访问权限，确保只有授权人员能够访问敏感数据。权限管理应遵循最小权限原则，即用户只能访问其完成工作所需的最小数据集。</w:t>
      </w:r>
    </w:p>
    <w:p w14:paraId="7A29C1A3">
      <w:pPr>
        <w:pStyle w:val="165"/>
        <w:rPr>
          <w:rFonts w:ascii="Times New Roman"/>
        </w:rPr>
      </w:pPr>
      <w:r>
        <w:rPr>
          <w:rFonts w:ascii="Times New Roman"/>
        </w:rPr>
        <w:t>对于敏感数据（如个人隐私、商业秘密等），宜采用加密技术进行保护。加密应涵盖数据传输和存储两个环节，确保数据在传输过程中不被窃听或篡改，在存储时不被非法访问。</w:t>
      </w:r>
    </w:p>
    <w:p w14:paraId="2EF6725E">
      <w:pPr>
        <w:pStyle w:val="165"/>
        <w:rPr>
          <w:rFonts w:ascii="Times New Roman"/>
        </w:rPr>
      </w:pPr>
      <w:r>
        <w:rPr>
          <w:rFonts w:ascii="Times New Roman"/>
        </w:rPr>
        <w:t>应建立安全审计机制，记录所有对数据的访问和操作行为。这有助于及时发现异常行为，追踪数据泄露或损坏的源头，并为后续的安全改进提供依据。</w:t>
      </w:r>
    </w:p>
    <w:p w14:paraId="3F8E4635">
      <w:pPr>
        <w:pStyle w:val="105"/>
        <w:spacing w:before="120" w:after="120"/>
        <w:rPr>
          <w:rFonts w:ascii="Times New Roman"/>
        </w:rPr>
      </w:pPr>
      <w:r>
        <w:rPr>
          <w:rFonts w:ascii="Times New Roman"/>
        </w:rPr>
        <w:t>数据质量监控</w:t>
      </w:r>
    </w:p>
    <w:p w14:paraId="502832B9">
      <w:pPr>
        <w:pStyle w:val="165"/>
        <w:rPr>
          <w:rFonts w:ascii="Times New Roman"/>
        </w:rPr>
      </w:pPr>
      <w:r>
        <w:rPr>
          <w:rFonts w:ascii="Times New Roman"/>
        </w:rPr>
        <w:t>应定期进行数据质量检查，包括数据的完整性、准确性、一致性和时效性等方面。检查结果应形成报告，供相关人员参考和改进。</w:t>
      </w:r>
    </w:p>
    <w:p w14:paraId="312ECA62">
      <w:pPr>
        <w:pStyle w:val="165"/>
        <w:rPr>
          <w:rFonts w:ascii="Times New Roman"/>
        </w:rPr>
      </w:pPr>
      <w:r>
        <w:rPr>
          <w:rFonts w:ascii="Times New Roman"/>
        </w:rPr>
        <w:t>在发现数据质量问题时，宜及时进行数据清洗和修正。清洗过程应遵循一定的规则和标准，确保数据的一致性和准确性。修正后的数据应重新进行质量检查，确保问题得到妥善解决。</w:t>
      </w:r>
    </w:p>
    <w:p w14:paraId="56F0E815">
      <w:pPr>
        <w:pStyle w:val="104"/>
        <w:spacing w:before="240" w:after="240"/>
        <w:rPr>
          <w:rFonts w:ascii="Times New Roman"/>
        </w:rPr>
      </w:pPr>
      <w:bookmarkStart w:id="55" w:name="_Toc192769826"/>
      <w:r>
        <w:rPr>
          <w:rFonts w:ascii="Times New Roman"/>
        </w:rPr>
        <w:t>数据应用</w:t>
      </w:r>
      <w:bookmarkEnd w:id="55"/>
    </w:p>
    <w:p w14:paraId="1460F673">
      <w:pPr>
        <w:pStyle w:val="105"/>
        <w:spacing w:before="120" w:after="120"/>
        <w:rPr>
          <w:rFonts w:ascii="Times New Roman"/>
        </w:rPr>
      </w:pPr>
      <w:r>
        <w:rPr>
          <w:rFonts w:ascii="Times New Roman"/>
        </w:rPr>
        <w:t>成本分析与控制</w:t>
      </w:r>
    </w:p>
    <w:p w14:paraId="66DB56C4">
      <w:pPr>
        <w:pStyle w:val="165"/>
        <w:rPr>
          <w:rFonts w:ascii="Times New Roman"/>
        </w:rPr>
      </w:pPr>
      <w:r>
        <w:rPr>
          <w:rFonts w:ascii="Times New Roman"/>
        </w:rPr>
        <w:t>应利用历史项目数据和当前市场情况，对绿色建筑工程进行初步的成本估算。这包括材料成本、人工成本、设备成本等各项费用的预测，为项目预算的制定提供依据。</w:t>
      </w:r>
    </w:p>
    <w:p w14:paraId="079C97DD">
      <w:pPr>
        <w:pStyle w:val="165"/>
        <w:rPr>
          <w:rFonts w:ascii="Times New Roman"/>
        </w:rPr>
      </w:pPr>
      <w:r>
        <w:rPr>
          <w:rFonts w:ascii="Times New Roman"/>
        </w:rPr>
        <w:t>在项目实施过程中，宜定期对比实际成本与预算成本，分析成本偏差的原因，并采取相应的控制措施。可通过建立成本监控报表、设置成本预警阈值等方式实现。</w:t>
      </w:r>
    </w:p>
    <w:p w14:paraId="1D7ABA07">
      <w:pPr>
        <w:pStyle w:val="165"/>
        <w:rPr>
          <w:rFonts w:ascii="Times New Roman"/>
        </w:rPr>
      </w:pPr>
      <w:r>
        <w:rPr>
          <w:rFonts w:ascii="Times New Roman"/>
        </w:rPr>
        <w:t>应利用数据分析工具，识别成本节约的潜力，提出成本优化的建议。例如，通过对比不同材料的价格和质量，选择性价比更高的材料；通过优化施工计划，减少资源浪费和停工待料的情况。</w:t>
      </w:r>
    </w:p>
    <w:p w14:paraId="083F4FA0">
      <w:pPr>
        <w:pStyle w:val="105"/>
        <w:spacing w:before="120" w:after="120"/>
        <w:rPr>
          <w:rFonts w:ascii="Times New Roman"/>
        </w:rPr>
      </w:pPr>
      <w:r>
        <w:rPr>
          <w:rFonts w:ascii="Times New Roman"/>
        </w:rPr>
        <w:t>预算编制与审核</w:t>
      </w:r>
    </w:p>
    <w:p w14:paraId="7FDE5FA0">
      <w:pPr>
        <w:pStyle w:val="165"/>
        <w:rPr>
          <w:rFonts w:ascii="Times New Roman"/>
        </w:rPr>
      </w:pPr>
      <w:r>
        <w:rPr>
          <w:rFonts w:ascii="Times New Roman"/>
        </w:rPr>
        <w:t>应基于详细的设计文件和成本估算结果，编制绿色建筑工程的预算。预算编制过程中，宜充分考虑项目的特点和市场环境的变化，确保预算的合理性和准确性。</w:t>
      </w:r>
    </w:p>
    <w:p w14:paraId="1107674D">
      <w:pPr>
        <w:pStyle w:val="165"/>
        <w:rPr>
          <w:rFonts w:ascii="Times New Roman"/>
        </w:rPr>
      </w:pPr>
      <w:r>
        <w:rPr>
          <w:rFonts w:ascii="Times New Roman"/>
        </w:rPr>
        <w:t>预算编制完成后，宜进行预算审核，确保预算的合规性和可行性。审核过程中，应重点关注预算的完整性、合理性和风险控制等方面。</w:t>
      </w:r>
    </w:p>
    <w:p w14:paraId="6412B748">
      <w:pPr>
        <w:pStyle w:val="105"/>
        <w:spacing w:before="120" w:after="120"/>
        <w:rPr>
          <w:rFonts w:ascii="Times New Roman"/>
        </w:rPr>
      </w:pPr>
      <w:r>
        <w:rPr>
          <w:rFonts w:ascii="Times New Roman"/>
        </w:rPr>
        <w:t>投标报价与合同管理</w:t>
      </w:r>
    </w:p>
    <w:p w14:paraId="3D0E3BD8">
      <w:pPr>
        <w:pStyle w:val="165"/>
        <w:rPr>
          <w:rFonts w:ascii="Times New Roman"/>
        </w:rPr>
      </w:pPr>
      <w:r>
        <w:rPr>
          <w:rFonts w:ascii="Times New Roman"/>
        </w:rPr>
        <w:t>在投标过程中，应充分利用造价数据，制定合理的投标报价。这包括分析竞争对手的报价策略、评估项目的风险和利润等因素，确保报价的竞争力。</w:t>
      </w:r>
    </w:p>
    <w:p w14:paraId="661A9C84">
      <w:pPr>
        <w:pStyle w:val="165"/>
        <w:rPr>
          <w:rFonts w:ascii="Times New Roman"/>
        </w:rPr>
      </w:pPr>
      <w:r>
        <w:rPr>
          <w:rFonts w:ascii="Times New Roman"/>
        </w:rPr>
        <w:t>合同签订后，宜利用数据对合同执行情况进行跟踪和管理。这包括监控合同变更、处理合同索赔、评估合同风险等方面，确保合同的顺利履行。</w:t>
      </w:r>
    </w:p>
    <w:p w14:paraId="25F365FF">
      <w:pPr>
        <w:pStyle w:val="105"/>
        <w:spacing w:before="120" w:after="120"/>
        <w:rPr>
          <w:rFonts w:ascii="Times New Roman"/>
        </w:rPr>
      </w:pPr>
      <w:r>
        <w:rPr>
          <w:rFonts w:ascii="Times New Roman"/>
        </w:rPr>
        <w:t>绩效评价与决策支持</w:t>
      </w:r>
    </w:p>
    <w:p w14:paraId="059CACA6">
      <w:pPr>
        <w:pStyle w:val="165"/>
        <w:rPr>
          <w:rFonts w:ascii="Times New Roman"/>
        </w:rPr>
      </w:pPr>
      <w:r>
        <w:rPr>
          <w:rFonts w:ascii="Times New Roman"/>
        </w:rPr>
        <w:t>项目完成后，应利用造价数据对项目的成本绩效进行评价。这包括对比实际成本与预算成本、分析成本节约或超支的原因、评估项目的经济效益和社会效益等方面。</w:t>
      </w:r>
    </w:p>
    <w:p w14:paraId="66981AF1">
      <w:pPr>
        <w:pStyle w:val="165"/>
        <w:rPr>
          <w:rFonts w:ascii="Times New Roman"/>
        </w:rPr>
      </w:pPr>
      <w:r>
        <w:rPr>
          <w:rFonts w:ascii="Times New Roman"/>
        </w:rPr>
        <w:t>在项目的各个阶段，宜利用数据分析工具为决策提供支持。例如，在设计阶段，可以通过分析不同设计方案的成本效益，选择最优的设计方案；在施工阶段，可以通过分析施工进度和成本数据，调整施工计划以降低成本和提高效率。</w:t>
      </w:r>
    </w:p>
    <w:p w14:paraId="744E8A0E">
      <w:pPr>
        <w:pStyle w:val="105"/>
        <w:spacing w:before="120" w:after="120"/>
        <w:rPr>
          <w:rFonts w:ascii="Times New Roman"/>
        </w:rPr>
      </w:pPr>
      <w:r>
        <w:rPr>
          <w:rFonts w:ascii="Times New Roman"/>
        </w:rPr>
        <w:t>数据可视化与报告</w:t>
      </w:r>
    </w:p>
    <w:p w14:paraId="04133A9E">
      <w:pPr>
        <w:pStyle w:val="165"/>
        <w:rPr>
          <w:rFonts w:ascii="Times New Roman"/>
        </w:rPr>
      </w:pPr>
      <w:r>
        <w:rPr>
          <w:rFonts w:ascii="Times New Roman"/>
        </w:rPr>
        <w:t>为了更直观地展示数据和分析结果，应利用数据可视化工具将数据转化为图表、图像等形式。这有助于相关人员更快地理解数据和分析结果，提高决策效率。</w:t>
      </w:r>
    </w:p>
    <w:p w14:paraId="70BC78DE">
      <w:pPr>
        <w:pStyle w:val="165"/>
        <w:rPr>
          <w:rFonts w:ascii="Times New Roman"/>
        </w:rPr>
      </w:pPr>
      <w:r>
        <w:rPr>
          <w:rFonts w:ascii="Times New Roman"/>
        </w:rPr>
        <w:t>应定期编制数据应用报告，总结数据的分析结果和应用效果。报告应包含详细的数据分析过程、结论和建议，以及数据应用过程中遇到的问题和解决方案。</w:t>
      </w:r>
    </w:p>
    <w:p w14:paraId="0CB57798">
      <w:pPr>
        <w:pStyle w:val="105"/>
        <w:spacing w:before="120" w:after="120"/>
        <w:rPr>
          <w:rFonts w:ascii="Times New Roman"/>
        </w:rPr>
      </w:pPr>
      <w:r>
        <w:rPr>
          <w:rFonts w:ascii="Times New Roman"/>
        </w:rPr>
        <w:t>风险识别</w:t>
      </w:r>
    </w:p>
    <w:p w14:paraId="28B9C116">
      <w:pPr>
        <w:pStyle w:val="56"/>
        <w:ind w:firstLine="420"/>
        <w:rPr>
          <w:rFonts w:ascii="Times New Roman"/>
        </w:rPr>
      </w:pPr>
      <w:r>
        <w:rPr>
          <w:rFonts w:ascii="Times New Roman"/>
        </w:rPr>
        <w:t>可制定针对工程造价数据的风险识别策略，通过对历史工程造价数据的深入分析，发现潜在的成本超支点或节约空间；应建立风险应对措施及预案，及时调整成本控制方案。</w:t>
      </w:r>
    </w:p>
    <w:p w14:paraId="603ED092">
      <w:pPr>
        <w:pStyle w:val="104"/>
        <w:spacing w:before="240" w:after="240"/>
        <w:rPr>
          <w:rFonts w:ascii="Times New Roman"/>
        </w:rPr>
      </w:pPr>
      <w:bookmarkStart w:id="56" w:name="_Toc192769827"/>
      <w:r>
        <w:rPr>
          <w:rFonts w:ascii="Times New Roman"/>
        </w:rPr>
        <w:t>数据控制</w:t>
      </w:r>
      <w:bookmarkEnd w:id="56"/>
    </w:p>
    <w:p w14:paraId="427406F1">
      <w:pPr>
        <w:pStyle w:val="105"/>
        <w:spacing w:before="120" w:after="120"/>
        <w:rPr>
          <w:rFonts w:ascii="Times New Roman"/>
        </w:rPr>
      </w:pPr>
      <w:r>
        <w:rPr>
          <w:rFonts w:ascii="Times New Roman"/>
        </w:rPr>
        <w:t>数据格式</w:t>
      </w:r>
    </w:p>
    <w:p w14:paraId="0E55D32E">
      <w:pPr>
        <w:pStyle w:val="165"/>
        <w:rPr>
          <w:rFonts w:ascii="Times New Roman"/>
        </w:rPr>
      </w:pPr>
      <w:r>
        <w:rPr>
          <w:rFonts w:ascii="Times New Roman"/>
        </w:rPr>
        <w:t>应制定统一的数据格式标准，包括日期格式、数字格式、文本编码等，以确保不同来源的数据能够无缝集成和比较。</w:t>
      </w:r>
    </w:p>
    <w:p w14:paraId="0D933599">
      <w:pPr>
        <w:pStyle w:val="165"/>
        <w:rPr>
          <w:rFonts w:ascii="Times New Roman"/>
        </w:rPr>
      </w:pPr>
      <w:r>
        <w:rPr>
          <w:rFonts w:ascii="Times New Roman"/>
        </w:rPr>
        <w:t>宜采用国际或行业通用的数据格式标准，如CSV、Excel、JSON等，以提高数据的可读性和通用性。</w:t>
      </w:r>
    </w:p>
    <w:p w14:paraId="25B2A78F">
      <w:pPr>
        <w:pStyle w:val="165"/>
        <w:rPr>
          <w:rFonts w:ascii="Times New Roman"/>
        </w:rPr>
      </w:pPr>
      <w:r>
        <w:rPr>
          <w:rFonts w:ascii="Times New Roman"/>
        </w:rPr>
        <w:t>应建立数据编码体系，对每一项数据进行唯一标识，确保数据的可追溯性和准确性。</w:t>
      </w:r>
    </w:p>
    <w:p w14:paraId="51D2DD95">
      <w:pPr>
        <w:pStyle w:val="165"/>
        <w:rPr>
          <w:rFonts w:ascii="Times New Roman"/>
        </w:rPr>
      </w:pPr>
      <w:r>
        <w:rPr>
          <w:rFonts w:ascii="Times New Roman"/>
        </w:rPr>
        <w:t>数据编码应遵循简洁、明了、易于理解的原则，避免使用模糊或容易引起歧义的编码方式。</w:t>
      </w:r>
    </w:p>
    <w:p w14:paraId="218B85A8">
      <w:pPr>
        <w:pStyle w:val="105"/>
        <w:spacing w:before="120" w:after="120"/>
        <w:rPr>
          <w:rFonts w:ascii="Times New Roman"/>
        </w:rPr>
      </w:pPr>
      <w:r>
        <w:rPr>
          <w:rFonts w:ascii="Times New Roman"/>
        </w:rPr>
        <w:t>数据质量</w:t>
      </w:r>
    </w:p>
    <w:p w14:paraId="2C1B202A">
      <w:pPr>
        <w:pStyle w:val="165"/>
        <w:rPr>
          <w:rFonts w:ascii="Times New Roman"/>
        </w:rPr>
      </w:pPr>
      <w:r>
        <w:rPr>
          <w:rFonts w:ascii="Times New Roman"/>
        </w:rPr>
        <w:t>数据</w:t>
      </w:r>
      <w:r>
        <w:rPr>
          <w:rFonts w:hint="eastAsia" w:ascii="Times New Roman"/>
        </w:rPr>
        <w:t>应具有</w:t>
      </w:r>
      <w:r>
        <w:rPr>
          <w:rFonts w:ascii="Times New Roman"/>
        </w:rPr>
        <w:t>完整</w:t>
      </w:r>
      <w:r>
        <w:rPr>
          <w:rFonts w:hint="eastAsia" w:ascii="Times New Roman"/>
        </w:rPr>
        <w:t>性</w:t>
      </w:r>
      <w:r>
        <w:rPr>
          <w:rFonts w:ascii="Times New Roman"/>
        </w:rPr>
        <w:t>，即数据应包含所有必要的信息，不应有遗漏或缺失。</w:t>
      </w:r>
    </w:p>
    <w:p w14:paraId="27ADB630">
      <w:pPr>
        <w:pStyle w:val="165"/>
        <w:rPr>
          <w:rFonts w:ascii="Times New Roman"/>
        </w:rPr>
      </w:pPr>
      <w:r>
        <w:rPr>
          <w:rFonts w:hint="eastAsia" w:ascii="Times New Roman"/>
        </w:rPr>
        <w:t>可</w:t>
      </w:r>
      <w:r>
        <w:rPr>
          <w:rFonts w:ascii="Times New Roman"/>
        </w:rPr>
        <w:t>通过数据校验和完整性检查等手段</w:t>
      </w:r>
      <w:r>
        <w:rPr>
          <w:rFonts w:hint="eastAsia" w:ascii="Times New Roman"/>
        </w:rPr>
        <w:t>来检查</w:t>
      </w:r>
      <w:r>
        <w:rPr>
          <w:rFonts w:ascii="Times New Roman"/>
        </w:rPr>
        <w:t>数据的完整性</w:t>
      </w:r>
      <w:r>
        <w:rPr>
          <w:rFonts w:hint="eastAsia" w:ascii="Times New Roman"/>
        </w:rPr>
        <w:t>、</w:t>
      </w:r>
      <w:r>
        <w:rPr>
          <w:rFonts w:ascii="Times New Roman"/>
        </w:rPr>
        <w:t>一致性。</w:t>
      </w:r>
    </w:p>
    <w:p w14:paraId="1B6BAE69">
      <w:pPr>
        <w:pStyle w:val="165"/>
        <w:rPr>
          <w:rFonts w:ascii="Times New Roman"/>
        </w:rPr>
      </w:pPr>
      <w:r>
        <w:rPr>
          <w:rFonts w:hint="eastAsia" w:ascii="Times New Roman"/>
        </w:rPr>
        <w:t>数据应具有</w:t>
      </w:r>
      <w:r>
        <w:rPr>
          <w:rFonts w:ascii="Times New Roman"/>
        </w:rPr>
        <w:t>准确性，即数据应真实反映实际情况，不应有错误或误导性信息。</w:t>
      </w:r>
    </w:p>
    <w:p w14:paraId="0D0EC2EC">
      <w:pPr>
        <w:pStyle w:val="165"/>
        <w:rPr>
          <w:rFonts w:ascii="Times New Roman"/>
        </w:rPr>
      </w:pPr>
      <w:r>
        <w:rPr>
          <w:rFonts w:ascii="Times New Roman"/>
        </w:rPr>
        <w:t>宜采用数据清洗、数据验证等方法，提高数据的准确性和可靠性。</w:t>
      </w:r>
    </w:p>
    <w:p w14:paraId="00C7B4F8">
      <w:pPr>
        <w:pStyle w:val="165"/>
        <w:rPr>
          <w:rFonts w:ascii="Times New Roman"/>
        </w:rPr>
      </w:pPr>
      <w:r>
        <w:rPr>
          <w:rFonts w:hint="eastAsia" w:ascii="Times New Roman"/>
        </w:rPr>
        <w:t>数据应具有</w:t>
      </w:r>
      <w:r>
        <w:rPr>
          <w:rFonts w:ascii="Times New Roman"/>
        </w:rPr>
        <w:t>一致性，即不同来源或不同时间点的数据应保持一致性和可比性。</w:t>
      </w:r>
    </w:p>
    <w:p w14:paraId="08762EFE">
      <w:pPr>
        <w:pStyle w:val="165"/>
        <w:rPr>
          <w:rFonts w:ascii="Times New Roman"/>
        </w:rPr>
      </w:pPr>
      <w:r>
        <w:rPr>
          <w:rFonts w:ascii="Times New Roman"/>
        </w:rPr>
        <w:t>宜建立数据一致性校验机制，对数据进行比较和验证，</w:t>
      </w:r>
      <w:r>
        <w:rPr>
          <w:rFonts w:hint="eastAsia" w:ascii="Times New Roman"/>
        </w:rPr>
        <w:t>检查</w:t>
      </w:r>
      <w:r>
        <w:rPr>
          <w:rFonts w:ascii="Times New Roman"/>
        </w:rPr>
        <w:t>数据的一致性和准确性。</w:t>
      </w:r>
    </w:p>
    <w:p w14:paraId="38F56FC9">
      <w:pPr>
        <w:pStyle w:val="105"/>
        <w:spacing w:before="120" w:after="120"/>
        <w:rPr>
          <w:rFonts w:ascii="Times New Roman"/>
        </w:rPr>
      </w:pPr>
      <w:r>
        <w:rPr>
          <w:rFonts w:ascii="Times New Roman"/>
        </w:rPr>
        <w:t>数据应用规范</w:t>
      </w:r>
    </w:p>
    <w:p w14:paraId="16D81D5B">
      <w:pPr>
        <w:pStyle w:val="165"/>
        <w:rPr>
          <w:rFonts w:ascii="Times New Roman"/>
        </w:rPr>
      </w:pPr>
      <w:r>
        <w:rPr>
          <w:rFonts w:ascii="Times New Roman"/>
        </w:rPr>
        <w:t>明确数据的应用场景和目的，</w:t>
      </w:r>
      <w:r>
        <w:rPr>
          <w:rFonts w:hint="eastAsia" w:ascii="Times New Roman"/>
        </w:rPr>
        <w:t>应</w:t>
      </w:r>
      <w:r>
        <w:rPr>
          <w:rFonts w:ascii="Times New Roman"/>
        </w:rPr>
        <w:t>选择合适的数据和方法进行分析和应用。</w:t>
      </w:r>
    </w:p>
    <w:p w14:paraId="7BEADF88">
      <w:pPr>
        <w:pStyle w:val="165"/>
        <w:rPr>
          <w:rFonts w:ascii="Times New Roman"/>
        </w:rPr>
      </w:pPr>
      <w:r>
        <w:rPr>
          <w:rFonts w:ascii="Times New Roman"/>
        </w:rPr>
        <w:t>根据项目的不同阶段和需求，</w:t>
      </w:r>
      <w:r>
        <w:rPr>
          <w:rFonts w:hint="eastAsia" w:ascii="Times New Roman"/>
        </w:rPr>
        <w:t>应</w:t>
      </w:r>
      <w:r>
        <w:rPr>
          <w:rFonts w:ascii="Times New Roman"/>
        </w:rPr>
        <w:t>制定详细的数据应用计划。</w:t>
      </w:r>
    </w:p>
    <w:p w14:paraId="7C7D3496">
      <w:pPr>
        <w:pStyle w:val="165"/>
        <w:rPr>
          <w:rFonts w:ascii="Times New Roman"/>
        </w:rPr>
      </w:pPr>
      <w:r>
        <w:rPr>
          <w:rFonts w:hint="eastAsia" w:ascii="Times New Roman"/>
        </w:rPr>
        <w:t>应</w:t>
      </w:r>
      <w:r>
        <w:rPr>
          <w:rFonts w:ascii="Times New Roman"/>
        </w:rPr>
        <w:t>采用科学、合理的分析方法对数据进行处理和分析，如统计分析、数据挖掘等。</w:t>
      </w:r>
    </w:p>
    <w:p w14:paraId="6A576117">
      <w:pPr>
        <w:pStyle w:val="165"/>
        <w:rPr>
          <w:rFonts w:ascii="Times New Roman"/>
        </w:rPr>
      </w:pPr>
      <w:r>
        <w:rPr>
          <w:rFonts w:ascii="Times New Roman"/>
        </w:rPr>
        <w:t>遵循数据分析的规范和标准，分析结果</w:t>
      </w:r>
      <w:r>
        <w:rPr>
          <w:rFonts w:hint="eastAsia" w:ascii="Times New Roman"/>
        </w:rPr>
        <w:t>应具有</w:t>
      </w:r>
      <w:r>
        <w:rPr>
          <w:rFonts w:ascii="Times New Roman"/>
        </w:rPr>
        <w:t>准确性和可靠性。</w:t>
      </w:r>
    </w:p>
    <w:p w14:paraId="3EF56D01">
      <w:pPr>
        <w:pStyle w:val="165"/>
        <w:rPr>
          <w:rFonts w:ascii="Times New Roman"/>
        </w:rPr>
      </w:pPr>
      <w:r>
        <w:rPr>
          <w:rFonts w:ascii="Times New Roman"/>
        </w:rPr>
        <w:t>分析结果</w:t>
      </w:r>
      <w:r>
        <w:rPr>
          <w:rFonts w:hint="eastAsia" w:ascii="Times New Roman"/>
        </w:rPr>
        <w:t>应</w:t>
      </w:r>
      <w:r>
        <w:rPr>
          <w:rFonts w:ascii="Times New Roman"/>
        </w:rPr>
        <w:t>以清晰、直观的方式呈现出来，如图表、报告等。</w:t>
      </w:r>
    </w:p>
    <w:p w14:paraId="68639574">
      <w:pPr>
        <w:pStyle w:val="165"/>
        <w:rPr>
          <w:rFonts w:ascii="Times New Roman"/>
        </w:rPr>
      </w:pPr>
      <w:r>
        <w:rPr>
          <w:rFonts w:ascii="Times New Roman"/>
        </w:rPr>
        <w:t>注重结果的解释和说明，相关人员</w:t>
      </w:r>
      <w:r>
        <w:rPr>
          <w:rFonts w:hint="eastAsia" w:ascii="Times New Roman"/>
        </w:rPr>
        <w:t>可</w:t>
      </w:r>
      <w:r>
        <w:rPr>
          <w:rFonts w:ascii="Times New Roman"/>
        </w:rPr>
        <w:t>准确理解分析结果和结论。</w:t>
      </w:r>
    </w:p>
    <w:p w14:paraId="4F697807">
      <w:pPr>
        <w:pStyle w:val="105"/>
        <w:spacing w:before="120" w:after="120"/>
        <w:rPr>
          <w:rFonts w:ascii="Times New Roman"/>
        </w:rPr>
      </w:pPr>
      <w:r>
        <w:rPr>
          <w:rFonts w:ascii="Times New Roman"/>
        </w:rPr>
        <w:t>数据安全与隐私保护</w:t>
      </w:r>
    </w:p>
    <w:p w14:paraId="40C42F7A">
      <w:pPr>
        <w:pStyle w:val="165"/>
        <w:rPr>
          <w:rFonts w:ascii="Times New Roman"/>
        </w:rPr>
      </w:pPr>
      <w:r>
        <w:rPr>
          <w:rFonts w:ascii="Times New Roman"/>
        </w:rPr>
        <w:t>应建立严格的数据访问控制机制，授权人员</w:t>
      </w:r>
      <w:r>
        <w:rPr>
          <w:rFonts w:hint="eastAsia" w:ascii="Times New Roman"/>
        </w:rPr>
        <w:t>可</w:t>
      </w:r>
      <w:r>
        <w:rPr>
          <w:rFonts w:ascii="Times New Roman"/>
        </w:rPr>
        <w:t>访问敏感数据。</w:t>
      </w:r>
    </w:p>
    <w:p w14:paraId="415E3DB4">
      <w:pPr>
        <w:pStyle w:val="165"/>
        <w:rPr>
          <w:rFonts w:ascii="Times New Roman"/>
        </w:rPr>
      </w:pPr>
      <w:r>
        <w:rPr>
          <w:rFonts w:ascii="Times New Roman"/>
        </w:rPr>
        <w:t>宜采用身份验证、权限管理等手段，加强数据访问的安全性和可控性。</w:t>
      </w:r>
    </w:p>
    <w:p w14:paraId="47FDB69A">
      <w:pPr>
        <w:pStyle w:val="165"/>
        <w:rPr>
          <w:rFonts w:ascii="Times New Roman"/>
        </w:rPr>
      </w:pPr>
      <w:r>
        <w:rPr>
          <w:rFonts w:ascii="Times New Roman"/>
        </w:rPr>
        <w:t>应对敏感数据进行加密处理，数据在传输和存储过程中</w:t>
      </w:r>
      <w:r>
        <w:rPr>
          <w:rFonts w:hint="eastAsia" w:ascii="Times New Roman"/>
        </w:rPr>
        <w:t>应具有</w:t>
      </w:r>
      <w:r>
        <w:rPr>
          <w:rFonts w:ascii="Times New Roman"/>
        </w:rPr>
        <w:t>安全性。</w:t>
      </w:r>
    </w:p>
    <w:p w14:paraId="6B530484">
      <w:pPr>
        <w:pStyle w:val="165"/>
        <w:rPr>
          <w:rFonts w:ascii="Times New Roman"/>
        </w:rPr>
      </w:pPr>
      <w:r>
        <w:rPr>
          <w:rFonts w:ascii="Times New Roman"/>
        </w:rPr>
        <w:t>采用安全的存储设备和存储方式，数据</w:t>
      </w:r>
      <w:r>
        <w:rPr>
          <w:rFonts w:hint="eastAsia" w:ascii="Times New Roman"/>
        </w:rPr>
        <w:t>不应</w:t>
      </w:r>
      <w:r>
        <w:rPr>
          <w:rFonts w:ascii="Times New Roman"/>
        </w:rPr>
        <w:t>丢失或损坏。</w:t>
      </w:r>
    </w:p>
    <w:p w14:paraId="5905135F">
      <w:pPr>
        <w:pStyle w:val="165"/>
        <w:rPr>
          <w:rFonts w:ascii="Times New Roman"/>
        </w:rPr>
      </w:pPr>
      <w:r>
        <w:rPr>
          <w:rFonts w:ascii="Times New Roman"/>
        </w:rPr>
        <w:t>严格遵守相关法律法规和隐私保护政策，个人隐私不</w:t>
      </w:r>
      <w:r>
        <w:rPr>
          <w:rFonts w:hint="eastAsia" w:ascii="Times New Roman"/>
        </w:rPr>
        <w:t>应</w:t>
      </w:r>
      <w:r>
        <w:rPr>
          <w:rFonts w:ascii="Times New Roman"/>
        </w:rPr>
        <w:t>被泄露或滥用。</w:t>
      </w:r>
    </w:p>
    <w:p w14:paraId="32C4FACE">
      <w:pPr>
        <w:pStyle w:val="165"/>
        <w:rPr>
          <w:rFonts w:ascii="Times New Roman"/>
        </w:rPr>
      </w:pPr>
      <w:r>
        <w:rPr>
          <w:rFonts w:hint="eastAsia" w:ascii="Times New Roman"/>
        </w:rPr>
        <w:t>应</w:t>
      </w:r>
      <w:r>
        <w:rPr>
          <w:rFonts w:ascii="Times New Roman"/>
        </w:rPr>
        <w:t>采用数据脱敏、匿名化等技术手段，保护个人隐私和数据安全。</w:t>
      </w:r>
    </w:p>
    <w:p w14:paraId="49D67BC4">
      <w:pPr>
        <w:pStyle w:val="105"/>
        <w:spacing w:before="120" w:after="120"/>
        <w:rPr>
          <w:rFonts w:ascii="Times New Roman"/>
        </w:rPr>
      </w:pPr>
      <w:r>
        <w:rPr>
          <w:rFonts w:ascii="Times New Roman"/>
        </w:rPr>
        <w:t>数据维护与更新</w:t>
      </w:r>
    </w:p>
    <w:p w14:paraId="52FFD777">
      <w:pPr>
        <w:pStyle w:val="165"/>
        <w:rPr>
          <w:rFonts w:ascii="Times New Roman"/>
        </w:rPr>
      </w:pPr>
      <w:r>
        <w:rPr>
          <w:rFonts w:ascii="Times New Roman"/>
        </w:rPr>
        <w:t>应定期对数据进行维护，包括数据备份、数据清理、数据更新等。</w:t>
      </w:r>
    </w:p>
    <w:p w14:paraId="3BF9C0A1">
      <w:pPr>
        <w:pStyle w:val="165"/>
        <w:rPr>
          <w:rFonts w:ascii="Times New Roman"/>
        </w:rPr>
      </w:pPr>
      <w:r>
        <w:rPr>
          <w:rFonts w:ascii="Times New Roman"/>
        </w:rPr>
        <w:t>建立数据维护计划和维护记录，数据的持续</w:t>
      </w:r>
      <w:r>
        <w:rPr>
          <w:rFonts w:hint="eastAsia" w:ascii="Times New Roman"/>
        </w:rPr>
        <w:t>应具有</w:t>
      </w:r>
      <w:r>
        <w:rPr>
          <w:rFonts w:ascii="Times New Roman"/>
        </w:rPr>
        <w:t>可用性和准确性。</w:t>
      </w:r>
    </w:p>
    <w:p w14:paraId="2DE960C9">
      <w:pPr>
        <w:pStyle w:val="165"/>
        <w:rPr>
          <w:rFonts w:ascii="Times New Roman"/>
        </w:rPr>
      </w:pPr>
      <w:r>
        <w:rPr>
          <w:rFonts w:ascii="Times New Roman"/>
        </w:rPr>
        <w:t>建立数据更新机制，数据</w:t>
      </w:r>
      <w:r>
        <w:rPr>
          <w:rFonts w:hint="eastAsia" w:ascii="Times New Roman"/>
        </w:rPr>
        <w:t>应具有</w:t>
      </w:r>
      <w:r>
        <w:rPr>
          <w:rFonts w:ascii="Times New Roman"/>
        </w:rPr>
        <w:t>时效性和准确性。</w:t>
      </w:r>
    </w:p>
    <w:p w14:paraId="6D32C47A">
      <w:pPr>
        <w:pStyle w:val="165"/>
        <w:rPr>
          <w:rFonts w:ascii="Times New Roman"/>
        </w:rPr>
      </w:pPr>
      <w:r>
        <w:rPr>
          <w:rFonts w:hint="eastAsia" w:ascii="Times New Roman"/>
        </w:rPr>
        <w:t>宜</w:t>
      </w:r>
      <w:r>
        <w:rPr>
          <w:rFonts w:ascii="Times New Roman"/>
        </w:rPr>
        <w:t>采用自动化或半自动化的数据更新方式，提高数据更新的效率和准确性。</w:t>
      </w:r>
    </w:p>
    <w:p w14:paraId="0439FE34">
      <w:pPr>
        <w:pStyle w:val="104"/>
        <w:spacing w:before="240" w:after="240"/>
        <w:rPr>
          <w:rFonts w:ascii="Times New Roman"/>
        </w:rPr>
      </w:pPr>
      <w:bookmarkStart w:id="57" w:name="_Toc192769828"/>
      <w:r>
        <w:rPr>
          <w:rFonts w:ascii="Times New Roman"/>
        </w:rPr>
        <w:t>培训与人员</w:t>
      </w:r>
      <w:bookmarkEnd w:id="57"/>
    </w:p>
    <w:p w14:paraId="1D835C06">
      <w:pPr>
        <w:pStyle w:val="105"/>
        <w:spacing w:before="120" w:after="120"/>
        <w:rPr>
          <w:rFonts w:ascii="Times New Roman"/>
        </w:rPr>
      </w:pPr>
      <w:r>
        <w:rPr>
          <w:rFonts w:ascii="Times New Roman"/>
        </w:rPr>
        <w:t>培训要求</w:t>
      </w:r>
    </w:p>
    <w:p w14:paraId="43177EF3">
      <w:pPr>
        <w:pStyle w:val="165"/>
        <w:rPr>
          <w:rFonts w:ascii="Times New Roman"/>
        </w:rPr>
      </w:pPr>
      <w:r>
        <w:rPr>
          <w:rFonts w:hint="eastAsia" w:ascii="Times New Roman"/>
        </w:rPr>
        <w:t>培训应</w:t>
      </w:r>
      <w:r>
        <w:rPr>
          <w:rFonts w:ascii="Times New Roman"/>
        </w:rPr>
        <w:t>涵盖绿色建筑工程的基础知识，</w:t>
      </w:r>
      <w:r>
        <w:rPr>
          <w:rFonts w:hint="eastAsia" w:ascii="Times New Roman"/>
        </w:rPr>
        <w:t>可</w:t>
      </w:r>
      <w:r>
        <w:rPr>
          <w:rFonts w:ascii="Times New Roman"/>
        </w:rPr>
        <w:t>包括绿色建筑理念、工程造价原理、数据管理理论等。</w:t>
      </w:r>
    </w:p>
    <w:p w14:paraId="776DF68F">
      <w:pPr>
        <w:pStyle w:val="165"/>
        <w:rPr>
          <w:rFonts w:ascii="Times New Roman"/>
        </w:rPr>
      </w:pPr>
      <w:r>
        <w:rPr>
          <w:rFonts w:ascii="Times New Roman"/>
        </w:rPr>
        <w:t>结合实际案例，</w:t>
      </w:r>
      <w:r>
        <w:rPr>
          <w:rFonts w:hint="eastAsia" w:ascii="Times New Roman"/>
        </w:rPr>
        <w:t>宜</w:t>
      </w:r>
      <w:r>
        <w:rPr>
          <w:rFonts w:ascii="Times New Roman"/>
        </w:rPr>
        <w:t>培训内容更加生动、具体，易于理解和吸收。</w:t>
      </w:r>
    </w:p>
    <w:p w14:paraId="0D4AAF0B">
      <w:pPr>
        <w:pStyle w:val="165"/>
        <w:rPr>
          <w:rFonts w:ascii="Times New Roman"/>
        </w:rPr>
      </w:pPr>
      <w:r>
        <w:rPr>
          <w:rFonts w:ascii="Times New Roman"/>
        </w:rPr>
        <w:t>针对数据收集、处理、分析、应用等关键环节，</w:t>
      </w:r>
      <w:r>
        <w:rPr>
          <w:rFonts w:hint="eastAsia" w:ascii="Times New Roman"/>
        </w:rPr>
        <w:t>应</w:t>
      </w:r>
      <w:r>
        <w:rPr>
          <w:rFonts w:ascii="Times New Roman"/>
        </w:rPr>
        <w:t>提供专业技能培训。</w:t>
      </w:r>
    </w:p>
    <w:p w14:paraId="0529F923">
      <w:pPr>
        <w:pStyle w:val="165"/>
        <w:rPr>
          <w:rFonts w:ascii="Times New Roman"/>
        </w:rPr>
      </w:pPr>
      <w:r>
        <w:rPr>
          <w:rFonts w:hint="eastAsia" w:ascii="Times New Roman"/>
        </w:rPr>
        <w:t>应</w:t>
      </w:r>
      <w:r>
        <w:rPr>
          <w:rFonts w:ascii="Times New Roman"/>
        </w:rPr>
        <w:t>引入先进的数据处理和分析工具，如数据分析软件、数据库管理系统等，提升人员的技术操作能力。</w:t>
      </w:r>
    </w:p>
    <w:p w14:paraId="6F177466">
      <w:pPr>
        <w:pStyle w:val="165"/>
        <w:rPr>
          <w:rFonts w:ascii="Times New Roman"/>
        </w:rPr>
      </w:pPr>
      <w:r>
        <w:rPr>
          <w:rFonts w:ascii="Times New Roman"/>
        </w:rPr>
        <w:t>详细介绍与绿色建筑工程造价数据相关的法规、标准和规范，人员</w:t>
      </w:r>
      <w:r>
        <w:rPr>
          <w:rFonts w:hint="eastAsia" w:ascii="Times New Roman"/>
        </w:rPr>
        <w:t>应</w:t>
      </w:r>
      <w:r>
        <w:rPr>
          <w:rFonts w:ascii="Times New Roman"/>
        </w:rPr>
        <w:t>合规操作。</w:t>
      </w:r>
    </w:p>
    <w:p w14:paraId="71D9543A">
      <w:pPr>
        <w:pStyle w:val="165"/>
        <w:rPr>
          <w:rFonts w:ascii="Times New Roman"/>
        </w:rPr>
      </w:pPr>
      <w:r>
        <w:rPr>
          <w:rFonts w:hint="eastAsia" w:ascii="Times New Roman"/>
        </w:rPr>
        <w:t>应</w:t>
      </w:r>
      <w:r>
        <w:rPr>
          <w:rFonts w:ascii="Times New Roman"/>
        </w:rPr>
        <w:t>定期更新培训内容，紧跟行业动态和法规变化，保持人员的知识更新。</w:t>
      </w:r>
    </w:p>
    <w:p w14:paraId="2D97C829">
      <w:pPr>
        <w:pStyle w:val="165"/>
        <w:rPr>
          <w:rFonts w:ascii="Times New Roman"/>
        </w:rPr>
      </w:pPr>
      <w:r>
        <w:rPr>
          <w:rFonts w:hint="eastAsia" w:ascii="Times New Roman"/>
        </w:rPr>
        <w:t>应</w:t>
      </w:r>
      <w:r>
        <w:rPr>
          <w:rFonts w:ascii="Times New Roman"/>
        </w:rPr>
        <w:t>加强沟通、协作、问题解决等软技能的培训，提升团队的整体效能。</w:t>
      </w:r>
    </w:p>
    <w:p w14:paraId="32E693ED">
      <w:pPr>
        <w:pStyle w:val="165"/>
        <w:rPr>
          <w:rFonts w:ascii="Times New Roman"/>
        </w:rPr>
      </w:pPr>
      <w:r>
        <w:rPr>
          <w:rFonts w:ascii="Times New Roman"/>
        </w:rPr>
        <w:t>通过团队建设活动、角色扮演等方式，</w:t>
      </w:r>
      <w:r>
        <w:rPr>
          <w:rFonts w:hint="eastAsia" w:ascii="Times New Roman"/>
        </w:rPr>
        <w:t>宜</w:t>
      </w:r>
      <w:r>
        <w:rPr>
          <w:rFonts w:ascii="Times New Roman"/>
        </w:rPr>
        <w:t>增强人员的团队合作意识和沟通协调能力。</w:t>
      </w:r>
    </w:p>
    <w:p w14:paraId="52C5CC6E">
      <w:pPr>
        <w:pStyle w:val="105"/>
        <w:spacing w:before="120" w:after="120"/>
        <w:rPr>
          <w:rFonts w:ascii="Times New Roman"/>
        </w:rPr>
      </w:pPr>
      <w:r>
        <w:rPr>
          <w:rFonts w:ascii="Times New Roman"/>
        </w:rPr>
        <w:t>人员要求</w:t>
      </w:r>
    </w:p>
    <w:p w14:paraId="0812BA62">
      <w:pPr>
        <w:pStyle w:val="165"/>
        <w:rPr>
          <w:rFonts w:ascii="Times New Roman"/>
        </w:rPr>
      </w:pPr>
      <w:r>
        <w:rPr>
          <w:rFonts w:hint="eastAsia" w:ascii="Times New Roman"/>
        </w:rPr>
        <w:t>人员应</w:t>
      </w:r>
      <w:r>
        <w:rPr>
          <w:rFonts w:ascii="Times New Roman"/>
        </w:rPr>
        <w:t>具备扎实的绿色建筑和工程造价专业知识，能够准确理解和应用相关数据。</w:t>
      </w:r>
    </w:p>
    <w:p w14:paraId="5184E890">
      <w:pPr>
        <w:pStyle w:val="165"/>
        <w:rPr>
          <w:rFonts w:ascii="Times New Roman"/>
        </w:rPr>
      </w:pPr>
      <w:r>
        <w:rPr>
          <w:rFonts w:ascii="Times New Roman"/>
        </w:rPr>
        <w:t>宜具备持续学习的意识，不断跟进行业动态和技术发展，提升个人专业素养。</w:t>
      </w:r>
    </w:p>
    <w:p w14:paraId="4E25A9D6">
      <w:pPr>
        <w:pStyle w:val="165"/>
        <w:rPr>
          <w:rFonts w:ascii="Times New Roman"/>
        </w:rPr>
      </w:pPr>
      <w:r>
        <w:rPr>
          <w:rFonts w:hint="eastAsia" w:ascii="Times New Roman"/>
        </w:rPr>
        <w:t>人员应</w:t>
      </w:r>
      <w:r>
        <w:rPr>
          <w:rFonts w:ascii="Times New Roman"/>
        </w:rPr>
        <w:t>熟练掌握数据处理和分析工具，能够高效地进行数据操作和分析。</w:t>
      </w:r>
    </w:p>
    <w:p w14:paraId="15F15348">
      <w:pPr>
        <w:pStyle w:val="165"/>
        <w:rPr>
          <w:rFonts w:ascii="Times New Roman"/>
        </w:rPr>
      </w:pPr>
      <w:r>
        <w:rPr>
          <w:rFonts w:hint="eastAsia" w:ascii="Times New Roman"/>
        </w:rPr>
        <w:t>人员应</w:t>
      </w:r>
      <w:r>
        <w:rPr>
          <w:rFonts w:ascii="Times New Roman"/>
        </w:rPr>
        <w:t>具备解决复杂问题的能力，能够独立思考和应对数据应用过程中的挑战。</w:t>
      </w:r>
      <w:r>
        <w:rPr>
          <w:rFonts w:hint="eastAsia" w:ascii="Times New Roman"/>
        </w:rPr>
        <w:t xml:space="preserve"> </w:t>
      </w:r>
    </w:p>
    <w:p w14:paraId="42DCB6ED">
      <w:pPr>
        <w:pStyle w:val="165"/>
        <w:rPr>
          <w:rFonts w:ascii="Times New Roman"/>
        </w:rPr>
      </w:pPr>
      <w:r>
        <w:rPr>
          <w:rFonts w:ascii="Times New Roman"/>
        </w:rPr>
        <w:t>严格遵守相关法律法规和行业标准，数据处理</w:t>
      </w:r>
      <w:r>
        <w:rPr>
          <w:rFonts w:hint="eastAsia" w:ascii="Times New Roman"/>
        </w:rPr>
        <w:t>应具有</w:t>
      </w:r>
      <w:r>
        <w:rPr>
          <w:rFonts w:ascii="Times New Roman"/>
        </w:rPr>
        <w:t>合规性和安全性。</w:t>
      </w:r>
    </w:p>
    <w:p w14:paraId="28627DD0">
      <w:pPr>
        <w:pStyle w:val="165"/>
        <w:rPr>
          <w:rFonts w:ascii="Times New Roman"/>
        </w:rPr>
      </w:pPr>
      <w:r>
        <w:rPr>
          <w:rFonts w:ascii="Times New Roman"/>
        </w:rPr>
        <w:t>具备高度的责任心和职业道德，保护数据的隐私和安全，不</w:t>
      </w:r>
      <w:r>
        <w:rPr>
          <w:rFonts w:hint="eastAsia" w:ascii="Times New Roman"/>
        </w:rPr>
        <w:t>应</w:t>
      </w:r>
      <w:r>
        <w:rPr>
          <w:rFonts w:ascii="Times New Roman"/>
        </w:rPr>
        <w:t>泄露敏感信息。</w:t>
      </w:r>
    </w:p>
    <w:p w14:paraId="2D986394">
      <w:pPr>
        <w:pStyle w:val="165"/>
        <w:rPr>
          <w:rFonts w:ascii="Times New Roman"/>
        </w:rPr>
      </w:pPr>
      <w:r>
        <w:rPr>
          <w:rFonts w:ascii="Times New Roman"/>
        </w:rPr>
        <w:t>具备良好的沟通能力和团队协作精神，</w:t>
      </w:r>
      <w:r>
        <w:rPr>
          <w:rFonts w:hint="eastAsia" w:ascii="Times New Roman"/>
        </w:rPr>
        <w:t>应</w:t>
      </w:r>
      <w:r>
        <w:rPr>
          <w:rFonts w:ascii="Times New Roman"/>
        </w:rPr>
        <w:t>与团队成员、其他部门或外部合作伙伴有效沟通。</w:t>
      </w:r>
    </w:p>
    <w:p w14:paraId="4A30FC5B">
      <w:pPr>
        <w:pStyle w:val="165"/>
        <w:rPr>
          <w:rFonts w:ascii="Times New Roman"/>
        </w:rPr>
      </w:pPr>
      <w:r>
        <w:rPr>
          <w:rFonts w:ascii="Times New Roman"/>
        </w:rPr>
        <w:t>积极参与团队活动和项目讨论，</w:t>
      </w:r>
      <w:r>
        <w:rPr>
          <w:rFonts w:hint="eastAsia" w:ascii="Times New Roman"/>
        </w:rPr>
        <w:t>宜</w:t>
      </w:r>
      <w:r>
        <w:rPr>
          <w:rFonts w:ascii="Times New Roman"/>
        </w:rPr>
        <w:t>提出建设性意见和建议，共同推动项目的进展。</w:t>
      </w:r>
    </w:p>
    <w:p w14:paraId="52A97ADA">
      <w:pPr>
        <w:pStyle w:val="165"/>
        <w:rPr>
          <w:rFonts w:ascii="Times New Roman"/>
        </w:rPr>
      </w:pPr>
      <w:r>
        <w:rPr>
          <w:rFonts w:hint="eastAsia" w:ascii="Times New Roman"/>
        </w:rPr>
        <w:t>宜</w:t>
      </w:r>
      <w:r>
        <w:rPr>
          <w:rFonts w:ascii="Times New Roman"/>
        </w:rPr>
        <w:t>鼓励人员参加专业培训、研讨会等活动，不断拓宽知识面和提升技能水平。</w:t>
      </w:r>
    </w:p>
    <w:p w14:paraId="4ADAE68B">
      <w:pPr>
        <w:pStyle w:val="165"/>
        <w:rPr>
          <w:rFonts w:ascii="Times New Roman"/>
        </w:rPr>
      </w:pPr>
      <w:r>
        <w:rPr>
          <w:rFonts w:ascii="Times New Roman"/>
        </w:rPr>
        <w:t>建立个人学习计划，</w:t>
      </w:r>
      <w:r>
        <w:rPr>
          <w:rFonts w:hint="eastAsia" w:ascii="Times New Roman"/>
        </w:rPr>
        <w:t>宜</w:t>
      </w:r>
      <w:r>
        <w:rPr>
          <w:rFonts w:ascii="Times New Roman"/>
        </w:rPr>
        <w:t>设定学习目标，定期评估学习成果，实现个人成长和职业发展。</w:t>
      </w:r>
    </w:p>
    <w:p w14:paraId="4ACB4B2C">
      <w:pPr>
        <w:pStyle w:val="105"/>
        <w:spacing w:before="120" w:after="120"/>
        <w:rPr>
          <w:rFonts w:ascii="Times New Roman"/>
        </w:rPr>
      </w:pPr>
      <w:r>
        <w:rPr>
          <w:rFonts w:ascii="Times New Roman"/>
        </w:rPr>
        <w:t>培训实施与评估</w:t>
      </w:r>
    </w:p>
    <w:p w14:paraId="179250C0">
      <w:pPr>
        <w:pStyle w:val="165"/>
        <w:rPr>
          <w:rFonts w:ascii="Times New Roman"/>
        </w:rPr>
      </w:pPr>
      <w:r>
        <w:rPr>
          <w:rFonts w:ascii="Times New Roman"/>
        </w:rPr>
        <w:t>根据人员需求和项目要求，</w:t>
      </w:r>
      <w:r>
        <w:rPr>
          <w:rFonts w:hint="eastAsia" w:ascii="Times New Roman"/>
        </w:rPr>
        <w:t>应</w:t>
      </w:r>
      <w:r>
        <w:rPr>
          <w:rFonts w:ascii="Times New Roman"/>
        </w:rPr>
        <w:t>制定详细的培训计划，包括培训内容、时间、方式等。</w:t>
      </w:r>
    </w:p>
    <w:p w14:paraId="6330A180">
      <w:pPr>
        <w:pStyle w:val="165"/>
        <w:rPr>
          <w:rFonts w:ascii="Times New Roman"/>
        </w:rPr>
      </w:pPr>
      <w:r>
        <w:rPr>
          <w:rFonts w:ascii="Times New Roman"/>
        </w:rPr>
        <w:t>邀请行业专家或内部资深人士进行授课，培训内容</w:t>
      </w:r>
      <w:r>
        <w:rPr>
          <w:rFonts w:hint="eastAsia" w:ascii="Times New Roman"/>
        </w:rPr>
        <w:t>应具有</w:t>
      </w:r>
      <w:r>
        <w:rPr>
          <w:rFonts w:ascii="Times New Roman"/>
        </w:rPr>
        <w:t>权威性和实用性。</w:t>
      </w:r>
    </w:p>
    <w:p w14:paraId="21A421FD">
      <w:pPr>
        <w:pStyle w:val="165"/>
        <w:rPr>
          <w:rFonts w:ascii="Times New Roman"/>
        </w:rPr>
      </w:pPr>
      <w:r>
        <w:rPr>
          <w:rFonts w:ascii="Times New Roman"/>
        </w:rPr>
        <w:t>通过考试、测试、项目实践等方式，</w:t>
      </w:r>
      <w:r>
        <w:rPr>
          <w:rFonts w:hint="eastAsia" w:ascii="Times New Roman"/>
        </w:rPr>
        <w:t>应</w:t>
      </w:r>
      <w:r>
        <w:rPr>
          <w:rFonts w:ascii="Times New Roman"/>
        </w:rPr>
        <w:t>对培训效果进行评估。</w:t>
      </w:r>
    </w:p>
    <w:p w14:paraId="30B8BB6E">
      <w:pPr>
        <w:pStyle w:val="165"/>
        <w:rPr>
          <w:rFonts w:ascii="Times New Roman"/>
        </w:rPr>
      </w:pPr>
      <w:r>
        <w:rPr>
          <w:rFonts w:ascii="Times New Roman"/>
        </w:rPr>
        <w:t>根据评估结果，</w:t>
      </w:r>
      <w:r>
        <w:rPr>
          <w:rFonts w:hint="eastAsia" w:ascii="Times New Roman"/>
        </w:rPr>
        <w:t>应</w:t>
      </w:r>
      <w:r>
        <w:rPr>
          <w:rFonts w:ascii="Times New Roman"/>
        </w:rPr>
        <w:t>及时调整培训计划，优化培训内容和方法，提升培训效果。</w:t>
      </w:r>
    </w:p>
    <w:p w14:paraId="76EA4562">
      <w:pPr>
        <w:pStyle w:val="165"/>
        <w:rPr>
          <w:rFonts w:ascii="Times New Roman"/>
        </w:rPr>
      </w:pPr>
      <w:r>
        <w:rPr>
          <w:rFonts w:ascii="Times New Roman"/>
        </w:rPr>
        <w:t>建立持续培训机制，</w:t>
      </w:r>
      <w:r>
        <w:rPr>
          <w:rFonts w:hint="eastAsia" w:ascii="Times New Roman"/>
        </w:rPr>
        <w:t>应</w:t>
      </w:r>
      <w:r>
        <w:rPr>
          <w:rFonts w:ascii="Times New Roman"/>
        </w:rPr>
        <w:t>定期更新培训内容，保持人员的知识更新和技能提升。</w:t>
      </w:r>
    </w:p>
    <w:p w14:paraId="1474C0F5">
      <w:pPr>
        <w:pStyle w:val="165"/>
        <w:rPr>
          <w:rFonts w:ascii="Times New Roman"/>
        </w:rPr>
      </w:pPr>
      <w:r>
        <w:rPr>
          <w:rFonts w:hint="eastAsia" w:ascii="Times New Roman"/>
        </w:rPr>
        <w:t>宜</w:t>
      </w:r>
      <w:r>
        <w:rPr>
          <w:rFonts w:ascii="Times New Roman"/>
        </w:rPr>
        <w:t>鼓励人员自主学习和分享经验，形成良好的学习氛围和团队文化。</w:t>
      </w:r>
    </w:p>
    <w:p w14:paraId="29E9F862">
      <w:pPr>
        <w:pStyle w:val="104"/>
        <w:spacing w:before="240" w:after="240"/>
        <w:rPr>
          <w:rFonts w:ascii="Times New Roman"/>
        </w:rPr>
      </w:pPr>
      <w:bookmarkStart w:id="58" w:name="_Toc192769829"/>
      <w:r>
        <w:rPr>
          <w:rFonts w:ascii="Times New Roman"/>
        </w:rPr>
        <w:t>实施监督</w:t>
      </w:r>
      <w:bookmarkEnd w:id="58"/>
    </w:p>
    <w:p w14:paraId="32B9D1D8">
      <w:pPr>
        <w:pStyle w:val="105"/>
        <w:spacing w:before="120" w:after="120"/>
        <w:rPr>
          <w:rFonts w:ascii="Times New Roman"/>
        </w:rPr>
      </w:pPr>
      <w:r>
        <w:rPr>
          <w:rFonts w:ascii="Times New Roman"/>
        </w:rPr>
        <w:t>实施策略</w:t>
      </w:r>
    </w:p>
    <w:p w14:paraId="1EE36918">
      <w:pPr>
        <w:pStyle w:val="165"/>
        <w:rPr>
          <w:rFonts w:ascii="Times New Roman"/>
        </w:rPr>
      </w:pPr>
      <w:r>
        <w:rPr>
          <w:rFonts w:ascii="Times New Roman"/>
        </w:rPr>
        <w:t>明确项目的目标、范围、时间表和资源需求，</w:t>
      </w:r>
      <w:r>
        <w:rPr>
          <w:rFonts w:hint="eastAsia" w:ascii="Times New Roman"/>
        </w:rPr>
        <w:t>应</w:t>
      </w:r>
      <w:r>
        <w:rPr>
          <w:rFonts w:ascii="Times New Roman"/>
        </w:rPr>
        <w:t>制定详细的项目计划。</w:t>
      </w:r>
    </w:p>
    <w:p w14:paraId="15438940">
      <w:pPr>
        <w:pStyle w:val="165"/>
        <w:rPr>
          <w:rFonts w:ascii="Times New Roman"/>
        </w:rPr>
      </w:pPr>
      <w:r>
        <w:rPr>
          <w:rFonts w:ascii="Times New Roman"/>
        </w:rPr>
        <w:t>组织项目启动会议，所有相关方</w:t>
      </w:r>
      <w:r>
        <w:rPr>
          <w:rFonts w:hint="eastAsia" w:ascii="Times New Roman"/>
        </w:rPr>
        <w:t>应</w:t>
      </w:r>
      <w:r>
        <w:rPr>
          <w:rFonts w:ascii="Times New Roman"/>
        </w:rPr>
        <w:t>对项目目标、职责分工和预期成果有清晰的认识。</w:t>
      </w:r>
    </w:p>
    <w:p w14:paraId="06F31E0A">
      <w:pPr>
        <w:pStyle w:val="165"/>
        <w:rPr>
          <w:rFonts w:ascii="Times New Roman"/>
        </w:rPr>
      </w:pPr>
      <w:r>
        <w:rPr>
          <w:rFonts w:ascii="Times New Roman"/>
        </w:rPr>
        <w:t>建立统一的数据收集渠道和格式，数据</w:t>
      </w:r>
      <w:r>
        <w:rPr>
          <w:rFonts w:hint="eastAsia" w:ascii="Times New Roman"/>
        </w:rPr>
        <w:t>应具有</w:t>
      </w:r>
      <w:r>
        <w:rPr>
          <w:rFonts w:ascii="Times New Roman"/>
        </w:rPr>
        <w:t>完整性和准确性。</w:t>
      </w:r>
    </w:p>
    <w:p w14:paraId="37D412AA">
      <w:pPr>
        <w:pStyle w:val="165"/>
        <w:rPr>
          <w:rFonts w:ascii="Times New Roman"/>
        </w:rPr>
      </w:pPr>
      <w:r>
        <w:rPr>
          <w:rFonts w:hint="eastAsia" w:ascii="Times New Roman"/>
        </w:rPr>
        <w:t>应</w:t>
      </w:r>
      <w:r>
        <w:rPr>
          <w:rFonts w:ascii="Times New Roman"/>
        </w:rPr>
        <w:t>采用自动化或半自动化的数据收集工具，提高数据收集的效率和质量。</w:t>
      </w:r>
    </w:p>
    <w:p w14:paraId="7E225D42">
      <w:pPr>
        <w:pStyle w:val="165"/>
        <w:rPr>
          <w:rFonts w:ascii="Times New Roman"/>
        </w:rPr>
      </w:pPr>
      <w:r>
        <w:rPr>
          <w:rFonts w:ascii="Times New Roman"/>
        </w:rPr>
        <w:t>遵循既定的数据处理流程和分析方法，</w:t>
      </w:r>
      <w:r>
        <w:rPr>
          <w:rFonts w:hint="eastAsia" w:ascii="Times New Roman"/>
        </w:rPr>
        <w:t>应</w:t>
      </w:r>
      <w:r>
        <w:rPr>
          <w:rFonts w:ascii="Times New Roman"/>
        </w:rPr>
        <w:t>对数据进行清洗、转换和分析。</w:t>
      </w:r>
    </w:p>
    <w:p w14:paraId="0760A7B7">
      <w:pPr>
        <w:pStyle w:val="165"/>
        <w:rPr>
          <w:rFonts w:ascii="Times New Roman"/>
        </w:rPr>
      </w:pPr>
      <w:r>
        <w:rPr>
          <w:rFonts w:hint="eastAsia" w:ascii="Times New Roman"/>
        </w:rPr>
        <w:t>应</w:t>
      </w:r>
      <w:r>
        <w:rPr>
          <w:rFonts w:ascii="Times New Roman"/>
        </w:rPr>
        <w:t>采用先进的数据分析工具和技术，如机器学习、人工智能等，提升数据分析的深度和广度。</w:t>
      </w:r>
    </w:p>
    <w:p w14:paraId="29DB09B7">
      <w:pPr>
        <w:pStyle w:val="165"/>
        <w:rPr>
          <w:rFonts w:ascii="Times New Roman"/>
        </w:rPr>
      </w:pPr>
      <w:r>
        <w:rPr>
          <w:rFonts w:ascii="Times New Roman"/>
        </w:rPr>
        <w:t>将数据应用于项目决策、成本控制、绩效评价等关键环节，提升项目的经济效益和社会效益。</w:t>
      </w:r>
    </w:p>
    <w:p w14:paraId="5310827A">
      <w:pPr>
        <w:pStyle w:val="165"/>
        <w:rPr>
          <w:rFonts w:ascii="Times New Roman"/>
        </w:rPr>
      </w:pPr>
      <w:r>
        <w:rPr>
          <w:rFonts w:ascii="Times New Roman"/>
        </w:rPr>
        <w:t>建立数据应用反馈机制，</w:t>
      </w:r>
      <w:r>
        <w:rPr>
          <w:rFonts w:hint="eastAsia" w:ascii="Times New Roman"/>
        </w:rPr>
        <w:t>宜</w:t>
      </w:r>
      <w:r>
        <w:rPr>
          <w:rFonts w:ascii="Times New Roman"/>
        </w:rPr>
        <w:t>收集用户对数据的满意度和改进建议，持续优化数据应用效果。</w:t>
      </w:r>
    </w:p>
    <w:p w14:paraId="7C66AB28">
      <w:pPr>
        <w:pStyle w:val="165"/>
        <w:rPr>
          <w:rFonts w:ascii="Times New Roman"/>
        </w:rPr>
      </w:pPr>
      <w:r>
        <w:rPr>
          <w:rFonts w:hint="eastAsia" w:ascii="Times New Roman"/>
        </w:rPr>
        <w:t>应</w:t>
      </w:r>
      <w:r>
        <w:rPr>
          <w:rFonts w:ascii="Times New Roman"/>
        </w:rPr>
        <w:t>为相关人员提供必要的培训和支持，</w:t>
      </w:r>
      <w:r>
        <w:rPr>
          <w:rFonts w:hint="eastAsia" w:ascii="Times New Roman"/>
        </w:rPr>
        <w:t>人员应</w:t>
      </w:r>
      <w:r>
        <w:rPr>
          <w:rFonts w:ascii="Times New Roman"/>
        </w:rPr>
        <w:t>具备处理和分析数据所需的知识和技能。</w:t>
      </w:r>
    </w:p>
    <w:p w14:paraId="09C10C47">
      <w:pPr>
        <w:pStyle w:val="165"/>
        <w:rPr>
          <w:rFonts w:ascii="Times New Roman"/>
        </w:rPr>
      </w:pPr>
      <w:r>
        <w:rPr>
          <w:rFonts w:hint="eastAsia" w:ascii="Times New Roman"/>
        </w:rPr>
        <w:t>应</w:t>
      </w:r>
      <w:r>
        <w:rPr>
          <w:rFonts w:ascii="Times New Roman"/>
        </w:rPr>
        <w:t>建立知识分享和协作机制，促进团队内部的知识传递和经验积累。</w:t>
      </w:r>
    </w:p>
    <w:p w14:paraId="4E00C540">
      <w:pPr>
        <w:pStyle w:val="105"/>
        <w:spacing w:before="120" w:after="120"/>
        <w:rPr>
          <w:rFonts w:ascii="Times New Roman"/>
        </w:rPr>
      </w:pPr>
      <w:r>
        <w:rPr>
          <w:rFonts w:ascii="Times New Roman"/>
        </w:rPr>
        <w:t>监督措施</w:t>
      </w:r>
    </w:p>
    <w:p w14:paraId="143984D0">
      <w:pPr>
        <w:pStyle w:val="165"/>
        <w:rPr>
          <w:rFonts w:ascii="Times New Roman"/>
        </w:rPr>
      </w:pPr>
      <w:r>
        <w:rPr>
          <w:rFonts w:ascii="Times New Roman"/>
        </w:rPr>
        <w:t>定期监控项目的进度，各项任务</w:t>
      </w:r>
      <w:r>
        <w:rPr>
          <w:rFonts w:hint="eastAsia" w:ascii="Times New Roman"/>
        </w:rPr>
        <w:t>应</w:t>
      </w:r>
      <w:r>
        <w:rPr>
          <w:rFonts w:ascii="Times New Roman"/>
        </w:rPr>
        <w:t>按计划执行。</w:t>
      </w:r>
    </w:p>
    <w:p w14:paraId="7DA8D49C">
      <w:pPr>
        <w:pStyle w:val="165"/>
        <w:rPr>
          <w:rFonts w:ascii="Times New Roman"/>
        </w:rPr>
      </w:pPr>
      <w:r>
        <w:rPr>
          <w:rFonts w:ascii="Times New Roman"/>
        </w:rPr>
        <w:t>根据进度监控结果，及时调整项目计划，应对潜在的风险和挑战。</w:t>
      </w:r>
    </w:p>
    <w:p w14:paraId="556D5181">
      <w:pPr>
        <w:pStyle w:val="165"/>
        <w:rPr>
          <w:rFonts w:ascii="Times New Roman"/>
        </w:rPr>
      </w:pPr>
      <w:r>
        <w:rPr>
          <w:rFonts w:ascii="Times New Roman"/>
        </w:rPr>
        <w:t>建立严格的数据质量控制体系，数据</w:t>
      </w:r>
      <w:r>
        <w:rPr>
          <w:rFonts w:hint="eastAsia" w:ascii="Times New Roman"/>
        </w:rPr>
        <w:t>应具有</w:t>
      </w:r>
      <w:r>
        <w:rPr>
          <w:rFonts w:ascii="Times New Roman"/>
        </w:rPr>
        <w:t>准确性和可靠性。</w:t>
      </w:r>
    </w:p>
    <w:p w14:paraId="5DDC9EEC">
      <w:pPr>
        <w:pStyle w:val="165"/>
        <w:rPr>
          <w:rFonts w:ascii="Times New Roman"/>
        </w:rPr>
      </w:pPr>
      <w:r>
        <w:rPr>
          <w:rFonts w:hint="eastAsia" w:ascii="Times New Roman"/>
        </w:rPr>
        <w:t>应</w:t>
      </w:r>
      <w:r>
        <w:rPr>
          <w:rFonts w:ascii="Times New Roman"/>
        </w:rPr>
        <w:t>定期进行数据质量审核，发现问题及时整改，提升数据质量。</w:t>
      </w:r>
    </w:p>
    <w:p w14:paraId="1C1E7A81">
      <w:pPr>
        <w:pStyle w:val="165"/>
        <w:rPr>
          <w:rFonts w:ascii="Times New Roman"/>
        </w:rPr>
      </w:pPr>
      <w:r>
        <w:rPr>
          <w:rFonts w:ascii="Times New Roman"/>
        </w:rPr>
        <w:t>严格遵守相关法律法规和行业标准，数据处理和应用</w:t>
      </w:r>
      <w:r>
        <w:rPr>
          <w:rFonts w:hint="eastAsia" w:ascii="Times New Roman"/>
        </w:rPr>
        <w:t>应具有</w:t>
      </w:r>
      <w:r>
        <w:rPr>
          <w:rFonts w:ascii="Times New Roman"/>
        </w:rPr>
        <w:t>合规性。</w:t>
      </w:r>
    </w:p>
    <w:p w14:paraId="584E5ED5">
      <w:pPr>
        <w:pStyle w:val="165"/>
        <w:rPr>
          <w:rFonts w:ascii="Times New Roman"/>
        </w:rPr>
      </w:pPr>
      <w:r>
        <w:rPr>
          <w:rFonts w:ascii="Times New Roman"/>
        </w:rPr>
        <w:t>加强数据安全管理，数据</w:t>
      </w:r>
      <w:r>
        <w:rPr>
          <w:rFonts w:hint="eastAsia" w:ascii="Times New Roman"/>
        </w:rPr>
        <w:t>不应出现</w:t>
      </w:r>
      <w:r>
        <w:rPr>
          <w:rFonts w:ascii="Times New Roman"/>
        </w:rPr>
        <w:t>泄露和滥用，保护个人隐私和商业秘密。</w:t>
      </w:r>
    </w:p>
    <w:p w14:paraId="7675879F">
      <w:pPr>
        <w:pStyle w:val="165"/>
        <w:rPr>
          <w:rFonts w:ascii="Times New Roman"/>
        </w:rPr>
      </w:pPr>
      <w:r>
        <w:rPr>
          <w:rFonts w:ascii="Times New Roman"/>
        </w:rPr>
        <w:t>建立绩效评估机制，</w:t>
      </w:r>
      <w:r>
        <w:rPr>
          <w:rFonts w:hint="eastAsia" w:ascii="Times New Roman"/>
        </w:rPr>
        <w:t>应</w:t>
      </w:r>
      <w:r>
        <w:rPr>
          <w:rFonts w:ascii="Times New Roman"/>
        </w:rPr>
        <w:t>定期评估项目的实施效果和用户满意度。</w:t>
      </w:r>
    </w:p>
    <w:p w14:paraId="15E0C378">
      <w:pPr>
        <w:pStyle w:val="165"/>
        <w:rPr>
          <w:rFonts w:ascii="Times New Roman"/>
        </w:rPr>
      </w:pPr>
      <w:r>
        <w:rPr>
          <w:rFonts w:ascii="Times New Roman"/>
        </w:rPr>
        <w:t>根据绩效评估结果，</w:t>
      </w:r>
      <w:r>
        <w:rPr>
          <w:rFonts w:hint="eastAsia" w:ascii="Times New Roman"/>
        </w:rPr>
        <w:t>宜</w:t>
      </w:r>
      <w:r>
        <w:rPr>
          <w:rFonts w:ascii="Times New Roman"/>
        </w:rPr>
        <w:t>给予相关人员相应的奖励和激励，提升团队的积极性和创造力。</w:t>
      </w:r>
    </w:p>
    <w:p w14:paraId="1E5729F0">
      <w:pPr>
        <w:pStyle w:val="165"/>
        <w:rPr>
          <w:rFonts w:ascii="Times New Roman"/>
        </w:rPr>
      </w:pPr>
      <w:r>
        <w:rPr>
          <w:rFonts w:ascii="Times New Roman"/>
        </w:rPr>
        <w:t>建立持续改进机制，</w:t>
      </w:r>
      <w:r>
        <w:rPr>
          <w:rFonts w:hint="eastAsia" w:ascii="Times New Roman"/>
        </w:rPr>
        <w:t>应</w:t>
      </w:r>
      <w:r>
        <w:rPr>
          <w:rFonts w:ascii="Times New Roman"/>
        </w:rPr>
        <w:t>定期回顾和总结项目的实施经验，发现不足并提出改进措施。</w:t>
      </w:r>
    </w:p>
    <w:p w14:paraId="10F09403">
      <w:pPr>
        <w:pStyle w:val="165"/>
        <w:rPr>
          <w:rFonts w:ascii="Times New Roman"/>
        </w:rPr>
      </w:pPr>
      <w:r>
        <w:rPr>
          <w:rFonts w:hint="eastAsia" w:ascii="Times New Roman"/>
        </w:rPr>
        <w:t>宜</w:t>
      </w:r>
      <w:r>
        <w:rPr>
          <w:rFonts w:ascii="Times New Roman"/>
        </w:rPr>
        <w:t>鼓励创新和实践，不断探索新的数据处理和分析方法，提升项目的整体效能。</w:t>
      </w:r>
    </w:p>
    <w:p w14:paraId="786AF6ED">
      <w:pPr>
        <w:pStyle w:val="105"/>
        <w:spacing w:before="120" w:after="120"/>
        <w:rPr>
          <w:rFonts w:ascii="Times New Roman"/>
        </w:rPr>
      </w:pPr>
      <w:r>
        <w:rPr>
          <w:rFonts w:ascii="Times New Roman"/>
        </w:rPr>
        <w:t>协同</w:t>
      </w:r>
    </w:p>
    <w:p w14:paraId="3B8505C2">
      <w:pPr>
        <w:pStyle w:val="165"/>
        <w:rPr>
          <w:rFonts w:ascii="Times New Roman"/>
        </w:rPr>
      </w:pPr>
      <w:r>
        <w:rPr>
          <w:rFonts w:ascii="Times New Roman"/>
        </w:rPr>
        <w:t>加强跨部门协作，数据收集、处理、应用等各个环节</w:t>
      </w:r>
      <w:r>
        <w:rPr>
          <w:rFonts w:hint="eastAsia" w:ascii="Times New Roman"/>
        </w:rPr>
        <w:t>应</w:t>
      </w:r>
      <w:r>
        <w:rPr>
          <w:rFonts w:ascii="Times New Roman"/>
        </w:rPr>
        <w:t>顺畅衔接。</w:t>
      </w:r>
    </w:p>
    <w:p w14:paraId="793AA9C2">
      <w:pPr>
        <w:pStyle w:val="165"/>
        <w:rPr>
          <w:rFonts w:ascii="Times New Roman"/>
        </w:rPr>
      </w:pPr>
      <w:r>
        <w:rPr>
          <w:rFonts w:ascii="Times New Roman"/>
        </w:rPr>
        <w:t>建立跨部门沟通机制，</w:t>
      </w:r>
      <w:r>
        <w:rPr>
          <w:rFonts w:hint="eastAsia" w:ascii="Times New Roman"/>
        </w:rPr>
        <w:t>应</w:t>
      </w:r>
      <w:r>
        <w:rPr>
          <w:rFonts w:ascii="Times New Roman"/>
        </w:rPr>
        <w:t>定期召开协调会议，解决实施过程中遇到的问题和挑战。</w:t>
      </w:r>
    </w:p>
    <w:p w14:paraId="495D0915">
      <w:pPr>
        <w:pStyle w:val="165"/>
        <w:rPr>
          <w:rFonts w:ascii="Times New Roman"/>
        </w:rPr>
      </w:pPr>
      <w:r>
        <w:rPr>
          <w:rFonts w:ascii="Times New Roman"/>
        </w:rPr>
        <w:t>邀请利益相关者参与项目的实施与监督过程，</w:t>
      </w:r>
      <w:r>
        <w:rPr>
          <w:rFonts w:hint="eastAsia" w:ascii="Times New Roman"/>
        </w:rPr>
        <w:t>人员</w:t>
      </w:r>
      <w:r>
        <w:rPr>
          <w:rFonts w:ascii="Times New Roman"/>
        </w:rPr>
        <w:t>需求和利益</w:t>
      </w:r>
      <w:r>
        <w:rPr>
          <w:rFonts w:hint="eastAsia" w:ascii="Times New Roman"/>
        </w:rPr>
        <w:t>应</w:t>
      </w:r>
      <w:r>
        <w:rPr>
          <w:rFonts w:ascii="Times New Roman"/>
        </w:rPr>
        <w:t>得到充分考虑。</w:t>
      </w:r>
    </w:p>
    <w:p w14:paraId="11325122">
      <w:pPr>
        <w:pStyle w:val="165"/>
        <w:rPr>
          <w:rFonts w:ascii="Times New Roman"/>
        </w:rPr>
      </w:pPr>
      <w:r>
        <w:rPr>
          <w:rFonts w:ascii="Times New Roman"/>
        </w:rPr>
        <w:t>建立利益相关者反馈机制，</w:t>
      </w:r>
      <w:r>
        <w:rPr>
          <w:rFonts w:hint="eastAsia" w:ascii="Times New Roman"/>
        </w:rPr>
        <w:t>宜</w:t>
      </w:r>
      <w:r>
        <w:rPr>
          <w:rFonts w:ascii="Times New Roman"/>
        </w:rPr>
        <w:t>收集他们的意见和建议，不断优化项目的实施策略和监督措施。</w:t>
      </w:r>
    </w:p>
    <w:p w14:paraId="2CDCCE9E">
      <w:pPr>
        <w:pStyle w:val="165"/>
        <w:rPr>
          <w:rFonts w:ascii="Times New Roman"/>
        </w:rPr>
      </w:pPr>
      <w:r>
        <w:rPr>
          <w:rFonts w:ascii="Times New Roman"/>
        </w:rPr>
        <w:t>增加项目的透明度和公开度，</w:t>
      </w:r>
      <w:r>
        <w:rPr>
          <w:rFonts w:hint="eastAsia" w:ascii="Times New Roman"/>
        </w:rPr>
        <w:t>应</w:t>
      </w:r>
      <w:r>
        <w:rPr>
          <w:rFonts w:ascii="Times New Roman"/>
        </w:rPr>
        <w:t>定期发布项目进展和实施效果，接受社会各界的监督。</w:t>
      </w:r>
    </w:p>
    <w:p w14:paraId="2DEF4436">
      <w:pPr>
        <w:pStyle w:val="165"/>
        <w:rPr>
          <w:rFonts w:ascii="Times New Roman"/>
        </w:rPr>
      </w:pPr>
      <w:r>
        <w:rPr>
          <w:rFonts w:hint="eastAsia" w:ascii="Times New Roman"/>
        </w:rPr>
        <w:t>应</w:t>
      </w:r>
      <w:r>
        <w:rPr>
          <w:rFonts w:ascii="Times New Roman"/>
        </w:rPr>
        <w:t>建立信息公开渠道，如官方网站、社交媒体等，利益相关者</w:t>
      </w:r>
      <w:r>
        <w:rPr>
          <w:rFonts w:hint="eastAsia" w:ascii="Times New Roman"/>
        </w:rPr>
        <w:t>可</w:t>
      </w:r>
      <w:r>
        <w:rPr>
          <w:rFonts w:ascii="Times New Roman"/>
        </w:rPr>
        <w:t>获取项目相关信息。</w:t>
      </w:r>
    </w:p>
    <w:bookmarkEnd w:id="24"/>
    <w:p w14:paraId="4D143E2F">
      <w:pPr>
        <w:pStyle w:val="56"/>
        <w:ind w:firstLine="0" w:firstLineChars="0"/>
        <w:jc w:val="center"/>
      </w:pPr>
      <w:bookmarkStart w:id="59" w:name="BookMark8"/>
      <w:r>
        <w:drawing>
          <wp:inline distT="0" distB="0" distL="0" distR="0">
            <wp:extent cx="1485900" cy="317500"/>
            <wp:effectExtent l="0" t="0" r="0" b="6350"/>
            <wp:docPr id="1086019595" name="图片 1"/>
            <wp:cNvGraphicFramePr/>
            <a:graphic xmlns:a="http://schemas.openxmlformats.org/drawingml/2006/main">
              <a:graphicData uri="http://schemas.openxmlformats.org/drawingml/2006/picture">
                <pic:pic xmlns:pic="http://schemas.openxmlformats.org/drawingml/2006/picture">
                  <pic:nvPicPr>
                    <pic:cNvPr id="1086019595"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6364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1949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3212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6E9F2">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14020">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03AE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421A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5A2A">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1592">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aN8oIwKppM+KDkHWJghoQvse4OGrA9aw0JjjBS4WfiEslXTkUr2xatnlEgMx+v8XIY1Dj2JN37de0hqx6S07uQ==" w:salt="Sbs4XpeI35zAIsrq7xKVg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8F9"/>
    <w:rsid w:val="0000040A"/>
    <w:rsid w:val="00000A94"/>
    <w:rsid w:val="00001972"/>
    <w:rsid w:val="00001D9A"/>
    <w:rsid w:val="00007B3A"/>
    <w:rsid w:val="000107E0"/>
    <w:rsid w:val="00011FDE"/>
    <w:rsid w:val="00012FFD"/>
    <w:rsid w:val="0001387E"/>
    <w:rsid w:val="00014162"/>
    <w:rsid w:val="00014340"/>
    <w:rsid w:val="00016A9C"/>
    <w:rsid w:val="00022184"/>
    <w:rsid w:val="00022762"/>
    <w:rsid w:val="000238E0"/>
    <w:rsid w:val="000249DB"/>
    <w:rsid w:val="0002595E"/>
    <w:rsid w:val="00025FEF"/>
    <w:rsid w:val="000303C3"/>
    <w:rsid w:val="000331D3"/>
    <w:rsid w:val="000346A5"/>
    <w:rsid w:val="00034709"/>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BD2"/>
    <w:rsid w:val="005B4903"/>
    <w:rsid w:val="005B51CE"/>
    <w:rsid w:val="005B5885"/>
    <w:rsid w:val="005B5CD7"/>
    <w:rsid w:val="005B6CF6"/>
    <w:rsid w:val="005B7422"/>
    <w:rsid w:val="005C29B8"/>
    <w:rsid w:val="005C5F21"/>
    <w:rsid w:val="005C7156"/>
    <w:rsid w:val="005C7743"/>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65F"/>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52DF"/>
    <w:rsid w:val="006770F4"/>
    <w:rsid w:val="00677A84"/>
    <w:rsid w:val="0068026D"/>
    <w:rsid w:val="00680A27"/>
    <w:rsid w:val="006816A4"/>
    <w:rsid w:val="006819B8"/>
    <w:rsid w:val="006840A6"/>
    <w:rsid w:val="006850CD"/>
    <w:rsid w:val="00685AAB"/>
    <w:rsid w:val="006908F9"/>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3A2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01D2"/>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396"/>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D7AAF"/>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0E26"/>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5B2C"/>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497"/>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479BC"/>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0CF"/>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6C8C"/>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6208"/>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408E"/>
    <w:rsid w:val="00F56511"/>
    <w:rsid w:val="00F6194E"/>
    <w:rsid w:val="00F623AC"/>
    <w:rsid w:val="00F6412A"/>
    <w:rsid w:val="00F65893"/>
    <w:rsid w:val="00F66A4A"/>
    <w:rsid w:val="00F71857"/>
    <w:rsid w:val="00F71E22"/>
    <w:rsid w:val="00F72142"/>
    <w:rsid w:val="00F72AE7"/>
    <w:rsid w:val="00F833BA"/>
    <w:rsid w:val="00F84CE0"/>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007"/>
    <w:rsid w:val="00FE3901"/>
    <w:rsid w:val="00FE39D3"/>
    <w:rsid w:val="00FE4BCE"/>
    <w:rsid w:val="00FE54AE"/>
    <w:rsid w:val="00FE576A"/>
    <w:rsid w:val="00FE7E79"/>
    <w:rsid w:val="00FF3E7D"/>
    <w:rsid w:val="00FF5B99"/>
    <w:rsid w:val="00FF730C"/>
    <w:rsid w:val="00FF73F4"/>
    <w:rsid w:val="00FF7CE4"/>
    <w:rsid w:val="00FF7E39"/>
    <w:rsid w:val="078C00CB"/>
    <w:rsid w:val="72335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40B1D1BE30E41EB8DC5D0ECB080E538"/>
        <w:style w:val=""/>
        <w:category>
          <w:name w:val="常规"/>
          <w:gallery w:val="placeholder"/>
        </w:category>
        <w:types>
          <w:type w:val="bbPlcHdr"/>
        </w:types>
        <w:behaviors>
          <w:behavior w:val="content"/>
        </w:behaviors>
        <w:description w:val=""/>
        <w:guid w:val="{5BF014EE-B7B0-425C-892A-8D4E061D45EE}"/>
      </w:docPartPr>
      <w:docPartBody>
        <w:p w14:paraId="605ADF74">
          <w:pPr>
            <w:pStyle w:val="5"/>
            <w:rPr>
              <w:rFonts w:hint="eastAsia"/>
            </w:rPr>
          </w:pPr>
          <w:r>
            <w:rPr>
              <w:rStyle w:val="4"/>
              <w:rFonts w:hint="eastAsia"/>
            </w:rPr>
            <w:t>单击或点击此处输入文字。</w:t>
          </w:r>
        </w:p>
      </w:docPartBody>
    </w:docPart>
    <w:docPart>
      <w:docPartPr>
        <w:name w:val="9379E333603F426580F9E25AB8076AC1"/>
        <w:style w:val=""/>
        <w:category>
          <w:name w:val="常规"/>
          <w:gallery w:val="placeholder"/>
        </w:category>
        <w:types>
          <w:type w:val="bbPlcHdr"/>
        </w:types>
        <w:behaviors>
          <w:behavior w:val="content"/>
        </w:behaviors>
        <w:description w:val=""/>
        <w:guid w:val="{FFCD3370-CD20-4EB1-87B5-137DF6EFBFD1}"/>
      </w:docPartPr>
      <w:docPartBody>
        <w:p w14:paraId="42291677">
          <w:pPr>
            <w:pStyle w:val="6"/>
            <w:rPr>
              <w:rFonts w:hint="eastAsia"/>
            </w:rPr>
          </w:pPr>
          <w:r>
            <w:rPr>
              <w:rStyle w:val="4"/>
              <w:rFonts w:hint="eastAsia"/>
            </w:rPr>
            <w:t>选择一项。</w:t>
          </w:r>
        </w:p>
      </w:docPartBody>
    </w:docPart>
    <w:docPart>
      <w:docPartPr>
        <w:name w:val="E5B5802BC02E40358EBBB10FD81DF0D4"/>
        <w:style w:val=""/>
        <w:category>
          <w:name w:val="常规"/>
          <w:gallery w:val="placeholder"/>
        </w:category>
        <w:types>
          <w:type w:val="bbPlcHdr"/>
        </w:types>
        <w:behaviors>
          <w:behavior w:val="content"/>
        </w:behaviors>
        <w:description w:val=""/>
        <w:guid w:val="{67B7458E-8D01-4051-92D1-6B1201CEE8C3}"/>
      </w:docPartPr>
      <w:docPartBody>
        <w:p w14:paraId="4647A550">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6B"/>
    <w:rsid w:val="0004746B"/>
    <w:rsid w:val="000547DE"/>
    <w:rsid w:val="002379E3"/>
    <w:rsid w:val="009501D2"/>
    <w:rsid w:val="00C35B2C"/>
    <w:rsid w:val="00C464B0"/>
    <w:rsid w:val="00E15B4D"/>
    <w:rsid w:val="00F71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40B1D1BE30E41EB8DC5D0ECB080E53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379E333603F426580F9E25AB8076AC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E5B5802BC02E40358EBBB10FD81DF0D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6779</Words>
  <Characters>7028</Characters>
  <Lines>68</Lines>
  <Paragraphs>19</Paragraphs>
  <TotalTime>2</TotalTime>
  <ScaleCrop>false</ScaleCrop>
  <LinksUpToDate>false</LinksUpToDate>
  <CharactersWithSpaces>7112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2025-03-07T06:45:00Z</dcterms:created>
  <dc:creator>1</dc:creator>
  <dc:description>&lt;config cover="true" show_menu="true" version="1.0.0" doctype="SDKXY"&gt;_x000d_
&lt;/config&gt;</dc:description>
  <cp:lastModifiedBy>Shimmer</cp:lastModifiedBy>
  <cp:lastPrinted>2021-02-02T08:22:00Z</cp:lastPrinted>
  <dcterms:modified xsi:type="dcterms:W3CDTF">2025-03-25T09:03:29Z</dcterms:modified>
  <dc:title>团体标准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2052-12.1.0.20305</vt:lpwstr>
  </property>
  <property fmtid="{D5CDD505-2E9C-101B-9397-08002B2CF9AE}" pid="16" name="ICV">
    <vt:lpwstr>C4B105416A624E7F98D46E6869FE5B28_12</vt:lpwstr>
  </property>
</Properties>
</file>