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r>
        <w:rPr>
          <w:rFonts w:hint="eastAsia" w:ascii="Times New Roman" w:hAnsi="Times New Roman" w:eastAsia="黑体" w:cs="Times New Roman"/>
          <w:b/>
          <w:sz w:val="52"/>
          <w:szCs w:val="52"/>
          <w:highlight w:val="none"/>
          <w:lang w:val="en-US" w:eastAsia="zh-CN"/>
        </w:rPr>
        <w:t>质量分级及评价要求</w:t>
      </w:r>
      <w:r>
        <w:rPr>
          <w:rFonts w:hint="default" w:ascii="Times New Roman" w:hAnsi="Times New Roman" w:eastAsia="黑体" w:cs="Times New Roman"/>
          <w:b/>
          <w:sz w:val="52"/>
          <w:szCs w:val="52"/>
          <w:highlight w:val="none"/>
          <w:lang w:val="en-US" w:eastAsia="zh-CN"/>
        </w:rPr>
        <w:t xml:space="preserve"> 研磨丝杆</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14AA5CF9">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6CA6CF32">
      <w:pPr>
        <w:adjustRightInd w:val="0"/>
        <w:snapToGrid w:val="0"/>
        <w:spacing w:line="360" w:lineRule="auto"/>
        <w:rPr>
          <w:rFonts w:hint="default" w:ascii="Times New Roman" w:hAnsi="Times New Roman" w:eastAsia="仿宋" w:cs="Times New Roman"/>
          <w:b/>
          <w:sz w:val="24"/>
          <w:szCs w:val="24"/>
          <w:highlight w:val="none"/>
        </w:rPr>
      </w:pPr>
    </w:p>
    <w:p w14:paraId="06FE5E09">
      <w:pPr>
        <w:adjustRightInd w:val="0"/>
        <w:snapToGrid w:val="0"/>
        <w:spacing w:line="360" w:lineRule="auto"/>
        <w:rPr>
          <w:rFonts w:hint="default" w:ascii="Times New Roman" w:hAnsi="Times New Roman" w:eastAsia="仿宋" w:cs="Times New Roman"/>
          <w:b/>
          <w:sz w:val="24"/>
          <w:szCs w:val="24"/>
          <w:highlight w:val="none"/>
        </w:rPr>
      </w:pPr>
    </w:p>
    <w:p w14:paraId="4F36805F">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eastAsia" w:ascii="Times New Roman" w:hAnsi="Times New Roman" w:eastAsia="楷体_GB2312" w:cs="Times New Roman"/>
          <w:b/>
          <w:sz w:val="36"/>
          <w:szCs w:val="36"/>
          <w:highlight w:val="none"/>
          <w:lang w:val="en-US" w:eastAsia="zh-CN"/>
        </w:rPr>
        <w:t>质量分级及评价要求</w:t>
      </w:r>
      <w:r>
        <w:rPr>
          <w:rFonts w:hint="default" w:ascii="Times New Roman" w:hAnsi="Times New Roman" w:eastAsia="楷体_GB2312" w:cs="Times New Roman"/>
          <w:b/>
          <w:sz w:val="36"/>
          <w:szCs w:val="36"/>
          <w:highlight w:val="none"/>
          <w:lang w:val="en-US" w:eastAsia="zh-CN"/>
        </w:rPr>
        <w:t xml:space="preserve"> 研磨丝杆</w:t>
      </w:r>
      <w:r>
        <w:rPr>
          <w:rFonts w:hint="default" w:ascii="Times New Roman" w:hAnsi="Times New Roman" w:eastAsia="楷体_GB2312" w:cs="Times New Roman"/>
          <w:b/>
          <w:sz w:val="36"/>
          <w:szCs w:val="36"/>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default" w:ascii="Times New Roman" w:hAnsi="Times New Roman" w:eastAsia="楷体_GB2312" w:cs="Times New Roman"/>
          <w:b/>
          <w:sz w:val="36"/>
          <w:szCs w:val="36"/>
          <w:highlight w:val="none"/>
          <w:lang w:val="en-US" w:eastAsia="zh-CN"/>
        </w:rPr>
        <w:t>二</w:t>
      </w:r>
      <w:r>
        <w:rPr>
          <w:rFonts w:hint="default" w:ascii="Times New Roman" w:hAnsi="Times New Roman" w:eastAsia="楷体_GB2312" w:cs="Times New Roman"/>
          <w:b/>
          <w:sz w:val="36"/>
          <w:szCs w:val="36"/>
          <w:highlight w:val="none"/>
        </w:rPr>
        <w:t>月</w:t>
      </w:r>
    </w:p>
    <w:p w14:paraId="6AF7A759">
      <w:pPr>
        <w:spacing w:line="360" w:lineRule="auto"/>
        <w:jc w:val="center"/>
        <w:rPr>
          <w:rFonts w:hint="default" w:ascii="Times New Roman" w:hAnsi="Times New Roman" w:eastAsia="楷体_GB2312" w:cs="Times New Roman"/>
          <w:b/>
          <w:sz w:val="36"/>
          <w:szCs w:val="36"/>
          <w:highlight w:val="none"/>
        </w:rPr>
      </w:pP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16</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16</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16</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16</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16</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16</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16</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16</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16</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7FFE914C">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eastAsia" w:ascii="Times New Roman" w:hAnsi="Times New Roman" w:eastAsia="黑体" w:cs="Times New Roman"/>
          <w:b/>
          <w:sz w:val="36"/>
          <w:szCs w:val="36"/>
          <w:highlight w:val="none"/>
          <w:lang w:val="en-US" w:eastAsia="zh-CN"/>
        </w:rPr>
        <w:t>质量分级及评价要求</w:t>
      </w:r>
      <w:r>
        <w:rPr>
          <w:rFonts w:hint="default" w:ascii="Times New Roman" w:hAnsi="Times New Roman" w:eastAsia="黑体" w:cs="Times New Roman"/>
          <w:b/>
          <w:sz w:val="36"/>
          <w:szCs w:val="36"/>
          <w:highlight w:val="none"/>
          <w:lang w:val="en-US" w:eastAsia="zh-CN"/>
        </w:rPr>
        <w:t xml:space="preserve"> 研磨丝杆</w:t>
      </w:r>
      <w:r>
        <w:rPr>
          <w:rFonts w:hint="default" w:ascii="Times New Roman" w:hAnsi="Times New Roman" w:eastAsia="黑体" w:cs="Times New Roman"/>
          <w:b/>
          <w:sz w:val="36"/>
          <w:szCs w:val="36"/>
          <w:highlight w:val="none"/>
        </w:rPr>
        <w:t>》团体标准</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7AB68A96">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研磨丝杆作为精密传动部件，在机床、自动化设备等领域具有广泛的应用。随着制造业的快速发展，对研磨丝杆的精度、耐磨性和使用寿命等要求越来越高。然而，市场上研磨丝杆的质量参差不齐，消费者难以准确判断产品的优劣。为了解决这一问题，实施</w:t>
      </w:r>
      <w:r>
        <w:rPr>
          <w:rFonts w:hint="eastAsia" w:ascii="Times New Roman" w:hAnsi="Times New Roman" w:cs="Times New Roman"/>
          <w:kern w:val="0"/>
          <w:sz w:val="28"/>
          <w:szCs w:val="28"/>
          <w:highlight w:val="none"/>
          <w:lang w:eastAsia="zh-CN"/>
        </w:rPr>
        <w:t>质量分级及评价要求</w:t>
      </w:r>
      <w:r>
        <w:rPr>
          <w:rFonts w:hint="default" w:ascii="Times New Roman" w:hAnsi="Times New Roman" w:cs="Times New Roman"/>
          <w:kern w:val="0"/>
          <w:sz w:val="28"/>
          <w:szCs w:val="28"/>
          <w:highlight w:val="none"/>
        </w:rPr>
        <w:t>成为研磨丝杆项目立项的重要背景。在研磨丝杆项目中，实施</w:t>
      </w:r>
      <w:r>
        <w:rPr>
          <w:rFonts w:hint="eastAsia" w:ascii="Times New Roman" w:hAnsi="Times New Roman" w:cs="Times New Roman"/>
          <w:kern w:val="0"/>
          <w:sz w:val="28"/>
          <w:szCs w:val="28"/>
          <w:highlight w:val="none"/>
          <w:lang w:eastAsia="zh-CN"/>
        </w:rPr>
        <w:t>质量分级及评价要求</w:t>
      </w:r>
      <w:r>
        <w:rPr>
          <w:rFonts w:hint="default" w:ascii="Times New Roman" w:hAnsi="Times New Roman" w:cs="Times New Roman"/>
          <w:kern w:val="0"/>
          <w:sz w:val="28"/>
          <w:szCs w:val="28"/>
          <w:highlight w:val="none"/>
        </w:rPr>
        <w:t>面临一些问题。首先，缺乏统一的质量分级标准和评价标准，导致市场上产品质量参差不齐，难以形成有效的市场竞争。其次，部分企业在生产过程中存在偷工减料、以次充好等问题，影响了整个行业的健康发展。此外，消费者对研磨丝杆产品的了解不足，难以准确判断产品的质量和性能，也影响了市场的公平竞争。</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因此，需要制定明确的质量分级和评价标准，加强市场监管和消费者教育，推动研磨丝杆行业的健康发展。实施</w:t>
      </w:r>
      <w:r>
        <w:rPr>
          <w:rFonts w:hint="eastAsia" w:ascii="Times New Roman" w:hAnsi="Times New Roman" w:cs="Times New Roman"/>
          <w:kern w:val="0"/>
          <w:sz w:val="28"/>
          <w:szCs w:val="28"/>
          <w:highlight w:val="none"/>
          <w:lang w:eastAsia="zh-CN"/>
        </w:rPr>
        <w:t>质量分级及评价要求</w:t>
      </w:r>
      <w:r>
        <w:rPr>
          <w:rFonts w:hint="default" w:ascii="Times New Roman" w:hAnsi="Times New Roman" w:cs="Times New Roman"/>
          <w:kern w:val="0"/>
          <w:sz w:val="28"/>
          <w:szCs w:val="28"/>
          <w:highlight w:val="none"/>
        </w:rPr>
        <w:t>对研磨丝杆项目具有重要意义。首先，通过制定明确的质量分级标准和</w:t>
      </w:r>
      <w:bookmarkStart w:id="53" w:name="_GoBack"/>
      <w:bookmarkEnd w:id="53"/>
      <w:r>
        <w:rPr>
          <w:rFonts w:hint="default" w:ascii="Times New Roman" w:hAnsi="Times New Roman" w:cs="Times New Roman"/>
          <w:kern w:val="0"/>
          <w:sz w:val="28"/>
          <w:szCs w:val="28"/>
          <w:highlight w:val="none"/>
        </w:rPr>
        <w:t>评价标准，可以引导企业提升产品质量和技术水平，推动行业技术进步和产业升级。其次，有助于消费者更好地了解产品的质量和性能，做出明智的购买决策，保障消费者的合法权益。同时，实施</w:t>
      </w:r>
      <w:r>
        <w:rPr>
          <w:rFonts w:hint="eastAsia" w:ascii="Times New Roman" w:hAnsi="Times New Roman" w:cs="Times New Roman"/>
          <w:kern w:val="0"/>
          <w:sz w:val="28"/>
          <w:szCs w:val="28"/>
          <w:highlight w:val="none"/>
          <w:lang w:eastAsia="zh-CN"/>
        </w:rPr>
        <w:t>质量分级及评价要求</w:t>
      </w:r>
      <w:r>
        <w:rPr>
          <w:rFonts w:hint="default" w:ascii="Times New Roman" w:hAnsi="Times New Roman" w:cs="Times New Roman"/>
          <w:kern w:val="0"/>
          <w:sz w:val="28"/>
          <w:szCs w:val="28"/>
          <w:highlight w:val="none"/>
        </w:rPr>
        <w:t>还可以促进市场竞争，淘汰落后产能，提高整个行业的竞争力和可持续发展能力。因此，研磨丝杆项目应积极推进</w:t>
      </w:r>
      <w:r>
        <w:rPr>
          <w:rFonts w:hint="eastAsia" w:ascii="Times New Roman" w:hAnsi="Times New Roman" w:cs="Times New Roman"/>
          <w:kern w:val="0"/>
          <w:sz w:val="28"/>
          <w:szCs w:val="28"/>
          <w:highlight w:val="none"/>
          <w:lang w:eastAsia="zh-CN"/>
        </w:rPr>
        <w:t>质量分级及评价要求</w:t>
      </w:r>
      <w:r>
        <w:rPr>
          <w:rFonts w:hint="default" w:ascii="Times New Roman" w:hAnsi="Times New Roman" w:cs="Times New Roman"/>
          <w:kern w:val="0"/>
          <w:sz w:val="28"/>
          <w:szCs w:val="28"/>
          <w:highlight w:val="none"/>
        </w:rPr>
        <w:t>的实施，为行业的健康发展提供有力保障。</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eastAsia" w:ascii="Times New Roman" w:hAnsi="Times New Roman" w:cs="Times New Roman"/>
          <w:kern w:val="0"/>
          <w:sz w:val="28"/>
          <w:szCs w:val="28"/>
          <w:highlight w:val="none"/>
          <w:lang w:eastAsia="zh-CN"/>
        </w:rPr>
        <w:t>质量分级及评价</w:t>
      </w:r>
      <w:r>
        <w:rPr>
          <w:rFonts w:hint="default" w:ascii="Times New Roman" w:hAnsi="Times New Roman" w:cs="Times New Roman"/>
          <w:kern w:val="0"/>
          <w:sz w:val="28"/>
          <w:szCs w:val="28"/>
          <w:highlight w:val="none"/>
        </w:rPr>
        <w:t>市场管理工作中起到规范信息化管理作用，标准起草工作组力求科学性、可操作性，以科学、谨慎的态度，在对我国现有</w:t>
      </w:r>
      <w:r>
        <w:rPr>
          <w:rFonts w:hint="eastAsia" w:ascii="Times New Roman" w:hAnsi="Times New Roman" w:cs="Times New Roman"/>
          <w:kern w:val="0"/>
          <w:sz w:val="28"/>
          <w:szCs w:val="28"/>
          <w:highlight w:val="none"/>
          <w:lang w:eastAsia="zh-CN"/>
        </w:rPr>
        <w:t>质量分级及评价</w:t>
      </w:r>
      <w:r>
        <w:rPr>
          <w:rFonts w:hint="default" w:ascii="Times New Roman" w:hAnsi="Times New Roman" w:cs="Times New Roman"/>
          <w:kern w:val="0"/>
          <w:sz w:val="28"/>
          <w:szCs w:val="28"/>
          <w:highlight w:val="none"/>
        </w:rPr>
        <w:t>市场相关管理服务体系文件、模式基础上，经过综合分析、充分验证资料、反复讨论研究和修改，最终确定了本标准的主要内容。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w:t>
      </w:r>
      <w:r>
        <w:rPr>
          <w:rFonts w:hint="eastAsia" w:ascii="Times New Roman" w:hAnsi="Times New Roman" w:cs="Times New Roman"/>
          <w:kern w:val="0"/>
          <w:sz w:val="28"/>
          <w:szCs w:val="28"/>
          <w:highlight w:val="none"/>
          <w:lang w:val="en-US" w:eastAsia="zh-CN"/>
        </w:rPr>
        <w:t>质量分级及评价</w:t>
      </w:r>
      <w:r>
        <w:rPr>
          <w:rFonts w:hint="default" w:ascii="Times New Roman" w:hAnsi="Times New Roman" w:cs="Times New Roman"/>
          <w:kern w:val="0"/>
          <w:sz w:val="28"/>
          <w:szCs w:val="28"/>
          <w:highlight w:val="none"/>
          <w:lang w:val="en-US" w:eastAsia="zh-CN"/>
        </w:rPr>
        <w:t>相关情况进行了深入的调查研究，同时广泛搜集相关标准和国外技术资料，进行了大量的研究分析、资料查证工作，确定了</w:t>
      </w:r>
      <w:r>
        <w:rPr>
          <w:rFonts w:hint="eastAsia" w:ascii="Times New Roman" w:hAnsi="Times New Roman" w:cs="Times New Roman"/>
          <w:kern w:val="0"/>
          <w:sz w:val="28"/>
          <w:szCs w:val="28"/>
          <w:highlight w:val="none"/>
          <w:lang w:val="en-US" w:eastAsia="zh-CN"/>
        </w:rPr>
        <w:t>质量分级及评价</w:t>
      </w:r>
      <w:r>
        <w:rPr>
          <w:rFonts w:hint="default" w:ascii="Times New Roman" w:hAnsi="Times New Roman" w:cs="Times New Roman"/>
          <w:kern w:val="0"/>
          <w:sz w:val="28"/>
          <w:szCs w:val="28"/>
          <w:highlight w:val="none"/>
          <w:lang w:val="en-US" w:eastAsia="zh-CN"/>
        </w:rPr>
        <w:t>市场标准化管理中现存问题，结合现有产品实际应用经验，为标准起草奠定了基础。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w:t>
      </w:r>
      <w:r>
        <w:rPr>
          <w:rFonts w:hint="eastAsia" w:ascii="Times New Roman" w:hAnsi="Times New Roman" w:cs="Times New Roman"/>
          <w:kern w:val="0"/>
          <w:sz w:val="28"/>
          <w:szCs w:val="28"/>
          <w:highlight w:val="none"/>
          <w:lang w:val="en-US" w:eastAsia="zh-CN"/>
        </w:rPr>
        <w:t>质量分级及评价</w:t>
      </w:r>
      <w:r>
        <w:rPr>
          <w:rFonts w:hint="default" w:ascii="Times New Roman" w:hAnsi="Times New Roman" w:cs="Times New Roman"/>
          <w:kern w:val="0"/>
          <w:sz w:val="28"/>
          <w:szCs w:val="28"/>
          <w:highlight w:val="none"/>
          <w:lang w:val="en-US" w:eastAsia="zh-CN"/>
        </w:rPr>
        <w:t>需要具备的特殊条件，明确了技术要求和指标，为标准的具体起草指明了方向。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w:t>
      </w:r>
      <w:r>
        <w:rPr>
          <w:rFonts w:hint="eastAsia" w:ascii="Times New Roman" w:hAnsi="Times New Roman" w:cs="Times New Roman"/>
          <w:kern w:val="0"/>
          <w:sz w:val="28"/>
          <w:szCs w:val="28"/>
          <w:highlight w:val="none"/>
          <w:lang w:val="en-US" w:eastAsia="zh-CN"/>
        </w:rPr>
        <w:t>质量分级及评价要求</w:t>
      </w:r>
      <w:r>
        <w:rPr>
          <w:rFonts w:hint="default" w:ascii="Times New Roman" w:hAnsi="Times New Roman" w:cs="Times New Roman"/>
          <w:kern w:val="0"/>
          <w:sz w:val="28"/>
          <w:szCs w:val="28"/>
          <w:highlight w:val="none"/>
          <w:lang w:val="en-US" w:eastAsia="zh-CN"/>
        </w:rPr>
        <w:t xml:space="preserve"> 研磨丝杆》标准草案。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eastAsia" w:ascii="Times New Roman" w:hAnsi="Times New Roman" w:cs="Times New Roman"/>
          <w:kern w:val="0"/>
          <w:sz w:val="28"/>
          <w:szCs w:val="28"/>
          <w:highlight w:val="none"/>
          <w:lang w:val="en-US" w:eastAsia="zh-CN"/>
        </w:rPr>
        <w:t>质量分级及评价要求</w:t>
      </w:r>
      <w:r>
        <w:rPr>
          <w:rFonts w:hint="default" w:ascii="Times New Roman" w:hAnsi="Times New Roman" w:cs="Times New Roman"/>
          <w:kern w:val="0"/>
          <w:sz w:val="28"/>
          <w:szCs w:val="28"/>
          <w:highlight w:val="none"/>
          <w:lang w:val="en-US" w:eastAsia="zh-CN"/>
        </w:rPr>
        <w:t xml:space="preserve"> 研磨丝杆》（征求意见稿）。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27ED38D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协会</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lang w:val="en-US" w:eastAsia="zh-CN"/>
        </w:rPr>
        <w:t>企业</w:t>
      </w:r>
      <w:r>
        <w:rPr>
          <w:rFonts w:hint="default" w:ascii="Times New Roman" w:hAnsi="Times New Roman" w:cs="Times New Roman"/>
          <w:kern w:val="0"/>
          <w:sz w:val="28"/>
          <w:szCs w:val="28"/>
          <w:highlight w:val="none"/>
        </w:rPr>
        <w:t>等多家单位的专家成立了规范起草小组，开展标准的编制工作。</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default" w:ascii="Times New Roman" w:hAnsi="Times New Roman" w:cs="Times New Roman"/>
          <w:kern w:val="0"/>
          <w:sz w:val="28"/>
          <w:szCs w:val="28"/>
          <w:highlight w:val="none"/>
          <w:lang w:val="en-US" w:eastAsia="zh-CN"/>
        </w:rPr>
        <w:t>3</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本标准报批稿包括8个部分，主要内容如下：</w:t>
      </w:r>
    </w:p>
    <w:p w14:paraId="7AA8D9E9">
      <w:pPr>
        <w:pStyle w:val="11"/>
        <w:keepNext w:val="0"/>
        <w:keepLines w:val="0"/>
        <w:widowControl/>
        <w:numPr>
          <w:ilvl w:val="1"/>
          <w:numId w:val="5"/>
        </w:numPr>
        <w:suppressLineNumbers w:val="0"/>
        <w:adjustRightInd/>
        <w:spacing w:before="240" w:beforeLines="100" w:beforeAutospacing="0" w:after="240" w:afterLines="100" w:afterAutospacing="0" w:line="360" w:lineRule="auto"/>
        <w:ind w:left="0" w:right="0" w:firstLine="0"/>
        <w:jc w:val="both"/>
        <w:outlineLvl w:val="0"/>
        <w:rPr>
          <w:rFonts w:hint="default" w:ascii="Times New Roman" w:hAnsi="Times New Roman" w:cs="Times New Roman"/>
          <w:sz w:val="28"/>
          <w:szCs w:val="28"/>
          <w:lang w:val="en-US"/>
        </w:rPr>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26986771"/>
      <w:bookmarkStart w:id="10" w:name="_Toc97192964"/>
      <w:bookmarkStart w:id="11" w:name="_Toc190446768"/>
      <w:bookmarkStart w:id="12" w:name="_Toc192085346"/>
      <w:r>
        <w:rPr>
          <w:rFonts w:hint="eastAsia" w:ascii="Times New Roman" w:hAnsi="Times New Roman" w:eastAsia="黑体" w:cs="Times New Roman"/>
          <w:kern w:val="0"/>
          <w:sz w:val="28"/>
          <w:szCs w:val="28"/>
          <w:lang w:val="en-US" w:eastAsia="zh-CN" w:bidi="ar"/>
        </w:rPr>
        <w:t>范围</w:t>
      </w:r>
      <w:bookmarkEnd w:id="2"/>
      <w:bookmarkEnd w:id="3"/>
      <w:bookmarkEnd w:id="4"/>
      <w:bookmarkEnd w:id="5"/>
      <w:bookmarkEnd w:id="6"/>
      <w:bookmarkEnd w:id="7"/>
      <w:bookmarkEnd w:id="8"/>
      <w:bookmarkEnd w:id="9"/>
      <w:bookmarkEnd w:id="10"/>
      <w:bookmarkEnd w:id="11"/>
      <w:bookmarkEnd w:id="12"/>
    </w:p>
    <w:p w14:paraId="0BD63DBF">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bookmarkStart w:id="13" w:name="_Toc17233326"/>
      <w:bookmarkStart w:id="14" w:name="_Toc17233334"/>
      <w:bookmarkStart w:id="15" w:name="_Toc24884212"/>
      <w:bookmarkStart w:id="16" w:name="_Toc24884219"/>
      <w:bookmarkStart w:id="17" w:name="_Toc26648466"/>
      <w:r>
        <w:rPr>
          <w:rFonts w:hint="eastAsia" w:ascii="Times New Roman" w:hAnsi="Times New Roman" w:eastAsia="宋体" w:cs="Times New Roman"/>
          <w:kern w:val="0"/>
          <w:sz w:val="28"/>
          <w:szCs w:val="28"/>
          <w:lang w:val="en-US" w:eastAsia="zh-CN" w:bidi="ar"/>
        </w:rPr>
        <w:t>本文件规定了研磨丝杆质量分级及评价的术语和定义、基本要求、评价指标、评价方法、等级划分及标识相关内容。</w:t>
      </w:r>
    </w:p>
    <w:p w14:paraId="7CD14C74">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本文件适用于精密机械、数控机床等领域使用的研磨丝杆质量分级及评价。</w:t>
      </w:r>
    </w:p>
    <w:p w14:paraId="3AF63E0F">
      <w:pPr>
        <w:pStyle w:val="11"/>
        <w:keepNext w:val="0"/>
        <w:keepLines w:val="0"/>
        <w:widowControl/>
        <w:numPr>
          <w:ilvl w:val="1"/>
          <w:numId w:val="5"/>
        </w:numPr>
        <w:suppressLineNumbers w:val="0"/>
        <w:adjustRightInd/>
        <w:spacing w:before="240" w:beforeLines="100" w:beforeAutospacing="0" w:after="240" w:afterLines="100" w:afterAutospacing="0" w:line="360" w:lineRule="auto"/>
        <w:ind w:left="0" w:right="0" w:firstLine="0"/>
        <w:jc w:val="both"/>
        <w:outlineLvl w:val="0"/>
        <w:rPr>
          <w:rFonts w:hint="default" w:ascii="Times New Roman" w:hAnsi="Times New Roman" w:cs="Times New Roman"/>
          <w:sz w:val="28"/>
          <w:szCs w:val="28"/>
          <w:lang w:val="en-US"/>
        </w:rPr>
      </w:pPr>
      <w:bookmarkStart w:id="18" w:name="_Toc26718931"/>
      <w:bookmarkStart w:id="19" w:name="_Toc26986531"/>
      <w:bookmarkStart w:id="20" w:name="_Toc26986772"/>
      <w:bookmarkStart w:id="21" w:name="_Toc97192965"/>
      <w:bookmarkStart w:id="22" w:name="_Toc190446769"/>
      <w:bookmarkStart w:id="23" w:name="_Toc192085347"/>
      <w:r>
        <w:rPr>
          <w:rFonts w:hint="eastAsia" w:ascii="Times New Roman" w:hAnsi="Times New Roman" w:eastAsia="黑体" w:cs="Times New Roman"/>
          <w:kern w:val="0"/>
          <w:sz w:val="28"/>
          <w:szCs w:val="28"/>
          <w:lang w:val="en-US" w:eastAsia="zh-CN" w:bidi="ar"/>
        </w:rPr>
        <w:t>规范性引用文件</w:t>
      </w:r>
      <w:bookmarkEnd w:id="13"/>
      <w:bookmarkEnd w:id="14"/>
      <w:bookmarkEnd w:id="15"/>
      <w:bookmarkEnd w:id="16"/>
      <w:bookmarkEnd w:id="17"/>
      <w:bookmarkEnd w:id="18"/>
      <w:bookmarkEnd w:id="19"/>
      <w:bookmarkEnd w:id="20"/>
      <w:bookmarkEnd w:id="21"/>
      <w:bookmarkEnd w:id="22"/>
      <w:bookmarkEnd w:id="23"/>
    </w:p>
    <w:p w14:paraId="57EBA019">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86E5574">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default" w:ascii="Times New Roman" w:hAnsi="Times New Roman" w:eastAsia="宋体" w:cs="Times New Roman"/>
          <w:kern w:val="0"/>
          <w:sz w:val="28"/>
          <w:szCs w:val="28"/>
          <w:lang w:val="en-US" w:eastAsia="zh-CN" w:bidi="ar"/>
        </w:rPr>
        <w:t xml:space="preserve">GB/T 308.1 </w:t>
      </w:r>
      <w:r>
        <w:rPr>
          <w:rFonts w:hint="eastAsia" w:ascii="Times New Roman" w:hAnsi="Times New Roman" w:eastAsia="宋体" w:cs="Times New Roman"/>
          <w:kern w:val="0"/>
          <w:sz w:val="28"/>
          <w:szCs w:val="28"/>
          <w:lang w:val="en-US" w:eastAsia="zh-CN" w:bidi="ar"/>
        </w:rPr>
        <w:t>滚动轴承</w:t>
      </w:r>
      <w:r>
        <w:rPr>
          <w:rFonts w:hint="default" w:ascii="Times New Roman" w:hAnsi="Times New Roman" w:eastAsia="宋体" w:cs="Times New Roman"/>
          <w:kern w:val="0"/>
          <w:sz w:val="28"/>
          <w:szCs w:val="28"/>
          <w:lang w:val="en-US" w:eastAsia="zh-CN" w:bidi="ar"/>
        </w:rPr>
        <w:t xml:space="preserve"> </w:t>
      </w:r>
      <w:r>
        <w:rPr>
          <w:rFonts w:hint="eastAsia" w:ascii="Times New Roman" w:hAnsi="Times New Roman" w:eastAsia="宋体" w:cs="Times New Roman"/>
          <w:kern w:val="0"/>
          <w:sz w:val="28"/>
          <w:szCs w:val="28"/>
          <w:lang w:val="en-US" w:eastAsia="zh-CN" w:bidi="ar"/>
        </w:rPr>
        <w:t>球</w:t>
      </w:r>
      <w:r>
        <w:rPr>
          <w:rFonts w:hint="default" w:ascii="Times New Roman" w:hAnsi="Times New Roman" w:eastAsia="宋体" w:cs="Times New Roman"/>
          <w:kern w:val="0"/>
          <w:sz w:val="28"/>
          <w:szCs w:val="28"/>
          <w:lang w:val="en-US" w:eastAsia="zh-CN" w:bidi="ar"/>
        </w:rPr>
        <w:t xml:space="preserve"> </w:t>
      </w:r>
      <w:r>
        <w:rPr>
          <w:rFonts w:hint="eastAsia" w:ascii="Times New Roman" w:hAnsi="Times New Roman" w:eastAsia="宋体" w:cs="Times New Roman"/>
          <w:kern w:val="0"/>
          <w:sz w:val="28"/>
          <w:szCs w:val="28"/>
          <w:lang w:val="en-US" w:eastAsia="zh-CN" w:bidi="ar"/>
        </w:rPr>
        <w:t>第</w:t>
      </w:r>
      <w:r>
        <w:rPr>
          <w:rFonts w:hint="default" w:ascii="Times New Roman" w:hAnsi="Times New Roman" w:eastAsia="宋体" w:cs="Times New Roman"/>
          <w:kern w:val="0"/>
          <w:sz w:val="28"/>
          <w:szCs w:val="28"/>
          <w:lang w:val="en-US" w:eastAsia="zh-CN" w:bidi="ar"/>
        </w:rPr>
        <w:t>1</w:t>
      </w:r>
      <w:r>
        <w:rPr>
          <w:rFonts w:hint="eastAsia" w:ascii="Times New Roman" w:hAnsi="Times New Roman" w:eastAsia="宋体" w:cs="Times New Roman"/>
          <w:kern w:val="0"/>
          <w:sz w:val="28"/>
          <w:szCs w:val="28"/>
          <w:lang w:val="en-US" w:eastAsia="zh-CN" w:bidi="ar"/>
        </w:rPr>
        <w:t>部分：钢球</w:t>
      </w:r>
    </w:p>
    <w:p w14:paraId="400B56C8">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default" w:ascii="Times New Roman" w:hAnsi="Times New Roman" w:eastAsia="宋体" w:cs="Times New Roman"/>
          <w:kern w:val="0"/>
          <w:sz w:val="28"/>
          <w:szCs w:val="28"/>
          <w:lang w:val="en-US" w:eastAsia="zh-CN" w:bidi="ar"/>
        </w:rPr>
        <w:t xml:space="preserve">GB/T 1184 </w:t>
      </w:r>
      <w:r>
        <w:rPr>
          <w:rFonts w:hint="eastAsia" w:ascii="Times New Roman" w:hAnsi="Times New Roman" w:eastAsia="宋体" w:cs="Times New Roman"/>
          <w:kern w:val="0"/>
          <w:sz w:val="28"/>
          <w:szCs w:val="28"/>
          <w:lang w:val="en-US" w:eastAsia="zh-CN" w:bidi="ar"/>
        </w:rPr>
        <w:t>形状和位置公差</w:t>
      </w:r>
      <w:r>
        <w:rPr>
          <w:rFonts w:hint="default" w:ascii="Times New Roman" w:hAnsi="Times New Roman" w:eastAsia="宋体" w:cs="Times New Roman"/>
          <w:kern w:val="0"/>
          <w:sz w:val="28"/>
          <w:szCs w:val="28"/>
          <w:lang w:val="en-US" w:eastAsia="zh-CN" w:bidi="ar"/>
        </w:rPr>
        <w:t xml:space="preserve"> </w:t>
      </w:r>
      <w:r>
        <w:rPr>
          <w:rFonts w:hint="eastAsia" w:ascii="Times New Roman" w:hAnsi="Times New Roman" w:eastAsia="宋体" w:cs="Times New Roman"/>
          <w:kern w:val="0"/>
          <w:sz w:val="28"/>
          <w:szCs w:val="28"/>
          <w:lang w:val="en-US" w:eastAsia="zh-CN" w:bidi="ar"/>
        </w:rPr>
        <w:t>未注公差值</w:t>
      </w:r>
    </w:p>
    <w:p w14:paraId="4508C3D0">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default" w:ascii="Times New Roman" w:hAnsi="Times New Roman" w:eastAsia="宋体" w:cs="Times New Roman"/>
          <w:kern w:val="0"/>
          <w:sz w:val="28"/>
          <w:szCs w:val="28"/>
          <w:lang w:val="en-US" w:eastAsia="zh-CN" w:bidi="ar"/>
        </w:rPr>
        <w:t xml:space="preserve">GB/T 3098.1 </w:t>
      </w:r>
      <w:r>
        <w:rPr>
          <w:rFonts w:hint="eastAsia" w:ascii="Times New Roman" w:hAnsi="Times New Roman" w:eastAsia="宋体" w:cs="Times New Roman"/>
          <w:kern w:val="0"/>
          <w:sz w:val="28"/>
          <w:szCs w:val="28"/>
          <w:lang w:val="en-US" w:eastAsia="zh-CN" w:bidi="ar"/>
        </w:rPr>
        <w:t>紧固件机械性能</w:t>
      </w:r>
      <w:r>
        <w:rPr>
          <w:rFonts w:hint="default" w:ascii="Times New Roman" w:hAnsi="Times New Roman" w:eastAsia="宋体" w:cs="Times New Roman"/>
          <w:kern w:val="0"/>
          <w:sz w:val="28"/>
          <w:szCs w:val="28"/>
          <w:lang w:val="en-US" w:eastAsia="zh-CN" w:bidi="ar"/>
        </w:rPr>
        <w:t xml:space="preserve"> </w:t>
      </w:r>
      <w:r>
        <w:rPr>
          <w:rFonts w:hint="eastAsia" w:ascii="Times New Roman" w:hAnsi="Times New Roman" w:eastAsia="宋体" w:cs="Times New Roman"/>
          <w:kern w:val="0"/>
          <w:sz w:val="28"/>
          <w:szCs w:val="28"/>
          <w:lang w:val="en-US" w:eastAsia="zh-CN" w:bidi="ar"/>
        </w:rPr>
        <w:t>螺栓、螺钉和螺柱</w:t>
      </w:r>
    </w:p>
    <w:p w14:paraId="032F4B7A">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default" w:ascii="Times New Roman" w:hAnsi="Times New Roman" w:eastAsia="宋体" w:cs="Times New Roman"/>
          <w:kern w:val="0"/>
          <w:sz w:val="28"/>
          <w:szCs w:val="28"/>
          <w:lang w:val="en-US" w:eastAsia="zh-CN" w:bidi="ar"/>
        </w:rPr>
        <w:t xml:space="preserve">GB/T 10125 </w:t>
      </w:r>
      <w:r>
        <w:rPr>
          <w:rFonts w:hint="eastAsia" w:ascii="Times New Roman" w:hAnsi="Times New Roman" w:eastAsia="宋体" w:cs="Times New Roman"/>
          <w:kern w:val="0"/>
          <w:sz w:val="28"/>
          <w:szCs w:val="28"/>
          <w:lang w:val="en-US" w:eastAsia="zh-CN" w:bidi="ar"/>
        </w:rPr>
        <w:t>人造气氛腐蚀试验</w:t>
      </w:r>
      <w:r>
        <w:rPr>
          <w:rFonts w:hint="default" w:ascii="Times New Roman" w:hAnsi="Times New Roman" w:eastAsia="宋体" w:cs="Times New Roman"/>
          <w:kern w:val="0"/>
          <w:sz w:val="28"/>
          <w:szCs w:val="28"/>
          <w:lang w:val="en-US" w:eastAsia="zh-CN" w:bidi="ar"/>
        </w:rPr>
        <w:t xml:space="preserve"> </w:t>
      </w:r>
      <w:r>
        <w:rPr>
          <w:rFonts w:hint="eastAsia" w:ascii="Times New Roman" w:hAnsi="Times New Roman" w:eastAsia="宋体" w:cs="Times New Roman"/>
          <w:kern w:val="0"/>
          <w:sz w:val="28"/>
          <w:szCs w:val="28"/>
          <w:lang w:val="en-US" w:eastAsia="zh-CN" w:bidi="ar"/>
        </w:rPr>
        <w:t>盐雾试验</w:t>
      </w:r>
    </w:p>
    <w:p w14:paraId="7D7E1369">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default" w:ascii="Times New Roman" w:hAnsi="Times New Roman" w:eastAsia="宋体" w:cs="Times New Roman"/>
          <w:kern w:val="0"/>
          <w:sz w:val="28"/>
          <w:szCs w:val="28"/>
          <w:lang w:val="en-US" w:eastAsia="zh-CN" w:bidi="ar"/>
        </w:rPr>
        <w:t xml:space="preserve">GB/T 18254 </w:t>
      </w:r>
      <w:r>
        <w:rPr>
          <w:rFonts w:hint="eastAsia" w:ascii="Times New Roman" w:hAnsi="Times New Roman" w:eastAsia="宋体" w:cs="Times New Roman"/>
          <w:kern w:val="0"/>
          <w:sz w:val="28"/>
          <w:szCs w:val="28"/>
          <w:lang w:val="en-US" w:eastAsia="zh-CN" w:bidi="ar"/>
        </w:rPr>
        <w:t>高碳铬轴承钢</w:t>
      </w:r>
    </w:p>
    <w:p w14:paraId="22602B93">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default" w:ascii="Times New Roman" w:hAnsi="Times New Roman" w:eastAsia="宋体" w:cs="Times New Roman"/>
          <w:kern w:val="0"/>
          <w:sz w:val="28"/>
          <w:szCs w:val="28"/>
          <w:lang w:val="en-US" w:eastAsia="zh-CN" w:bidi="ar"/>
        </w:rPr>
        <w:t xml:space="preserve">GB/T 19001 </w:t>
      </w:r>
      <w:r>
        <w:rPr>
          <w:rFonts w:hint="eastAsia" w:ascii="Times New Roman" w:hAnsi="Times New Roman" w:eastAsia="宋体" w:cs="Times New Roman"/>
          <w:kern w:val="0"/>
          <w:sz w:val="28"/>
          <w:szCs w:val="28"/>
          <w:lang w:val="en-US" w:eastAsia="zh-CN" w:bidi="ar"/>
        </w:rPr>
        <w:t>质量管理体系</w:t>
      </w:r>
      <w:r>
        <w:rPr>
          <w:rFonts w:hint="default" w:ascii="Times New Roman" w:hAnsi="Times New Roman" w:eastAsia="宋体" w:cs="Times New Roman"/>
          <w:kern w:val="0"/>
          <w:sz w:val="28"/>
          <w:szCs w:val="28"/>
          <w:lang w:val="en-US" w:eastAsia="zh-CN" w:bidi="ar"/>
        </w:rPr>
        <w:t xml:space="preserve"> </w:t>
      </w:r>
      <w:r>
        <w:rPr>
          <w:rFonts w:hint="eastAsia" w:ascii="Times New Roman" w:hAnsi="Times New Roman" w:eastAsia="宋体" w:cs="Times New Roman"/>
          <w:kern w:val="0"/>
          <w:sz w:val="28"/>
          <w:szCs w:val="28"/>
          <w:lang w:val="en-US" w:eastAsia="zh-CN" w:bidi="ar"/>
        </w:rPr>
        <w:t>要求</w:t>
      </w:r>
    </w:p>
    <w:p w14:paraId="7DC51E84">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default" w:ascii="Times New Roman" w:hAnsi="Times New Roman" w:eastAsia="宋体" w:cs="Times New Roman"/>
          <w:kern w:val="0"/>
          <w:sz w:val="28"/>
          <w:szCs w:val="28"/>
          <w:lang w:val="en-US" w:eastAsia="zh-CN" w:bidi="ar"/>
        </w:rPr>
        <w:t xml:space="preserve">GB/T 23331 </w:t>
      </w:r>
      <w:r>
        <w:rPr>
          <w:rFonts w:hint="eastAsia" w:ascii="Times New Roman" w:hAnsi="Times New Roman" w:eastAsia="宋体" w:cs="Times New Roman"/>
          <w:kern w:val="0"/>
          <w:sz w:val="28"/>
          <w:szCs w:val="28"/>
          <w:lang w:val="en-US" w:eastAsia="zh-CN" w:bidi="ar"/>
        </w:rPr>
        <w:t>能源管理体系</w:t>
      </w:r>
      <w:r>
        <w:rPr>
          <w:rFonts w:hint="default" w:ascii="Times New Roman" w:hAnsi="Times New Roman" w:eastAsia="宋体" w:cs="Times New Roman"/>
          <w:kern w:val="0"/>
          <w:sz w:val="28"/>
          <w:szCs w:val="28"/>
          <w:lang w:val="en-US" w:eastAsia="zh-CN" w:bidi="ar"/>
        </w:rPr>
        <w:t xml:space="preserve"> </w:t>
      </w:r>
      <w:r>
        <w:rPr>
          <w:rFonts w:hint="eastAsia" w:ascii="Times New Roman" w:hAnsi="Times New Roman" w:eastAsia="宋体" w:cs="Times New Roman"/>
          <w:kern w:val="0"/>
          <w:sz w:val="28"/>
          <w:szCs w:val="28"/>
          <w:lang w:val="en-US" w:eastAsia="zh-CN" w:bidi="ar"/>
        </w:rPr>
        <w:t>要求及使用指南</w:t>
      </w:r>
    </w:p>
    <w:p w14:paraId="141A0771">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default" w:ascii="Times New Roman" w:hAnsi="Times New Roman" w:eastAsia="宋体" w:cs="Times New Roman"/>
          <w:kern w:val="0"/>
          <w:sz w:val="28"/>
          <w:szCs w:val="28"/>
          <w:lang w:val="en-US" w:eastAsia="zh-CN" w:bidi="ar"/>
        </w:rPr>
        <w:t xml:space="preserve">GB/T 24001 </w:t>
      </w:r>
      <w:r>
        <w:rPr>
          <w:rFonts w:hint="eastAsia" w:ascii="Times New Roman" w:hAnsi="Times New Roman" w:eastAsia="宋体" w:cs="Times New Roman"/>
          <w:kern w:val="0"/>
          <w:sz w:val="28"/>
          <w:szCs w:val="28"/>
          <w:lang w:val="en-US" w:eastAsia="zh-CN" w:bidi="ar"/>
        </w:rPr>
        <w:t>环境管理体系</w:t>
      </w:r>
      <w:r>
        <w:rPr>
          <w:rFonts w:hint="default" w:ascii="Times New Roman" w:hAnsi="Times New Roman" w:eastAsia="宋体" w:cs="Times New Roman"/>
          <w:kern w:val="0"/>
          <w:sz w:val="28"/>
          <w:szCs w:val="28"/>
          <w:lang w:val="en-US" w:eastAsia="zh-CN" w:bidi="ar"/>
        </w:rPr>
        <w:t xml:space="preserve"> </w:t>
      </w:r>
      <w:r>
        <w:rPr>
          <w:rFonts w:hint="eastAsia" w:ascii="Times New Roman" w:hAnsi="Times New Roman" w:eastAsia="宋体" w:cs="Times New Roman"/>
          <w:kern w:val="0"/>
          <w:sz w:val="28"/>
          <w:szCs w:val="28"/>
          <w:lang w:val="en-US" w:eastAsia="zh-CN" w:bidi="ar"/>
        </w:rPr>
        <w:t>要求及使用指南</w:t>
      </w:r>
    </w:p>
    <w:p w14:paraId="2E0B2C97">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default" w:ascii="Times New Roman" w:hAnsi="Times New Roman" w:eastAsia="宋体" w:cs="Times New Roman"/>
          <w:kern w:val="0"/>
          <w:sz w:val="28"/>
          <w:szCs w:val="28"/>
          <w:lang w:val="en-US" w:eastAsia="zh-CN" w:bidi="ar"/>
        </w:rPr>
        <w:t xml:space="preserve">GB/T 45001 </w:t>
      </w:r>
      <w:r>
        <w:rPr>
          <w:rFonts w:hint="eastAsia" w:ascii="Times New Roman" w:hAnsi="Times New Roman" w:eastAsia="宋体" w:cs="Times New Roman"/>
          <w:kern w:val="0"/>
          <w:sz w:val="28"/>
          <w:szCs w:val="28"/>
          <w:lang w:val="en-US" w:eastAsia="zh-CN" w:bidi="ar"/>
        </w:rPr>
        <w:t>职业健康安全管理体系</w:t>
      </w:r>
      <w:r>
        <w:rPr>
          <w:rFonts w:hint="default" w:ascii="Times New Roman" w:hAnsi="Times New Roman" w:eastAsia="宋体" w:cs="Times New Roman"/>
          <w:kern w:val="0"/>
          <w:sz w:val="28"/>
          <w:szCs w:val="28"/>
          <w:lang w:val="en-US" w:eastAsia="zh-CN" w:bidi="ar"/>
        </w:rPr>
        <w:t xml:space="preserve"> </w:t>
      </w:r>
      <w:r>
        <w:rPr>
          <w:rFonts w:hint="eastAsia" w:ascii="Times New Roman" w:hAnsi="Times New Roman" w:eastAsia="宋体" w:cs="Times New Roman"/>
          <w:kern w:val="0"/>
          <w:sz w:val="28"/>
          <w:szCs w:val="28"/>
          <w:lang w:val="en-US" w:eastAsia="zh-CN" w:bidi="ar"/>
        </w:rPr>
        <w:t>要求及使用指南</w:t>
      </w:r>
    </w:p>
    <w:p w14:paraId="0C5DCF10">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default" w:ascii="Times New Roman" w:hAnsi="Times New Roman" w:eastAsia="宋体" w:cs="Times New Roman"/>
          <w:kern w:val="0"/>
          <w:sz w:val="28"/>
          <w:szCs w:val="28"/>
          <w:lang w:val="en-US" w:eastAsia="zh-CN" w:bidi="ar"/>
        </w:rPr>
        <w:t xml:space="preserve">JB/T 2886 </w:t>
      </w:r>
      <w:r>
        <w:rPr>
          <w:rFonts w:hint="eastAsia" w:ascii="Times New Roman" w:hAnsi="Times New Roman" w:eastAsia="宋体" w:cs="Times New Roman"/>
          <w:kern w:val="0"/>
          <w:sz w:val="28"/>
          <w:szCs w:val="28"/>
          <w:lang w:val="en-US" w:eastAsia="zh-CN" w:bidi="ar"/>
        </w:rPr>
        <w:t>机床梯形丝杠、螺母</w:t>
      </w:r>
      <w:r>
        <w:rPr>
          <w:rFonts w:hint="default" w:ascii="Times New Roman" w:hAnsi="Times New Roman" w:eastAsia="宋体" w:cs="Times New Roman"/>
          <w:kern w:val="0"/>
          <w:sz w:val="28"/>
          <w:szCs w:val="28"/>
          <w:lang w:val="en-US" w:eastAsia="zh-CN" w:bidi="ar"/>
        </w:rPr>
        <w:t xml:space="preserve"> </w:t>
      </w:r>
      <w:r>
        <w:rPr>
          <w:rFonts w:hint="eastAsia" w:ascii="Times New Roman" w:hAnsi="Times New Roman" w:eastAsia="宋体" w:cs="Times New Roman"/>
          <w:kern w:val="0"/>
          <w:sz w:val="28"/>
          <w:szCs w:val="28"/>
          <w:lang w:val="en-US" w:eastAsia="zh-CN" w:bidi="ar"/>
        </w:rPr>
        <w:t>技术条件</w:t>
      </w:r>
    </w:p>
    <w:p w14:paraId="5EC0338D">
      <w:pPr>
        <w:pStyle w:val="11"/>
        <w:keepNext w:val="0"/>
        <w:keepLines w:val="0"/>
        <w:widowControl/>
        <w:numPr>
          <w:ilvl w:val="1"/>
          <w:numId w:val="5"/>
        </w:numPr>
        <w:suppressLineNumbers w:val="0"/>
        <w:adjustRightInd/>
        <w:spacing w:before="240" w:beforeLines="100" w:beforeAutospacing="0" w:after="240" w:afterLines="100" w:afterAutospacing="0" w:line="360" w:lineRule="auto"/>
        <w:ind w:left="0" w:right="0" w:firstLine="0"/>
        <w:jc w:val="both"/>
        <w:outlineLvl w:val="0"/>
        <w:rPr>
          <w:rFonts w:hint="default" w:ascii="Times New Roman" w:hAnsi="Times New Roman" w:cs="Times New Roman"/>
          <w:sz w:val="28"/>
          <w:szCs w:val="28"/>
          <w:lang w:val="en-US"/>
        </w:rPr>
      </w:pPr>
      <w:bookmarkStart w:id="24" w:name="_Toc97192966"/>
      <w:bookmarkStart w:id="25" w:name="_Toc190446770"/>
      <w:bookmarkStart w:id="26" w:name="_Toc192085348"/>
      <w:r>
        <w:rPr>
          <w:rFonts w:hint="eastAsia" w:ascii="Times New Roman" w:hAnsi="Times New Roman" w:eastAsia="黑体" w:cs="Times New Roman"/>
          <w:kern w:val="0"/>
          <w:sz w:val="28"/>
          <w:szCs w:val="28"/>
          <w:lang w:val="en-US" w:eastAsia="zh-CN" w:bidi="ar"/>
        </w:rPr>
        <w:t>术语和定义</w:t>
      </w:r>
      <w:bookmarkEnd w:id="24"/>
      <w:bookmarkEnd w:id="25"/>
      <w:bookmarkEnd w:id="26"/>
    </w:p>
    <w:p w14:paraId="1EC610F2">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bookmarkStart w:id="27" w:name="_Toc26986532"/>
      <w:bookmarkEnd w:id="27"/>
      <w:r>
        <w:rPr>
          <w:rFonts w:hint="eastAsia" w:ascii="Times New Roman" w:hAnsi="Times New Roman" w:eastAsia="宋体" w:cs="Times New Roman"/>
          <w:kern w:val="0"/>
          <w:sz w:val="28"/>
          <w:szCs w:val="28"/>
          <w:lang w:val="en-US" w:eastAsia="zh-CN" w:bidi="ar"/>
        </w:rPr>
        <w:t>下列术语和定义适用于本文件。</w:t>
      </w:r>
    </w:p>
    <w:p w14:paraId="7DA2B2E0">
      <w:pPr>
        <w:pStyle w:val="11"/>
        <w:keepNext w:val="0"/>
        <w:keepLines w:val="0"/>
        <w:widowControl/>
        <w:numPr>
          <w:ilvl w:val="2"/>
          <w:numId w:val="5"/>
        </w:numPr>
        <w:suppressLineNumbers w:val="0"/>
        <w:spacing w:before="0" w:beforeAutospacing="0" w:after="0" w:afterAutospacing="0" w:line="360" w:lineRule="auto"/>
        <w:ind w:left="420" w:right="0" w:hanging="560" w:hangingChars="200"/>
        <w:jc w:val="both"/>
        <w:rPr>
          <w:rFonts w:hint="default" w:ascii="Times New Roman" w:hAnsi="Times New Roman" w:eastAsia="黑体" w:cs="Times New Roman"/>
          <w:sz w:val="28"/>
          <w:szCs w:val="28"/>
          <w:lang w:val="en-US"/>
        </w:rPr>
      </w:pPr>
      <w:r>
        <w:rPr>
          <w:rFonts w:hint="default" w:ascii="Times New Roman" w:hAnsi="Times New Roman" w:eastAsia="黑体" w:cs="Times New Roman"/>
          <w:kern w:val="0"/>
          <w:sz w:val="28"/>
          <w:szCs w:val="28"/>
          <w:lang w:val="en-US" w:eastAsia="zh-CN" w:bidi="ar"/>
        </w:rPr>
        <w:br w:type="textWrapping"/>
      </w:r>
      <w:r>
        <w:rPr>
          <w:rFonts w:hint="eastAsia" w:ascii="Times New Roman" w:hAnsi="Times New Roman" w:eastAsia="黑体" w:cs="黑体"/>
          <w:kern w:val="0"/>
          <w:sz w:val="28"/>
          <w:szCs w:val="28"/>
          <w:lang w:val="en-US" w:eastAsia="zh-CN" w:bidi="ar"/>
        </w:rPr>
        <w:t>研磨丝杆</w:t>
      </w:r>
      <w:r>
        <w:rPr>
          <w:rFonts w:hint="default" w:ascii="Times New Roman" w:hAnsi="Times New Roman" w:eastAsia="黑体" w:cs="Times New Roman"/>
          <w:kern w:val="0"/>
          <w:sz w:val="28"/>
          <w:szCs w:val="28"/>
          <w:lang w:val="en-US" w:eastAsia="zh-CN" w:bidi="ar"/>
        </w:rPr>
        <w:t xml:space="preserve"> grinding screw</w:t>
      </w:r>
    </w:p>
    <w:p w14:paraId="25A2A246">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由螺杆、螺母、钢球、预压片、反向器、防尘器组成。是将回转运动转化为直线运动，或将直线运动转化为回转运动的理想产品。是工具机械和精密机械上最常使用的传动元件，将旋转运动转换成线性运动，或将扭矩转换成轴向反复作用力，同时兼具高精度、可逆性和高效率的特点。</w:t>
      </w:r>
    </w:p>
    <w:p w14:paraId="3FB9CEA7">
      <w:pPr>
        <w:pStyle w:val="11"/>
        <w:keepNext w:val="0"/>
        <w:keepLines w:val="0"/>
        <w:widowControl/>
        <w:numPr>
          <w:ilvl w:val="2"/>
          <w:numId w:val="5"/>
        </w:numPr>
        <w:suppressLineNumbers w:val="0"/>
        <w:spacing w:before="0" w:beforeAutospacing="0" w:after="0" w:afterAutospacing="0" w:line="360" w:lineRule="auto"/>
        <w:ind w:left="420" w:right="0" w:hanging="560" w:hangingChars="200"/>
        <w:jc w:val="both"/>
        <w:rPr>
          <w:rFonts w:hint="default" w:ascii="Times New Roman" w:hAnsi="Times New Roman" w:eastAsia="黑体" w:cs="Times New Roman"/>
          <w:sz w:val="28"/>
          <w:szCs w:val="28"/>
          <w:lang w:val="en-US"/>
        </w:rPr>
      </w:pPr>
      <w:r>
        <w:rPr>
          <w:rFonts w:hint="default" w:ascii="Times New Roman" w:hAnsi="Times New Roman" w:eastAsia="黑体" w:cs="Times New Roman"/>
          <w:kern w:val="0"/>
          <w:sz w:val="28"/>
          <w:szCs w:val="28"/>
          <w:lang w:val="en-US" w:eastAsia="zh-CN" w:bidi="ar"/>
        </w:rPr>
        <w:br w:type="textWrapping"/>
      </w:r>
      <w:r>
        <w:rPr>
          <w:rFonts w:hint="eastAsia" w:ascii="Times New Roman" w:hAnsi="Times New Roman" w:eastAsia="黑体" w:cs="黑体"/>
          <w:kern w:val="0"/>
          <w:sz w:val="28"/>
          <w:szCs w:val="28"/>
          <w:lang w:val="en-US" w:eastAsia="zh-CN" w:bidi="ar"/>
        </w:rPr>
        <w:t>质量分级</w:t>
      </w:r>
      <w:r>
        <w:rPr>
          <w:rFonts w:hint="default" w:ascii="Times New Roman" w:hAnsi="Times New Roman" w:eastAsia="黑体" w:cs="Times New Roman"/>
          <w:kern w:val="0"/>
          <w:sz w:val="28"/>
          <w:szCs w:val="28"/>
          <w:lang w:val="en-US" w:eastAsia="zh-CN" w:bidi="ar"/>
        </w:rPr>
        <w:t xml:space="preserve"> quality grading</w:t>
      </w:r>
    </w:p>
    <w:p w14:paraId="7752F6A9">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根据研磨丝杆的性能指标、精度等级、可靠性等方面，将其划分为不同等级的过程。</w:t>
      </w:r>
    </w:p>
    <w:p w14:paraId="41C80C26">
      <w:pPr>
        <w:pStyle w:val="11"/>
        <w:keepNext w:val="0"/>
        <w:keepLines w:val="0"/>
        <w:widowControl/>
        <w:numPr>
          <w:ilvl w:val="1"/>
          <w:numId w:val="5"/>
        </w:numPr>
        <w:suppressLineNumbers w:val="0"/>
        <w:adjustRightInd/>
        <w:spacing w:before="240" w:beforeLines="100" w:beforeAutospacing="0" w:after="240" w:afterLines="100" w:afterAutospacing="0" w:line="360" w:lineRule="auto"/>
        <w:ind w:left="0" w:right="0" w:firstLine="0"/>
        <w:jc w:val="both"/>
        <w:outlineLvl w:val="0"/>
        <w:rPr>
          <w:rFonts w:hint="default" w:ascii="Times New Roman" w:hAnsi="Times New Roman" w:cs="Times New Roman"/>
          <w:sz w:val="28"/>
          <w:szCs w:val="28"/>
          <w:lang w:val="en-US"/>
        </w:rPr>
      </w:pPr>
      <w:bookmarkStart w:id="28" w:name="_Toc190446771"/>
      <w:bookmarkStart w:id="29" w:name="_Toc192085349"/>
      <w:r>
        <w:rPr>
          <w:rFonts w:hint="eastAsia" w:ascii="Times New Roman" w:hAnsi="Times New Roman" w:eastAsia="黑体" w:cs="Times New Roman"/>
          <w:kern w:val="0"/>
          <w:sz w:val="28"/>
          <w:szCs w:val="28"/>
          <w:lang w:val="en-US" w:eastAsia="zh-CN" w:bidi="ar"/>
        </w:rPr>
        <w:t>基本要求</w:t>
      </w:r>
      <w:bookmarkEnd w:id="28"/>
      <w:bookmarkEnd w:id="29"/>
    </w:p>
    <w:p w14:paraId="1ACFAECF">
      <w:pPr>
        <w:pStyle w:val="11"/>
        <w:keepNext w:val="0"/>
        <w:keepLines w:val="0"/>
        <w:widowControl/>
        <w:numPr>
          <w:ilvl w:val="2"/>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近三年，企业应无较大及以上质量、环境、安全等事故。</w:t>
      </w:r>
    </w:p>
    <w:p w14:paraId="066B5BF5">
      <w:pPr>
        <w:pStyle w:val="11"/>
        <w:keepNext w:val="0"/>
        <w:keepLines w:val="0"/>
        <w:widowControl/>
        <w:numPr>
          <w:ilvl w:val="2"/>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企业应未列入国家信用信息严重失信主体相关名录。</w:t>
      </w:r>
    </w:p>
    <w:p w14:paraId="0FA0A3A0">
      <w:pPr>
        <w:pStyle w:val="11"/>
        <w:keepNext w:val="0"/>
        <w:keepLines w:val="0"/>
        <w:widowControl/>
        <w:numPr>
          <w:ilvl w:val="2"/>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企业可根据</w:t>
      </w:r>
      <w:bookmarkStart w:id="30" w:name="_Hlk192082664"/>
      <w:r>
        <w:rPr>
          <w:rFonts w:hint="default" w:ascii="Times New Roman" w:hAnsi="Times New Roman" w:eastAsia="宋体" w:cs="Times New Roman"/>
          <w:kern w:val="0"/>
          <w:sz w:val="28"/>
          <w:szCs w:val="28"/>
          <w:lang w:val="en-US" w:eastAsia="zh-CN" w:bidi="ar"/>
        </w:rPr>
        <w:t>GB/T 19001</w:t>
      </w:r>
      <w:r>
        <w:rPr>
          <w:rFonts w:hint="eastAsia" w:ascii="Times New Roman" w:hAnsi="Times New Roman" w:eastAsia="宋体" w:cs="Times New Roman"/>
          <w:kern w:val="0"/>
          <w:sz w:val="28"/>
          <w:szCs w:val="28"/>
          <w:lang w:val="en-US" w:eastAsia="zh-CN" w:bidi="ar"/>
        </w:rPr>
        <w:t>、</w:t>
      </w:r>
      <w:r>
        <w:rPr>
          <w:rFonts w:hint="default" w:ascii="Times New Roman" w:hAnsi="Times New Roman" w:eastAsia="宋体" w:cs="Times New Roman"/>
          <w:kern w:val="0"/>
          <w:sz w:val="28"/>
          <w:szCs w:val="28"/>
          <w:lang w:val="en-US" w:eastAsia="zh-CN" w:bidi="ar"/>
        </w:rPr>
        <w:t>GB/T 23331</w:t>
      </w:r>
      <w:r>
        <w:rPr>
          <w:rFonts w:hint="eastAsia" w:ascii="Times New Roman" w:hAnsi="Times New Roman" w:eastAsia="宋体" w:cs="Times New Roman"/>
          <w:kern w:val="0"/>
          <w:sz w:val="28"/>
          <w:szCs w:val="28"/>
          <w:lang w:val="en-US" w:eastAsia="zh-CN" w:bidi="ar"/>
        </w:rPr>
        <w:t>、</w:t>
      </w:r>
      <w:r>
        <w:rPr>
          <w:rFonts w:hint="default" w:ascii="Times New Roman" w:hAnsi="Times New Roman" w:eastAsia="宋体" w:cs="Times New Roman"/>
          <w:kern w:val="0"/>
          <w:sz w:val="28"/>
          <w:szCs w:val="28"/>
          <w:lang w:val="en-US" w:eastAsia="zh-CN" w:bidi="ar"/>
        </w:rPr>
        <w:t>GB/T 24001</w:t>
      </w:r>
      <w:r>
        <w:rPr>
          <w:rFonts w:hint="eastAsia" w:ascii="Times New Roman" w:hAnsi="Times New Roman" w:eastAsia="宋体" w:cs="Times New Roman"/>
          <w:kern w:val="0"/>
          <w:sz w:val="28"/>
          <w:szCs w:val="28"/>
          <w:lang w:val="en-US" w:eastAsia="zh-CN" w:bidi="ar"/>
        </w:rPr>
        <w:t>和</w:t>
      </w:r>
      <w:r>
        <w:rPr>
          <w:rFonts w:hint="default" w:ascii="Times New Roman" w:hAnsi="Times New Roman" w:eastAsia="宋体" w:cs="Times New Roman"/>
          <w:kern w:val="0"/>
          <w:sz w:val="28"/>
          <w:szCs w:val="28"/>
          <w:lang w:val="en-US" w:eastAsia="zh-CN" w:bidi="ar"/>
        </w:rPr>
        <w:t>GB/T 45001</w:t>
      </w:r>
      <w:bookmarkEnd w:id="30"/>
      <w:r>
        <w:rPr>
          <w:rFonts w:hint="eastAsia" w:ascii="Times New Roman" w:hAnsi="Times New Roman" w:eastAsia="宋体" w:cs="Times New Roman"/>
          <w:kern w:val="0"/>
          <w:sz w:val="28"/>
          <w:szCs w:val="28"/>
          <w:lang w:val="en-US" w:eastAsia="zh-CN" w:bidi="ar"/>
        </w:rPr>
        <w:t>建立并运行相应质量、能源、环境和职业健康安全等管理体系，鼓励企业根据自身运营情况建立其他高水平的相关管理体系。</w:t>
      </w:r>
    </w:p>
    <w:p w14:paraId="4D1DAA82">
      <w:pPr>
        <w:pStyle w:val="11"/>
        <w:keepNext w:val="0"/>
        <w:keepLines w:val="0"/>
        <w:widowControl/>
        <w:numPr>
          <w:ilvl w:val="1"/>
          <w:numId w:val="5"/>
        </w:numPr>
        <w:suppressLineNumbers w:val="0"/>
        <w:adjustRightInd/>
        <w:spacing w:before="240" w:beforeLines="100" w:beforeAutospacing="0" w:after="240" w:afterLines="100" w:afterAutospacing="0" w:line="360" w:lineRule="auto"/>
        <w:ind w:left="0" w:right="0" w:firstLine="0"/>
        <w:jc w:val="both"/>
        <w:outlineLvl w:val="0"/>
        <w:rPr>
          <w:rFonts w:hint="default" w:ascii="Times New Roman" w:hAnsi="Times New Roman" w:cs="Times New Roman"/>
          <w:sz w:val="28"/>
          <w:szCs w:val="28"/>
          <w:lang w:val="en-US"/>
        </w:rPr>
      </w:pPr>
      <w:bookmarkStart w:id="31" w:name="_Toc190446772"/>
      <w:bookmarkStart w:id="32" w:name="_Toc192085350"/>
      <w:r>
        <w:rPr>
          <w:rFonts w:hint="eastAsia" w:ascii="Times New Roman" w:hAnsi="Times New Roman" w:eastAsia="黑体" w:cs="Times New Roman"/>
          <w:kern w:val="0"/>
          <w:sz w:val="28"/>
          <w:szCs w:val="28"/>
          <w:lang w:val="en-US" w:eastAsia="zh-CN" w:bidi="ar"/>
        </w:rPr>
        <w:t>评价指标</w:t>
      </w:r>
      <w:bookmarkEnd w:id="31"/>
      <w:bookmarkEnd w:id="32"/>
    </w:p>
    <w:p w14:paraId="661781B4">
      <w:pPr>
        <w:pStyle w:val="11"/>
        <w:keepNext w:val="0"/>
        <w:keepLines w:val="0"/>
        <w:widowControl/>
        <w:numPr>
          <w:ilvl w:val="2"/>
          <w:numId w:val="5"/>
        </w:numPr>
        <w:suppressLineNumbers w:val="0"/>
        <w:spacing w:before="120" w:beforeLines="50" w:beforeAutospacing="0" w:after="120" w:afterLines="50" w:afterAutospacing="0" w:line="360" w:lineRule="auto"/>
        <w:ind w:left="0" w:right="0" w:firstLine="0"/>
        <w:jc w:val="both"/>
        <w:outlineLvl w:val="1"/>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评价指标分类</w:t>
      </w:r>
    </w:p>
    <w:p w14:paraId="5F1786D0">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研磨丝杆评价指标体系可分为基础指标、核心指标和创新指标。</w:t>
      </w:r>
    </w:p>
    <w:p w14:paraId="17DA850B">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基础指标应包括精度、刚性、摩擦力矩、寿命、耐腐蚀性、材料。基础指标可分为三个等级，包括先进水平，相当于企业标准排行榜中</w:t>
      </w:r>
      <w:r>
        <w:rPr>
          <w:rFonts w:hint="default" w:ascii="Times New Roman" w:hAnsi="Times New Roman" w:eastAsia="宋体" w:cs="Times New Roman"/>
          <w:kern w:val="0"/>
          <w:sz w:val="28"/>
          <w:szCs w:val="28"/>
          <w:lang w:val="en-US" w:eastAsia="zh-CN" w:bidi="ar"/>
        </w:rPr>
        <w:t>5</w:t>
      </w:r>
      <w:r>
        <w:rPr>
          <w:rFonts w:hint="eastAsia" w:ascii="Times New Roman" w:hAnsi="Times New Roman" w:eastAsia="宋体" w:cs="Times New Roman"/>
          <w:kern w:val="0"/>
          <w:sz w:val="28"/>
          <w:szCs w:val="28"/>
          <w:lang w:val="en-US" w:eastAsia="zh-CN" w:bidi="ar"/>
        </w:rPr>
        <w:t>星级水平；平均水平，当于企业标准排行榜中</w:t>
      </w:r>
      <w:r>
        <w:rPr>
          <w:rFonts w:hint="default" w:ascii="Times New Roman" w:hAnsi="Times New Roman" w:eastAsia="宋体" w:cs="Times New Roman"/>
          <w:kern w:val="0"/>
          <w:sz w:val="28"/>
          <w:szCs w:val="28"/>
          <w:lang w:val="en-US" w:eastAsia="zh-CN" w:bidi="ar"/>
        </w:rPr>
        <w:t>4</w:t>
      </w:r>
      <w:r>
        <w:rPr>
          <w:rFonts w:hint="eastAsia" w:ascii="Times New Roman" w:hAnsi="Times New Roman" w:eastAsia="宋体" w:cs="Times New Roman"/>
          <w:kern w:val="0"/>
          <w:sz w:val="28"/>
          <w:szCs w:val="28"/>
          <w:lang w:val="en-US" w:eastAsia="zh-CN" w:bidi="ar"/>
        </w:rPr>
        <w:t>星级水平；基准水平，相当于企业标准排行榜中</w:t>
      </w:r>
      <w:r>
        <w:rPr>
          <w:rFonts w:hint="default" w:ascii="Times New Roman" w:hAnsi="Times New Roman" w:eastAsia="宋体" w:cs="Times New Roman"/>
          <w:kern w:val="0"/>
          <w:sz w:val="28"/>
          <w:szCs w:val="28"/>
          <w:lang w:val="en-US" w:eastAsia="zh-CN" w:bidi="ar"/>
        </w:rPr>
        <w:t>3</w:t>
      </w:r>
      <w:r>
        <w:rPr>
          <w:rFonts w:hint="eastAsia" w:ascii="Times New Roman" w:hAnsi="Times New Roman" w:eastAsia="宋体" w:cs="Times New Roman"/>
          <w:kern w:val="0"/>
          <w:sz w:val="28"/>
          <w:szCs w:val="28"/>
          <w:lang w:val="en-US" w:eastAsia="zh-CN" w:bidi="ar"/>
        </w:rPr>
        <w:t>星级水平。</w:t>
      </w:r>
    </w:p>
    <w:p w14:paraId="75E7E1EB">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核心指标应包括可靠性、工艺水平、质量保证能力。核心指标可分为三个等级，包括先进水平，相当于企业标准排行榜中</w:t>
      </w:r>
      <w:r>
        <w:rPr>
          <w:rFonts w:hint="default" w:ascii="Times New Roman" w:hAnsi="Times New Roman" w:eastAsia="宋体" w:cs="Times New Roman"/>
          <w:kern w:val="0"/>
          <w:sz w:val="28"/>
          <w:szCs w:val="28"/>
          <w:lang w:val="en-US" w:eastAsia="zh-CN" w:bidi="ar"/>
        </w:rPr>
        <w:t>5</w:t>
      </w:r>
      <w:r>
        <w:rPr>
          <w:rFonts w:hint="eastAsia" w:ascii="Times New Roman" w:hAnsi="Times New Roman" w:eastAsia="宋体" w:cs="Times New Roman"/>
          <w:kern w:val="0"/>
          <w:sz w:val="28"/>
          <w:szCs w:val="28"/>
          <w:lang w:val="en-US" w:eastAsia="zh-CN" w:bidi="ar"/>
        </w:rPr>
        <w:t>星级水平；平均水平，当于企业标准排行榜中</w:t>
      </w:r>
      <w:r>
        <w:rPr>
          <w:rFonts w:hint="default" w:ascii="Times New Roman" w:hAnsi="Times New Roman" w:eastAsia="宋体" w:cs="Times New Roman"/>
          <w:kern w:val="0"/>
          <w:sz w:val="28"/>
          <w:szCs w:val="28"/>
          <w:lang w:val="en-US" w:eastAsia="zh-CN" w:bidi="ar"/>
        </w:rPr>
        <w:t>4</w:t>
      </w:r>
      <w:r>
        <w:rPr>
          <w:rFonts w:hint="eastAsia" w:ascii="Times New Roman" w:hAnsi="Times New Roman" w:eastAsia="宋体" w:cs="Times New Roman"/>
          <w:kern w:val="0"/>
          <w:sz w:val="28"/>
          <w:szCs w:val="28"/>
          <w:lang w:val="en-US" w:eastAsia="zh-CN" w:bidi="ar"/>
        </w:rPr>
        <w:t>星级水平；基准水平，相当于企业标准排行榜中</w:t>
      </w:r>
      <w:r>
        <w:rPr>
          <w:rFonts w:hint="default" w:ascii="Times New Roman" w:hAnsi="Times New Roman" w:eastAsia="宋体" w:cs="Times New Roman"/>
          <w:kern w:val="0"/>
          <w:sz w:val="28"/>
          <w:szCs w:val="28"/>
          <w:lang w:val="en-US" w:eastAsia="zh-CN" w:bidi="ar"/>
        </w:rPr>
        <w:t>3</w:t>
      </w:r>
      <w:r>
        <w:rPr>
          <w:rFonts w:hint="eastAsia" w:ascii="Times New Roman" w:hAnsi="Times New Roman" w:eastAsia="宋体" w:cs="Times New Roman"/>
          <w:kern w:val="0"/>
          <w:sz w:val="28"/>
          <w:szCs w:val="28"/>
          <w:lang w:val="en-US" w:eastAsia="zh-CN" w:bidi="ar"/>
        </w:rPr>
        <w:t>星级水平。</w:t>
      </w:r>
    </w:p>
    <w:p w14:paraId="568C0304">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创新指标应包括新材料应用、新工艺应用、智能化水平。创新指标可划分成基准水平、先进水平和平均水平三个等级，其中先进水平相当于企业标准排行榜中的</w:t>
      </w:r>
      <w:r>
        <w:rPr>
          <w:rFonts w:hint="default" w:ascii="Times New Roman" w:hAnsi="Times New Roman" w:eastAsia="宋体" w:cs="Times New Roman"/>
          <w:kern w:val="0"/>
          <w:sz w:val="28"/>
          <w:szCs w:val="28"/>
          <w:lang w:val="en-US" w:eastAsia="zh-CN" w:bidi="ar"/>
        </w:rPr>
        <w:t>5</w:t>
      </w:r>
      <w:r>
        <w:rPr>
          <w:rFonts w:hint="eastAsia" w:ascii="Times New Roman" w:hAnsi="Times New Roman" w:eastAsia="宋体" w:cs="Times New Roman"/>
          <w:kern w:val="0"/>
          <w:sz w:val="28"/>
          <w:szCs w:val="28"/>
          <w:lang w:val="en-US" w:eastAsia="zh-CN" w:bidi="ar"/>
        </w:rPr>
        <w:t>星级水平，平均水平相当于企业标准排行榜中</w:t>
      </w:r>
      <w:r>
        <w:rPr>
          <w:rFonts w:hint="default" w:ascii="Times New Roman" w:hAnsi="Times New Roman" w:eastAsia="宋体" w:cs="Times New Roman"/>
          <w:kern w:val="0"/>
          <w:sz w:val="28"/>
          <w:szCs w:val="28"/>
          <w:lang w:val="en-US" w:eastAsia="zh-CN" w:bidi="ar"/>
        </w:rPr>
        <w:t>4</w:t>
      </w:r>
      <w:r>
        <w:rPr>
          <w:rFonts w:hint="eastAsia" w:ascii="Times New Roman" w:hAnsi="Times New Roman" w:eastAsia="宋体" w:cs="Times New Roman"/>
          <w:kern w:val="0"/>
          <w:sz w:val="28"/>
          <w:szCs w:val="28"/>
          <w:lang w:val="en-US" w:eastAsia="zh-CN" w:bidi="ar"/>
        </w:rPr>
        <w:t>星级水平，基准水平相当于企业标准排行榜中</w:t>
      </w:r>
      <w:r>
        <w:rPr>
          <w:rFonts w:hint="default" w:ascii="Times New Roman" w:hAnsi="Times New Roman" w:eastAsia="宋体" w:cs="Times New Roman"/>
          <w:kern w:val="0"/>
          <w:sz w:val="28"/>
          <w:szCs w:val="28"/>
          <w:lang w:val="en-US" w:eastAsia="zh-CN" w:bidi="ar"/>
        </w:rPr>
        <w:t>3</w:t>
      </w:r>
      <w:r>
        <w:rPr>
          <w:rFonts w:hint="eastAsia" w:ascii="Times New Roman" w:hAnsi="Times New Roman" w:eastAsia="宋体" w:cs="Times New Roman"/>
          <w:kern w:val="0"/>
          <w:sz w:val="28"/>
          <w:szCs w:val="28"/>
          <w:lang w:val="en-US" w:eastAsia="zh-CN" w:bidi="ar"/>
        </w:rPr>
        <w:t>星级水平。</w:t>
      </w:r>
    </w:p>
    <w:p w14:paraId="1121C402">
      <w:pPr>
        <w:pStyle w:val="11"/>
        <w:keepNext w:val="0"/>
        <w:keepLines w:val="0"/>
        <w:widowControl/>
        <w:numPr>
          <w:ilvl w:val="2"/>
          <w:numId w:val="5"/>
        </w:numPr>
        <w:suppressLineNumbers w:val="0"/>
        <w:spacing w:before="120" w:beforeLines="50" w:beforeAutospacing="0" w:after="120" w:afterLines="50" w:afterAutospacing="0" w:line="360" w:lineRule="auto"/>
        <w:ind w:left="0" w:right="0" w:firstLine="0"/>
        <w:jc w:val="both"/>
        <w:outlineLvl w:val="1"/>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评价指标体系</w:t>
      </w:r>
    </w:p>
    <w:p w14:paraId="0DE76B68">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评价指标体系见表</w:t>
      </w:r>
      <w:r>
        <w:rPr>
          <w:rFonts w:hint="default" w:ascii="Times New Roman" w:hAnsi="Times New Roman" w:eastAsia="宋体" w:cs="Times New Roman"/>
          <w:kern w:val="0"/>
          <w:sz w:val="28"/>
          <w:szCs w:val="28"/>
          <w:lang w:val="en-US" w:eastAsia="zh-CN" w:bidi="ar"/>
        </w:rPr>
        <w:t>1</w:t>
      </w:r>
      <w:r>
        <w:rPr>
          <w:rFonts w:hint="eastAsia" w:ascii="Times New Roman" w:hAnsi="Times New Roman" w:eastAsia="宋体" w:cs="Times New Roman"/>
          <w:kern w:val="0"/>
          <w:sz w:val="28"/>
          <w:szCs w:val="28"/>
          <w:lang w:val="en-US" w:eastAsia="zh-CN" w:bidi="ar"/>
        </w:rPr>
        <w:t>。</w:t>
      </w:r>
    </w:p>
    <w:p w14:paraId="49A49498">
      <w:pPr>
        <w:pStyle w:val="11"/>
        <w:keepNext w:val="0"/>
        <w:keepLines w:val="0"/>
        <w:widowControl/>
        <w:numPr>
          <w:ilvl w:val="0"/>
          <w:numId w:val="6"/>
        </w:numPr>
        <w:suppressLineNumbers w:val="0"/>
        <w:tabs>
          <w:tab w:val="left" w:pos="0"/>
        </w:tabs>
        <w:adjustRightInd/>
        <w:spacing w:before="120" w:beforeLines="50" w:beforeAutospacing="0" w:after="120" w:afterLines="50" w:afterAutospacing="0" w:line="360" w:lineRule="auto"/>
        <w:ind w:left="0" w:right="0" w:firstLine="0"/>
        <w:jc w:val="center"/>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评价指标体系</w:t>
      </w:r>
    </w:p>
    <w:tbl>
      <w:tblPr>
        <w:tblStyle w:val="12"/>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421"/>
        <w:gridCol w:w="568"/>
        <w:gridCol w:w="1420"/>
        <w:gridCol w:w="1989"/>
        <w:gridCol w:w="1988"/>
        <w:gridCol w:w="1994"/>
        <w:gridCol w:w="982"/>
      </w:tblGrid>
      <w:tr w14:paraId="36EE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22" w:hRule="atLeast"/>
          <w:tblHeader/>
        </w:trPr>
        <w:tc>
          <w:tcPr>
            <w:tcW w:w="421" w:type="dxa"/>
            <w:tcBorders>
              <w:top w:val="single" w:color="auto" w:sz="4" w:space="0"/>
              <w:left w:val="single" w:color="auto" w:sz="4" w:space="0"/>
              <w:bottom w:val="single" w:color="auto" w:sz="4" w:space="0"/>
              <w:right w:val="single" w:color="auto" w:sz="4" w:space="0"/>
            </w:tcBorders>
            <w:shd w:val="clear"/>
            <w:tcMar>
              <w:top w:w="15" w:type="dxa"/>
              <w:left w:w="0" w:type="dxa"/>
              <w:bottom w:w="15" w:type="dxa"/>
              <w:right w:w="15" w:type="dxa"/>
            </w:tcMar>
            <w:vAlign w:val="center"/>
          </w:tcPr>
          <w:p w14:paraId="21D9585B">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bookmarkStart w:id="33" w:name="_Toc190446773"/>
            <w:r>
              <w:rPr>
                <w:rFonts w:hint="eastAsia" w:ascii="Times New Roman" w:hAnsi="Times New Roman" w:eastAsia="宋体" w:cs="Times New Roman"/>
                <w:kern w:val="0"/>
                <w:sz w:val="28"/>
                <w:szCs w:val="28"/>
                <w:bdr w:val="none" w:color="auto" w:sz="0" w:space="0"/>
                <w:lang w:val="en-US" w:eastAsia="zh-CN" w:bidi="ar"/>
              </w:rPr>
              <w:t>指标类别</w:t>
            </w:r>
          </w:p>
        </w:tc>
        <w:tc>
          <w:tcPr>
            <w:tcW w:w="56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0982BC86">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指标名称</w:t>
            </w:r>
          </w:p>
        </w:tc>
        <w:tc>
          <w:tcPr>
            <w:tcW w:w="1420"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1FB0E366">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指标来源</w:t>
            </w:r>
          </w:p>
        </w:tc>
        <w:tc>
          <w:tcPr>
            <w:tcW w:w="1989"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1F2C3CC1">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先进水平</w:t>
            </w:r>
          </w:p>
          <w:p w14:paraId="144A945B">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w:t>
            </w:r>
            <w:r>
              <w:rPr>
                <w:rFonts w:hint="default" w:ascii="Times New Roman" w:hAnsi="Times New Roman" w:eastAsia="宋体" w:cs="Times New Roman"/>
                <w:kern w:val="0"/>
                <w:sz w:val="28"/>
                <w:szCs w:val="28"/>
                <w:bdr w:val="none" w:color="auto" w:sz="0" w:space="0"/>
                <w:lang w:val="en-US" w:eastAsia="zh-CN" w:bidi="ar"/>
              </w:rPr>
              <w:t>5</w:t>
            </w:r>
            <w:r>
              <w:rPr>
                <w:rFonts w:hint="eastAsia" w:ascii="Times New Roman" w:hAnsi="Times New Roman" w:eastAsia="宋体" w:cs="Times New Roman"/>
                <w:kern w:val="0"/>
                <w:sz w:val="28"/>
                <w:szCs w:val="28"/>
                <w:bdr w:val="none" w:color="auto" w:sz="0" w:space="0"/>
                <w:lang w:val="en-US" w:eastAsia="zh-CN" w:bidi="ar"/>
              </w:rPr>
              <w:t>星级）</w:t>
            </w:r>
          </w:p>
        </w:tc>
        <w:tc>
          <w:tcPr>
            <w:tcW w:w="198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7F6F42A7">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平均水平</w:t>
            </w:r>
          </w:p>
          <w:p w14:paraId="32B275A3">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w:t>
            </w:r>
            <w:r>
              <w:rPr>
                <w:rFonts w:hint="default" w:ascii="Times New Roman" w:hAnsi="Times New Roman" w:eastAsia="宋体" w:cs="Times New Roman"/>
                <w:kern w:val="0"/>
                <w:sz w:val="28"/>
                <w:szCs w:val="28"/>
                <w:bdr w:val="none" w:color="auto" w:sz="0" w:space="0"/>
                <w:lang w:val="en-US" w:eastAsia="zh-CN" w:bidi="ar"/>
              </w:rPr>
              <w:t>4</w:t>
            </w:r>
            <w:r>
              <w:rPr>
                <w:rFonts w:hint="eastAsia" w:ascii="Times New Roman" w:hAnsi="Times New Roman" w:eastAsia="宋体" w:cs="Times New Roman"/>
                <w:kern w:val="0"/>
                <w:sz w:val="28"/>
                <w:szCs w:val="28"/>
                <w:bdr w:val="none" w:color="auto" w:sz="0" w:space="0"/>
                <w:lang w:val="en-US" w:eastAsia="zh-CN" w:bidi="ar"/>
              </w:rPr>
              <w:t>星级）</w:t>
            </w:r>
          </w:p>
        </w:tc>
        <w:tc>
          <w:tcPr>
            <w:tcW w:w="1994"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1A1969B1">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基准水平</w:t>
            </w:r>
          </w:p>
          <w:p w14:paraId="4EEA885B">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w:t>
            </w:r>
            <w:r>
              <w:rPr>
                <w:rFonts w:hint="default" w:ascii="Times New Roman" w:hAnsi="Times New Roman" w:eastAsia="宋体" w:cs="Times New Roman"/>
                <w:kern w:val="0"/>
                <w:sz w:val="28"/>
                <w:szCs w:val="28"/>
                <w:bdr w:val="none" w:color="auto" w:sz="0" w:space="0"/>
                <w:lang w:val="en-US" w:eastAsia="zh-CN" w:bidi="ar"/>
              </w:rPr>
              <w:t>3</w:t>
            </w:r>
            <w:r>
              <w:rPr>
                <w:rFonts w:hint="eastAsia" w:ascii="Times New Roman" w:hAnsi="Times New Roman" w:eastAsia="宋体" w:cs="Times New Roman"/>
                <w:kern w:val="0"/>
                <w:sz w:val="28"/>
                <w:szCs w:val="28"/>
                <w:bdr w:val="none" w:color="auto" w:sz="0" w:space="0"/>
                <w:lang w:val="en-US" w:eastAsia="zh-CN" w:bidi="ar"/>
              </w:rPr>
              <w:t>星级）</w:t>
            </w:r>
          </w:p>
        </w:tc>
        <w:tc>
          <w:tcPr>
            <w:tcW w:w="982"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81F96BA">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判定方法</w:t>
            </w:r>
          </w:p>
        </w:tc>
      </w:tr>
      <w:tr w14:paraId="74B7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96" w:hRule="atLeast"/>
        </w:trPr>
        <w:tc>
          <w:tcPr>
            <w:tcW w:w="421" w:type="dxa"/>
            <w:vMerge w:val="restart"/>
            <w:tcBorders>
              <w:top w:val="single" w:color="auto" w:sz="4" w:space="0"/>
              <w:left w:val="single" w:color="auto" w:sz="4" w:space="0"/>
              <w:bottom w:val="single" w:color="auto" w:sz="4" w:space="0"/>
              <w:right w:val="single" w:color="auto" w:sz="4" w:space="0"/>
            </w:tcBorders>
            <w:shd w:val="clear"/>
            <w:tcMar>
              <w:top w:w="15" w:type="dxa"/>
              <w:left w:w="0" w:type="dxa"/>
              <w:bottom w:w="15" w:type="dxa"/>
              <w:right w:w="15" w:type="dxa"/>
            </w:tcMar>
            <w:vAlign w:val="center"/>
          </w:tcPr>
          <w:p w14:paraId="12263FC1">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bookmarkStart w:id="34" w:name="_Hlk192079177"/>
            <w:bookmarkStart w:id="35" w:name="_Hlk192082738"/>
            <w:r>
              <w:rPr>
                <w:rFonts w:hint="eastAsia" w:ascii="Times New Roman" w:hAnsi="Times New Roman" w:eastAsia="宋体" w:cs="Times New Roman"/>
                <w:kern w:val="0"/>
                <w:sz w:val="28"/>
                <w:szCs w:val="28"/>
                <w:bdr w:val="none" w:color="auto" w:sz="0" w:space="0"/>
                <w:lang w:val="en-US" w:eastAsia="zh-CN" w:bidi="ar"/>
              </w:rPr>
              <w:t>基础指标</w:t>
            </w:r>
          </w:p>
        </w:tc>
        <w:tc>
          <w:tcPr>
            <w:tcW w:w="56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1B4390F2">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精度</w:t>
            </w:r>
          </w:p>
        </w:tc>
        <w:tc>
          <w:tcPr>
            <w:tcW w:w="1420"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79491603">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GB/T 1184</w:t>
            </w:r>
            <w:r>
              <w:rPr>
                <w:rFonts w:hint="eastAsia" w:ascii="Times New Roman" w:hAnsi="Times New Roman" w:eastAsia="宋体" w:cs="Times New Roman"/>
                <w:kern w:val="0"/>
                <w:sz w:val="28"/>
                <w:szCs w:val="28"/>
                <w:bdr w:val="none" w:color="auto" w:sz="0" w:space="0"/>
                <w:lang w:val="en-US" w:eastAsia="zh-CN" w:bidi="ar"/>
              </w:rPr>
              <w:t>，</w:t>
            </w:r>
            <w:r>
              <w:rPr>
                <w:rFonts w:hint="default" w:ascii="Times New Roman" w:hAnsi="Times New Roman" w:eastAsia="宋体" w:cs="Times New Roman"/>
                <w:kern w:val="0"/>
                <w:sz w:val="28"/>
                <w:szCs w:val="28"/>
                <w:bdr w:val="none" w:color="auto" w:sz="0" w:space="0"/>
                <w:lang w:val="en-US" w:eastAsia="zh-CN" w:bidi="ar"/>
              </w:rPr>
              <w:t>JB/T 2886</w:t>
            </w:r>
          </w:p>
        </w:tc>
        <w:tc>
          <w:tcPr>
            <w:tcW w:w="1989"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5442C826">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C1</w:t>
            </w:r>
          </w:p>
          <w:p w14:paraId="16A006EB">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行程误差</w:t>
            </w:r>
            <w:r>
              <w:rPr>
                <w:rFonts w:hint="default" w:ascii="Times New Roman" w:hAnsi="Times New Roman" w:eastAsia="宋体" w:cs="Times New Roman"/>
                <w:kern w:val="0"/>
                <w:sz w:val="28"/>
                <w:szCs w:val="28"/>
                <w:bdr w:val="none" w:color="auto" w:sz="0" w:space="0"/>
                <w:lang w:val="en-US" w:eastAsia="zh-CN" w:bidi="ar"/>
              </w:rPr>
              <w:t>≤0.003 mm</w:t>
            </w:r>
            <w:r>
              <w:rPr>
                <w:rFonts w:hint="eastAsia" w:ascii="Times New Roman" w:hAnsi="Times New Roman" w:eastAsia="宋体" w:cs="Times New Roman"/>
                <w:kern w:val="0"/>
                <w:sz w:val="28"/>
                <w:szCs w:val="28"/>
                <w:bdr w:val="none" w:color="auto" w:sz="0" w:space="0"/>
                <w:lang w:val="en-US" w:eastAsia="zh-CN" w:bidi="ar"/>
              </w:rPr>
              <w:t>，定位精度</w:t>
            </w:r>
            <w:r>
              <w:rPr>
                <w:rFonts w:hint="default" w:ascii="Times New Roman" w:hAnsi="Times New Roman" w:eastAsia="宋体" w:cs="Times New Roman"/>
                <w:kern w:val="0"/>
                <w:sz w:val="28"/>
                <w:szCs w:val="28"/>
                <w:bdr w:val="none" w:color="auto" w:sz="0" w:space="0"/>
                <w:lang w:val="en-US" w:eastAsia="zh-CN" w:bidi="ar"/>
              </w:rPr>
              <w:t>≤0.005 mm</w:t>
            </w:r>
            <w:r>
              <w:rPr>
                <w:rFonts w:hint="eastAsia" w:ascii="Times New Roman" w:hAnsi="Times New Roman" w:eastAsia="宋体" w:cs="Times New Roman"/>
                <w:kern w:val="0"/>
                <w:sz w:val="28"/>
                <w:szCs w:val="28"/>
                <w:bdr w:val="none" w:color="auto" w:sz="0" w:space="0"/>
                <w:lang w:val="en-US" w:eastAsia="zh-CN" w:bidi="ar"/>
              </w:rPr>
              <w:t>，重复定位精度</w:t>
            </w:r>
            <w:r>
              <w:rPr>
                <w:rFonts w:hint="default" w:ascii="Times New Roman" w:hAnsi="Times New Roman" w:eastAsia="宋体" w:cs="Times New Roman"/>
                <w:kern w:val="0"/>
                <w:sz w:val="28"/>
                <w:szCs w:val="28"/>
                <w:bdr w:val="none" w:color="auto" w:sz="0" w:space="0"/>
                <w:lang w:val="en-US" w:eastAsia="zh-CN" w:bidi="ar"/>
              </w:rPr>
              <w:t>≤0.002 mm</w:t>
            </w:r>
          </w:p>
        </w:tc>
        <w:tc>
          <w:tcPr>
            <w:tcW w:w="198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5C202333">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C3</w:t>
            </w:r>
          </w:p>
          <w:p w14:paraId="5C480C32">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行程误差</w:t>
            </w:r>
            <w:r>
              <w:rPr>
                <w:rFonts w:hint="default" w:ascii="Times New Roman" w:hAnsi="Times New Roman" w:eastAsia="宋体" w:cs="Times New Roman"/>
                <w:kern w:val="0"/>
                <w:sz w:val="28"/>
                <w:szCs w:val="28"/>
                <w:bdr w:val="none" w:color="auto" w:sz="0" w:space="0"/>
                <w:lang w:val="en-US" w:eastAsia="zh-CN" w:bidi="ar"/>
              </w:rPr>
              <w:t>≤0.005 mm</w:t>
            </w:r>
            <w:r>
              <w:rPr>
                <w:rFonts w:hint="eastAsia" w:ascii="Times New Roman" w:hAnsi="Times New Roman" w:eastAsia="宋体" w:cs="Times New Roman"/>
                <w:kern w:val="0"/>
                <w:sz w:val="28"/>
                <w:szCs w:val="28"/>
                <w:bdr w:val="none" w:color="auto" w:sz="0" w:space="0"/>
                <w:lang w:val="en-US" w:eastAsia="zh-CN" w:bidi="ar"/>
              </w:rPr>
              <w:t>，定位精度</w:t>
            </w:r>
            <w:r>
              <w:rPr>
                <w:rFonts w:hint="default" w:ascii="Times New Roman" w:hAnsi="Times New Roman" w:eastAsia="宋体" w:cs="Times New Roman"/>
                <w:kern w:val="0"/>
                <w:sz w:val="28"/>
                <w:szCs w:val="28"/>
                <w:bdr w:val="none" w:color="auto" w:sz="0" w:space="0"/>
                <w:lang w:val="en-US" w:eastAsia="zh-CN" w:bidi="ar"/>
              </w:rPr>
              <w:t>≤0.01 mm</w:t>
            </w:r>
            <w:r>
              <w:rPr>
                <w:rFonts w:hint="eastAsia" w:ascii="Times New Roman" w:hAnsi="Times New Roman" w:eastAsia="宋体" w:cs="Times New Roman"/>
                <w:kern w:val="0"/>
                <w:sz w:val="28"/>
                <w:szCs w:val="28"/>
                <w:bdr w:val="none" w:color="auto" w:sz="0" w:space="0"/>
                <w:lang w:val="en-US" w:eastAsia="zh-CN" w:bidi="ar"/>
              </w:rPr>
              <w:t>，重复定位精度</w:t>
            </w:r>
            <w:r>
              <w:rPr>
                <w:rFonts w:hint="default" w:ascii="Times New Roman" w:hAnsi="Times New Roman" w:eastAsia="宋体" w:cs="Times New Roman"/>
                <w:kern w:val="0"/>
                <w:sz w:val="28"/>
                <w:szCs w:val="28"/>
                <w:bdr w:val="none" w:color="auto" w:sz="0" w:space="0"/>
                <w:lang w:val="en-US" w:eastAsia="zh-CN" w:bidi="ar"/>
              </w:rPr>
              <w:t>≤0.005 mm</w:t>
            </w:r>
          </w:p>
        </w:tc>
        <w:tc>
          <w:tcPr>
            <w:tcW w:w="1994"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3690DD7">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C5</w:t>
            </w:r>
          </w:p>
          <w:p w14:paraId="2DFEF89F">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行程误差</w:t>
            </w:r>
            <w:r>
              <w:rPr>
                <w:rFonts w:hint="default" w:ascii="Times New Roman" w:hAnsi="Times New Roman" w:eastAsia="宋体" w:cs="Times New Roman"/>
                <w:kern w:val="0"/>
                <w:sz w:val="28"/>
                <w:szCs w:val="28"/>
                <w:bdr w:val="none" w:color="auto" w:sz="0" w:space="0"/>
                <w:lang w:val="en-US" w:eastAsia="zh-CN" w:bidi="ar"/>
              </w:rPr>
              <w:t>≤0.01 mm</w:t>
            </w:r>
            <w:r>
              <w:rPr>
                <w:rFonts w:hint="eastAsia" w:ascii="Times New Roman" w:hAnsi="Times New Roman" w:eastAsia="宋体" w:cs="Times New Roman"/>
                <w:kern w:val="0"/>
                <w:sz w:val="28"/>
                <w:szCs w:val="28"/>
                <w:bdr w:val="none" w:color="auto" w:sz="0" w:space="0"/>
                <w:lang w:val="en-US" w:eastAsia="zh-CN" w:bidi="ar"/>
              </w:rPr>
              <w:t>，定位精度</w:t>
            </w:r>
            <w:r>
              <w:rPr>
                <w:rFonts w:hint="default" w:ascii="Times New Roman" w:hAnsi="Times New Roman" w:eastAsia="宋体" w:cs="Times New Roman"/>
                <w:kern w:val="0"/>
                <w:sz w:val="28"/>
                <w:szCs w:val="28"/>
                <w:bdr w:val="none" w:color="auto" w:sz="0" w:space="0"/>
                <w:lang w:val="en-US" w:eastAsia="zh-CN" w:bidi="ar"/>
              </w:rPr>
              <w:t>≤0.0 2mm</w:t>
            </w:r>
            <w:r>
              <w:rPr>
                <w:rFonts w:hint="eastAsia" w:ascii="Times New Roman" w:hAnsi="Times New Roman" w:eastAsia="宋体" w:cs="Times New Roman"/>
                <w:kern w:val="0"/>
                <w:sz w:val="28"/>
                <w:szCs w:val="28"/>
                <w:bdr w:val="none" w:color="auto" w:sz="0" w:space="0"/>
                <w:lang w:val="en-US" w:eastAsia="zh-CN" w:bidi="ar"/>
              </w:rPr>
              <w:t>，重复定位精度</w:t>
            </w:r>
            <w:r>
              <w:rPr>
                <w:rFonts w:hint="default" w:ascii="Times New Roman" w:hAnsi="Times New Roman" w:eastAsia="宋体" w:cs="Times New Roman"/>
                <w:kern w:val="0"/>
                <w:sz w:val="28"/>
                <w:szCs w:val="28"/>
                <w:bdr w:val="none" w:color="auto" w:sz="0" w:space="0"/>
                <w:lang w:val="en-US" w:eastAsia="zh-CN" w:bidi="ar"/>
              </w:rPr>
              <w:t>≤0.01 mm</w:t>
            </w:r>
          </w:p>
        </w:tc>
        <w:tc>
          <w:tcPr>
            <w:tcW w:w="982"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2D0C6717">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GB/T 1184</w:t>
            </w:r>
            <w:r>
              <w:rPr>
                <w:rFonts w:hint="eastAsia" w:ascii="Times New Roman" w:hAnsi="Times New Roman" w:eastAsia="宋体" w:cs="Times New Roman"/>
                <w:kern w:val="0"/>
                <w:sz w:val="28"/>
                <w:szCs w:val="28"/>
                <w:bdr w:val="none" w:color="auto" w:sz="0" w:space="0"/>
                <w:lang w:val="en-US" w:eastAsia="zh-CN" w:bidi="ar"/>
              </w:rPr>
              <w:t>，</w:t>
            </w:r>
            <w:r>
              <w:rPr>
                <w:rFonts w:hint="default" w:ascii="Times New Roman" w:hAnsi="Times New Roman" w:eastAsia="宋体" w:cs="Times New Roman"/>
                <w:kern w:val="0"/>
                <w:sz w:val="28"/>
                <w:szCs w:val="28"/>
                <w:bdr w:val="none" w:color="auto" w:sz="0" w:space="0"/>
                <w:lang w:val="en-US" w:eastAsia="zh-CN" w:bidi="ar"/>
              </w:rPr>
              <w:t>JB/T 2886</w:t>
            </w:r>
          </w:p>
        </w:tc>
      </w:tr>
      <w:tr w14:paraId="472E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62" w:hRule="atLeast"/>
        </w:trPr>
        <w:tc>
          <w:tcPr>
            <w:tcW w:w="421" w:type="dxa"/>
            <w:vMerge w:val="continue"/>
            <w:tcBorders>
              <w:top w:val="single" w:color="auto" w:sz="4" w:space="0"/>
              <w:left w:val="single" w:color="auto" w:sz="4" w:space="0"/>
              <w:bottom w:val="single" w:color="auto" w:sz="4" w:space="0"/>
              <w:right w:val="single" w:color="auto" w:sz="4" w:space="0"/>
            </w:tcBorders>
            <w:shd w:val="clear"/>
            <w:tcMar>
              <w:top w:w="15" w:type="dxa"/>
              <w:left w:w="0" w:type="dxa"/>
              <w:bottom w:w="15" w:type="dxa"/>
              <w:right w:w="15" w:type="dxa"/>
            </w:tcMar>
            <w:vAlign w:val="center"/>
          </w:tcPr>
          <w:p w14:paraId="4118DE3C">
            <w:pPr>
              <w:spacing w:line="360" w:lineRule="auto"/>
              <w:rPr>
                <w:rFonts w:hint="default" w:ascii="Calibri" w:hAnsi="Calibri" w:cs="Times New Roman"/>
                <w:sz w:val="28"/>
                <w:szCs w:val="28"/>
              </w:rPr>
            </w:pPr>
          </w:p>
        </w:tc>
        <w:tc>
          <w:tcPr>
            <w:tcW w:w="56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07D3D295">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刚性</w:t>
            </w:r>
          </w:p>
        </w:tc>
        <w:tc>
          <w:tcPr>
            <w:tcW w:w="1420"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1114817A">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JB/T 2886</w:t>
            </w:r>
          </w:p>
        </w:tc>
        <w:tc>
          <w:tcPr>
            <w:tcW w:w="1989"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546039DF">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轴向刚性</w:t>
            </w:r>
            <w:r>
              <w:rPr>
                <w:rFonts w:hint="default" w:ascii="Times New Roman" w:hAnsi="Times New Roman" w:eastAsia="宋体" w:cs="Times New Roman"/>
                <w:kern w:val="0"/>
                <w:sz w:val="28"/>
                <w:szCs w:val="28"/>
                <w:bdr w:val="none" w:color="auto" w:sz="0" w:space="0"/>
                <w:lang w:val="en-US" w:eastAsia="zh-CN" w:bidi="ar"/>
              </w:rPr>
              <w:t>≥600 N/μm</w:t>
            </w:r>
            <w:r>
              <w:rPr>
                <w:rFonts w:hint="eastAsia" w:ascii="Times New Roman" w:hAnsi="Times New Roman" w:eastAsia="宋体" w:cs="Times New Roman"/>
                <w:kern w:val="0"/>
                <w:sz w:val="28"/>
                <w:szCs w:val="28"/>
                <w:bdr w:val="none" w:color="auto" w:sz="0" w:space="0"/>
                <w:lang w:val="en-US" w:eastAsia="zh-CN" w:bidi="ar"/>
              </w:rPr>
              <w:t>，扭转刚性</w:t>
            </w:r>
            <w:r>
              <w:rPr>
                <w:rFonts w:hint="default" w:ascii="Times New Roman" w:hAnsi="Times New Roman" w:eastAsia="宋体" w:cs="Times New Roman"/>
                <w:kern w:val="0"/>
                <w:sz w:val="28"/>
                <w:szCs w:val="28"/>
                <w:bdr w:val="none" w:color="auto" w:sz="0" w:space="0"/>
                <w:lang w:val="en-US" w:eastAsia="zh-CN" w:bidi="ar"/>
              </w:rPr>
              <w:t>≥300N·m/rad</w:t>
            </w:r>
          </w:p>
        </w:tc>
        <w:tc>
          <w:tcPr>
            <w:tcW w:w="198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4F3657F7">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轴向刚性</w:t>
            </w:r>
            <w:r>
              <w:rPr>
                <w:rFonts w:hint="default" w:ascii="Times New Roman" w:hAnsi="Times New Roman" w:eastAsia="宋体" w:cs="Times New Roman"/>
                <w:kern w:val="0"/>
                <w:sz w:val="28"/>
                <w:szCs w:val="28"/>
                <w:bdr w:val="none" w:color="auto" w:sz="0" w:space="0"/>
                <w:lang w:val="en-US" w:eastAsia="zh-CN" w:bidi="ar"/>
              </w:rPr>
              <w:t>≥500 N/μm</w:t>
            </w:r>
            <w:r>
              <w:rPr>
                <w:rFonts w:hint="eastAsia" w:ascii="Times New Roman" w:hAnsi="Times New Roman" w:eastAsia="宋体" w:cs="Times New Roman"/>
                <w:kern w:val="0"/>
                <w:sz w:val="28"/>
                <w:szCs w:val="28"/>
                <w:bdr w:val="none" w:color="auto" w:sz="0" w:space="0"/>
                <w:lang w:val="en-US" w:eastAsia="zh-CN" w:bidi="ar"/>
              </w:rPr>
              <w:t>，扭转刚性</w:t>
            </w:r>
            <w:r>
              <w:rPr>
                <w:rFonts w:hint="default" w:ascii="Times New Roman" w:hAnsi="Times New Roman" w:eastAsia="宋体" w:cs="Times New Roman"/>
                <w:kern w:val="0"/>
                <w:sz w:val="28"/>
                <w:szCs w:val="28"/>
                <w:bdr w:val="none" w:color="auto" w:sz="0" w:space="0"/>
                <w:lang w:val="en-US" w:eastAsia="zh-CN" w:bidi="ar"/>
              </w:rPr>
              <w:t>≥250 N·m/rad</w:t>
            </w:r>
          </w:p>
        </w:tc>
        <w:tc>
          <w:tcPr>
            <w:tcW w:w="1994"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9E7D633">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轴向刚性</w:t>
            </w:r>
            <w:r>
              <w:rPr>
                <w:rFonts w:hint="default" w:ascii="Times New Roman" w:hAnsi="Times New Roman" w:eastAsia="宋体" w:cs="Times New Roman"/>
                <w:kern w:val="0"/>
                <w:sz w:val="28"/>
                <w:szCs w:val="28"/>
                <w:bdr w:val="none" w:color="auto" w:sz="0" w:space="0"/>
                <w:lang w:val="en-US" w:eastAsia="zh-CN" w:bidi="ar"/>
              </w:rPr>
              <w:t>≥400 N/μm</w:t>
            </w:r>
            <w:r>
              <w:rPr>
                <w:rFonts w:hint="eastAsia" w:ascii="Times New Roman" w:hAnsi="Times New Roman" w:eastAsia="宋体" w:cs="Times New Roman"/>
                <w:kern w:val="0"/>
                <w:sz w:val="28"/>
                <w:szCs w:val="28"/>
                <w:bdr w:val="none" w:color="auto" w:sz="0" w:space="0"/>
                <w:lang w:val="en-US" w:eastAsia="zh-CN" w:bidi="ar"/>
              </w:rPr>
              <w:t>，扭转刚性</w:t>
            </w:r>
            <w:r>
              <w:rPr>
                <w:rFonts w:hint="default" w:ascii="Times New Roman" w:hAnsi="Times New Roman" w:eastAsia="宋体" w:cs="Times New Roman"/>
                <w:kern w:val="0"/>
                <w:sz w:val="28"/>
                <w:szCs w:val="28"/>
                <w:bdr w:val="none" w:color="auto" w:sz="0" w:space="0"/>
                <w:lang w:val="en-US" w:eastAsia="zh-CN" w:bidi="ar"/>
              </w:rPr>
              <w:t>≥200 N·m/rad</w:t>
            </w:r>
          </w:p>
        </w:tc>
        <w:tc>
          <w:tcPr>
            <w:tcW w:w="982"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5D22F55D">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JB/T 2886</w:t>
            </w:r>
          </w:p>
        </w:tc>
      </w:tr>
      <w:tr w14:paraId="1C67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58" w:hRule="atLeast"/>
        </w:trPr>
        <w:tc>
          <w:tcPr>
            <w:tcW w:w="421" w:type="dxa"/>
            <w:vMerge w:val="continue"/>
            <w:tcBorders>
              <w:top w:val="single" w:color="auto" w:sz="4" w:space="0"/>
              <w:left w:val="single" w:color="auto" w:sz="4" w:space="0"/>
              <w:bottom w:val="single" w:color="auto" w:sz="4" w:space="0"/>
              <w:right w:val="single" w:color="auto" w:sz="4" w:space="0"/>
            </w:tcBorders>
            <w:shd w:val="clear"/>
            <w:tcMar>
              <w:top w:w="15" w:type="dxa"/>
              <w:left w:w="0" w:type="dxa"/>
              <w:bottom w:w="15" w:type="dxa"/>
              <w:right w:w="15" w:type="dxa"/>
            </w:tcMar>
            <w:vAlign w:val="center"/>
          </w:tcPr>
          <w:p w14:paraId="48CCCAF1">
            <w:pPr>
              <w:spacing w:line="360" w:lineRule="auto"/>
              <w:rPr>
                <w:rFonts w:hint="default" w:ascii="Calibri" w:hAnsi="Calibri" w:cs="Times New Roman"/>
                <w:sz w:val="28"/>
                <w:szCs w:val="28"/>
              </w:rPr>
            </w:pPr>
          </w:p>
        </w:tc>
        <w:tc>
          <w:tcPr>
            <w:tcW w:w="56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0826B831">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摩擦力矩</w:t>
            </w:r>
          </w:p>
        </w:tc>
        <w:tc>
          <w:tcPr>
            <w:tcW w:w="1420"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09B5BF4E">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JB/T 2886</w:t>
            </w:r>
          </w:p>
        </w:tc>
        <w:tc>
          <w:tcPr>
            <w:tcW w:w="1989"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1BD3FB47">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动态摩擦力矩</w:t>
            </w:r>
            <w:r>
              <w:rPr>
                <w:rFonts w:hint="default" w:ascii="Times New Roman" w:hAnsi="Times New Roman" w:eastAsia="宋体" w:cs="Times New Roman"/>
                <w:kern w:val="0"/>
                <w:sz w:val="28"/>
                <w:szCs w:val="28"/>
                <w:bdr w:val="none" w:color="auto" w:sz="0" w:space="0"/>
                <w:lang w:val="en-US" w:eastAsia="zh-CN" w:bidi="ar"/>
              </w:rPr>
              <w:t>≤0.8 N·m</w:t>
            </w:r>
            <w:r>
              <w:rPr>
                <w:rFonts w:hint="eastAsia" w:ascii="Times New Roman" w:hAnsi="Times New Roman" w:eastAsia="宋体" w:cs="Times New Roman"/>
                <w:kern w:val="0"/>
                <w:sz w:val="28"/>
                <w:szCs w:val="28"/>
                <w:bdr w:val="none" w:color="auto" w:sz="0" w:space="0"/>
                <w:lang w:val="en-US" w:eastAsia="zh-CN" w:bidi="ar"/>
              </w:rPr>
              <w:t>，静态摩擦力矩</w:t>
            </w:r>
            <w:r>
              <w:rPr>
                <w:rFonts w:hint="default" w:ascii="Times New Roman" w:hAnsi="Times New Roman" w:eastAsia="宋体" w:cs="Times New Roman"/>
                <w:kern w:val="0"/>
                <w:sz w:val="28"/>
                <w:szCs w:val="28"/>
                <w:bdr w:val="none" w:color="auto" w:sz="0" w:space="0"/>
                <w:lang w:val="en-US" w:eastAsia="zh-CN" w:bidi="ar"/>
              </w:rPr>
              <w:t>≤1.2 N·m</w:t>
            </w:r>
          </w:p>
        </w:tc>
        <w:tc>
          <w:tcPr>
            <w:tcW w:w="198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DB262D1">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动态摩擦力矩</w:t>
            </w:r>
            <w:r>
              <w:rPr>
                <w:rFonts w:hint="default" w:ascii="Times New Roman" w:hAnsi="Times New Roman" w:eastAsia="宋体" w:cs="Times New Roman"/>
                <w:kern w:val="0"/>
                <w:sz w:val="28"/>
                <w:szCs w:val="28"/>
                <w:bdr w:val="none" w:color="auto" w:sz="0" w:space="0"/>
                <w:lang w:val="en-US" w:eastAsia="zh-CN" w:bidi="ar"/>
              </w:rPr>
              <w:t>≤1 N·m</w:t>
            </w:r>
            <w:r>
              <w:rPr>
                <w:rFonts w:hint="eastAsia" w:ascii="Times New Roman" w:hAnsi="Times New Roman" w:eastAsia="宋体" w:cs="Times New Roman"/>
                <w:kern w:val="0"/>
                <w:sz w:val="28"/>
                <w:szCs w:val="28"/>
                <w:bdr w:val="none" w:color="auto" w:sz="0" w:space="0"/>
                <w:lang w:val="en-US" w:eastAsia="zh-CN" w:bidi="ar"/>
              </w:rPr>
              <w:t>，静态摩擦力矩</w:t>
            </w:r>
            <w:r>
              <w:rPr>
                <w:rFonts w:hint="default" w:ascii="Times New Roman" w:hAnsi="Times New Roman" w:eastAsia="宋体" w:cs="Times New Roman"/>
                <w:kern w:val="0"/>
                <w:sz w:val="28"/>
                <w:szCs w:val="28"/>
                <w:bdr w:val="none" w:color="auto" w:sz="0" w:space="0"/>
                <w:lang w:val="en-US" w:eastAsia="zh-CN" w:bidi="ar"/>
              </w:rPr>
              <w:t>≤1.5 N·m</w:t>
            </w:r>
          </w:p>
        </w:tc>
        <w:tc>
          <w:tcPr>
            <w:tcW w:w="1994"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10890FBA">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动态摩擦力矩</w:t>
            </w:r>
            <w:r>
              <w:rPr>
                <w:rFonts w:hint="default" w:ascii="Times New Roman" w:hAnsi="Times New Roman" w:eastAsia="宋体" w:cs="Times New Roman"/>
                <w:kern w:val="0"/>
                <w:sz w:val="28"/>
                <w:szCs w:val="28"/>
                <w:bdr w:val="none" w:color="auto" w:sz="0" w:space="0"/>
                <w:lang w:val="en-US" w:eastAsia="zh-CN" w:bidi="ar"/>
              </w:rPr>
              <w:t>≤1.5 N·m</w:t>
            </w:r>
            <w:r>
              <w:rPr>
                <w:rFonts w:hint="eastAsia" w:ascii="Times New Roman" w:hAnsi="Times New Roman" w:eastAsia="宋体" w:cs="Times New Roman"/>
                <w:kern w:val="0"/>
                <w:sz w:val="28"/>
                <w:szCs w:val="28"/>
                <w:bdr w:val="none" w:color="auto" w:sz="0" w:space="0"/>
                <w:lang w:val="en-US" w:eastAsia="zh-CN" w:bidi="ar"/>
              </w:rPr>
              <w:t>，静态摩擦力矩</w:t>
            </w:r>
            <w:r>
              <w:rPr>
                <w:rFonts w:hint="default" w:ascii="Times New Roman" w:hAnsi="Times New Roman" w:eastAsia="宋体" w:cs="Times New Roman"/>
                <w:kern w:val="0"/>
                <w:sz w:val="28"/>
                <w:szCs w:val="28"/>
                <w:bdr w:val="none" w:color="auto" w:sz="0" w:space="0"/>
                <w:lang w:val="en-US" w:eastAsia="zh-CN" w:bidi="ar"/>
              </w:rPr>
              <w:t>≤2 N·m</w:t>
            </w:r>
          </w:p>
        </w:tc>
        <w:tc>
          <w:tcPr>
            <w:tcW w:w="982"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2B0B26BF">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JB/T 2886</w:t>
            </w:r>
          </w:p>
        </w:tc>
      </w:tr>
      <w:tr w14:paraId="4386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44" w:hRule="atLeast"/>
        </w:trPr>
        <w:tc>
          <w:tcPr>
            <w:tcW w:w="421" w:type="dxa"/>
            <w:vMerge w:val="continue"/>
            <w:tcBorders>
              <w:top w:val="single" w:color="auto" w:sz="4" w:space="0"/>
              <w:left w:val="single" w:color="auto" w:sz="4" w:space="0"/>
              <w:bottom w:val="single" w:color="auto" w:sz="4" w:space="0"/>
              <w:right w:val="single" w:color="auto" w:sz="4" w:space="0"/>
            </w:tcBorders>
            <w:shd w:val="clear"/>
            <w:tcMar>
              <w:top w:w="15" w:type="dxa"/>
              <w:left w:w="0" w:type="dxa"/>
              <w:bottom w:w="15" w:type="dxa"/>
              <w:right w:w="15" w:type="dxa"/>
            </w:tcMar>
            <w:vAlign w:val="center"/>
          </w:tcPr>
          <w:p w14:paraId="786EA126">
            <w:pPr>
              <w:spacing w:line="360" w:lineRule="auto"/>
              <w:rPr>
                <w:rFonts w:hint="default" w:ascii="Calibri" w:hAnsi="Calibri" w:cs="Times New Roman"/>
                <w:sz w:val="28"/>
                <w:szCs w:val="28"/>
              </w:rPr>
            </w:pPr>
          </w:p>
        </w:tc>
        <w:tc>
          <w:tcPr>
            <w:tcW w:w="56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4CC5876B">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寿命</w:t>
            </w:r>
          </w:p>
        </w:tc>
        <w:tc>
          <w:tcPr>
            <w:tcW w:w="1420"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22F2ED92">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JB/T 2886</w:t>
            </w:r>
          </w:p>
        </w:tc>
        <w:tc>
          <w:tcPr>
            <w:tcW w:w="1989"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4670B0FD">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额定寿命</w:t>
            </w:r>
            <w:r>
              <w:rPr>
                <w:rFonts w:hint="default" w:ascii="Times New Roman" w:hAnsi="Times New Roman" w:eastAsia="宋体" w:cs="Times New Roman"/>
                <w:kern w:val="0"/>
                <w:sz w:val="28"/>
                <w:szCs w:val="28"/>
                <w:bdr w:val="none" w:color="auto" w:sz="0" w:space="0"/>
                <w:lang w:val="en-US" w:eastAsia="zh-CN" w:bidi="ar"/>
              </w:rPr>
              <w:t>≥12000 h</w:t>
            </w:r>
            <w:r>
              <w:rPr>
                <w:rFonts w:hint="eastAsia" w:ascii="Times New Roman" w:hAnsi="Times New Roman" w:eastAsia="宋体" w:cs="Times New Roman"/>
                <w:kern w:val="0"/>
                <w:sz w:val="28"/>
                <w:szCs w:val="28"/>
                <w:bdr w:val="none" w:color="auto" w:sz="0" w:space="0"/>
                <w:lang w:val="en-US" w:eastAsia="zh-CN" w:bidi="ar"/>
              </w:rPr>
              <w:t>，平均寿命</w:t>
            </w:r>
            <w:r>
              <w:rPr>
                <w:rFonts w:hint="default" w:ascii="Times New Roman" w:hAnsi="Times New Roman" w:eastAsia="宋体" w:cs="Times New Roman"/>
                <w:kern w:val="0"/>
                <w:sz w:val="28"/>
                <w:szCs w:val="28"/>
                <w:bdr w:val="none" w:color="auto" w:sz="0" w:space="0"/>
                <w:lang w:val="en-US" w:eastAsia="zh-CN" w:bidi="ar"/>
              </w:rPr>
              <w:t>≥15000 h</w:t>
            </w:r>
          </w:p>
        </w:tc>
        <w:tc>
          <w:tcPr>
            <w:tcW w:w="198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E337A0F">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额定寿命</w:t>
            </w:r>
            <w:r>
              <w:rPr>
                <w:rFonts w:hint="default" w:ascii="Times New Roman" w:hAnsi="Times New Roman" w:eastAsia="宋体" w:cs="Times New Roman"/>
                <w:kern w:val="0"/>
                <w:sz w:val="28"/>
                <w:szCs w:val="28"/>
                <w:bdr w:val="none" w:color="auto" w:sz="0" w:space="0"/>
                <w:lang w:val="en-US" w:eastAsia="zh-CN" w:bidi="ar"/>
              </w:rPr>
              <w:t>≥10000 h</w:t>
            </w:r>
            <w:r>
              <w:rPr>
                <w:rFonts w:hint="eastAsia" w:ascii="Times New Roman" w:hAnsi="Times New Roman" w:eastAsia="宋体" w:cs="Times New Roman"/>
                <w:kern w:val="0"/>
                <w:sz w:val="28"/>
                <w:szCs w:val="28"/>
                <w:bdr w:val="none" w:color="auto" w:sz="0" w:space="0"/>
                <w:lang w:val="en-US" w:eastAsia="zh-CN" w:bidi="ar"/>
              </w:rPr>
              <w:t>，平均寿命</w:t>
            </w:r>
            <w:r>
              <w:rPr>
                <w:rFonts w:hint="default" w:ascii="Times New Roman" w:hAnsi="Times New Roman" w:eastAsia="宋体" w:cs="Times New Roman"/>
                <w:kern w:val="0"/>
                <w:sz w:val="28"/>
                <w:szCs w:val="28"/>
                <w:bdr w:val="none" w:color="auto" w:sz="0" w:space="0"/>
                <w:lang w:val="en-US" w:eastAsia="zh-CN" w:bidi="ar"/>
              </w:rPr>
              <w:t>≥12000 h</w:t>
            </w:r>
          </w:p>
        </w:tc>
        <w:tc>
          <w:tcPr>
            <w:tcW w:w="1994"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3189264">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额定寿命</w:t>
            </w:r>
            <w:r>
              <w:rPr>
                <w:rFonts w:hint="default" w:ascii="Times New Roman" w:hAnsi="Times New Roman" w:eastAsia="宋体" w:cs="Times New Roman"/>
                <w:kern w:val="0"/>
                <w:sz w:val="28"/>
                <w:szCs w:val="28"/>
                <w:bdr w:val="none" w:color="auto" w:sz="0" w:space="0"/>
                <w:lang w:val="en-US" w:eastAsia="zh-CN" w:bidi="ar"/>
              </w:rPr>
              <w:t>≥8000 h</w:t>
            </w:r>
            <w:r>
              <w:rPr>
                <w:rFonts w:hint="eastAsia" w:ascii="Times New Roman" w:hAnsi="Times New Roman" w:eastAsia="宋体" w:cs="Times New Roman"/>
                <w:kern w:val="0"/>
                <w:sz w:val="28"/>
                <w:szCs w:val="28"/>
                <w:bdr w:val="none" w:color="auto" w:sz="0" w:space="0"/>
                <w:lang w:val="en-US" w:eastAsia="zh-CN" w:bidi="ar"/>
              </w:rPr>
              <w:t>，平均寿命</w:t>
            </w:r>
            <w:r>
              <w:rPr>
                <w:rFonts w:hint="default" w:ascii="Times New Roman" w:hAnsi="Times New Roman" w:eastAsia="宋体" w:cs="Times New Roman"/>
                <w:kern w:val="0"/>
                <w:sz w:val="28"/>
                <w:szCs w:val="28"/>
                <w:bdr w:val="none" w:color="auto" w:sz="0" w:space="0"/>
                <w:lang w:val="en-US" w:eastAsia="zh-CN" w:bidi="ar"/>
              </w:rPr>
              <w:t>≥10000 h</w:t>
            </w:r>
          </w:p>
        </w:tc>
        <w:tc>
          <w:tcPr>
            <w:tcW w:w="982"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7AD5EE92">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JB/T 2886</w:t>
            </w:r>
          </w:p>
        </w:tc>
      </w:tr>
      <w:tr w14:paraId="7095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74" w:hRule="atLeast"/>
        </w:trPr>
        <w:tc>
          <w:tcPr>
            <w:tcW w:w="421" w:type="dxa"/>
            <w:vMerge w:val="continue"/>
            <w:tcBorders>
              <w:top w:val="single" w:color="auto" w:sz="4" w:space="0"/>
              <w:left w:val="single" w:color="auto" w:sz="4" w:space="0"/>
              <w:bottom w:val="single" w:color="auto" w:sz="4" w:space="0"/>
              <w:right w:val="single" w:color="auto" w:sz="4" w:space="0"/>
            </w:tcBorders>
            <w:shd w:val="clear"/>
            <w:tcMar>
              <w:top w:w="15" w:type="dxa"/>
              <w:left w:w="0" w:type="dxa"/>
              <w:bottom w:w="15" w:type="dxa"/>
              <w:right w:w="15" w:type="dxa"/>
            </w:tcMar>
            <w:vAlign w:val="center"/>
          </w:tcPr>
          <w:p w14:paraId="0CDC5DC4">
            <w:pPr>
              <w:spacing w:line="360" w:lineRule="auto"/>
              <w:rPr>
                <w:rFonts w:hint="default" w:ascii="Calibri" w:hAnsi="Calibri" w:cs="Times New Roman"/>
                <w:sz w:val="28"/>
                <w:szCs w:val="28"/>
              </w:rPr>
            </w:pPr>
          </w:p>
        </w:tc>
        <w:tc>
          <w:tcPr>
            <w:tcW w:w="56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23A60064">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耐腐蚀性</w:t>
            </w:r>
          </w:p>
        </w:tc>
        <w:tc>
          <w:tcPr>
            <w:tcW w:w="1420"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732B09F0">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GB/T 10125</w:t>
            </w:r>
          </w:p>
        </w:tc>
        <w:tc>
          <w:tcPr>
            <w:tcW w:w="1989"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245D4B9E">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符合</w:t>
            </w:r>
            <w:r>
              <w:rPr>
                <w:rFonts w:hint="default" w:ascii="Times New Roman" w:hAnsi="Times New Roman" w:eastAsia="宋体" w:cs="Times New Roman"/>
                <w:kern w:val="0"/>
                <w:sz w:val="28"/>
                <w:szCs w:val="28"/>
                <w:bdr w:val="none" w:color="auto" w:sz="0" w:space="0"/>
                <w:lang w:val="en-US" w:eastAsia="zh-CN" w:bidi="ar"/>
              </w:rPr>
              <w:t>GB/T 10125</w:t>
            </w:r>
          </w:p>
        </w:tc>
        <w:tc>
          <w:tcPr>
            <w:tcW w:w="198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36A72FF8">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符合</w:t>
            </w:r>
            <w:r>
              <w:rPr>
                <w:rFonts w:hint="default" w:ascii="Times New Roman" w:hAnsi="Times New Roman" w:eastAsia="宋体" w:cs="Times New Roman"/>
                <w:kern w:val="0"/>
                <w:sz w:val="28"/>
                <w:szCs w:val="28"/>
                <w:bdr w:val="none" w:color="auto" w:sz="0" w:space="0"/>
                <w:lang w:val="en-US" w:eastAsia="zh-CN" w:bidi="ar"/>
              </w:rPr>
              <w:t>GB/T 10125</w:t>
            </w:r>
          </w:p>
        </w:tc>
        <w:tc>
          <w:tcPr>
            <w:tcW w:w="1994"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599BC8E1">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符合</w:t>
            </w:r>
            <w:r>
              <w:rPr>
                <w:rFonts w:hint="default" w:ascii="Times New Roman" w:hAnsi="Times New Roman" w:eastAsia="宋体" w:cs="Times New Roman"/>
                <w:kern w:val="0"/>
                <w:sz w:val="28"/>
                <w:szCs w:val="28"/>
                <w:bdr w:val="none" w:color="auto" w:sz="0" w:space="0"/>
                <w:lang w:val="en-US" w:eastAsia="zh-CN" w:bidi="ar"/>
              </w:rPr>
              <w:t>GB/T 10125</w:t>
            </w:r>
          </w:p>
        </w:tc>
        <w:tc>
          <w:tcPr>
            <w:tcW w:w="982"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F9B41F8">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GB/T 10125</w:t>
            </w:r>
          </w:p>
        </w:tc>
      </w:tr>
      <w:tr w14:paraId="231A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8" w:hRule="atLeast"/>
        </w:trPr>
        <w:tc>
          <w:tcPr>
            <w:tcW w:w="421" w:type="dxa"/>
            <w:vMerge w:val="continue"/>
            <w:tcBorders>
              <w:top w:val="single" w:color="auto" w:sz="4" w:space="0"/>
              <w:left w:val="single" w:color="auto" w:sz="4" w:space="0"/>
              <w:bottom w:val="single" w:color="auto" w:sz="4" w:space="0"/>
              <w:right w:val="single" w:color="auto" w:sz="4" w:space="0"/>
            </w:tcBorders>
            <w:shd w:val="clear"/>
            <w:tcMar>
              <w:top w:w="15" w:type="dxa"/>
              <w:left w:w="0" w:type="dxa"/>
              <w:bottom w:w="15" w:type="dxa"/>
              <w:right w:w="15" w:type="dxa"/>
            </w:tcMar>
            <w:vAlign w:val="center"/>
          </w:tcPr>
          <w:p w14:paraId="0B7E0817">
            <w:pPr>
              <w:spacing w:line="360" w:lineRule="auto"/>
              <w:rPr>
                <w:rFonts w:hint="default" w:ascii="Calibri" w:hAnsi="Calibri" w:cs="Times New Roman"/>
                <w:sz w:val="28"/>
                <w:szCs w:val="28"/>
              </w:rPr>
            </w:pPr>
          </w:p>
        </w:tc>
        <w:tc>
          <w:tcPr>
            <w:tcW w:w="56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0B93212">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材料</w:t>
            </w:r>
          </w:p>
        </w:tc>
        <w:tc>
          <w:tcPr>
            <w:tcW w:w="1420"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31447BF3">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GB/T 18254</w:t>
            </w:r>
            <w:r>
              <w:rPr>
                <w:rFonts w:hint="eastAsia" w:ascii="Times New Roman" w:hAnsi="Times New Roman" w:eastAsia="宋体" w:cs="Times New Roman"/>
                <w:kern w:val="0"/>
                <w:sz w:val="28"/>
                <w:szCs w:val="28"/>
                <w:bdr w:val="none" w:color="auto" w:sz="0" w:space="0"/>
                <w:lang w:val="en-US" w:eastAsia="zh-CN" w:bidi="ar"/>
              </w:rPr>
              <w:t>、</w:t>
            </w:r>
            <w:r>
              <w:rPr>
                <w:rFonts w:hint="default" w:ascii="Times New Roman" w:hAnsi="Times New Roman" w:eastAsia="宋体" w:cs="Times New Roman"/>
                <w:kern w:val="0"/>
                <w:sz w:val="28"/>
                <w:szCs w:val="28"/>
                <w:bdr w:val="none" w:color="auto" w:sz="0" w:space="0"/>
                <w:lang w:val="en-US" w:eastAsia="zh-CN" w:bidi="ar"/>
              </w:rPr>
              <w:t>GB/T 308.1</w:t>
            </w:r>
          </w:p>
        </w:tc>
        <w:tc>
          <w:tcPr>
            <w:tcW w:w="1989"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14B7DE4E">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符合</w:t>
            </w:r>
            <w:r>
              <w:rPr>
                <w:rFonts w:hint="default" w:ascii="Times New Roman" w:hAnsi="Times New Roman" w:eastAsia="宋体" w:cs="Times New Roman"/>
                <w:kern w:val="0"/>
                <w:sz w:val="28"/>
                <w:szCs w:val="28"/>
                <w:bdr w:val="none" w:color="auto" w:sz="0" w:space="0"/>
                <w:lang w:val="en-US" w:eastAsia="zh-CN" w:bidi="ar"/>
              </w:rPr>
              <w:t>GB/T 18254</w:t>
            </w:r>
            <w:r>
              <w:rPr>
                <w:rFonts w:hint="eastAsia" w:ascii="Times New Roman" w:hAnsi="Times New Roman" w:eastAsia="宋体" w:cs="Times New Roman"/>
                <w:kern w:val="0"/>
                <w:sz w:val="28"/>
                <w:szCs w:val="28"/>
                <w:bdr w:val="none" w:color="auto" w:sz="0" w:space="0"/>
                <w:lang w:val="en-US" w:eastAsia="zh-CN" w:bidi="ar"/>
              </w:rPr>
              <w:t>、</w:t>
            </w:r>
            <w:r>
              <w:rPr>
                <w:rFonts w:hint="default" w:ascii="Times New Roman" w:hAnsi="Times New Roman" w:eastAsia="宋体" w:cs="Times New Roman"/>
                <w:kern w:val="0"/>
                <w:sz w:val="28"/>
                <w:szCs w:val="28"/>
                <w:bdr w:val="none" w:color="auto" w:sz="0" w:space="0"/>
                <w:lang w:val="en-US" w:eastAsia="zh-CN" w:bidi="ar"/>
              </w:rPr>
              <w:t>GB/T 308.1</w:t>
            </w:r>
          </w:p>
        </w:tc>
        <w:tc>
          <w:tcPr>
            <w:tcW w:w="198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4A9B6B37">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符合</w:t>
            </w:r>
            <w:r>
              <w:rPr>
                <w:rFonts w:hint="default" w:ascii="Times New Roman" w:hAnsi="Times New Roman" w:eastAsia="宋体" w:cs="Times New Roman"/>
                <w:kern w:val="0"/>
                <w:sz w:val="28"/>
                <w:szCs w:val="28"/>
                <w:bdr w:val="none" w:color="auto" w:sz="0" w:space="0"/>
                <w:lang w:val="en-US" w:eastAsia="zh-CN" w:bidi="ar"/>
              </w:rPr>
              <w:t>GB/T 18254</w:t>
            </w:r>
            <w:r>
              <w:rPr>
                <w:rFonts w:hint="eastAsia" w:ascii="Times New Roman" w:hAnsi="Times New Roman" w:eastAsia="宋体" w:cs="Times New Roman"/>
                <w:kern w:val="0"/>
                <w:sz w:val="28"/>
                <w:szCs w:val="28"/>
                <w:bdr w:val="none" w:color="auto" w:sz="0" w:space="0"/>
                <w:lang w:val="en-US" w:eastAsia="zh-CN" w:bidi="ar"/>
              </w:rPr>
              <w:t>、</w:t>
            </w:r>
            <w:r>
              <w:rPr>
                <w:rFonts w:hint="default" w:ascii="Times New Roman" w:hAnsi="Times New Roman" w:eastAsia="宋体" w:cs="Times New Roman"/>
                <w:kern w:val="0"/>
                <w:sz w:val="28"/>
                <w:szCs w:val="28"/>
                <w:bdr w:val="none" w:color="auto" w:sz="0" w:space="0"/>
                <w:lang w:val="en-US" w:eastAsia="zh-CN" w:bidi="ar"/>
              </w:rPr>
              <w:t>GB/T 308.1</w:t>
            </w:r>
          </w:p>
        </w:tc>
        <w:tc>
          <w:tcPr>
            <w:tcW w:w="1994"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4E61C75A">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符合</w:t>
            </w:r>
            <w:r>
              <w:rPr>
                <w:rFonts w:hint="default" w:ascii="Times New Roman" w:hAnsi="Times New Roman" w:eastAsia="宋体" w:cs="Times New Roman"/>
                <w:kern w:val="0"/>
                <w:sz w:val="28"/>
                <w:szCs w:val="28"/>
                <w:bdr w:val="none" w:color="auto" w:sz="0" w:space="0"/>
                <w:lang w:val="en-US" w:eastAsia="zh-CN" w:bidi="ar"/>
              </w:rPr>
              <w:t>GB/T 18254</w:t>
            </w:r>
            <w:r>
              <w:rPr>
                <w:rFonts w:hint="eastAsia" w:ascii="Times New Roman" w:hAnsi="Times New Roman" w:eastAsia="宋体" w:cs="Times New Roman"/>
                <w:kern w:val="0"/>
                <w:sz w:val="28"/>
                <w:szCs w:val="28"/>
                <w:bdr w:val="none" w:color="auto" w:sz="0" w:space="0"/>
                <w:lang w:val="en-US" w:eastAsia="zh-CN" w:bidi="ar"/>
              </w:rPr>
              <w:t>、</w:t>
            </w:r>
            <w:r>
              <w:rPr>
                <w:rFonts w:hint="default" w:ascii="Times New Roman" w:hAnsi="Times New Roman" w:eastAsia="宋体" w:cs="Times New Roman"/>
                <w:kern w:val="0"/>
                <w:sz w:val="28"/>
                <w:szCs w:val="28"/>
                <w:bdr w:val="none" w:color="auto" w:sz="0" w:space="0"/>
                <w:lang w:val="en-US" w:eastAsia="zh-CN" w:bidi="ar"/>
              </w:rPr>
              <w:t>GB/T 308.1</w:t>
            </w:r>
          </w:p>
        </w:tc>
        <w:tc>
          <w:tcPr>
            <w:tcW w:w="982"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71737E66">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bookmarkStart w:id="36" w:name="_Hlk192082782"/>
            <w:r>
              <w:rPr>
                <w:rFonts w:hint="default" w:ascii="Times New Roman" w:hAnsi="Times New Roman" w:eastAsia="宋体" w:cs="Times New Roman"/>
                <w:kern w:val="0"/>
                <w:sz w:val="28"/>
                <w:szCs w:val="28"/>
                <w:bdr w:val="none" w:color="auto" w:sz="0" w:space="0"/>
                <w:lang w:val="en-US" w:eastAsia="zh-CN" w:bidi="ar"/>
              </w:rPr>
              <w:t>GB/T  3098.1</w:t>
            </w:r>
            <w:bookmarkEnd w:id="34"/>
            <w:bookmarkEnd w:id="36"/>
          </w:p>
        </w:tc>
      </w:tr>
      <w:tr w14:paraId="7563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10" w:hRule="atLeast"/>
        </w:trPr>
        <w:tc>
          <w:tcPr>
            <w:tcW w:w="421" w:type="dxa"/>
            <w:vMerge w:val="restart"/>
            <w:tcBorders>
              <w:top w:val="single" w:color="auto" w:sz="4" w:space="0"/>
              <w:left w:val="single" w:color="auto" w:sz="4" w:space="0"/>
              <w:bottom w:val="single" w:color="auto" w:sz="4" w:space="0"/>
              <w:right w:val="single" w:color="auto" w:sz="4" w:space="0"/>
            </w:tcBorders>
            <w:shd w:val="clear"/>
            <w:tcMar>
              <w:top w:w="15" w:type="dxa"/>
              <w:left w:w="0" w:type="dxa"/>
              <w:bottom w:w="15" w:type="dxa"/>
              <w:right w:w="15" w:type="dxa"/>
            </w:tcMar>
            <w:vAlign w:val="center"/>
          </w:tcPr>
          <w:p w14:paraId="355D03DC">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bookmarkStart w:id="37" w:name="_Hlk192079943"/>
            <w:r>
              <w:rPr>
                <w:rFonts w:hint="eastAsia" w:ascii="Times New Roman" w:hAnsi="Times New Roman" w:eastAsia="宋体" w:cs="Times New Roman"/>
                <w:kern w:val="0"/>
                <w:sz w:val="28"/>
                <w:szCs w:val="28"/>
                <w:bdr w:val="none" w:color="auto" w:sz="0" w:space="0"/>
                <w:lang w:val="en-US" w:eastAsia="zh-CN" w:bidi="ar"/>
              </w:rPr>
              <w:t>核心指标</w:t>
            </w:r>
          </w:p>
        </w:tc>
        <w:tc>
          <w:tcPr>
            <w:tcW w:w="56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324C7581">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可靠性</w:t>
            </w:r>
          </w:p>
        </w:tc>
        <w:tc>
          <w:tcPr>
            <w:tcW w:w="1420"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2D977D99">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JB/T 2886</w:t>
            </w:r>
            <w:r>
              <w:rPr>
                <w:rFonts w:hint="eastAsia" w:ascii="Times New Roman" w:hAnsi="Times New Roman" w:eastAsia="宋体" w:cs="Times New Roman"/>
                <w:kern w:val="0"/>
                <w:sz w:val="28"/>
                <w:szCs w:val="28"/>
                <w:bdr w:val="none" w:color="auto" w:sz="0" w:space="0"/>
                <w:lang w:val="en-US" w:eastAsia="zh-CN" w:bidi="ar"/>
              </w:rPr>
              <w:t>，用户数据</w:t>
            </w:r>
          </w:p>
        </w:tc>
        <w:tc>
          <w:tcPr>
            <w:tcW w:w="1989"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0F7BFCC7">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MTBF≥10000 h</w:t>
            </w:r>
            <w:r>
              <w:rPr>
                <w:rFonts w:hint="eastAsia" w:ascii="Times New Roman" w:hAnsi="Times New Roman" w:eastAsia="宋体" w:cs="Times New Roman"/>
                <w:kern w:val="0"/>
                <w:sz w:val="28"/>
                <w:szCs w:val="28"/>
                <w:bdr w:val="none" w:color="auto" w:sz="0" w:space="0"/>
                <w:lang w:val="en-US" w:eastAsia="zh-CN" w:bidi="ar"/>
              </w:rPr>
              <w:t>，</w:t>
            </w:r>
            <w:r>
              <w:rPr>
                <w:rFonts w:hint="default" w:ascii="Times New Roman" w:hAnsi="Times New Roman" w:eastAsia="宋体" w:cs="Times New Roman"/>
                <w:kern w:val="0"/>
                <w:sz w:val="28"/>
                <w:szCs w:val="28"/>
                <w:bdr w:val="none" w:color="auto" w:sz="0" w:space="0"/>
                <w:lang w:val="en-US" w:eastAsia="zh-CN" w:bidi="ar"/>
              </w:rPr>
              <w:t>MTTR≤1 h</w:t>
            </w:r>
            <w:r>
              <w:rPr>
                <w:rFonts w:hint="eastAsia" w:ascii="Times New Roman" w:hAnsi="Times New Roman" w:eastAsia="宋体" w:cs="Times New Roman"/>
                <w:kern w:val="0"/>
                <w:sz w:val="28"/>
                <w:szCs w:val="28"/>
                <w:bdr w:val="none" w:color="auto" w:sz="0" w:space="0"/>
                <w:lang w:val="en-US" w:eastAsia="zh-CN" w:bidi="ar"/>
              </w:rPr>
              <w:t>，失效率</w:t>
            </w:r>
            <w:r>
              <w:rPr>
                <w:rFonts w:hint="default" w:ascii="Times New Roman" w:hAnsi="Times New Roman" w:eastAsia="宋体" w:cs="Times New Roman"/>
                <w:kern w:val="0"/>
                <w:sz w:val="28"/>
                <w:szCs w:val="28"/>
                <w:bdr w:val="none" w:color="auto" w:sz="0" w:space="0"/>
                <w:lang w:val="en-US" w:eastAsia="zh-CN" w:bidi="ar"/>
              </w:rPr>
              <w:t>≤0.5%</w:t>
            </w:r>
          </w:p>
        </w:tc>
        <w:tc>
          <w:tcPr>
            <w:tcW w:w="198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7D5BD9FA">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MTBF≥8000 h</w:t>
            </w:r>
            <w:r>
              <w:rPr>
                <w:rFonts w:hint="eastAsia" w:ascii="Times New Roman" w:hAnsi="Times New Roman" w:eastAsia="宋体" w:cs="Times New Roman"/>
                <w:kern w:val="0"/>
                <w:sz w:val="28"/>
                <w:szCs w:val="28"/>
                <w:bdr w:val="none" w:color="auto" w:sz="0" w:space="0"/>
                <w:lang w:val="en-US" w:eastAsia="zh-CN" w:bidi="ar"/>
              </w:rPr>
              <w:t>，</w:t>
            </w:r>
            <w:r>
              <w:rPr>
                <w:rFonts w:hint="default" w:ascii="Times New Roman" w:hAnsi="Times New Roman" w:eastAsia="宋体" w:cs="Times New Roman"/>
                <w:kern w:val="0"/>
                <w:sz w:val="28"/>
                <w:szCs w:val="28"/>
                <w:bdr w:val="none" w:color="auto" w:sz="0" w:space="0"/>
                <w:lang w:val="en-US" w:eastAsia="zh-CN" w:bidi="ar"/>
              </w:rPr>
              <w:t>MTTR≤2 h</w:t>
            </w:r>
            <w:r>
              <w:rPr>
                <w:rFonts w:hint="eastAsia" w:ascii="Times New Roman" w:hAnsi="Times New Roman" w:eastAsia="宋体" w:cs="Times New Roman"/>
                <w:kern w:val="0"/>
                <w:sz w:val="28"/>
                <w:szCs w:val="28"/>
                <w:bdr w:val="none" w:color="auto" w:sz="0" w:space="0"/>
                <w:lang w:val="en-US" w:eastAsia="zh-CN" w:bidi="ar"/>
              </w:rPr>
              <w:t>，失效率</w:t>
            </w:r>
            <w:r>
              <w:rPr>
                <w:rFonts w:hint="default" w:ascii="Times New Roman" w:hAnsi="Times New Roman" w:eastAsia="宋体" w:cs="Times New Roman"/>
                <w:kern w:val="0"/>
                <w:sz w:val="28"/>
                <w:szCs w:val="28"/>
                <w:bdr w:val="none" w:color="auto" w:sz="0" w:space="0"/>
                <w:lang w:val="en-US" w:eastAsia="zh-CN" w:bidi="ar"/>
              </w:rPr>
              <w:t>≤1%</w:t>
            </w:r>
          </w:p>
        </w:tc>
        <w:tc>
          <w:tcPr>
            <w:tcW w:w="1994"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4F33BA27">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MTBF≥5000 h</w:t>
            </w:r>
            <w:r>
              <w:rPr>
                <w:rFonts w:hint="eastAsia" w:ascii="Times New Roman" w:hAnsi="Times New Roman" w:eastAsia="宋体" w:cs="Times New Roman"/>
                <w:kern w:val="0"/>
                <w:sz w:val="28"/>
                <w:szCs w:val="28"/>
                <w:bdr w:val="none" w:color="auto" w:sz="0" w:space="0"/>
                <w:lang w:val="en-US" w:eastAsia="zh-CN" w:bidi="ar"/>
              </w:rPr>
              <w:t>，</w:t>
            </w:r>
            <w:r>
              <w:rPr>
                <w:rFonts w:hint="default" w:ascii="Times New Roman" w:hAnsi="Times New Roman" w:eastAsia="宋体" w:cs="Times New Roman"/>
                <w:kern w:val="0"/>
                <w:sz w:val="28"/>
                <w:szCs w:val="28"/>
                <w:bdr w:val="none" w:color="auto" w:sz="0" w:space="0"/>
                <w:lang w:val="en-US" w:eastAsia="zh-CN" w:bidi="ar"/>
              </w:rPr>
              <w:t>MTTR≤4 h</w:t>
            </w:r>
            <w:r>
              <w:rPr>
                <w:rFonts w:hint="eastAsia" w:ascii="Times New Roman" w:hAnsi="Times New Roman" w:eastAsia="宋体" w:cs="Times New Roman"/>
                <w:kern w:val="0"/>
                <w:sz w:val="28"/>
                <w:szCs w:val="28"/>
                <w:bdr w:val="none" w:color="auto" w:sz="0" w:space="0"/>
                <w:lang w:val="en-US" w:eastAsia="zh-CN" w:bidi="ar"/>
              </w:rPr>
              <w:t>，失效率</w:t>
            </w:r>
            <w:r>
              <w:rPr>
                <w:rFonts w:hint="default" w:ascii="Times New Roman" w:hAnsi="Times New Roman" w:eastAsia="宋体" w:cs="Times New Roman"/>
                <w:kern w:val="0"/>
                <w:sz w:val="28"/>
                <w:szCs w:val="28"/>
                <w:bdr w:val="none" w:color="auto" w:sz="0" w:space="0"/>
                <w:lang w:val="en-US" w:eastAsia="zh-CN" w:bidi="ar"/>
              </w:rPr>
              <w:t>≤2%</w:t>
            </w:r>
          </w:p>
        </w:tc>
        <w:tc>
          <w:tcPr>
            <w:tcW w:w="982"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7CA20BB5">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JB/T 2886</w:t>
            </w:r>
            <w:r>
              <w:rPr>
                <w:rFonts w:hint="eastAsia" w:ascii="Times New Roman" w:hAnsi="Times New Roman" w:eastAsia="宋体" w:cs="Times New Roman"/>
                <w:kern w:val="0"/>
                <w:sz w:val="28"/>
                <w:szCs w:val="28"/>
                <w:bdr w:val="none" w:color="auto" w:sz="0" w:space="0"/>
                <w:lang w:val="en-US" w:eastAsia="zh-CN" w:bidi="ar"/>
              </w:rPr>
              <w:t>，用户数据分析</w:t>
            </w:r>
            <w:bookmarkEnd w:id="35"/>
          </w:p>
        </w:tc>
      </w:tr>
      <w:tr w14:paraId="37FA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05" w:hRule="atLeast"/>
        </w:trPr>
        <w:tc>
          <w:tcPr>
            <w:tcW w:w="421" w:type="dxa"/>
            <w:vMerge w:val="continue"/>
            <w:tcBorders>
              <w:top w:val="single" w:color="auto" w:sz="4" w:space="0"/>
              <w:left w:val="single" w:color="auto" w:sz="4" w:space="0"/>
              <w:bottom w:val="single" w:color="auto" w:sz="4" w:space="0"/>
              <w:right w:val="single" w:color="auto" w:sz="4" w:space="0"/>
            </w:tcBorders>
            <w:shd w:val="clear"/>
            <w:tcMar>
              <w:top w:w="15" w:type="dxa"/>
              <w:left w:w="0" w:type="dxa"/>
              <w:bottom w:w="15" w:type="dxa"/>
              <w:right w:w="15" w:type="dxa"/>
            </w:tcMar>
            <w:vAlign w:val="center"/>
          </w:tcPr>
          <w:p w14:paraId="5F66AD2E">
            <w:pPr>
              <w:spacing w:line="360" w:lineRule="auto"/>
              <w:rPr>
                <w:rFonts w:hint="default" w:ascii="Calibri" w:hAnsi="Calibri" w:cs="Times New Roman"/>
                <w:sz w:val="28"/>
                <w:szCs w:val="28"/>
              </w:rPr>
            </w:pPr>
          </w:p>
        </w:tc>
        <w:tc>
          <w:tcPr>
            <w:tcW w:w="56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E12B48A">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工艺水平</w:t>
            </w:r>
          </w:p>
        </w:tc>
        <w:tc>
          <w:tcPr>
            <w:tcW w:w="1420"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18961C30">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现场考察、企业资料</w:t>
            </w:r>
          </w:p>
        </w:tc>
        <w:tc>
          <w:tcPr>
            <w:tcW w:w="1989"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16986165">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采用五轴联动数控磨床、激光干涉仪等先进设备，工艺稳定，产品合格率</w:t>
            </w:r>
            <w:r>
              <w:rPr>
                <w:rFonts w:hint="default" w:ascii="Times New Roman" w:hAnsi="Times New Roman" w:eastAsia="宋体" w:cs="Times New Roman"/>
                <w:kern w:val="0"/>
                <w:sz w:val="28"/>
                <w:szCs w:val="28"/>
                <w:bdr w:val="none" w:color="auto" w:sz="0" w:space="0"/>
                <w:lang w:val="en-US" w:eastAsia="zh-CN" w:bidi="ar"/>
              </w:rPr>
              <w:t>≥99.5%</w:t>
            </w:r>
          </w:p>
        </w:tc>
        <w:tc>
          <w:tcPr>
            <w:tcW w:w="198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1FD2D273">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采用三轴联动数控磨床、球杆仪等设备，工艺稳定，产品合格率</w:t>
            </w:r>
            <w:r>
              <w:rPr>
                <w:rFonts w:hint="default" w:ascii="Times New Roman" w:hAnsi="Times New Roman" w:eastAsia="宋体" w:cs="Times New Roman"/>
                <w:kern w:val="0"/>
                <w:sz w:val="28"/>
                <w:szCs w:val="28"/>
                <w:bdr w:val="none" w:color="auto" w:sz="0" w:space="0"/>
                <w:lang w:val="en-US" w:eastAsia="zh-CN" w:bidi="ar"/>
              </w:rPr>
              <w:t>≥99%</w:t>
            </w:r>
          </w:p>
        </w:tc>
        <w:tc>
          <w:tcPr>
            <w:tcW w:w="1994"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47DD9D0C">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采用普通数控磨床、千分尺等设备，工艺基本稳定，产品合格率</w:t>
            </w:r>
            <w:r>
              <w:rPr>
                <w:rFonts w:hint="default" w:ascii="Times New Roman" w:hAnsi="Times New Roman" w:eastAsia="宋体" w:cs="Times New Roman"/>
                <w:kern w:val="0"/>
                <w:sz w:val="28"/>
                <w:szCs w:val="28"/>
                <w:bdr w:val="none" w:color="auto" w:sz="0" w:space="0"/>
                <w:lang w:val="en-US" w:eastAsia="zh-CN" w:bidi="ar"/>
              </w:rPr>
              <w:t>≥98%</w:t>
            </w:r>
          </w:p>
        </w:tc>
        <w:tc>
          <w:tcPr>
            <w:tcW w:w="982"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5E3E5F22">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现场考察，查阅资料</w:t>
            </w:r>
          </w:p>
        </w:tc>
      </w:tr>
      <w:tr w14:paraId="5467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20" w:hRule="atLeast"/>
        </w:trPr>
        <w:tc>
          <w:tcPr>
            <w:tcW w:w="421" w:type="dxa"/>
            <w:vMerge w:val="continue"/>
            <w:tcBorders>
              <w:top w:val="single" w:color="auto" w:sz="4" w:space="0"/>
              <w:left w:val="single" w:color="auto" w:sz="4" w:space="0"/>
              <w:bottom w:val="single" w:color="auto" w:sz="4" w:space="0"/>
              <w:right w:val="single" w:color="auto" w:sz="4" w:space="0"/>
            </w:tcBorders>
            <w:shd w:val="clear"/>
            <w:tcMar>
              <w:top w:w="15" w:type="dxa"/>
              <w:left w:w="0" w:type="dxa"/>
              <w:bottom w:w="15" w:type="dxa"/>
              <w:right w:w="15" w:type="dxa"/>
            </w:tcMar>
            <w:vAlign w:val="center"/>
          </w:tcPr>
          <w:p w14:paraId="23C5652D">
            <w:pPr>
              <w:spacing w:line="360" w:lineRule="auto"/>
              <w:rPr>
                <w:rFonts w:hint="default" w:ascii="Calibri" w:hAnsi="Calibri" w:cs="Times New Roman"/>
                <w:sz w:val="28"/>
                <w:szCs w:val="28"/>
              </w:rPr>
            </w:pPr>
          </w:p>
        </w:tc>
        <w:tc>
          <w:tcPr>
            <w:tcW w:w="56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3BEA7A34">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质量保证能力</w:t>
            </w:r>
          </w:p>
        </w:tc>
        <w:tc>
          <w:tcPr>
            <w:tcW w:w="1420"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0387D298">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ISO 9001</w:t>
            </w:r>
            <w:r>
              <w:rPr>
                <w:rFonts w:hint="eastAsia" w:ascii="Times New Roman" w:hAnsi="Times New Roman" w:eastAsia="宋体" w:cs="Times New Roman"/>
                <w:kern w:val="0"/>
                <w:sz w:val="28"/>
                <w:szCs w:val="28"/>
                <w:bdr w:val="none" w:color="auto" w:sz="0" w:space="0"/>
                <w:lang w:val="en-US" w:eastAsia="zh-CN" w:bidi="ar"/>
              </w:rPr>
              <w:t>，企业资料</w:t>
            </w:r>
          </w:p>
        </w:tc>
        <w:tc>
          <w:tcPr>
            <w:tcW w:w="1989"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561414FF">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通过</w:t>
            </w:r>
            <w:r>
              <w:rPr>
                <w:rFonts w:hint="default" w:ascii="Times New Roman" w:hAnsi="Times New Roman" w:eastAsia="宋体" w:cs="Times New Roman"/>
                <w:kern w:val="0"/>
                <w:sz w:val="28"/>
                <w:szCs w:val="28"/>
                <w:bdr w:val="none" w:color="auto" w:sz="0" w:space="0"/>
                <w:lang w:val="en-US" w:eastAsia="zh-CN" w:bidi="ar"/>
              </w:rPr>
              <w:t>ISO 9001</w:t>
            </w:r>
            <w:r>
              <w:rPr>
                <w:rFonts w:hint="eastAsia" w:ascii="Times New Roman" w:hAnsi="Times New Roman" w:eastAsia="宋体" w:cs="Times New Roman"/>
                <w:kern w:val="0"/>
                <w:sz w:val="28"/>
                <w:szCs w:val="28"/>
                <w:bdr w:val="none" w:color="auto" w:sz="0" w:space="0"/>
                <w:lang w:val="en-US" w:eastAsia="zh-CN" w:bidi="ar"/>
              </w:rPr>
              <w:t>认证，建立完善的质量追溯体系，持续开展质量改进活动</w:t>
            </w:r>
          </w:p>
        </w:tc>
        <w:tc>
          <w:tcPr>
            <w:tcW w:w="198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3D2CA29">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通过</w:t>
            </w:r>
            <w:r>
              <w:rPr>
                <w:rFonts w:hint="default" w:ascii="Times New Roman" w:hAnsi="Times New Roman" w:eastAsia="宋体" w:cs="Times New Roman"/>
                <w:kern w:val="0"/>
                <w:sz w:val="28"/>
                <w:szCs w:val="28"/>
                <w:bdr w:val="none" w:color="auto" w:sz="0" w:space="0"/>
                <w:lang w:val="en-US" w:eastAsia="zh-CN" w:bidi="ar"/>
              </w:rPr>
              <w:t>ISO 9001</w:t>
            </w:r>
            <w:r>
              <w:rPr>
                <w:rFonts w:hint="eastAsia" w:ascii="Times New Roman" w:hAnsi="Times New Roman" w:eastAsia="宋体" w:cs="Times New Roman"/>
                <w:kern w:val="0"/>
                <w:sz w:val="28"/>
                <w:szCs w:val="28"/>
                <w:bdr w:val="none" w:color="auto" w:sz="0" w:space="0"/>
                <w:lang w:val="en-US" w:eastAsia="zh-CN" w:bidi="ar"/>
              </w:rPr>
              <w:t>认证，建立较为完善的质量追溯体系，定期开展质量改进活动</w:t>
            </w:r>
          </w:p>
        </w:tc>
        <w:tc>
          <w:tcPr>
            <w:tcW w:w="1994"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81D665A">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建立基本完善的质量管理体系和追溯体系，偶尔开展质量改进活动</w:t>
            </w:r>
          </w:p>
        </w:tc>
        <w:tc>
          <w:tcPr>
            <w:tcW w:w="982"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581F4B1A">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查阅认证证书、资料</w:t>
            </w:r>
            <w:bookmarkEnd w:id="37"/>
          </w:p>
        </w:tc>
      </w:tr>
      <w:tr w14:paraId="5F94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84" w:hRule="atLeast"/>
        </w:trPr>
        <w:tc>
          <w:tcPr>
            <w:tcW w:w="421" w:type="dxa"/>
            <w:vMerge w:val="restart"/>
            <w:tcBorders>
              <w:top w:val="single" w:color="auto" w:sz="4" w:space="0"/>
              <w:left w:val="single" w:color="auto" w:sz="4" w:space="0"/>
              <w:bottom w:val="single" w:color="auto" w:sz="4" w:space="0"/>
              <w:right w:val="single" w:color="auto" w:sz="4" w:space="0"/>
            </w:tcBorders>
            <w:shd w:val="clear"/>
            <w:tcMar>
              <w:top w:w="15" w:type="dxa"/>
              <w:left w:w="0" w:type="dxa"/>
              <w:bottom w:w="15" w:type="dxa"/>
              <w:right w:w="15" w:type="dxa"/>
            </w:tcMar>
            <w:vAlign w:val="center"/>
          </w:tcPr>
          <w:p w14:paraId="4978DF48">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bookmarkStart w:id="38" w:name="_Hlk192080008"/>
            <w:r>
              <w:rPr>
                <w:rFonts w:hint="eastAsia" w:ascii="Times New Roman" w:hAnsi="Times New Roman" w:eastAsia="宋体" w:cs="Times New Roman"/>
                <w:kern w:val="0"/>
                <w:sz w:val="28"/>
                <w:szCs w:val="28"/>
                <w:bdr w:val="none" w:color="auto" w:sz="0" w:space="0"/>
                <w:lang w:val="en-US" w:eastAsia="zh-CN" w:bidi="ar"/>
              </w:rPr>
              <w:t>创新指标</w:t>
            </w:r>
          </w:p>
        </w:tc>
        <w:tc>
          <w:tcPr>
            <w:tcW w:w="56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5A9FC80D">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新材料应用</w:t>
            </w:r>
          </w:p>
        </w:tc>
        <w:tc>
          <w:tcPr>
            <w:tcW w:w="1420"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AB8532C">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专利、技术报告</w:t>
            </w:r>
          </w:p>
        </w:tc>
        <w:tc>
          <w:tcPr>
            <w:tcW w:w="1989"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19E38BEE">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采用陶瓷、碳纤维等新型材料，显著提升产品性能</w:t>
            </w:r>
          </w:p>
        </w:tc>
        <w:tc>
          <w:tcPr>
            <w:tcW w:w="198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74073DC">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采用高强度合金钢等改进型材料，提升产品性能</w:t>
            </w:r>
          </w:p>
        </w:tc>
        <w:tc>
          <w:tcPr>
            <w:tcW w:w="1994"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25A07EB7">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采用常规合金钢</w:t>
            </w:r>
          </w:p>
        </w:tc>
        <w:tc>
          <w:tcPr>
            <w:tcW w:w="982"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16E13669">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查阅专利、技术报告</w:t>
            </w:r>
          </w:p>
        </w:tc>
      </w:tr>
      <w:tr w14:paraId="1253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23" w:hRule="atLeast"/>
        </w:trPr>
        <w:tc>
          <w:tcPr>
            <w:tcW w:w="421" w:type="dxa"/>
            <w:vMerge w:val="continue"/>
            <w:tcBorders>
              <w:top w:val="single" w:color="auto" w:sz="4" w:space="0"/>
              <w:left w:val="single" w:color="auto" w:sz="4" w:space="0"/>
              <w:bottom w:val="single" w:color="auto" w:sz="4" w:space="0"/>
              <w:right w:val="single" w:color="auto" w:sz="4" w:space="0"/>
            </w:tcBorders>
            <w:shd w:val="clear"/>
            <w:tcMar>
              <w:top w:w="15" w:type="dxa"/>
              <w:left w:w="0" w:type="dxa"/>
              <w:bottom w:w="15" w:type="dxa"/>
              <w:right w:w="15" w:type="dxa"/>
            </w:tcMar>
            <w:vAlign w:val="center"/>
          </w:tcPr>
          <w:p w14:paraId="6850A267">
            <w:pPr>
              <w:spacing w:line="360" w:lineRule="auto"/>
              <w:rPr>
                <w:rFonts w:hint="default" w:ascii="Calibri" w:hAnsi="Calibri" w:cs="Times New Roman"/>
                <w:sz w:val="28"/>
                <w:szCs w:val="28"/>
              </w:rPr>
            </w:pPr>
          </w:p>
        </w:tc>
        <w:tc>
          <w:tcPr>
            <w:tcW w:w="56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4193E1C3">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新工艺应用</w:t>
            </w:r>
          </w:p>
        </w:tc>
        <w:tc>
          <w:tcPr>
            <w:tcW w:w="1420"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056B1928">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专利、技术报告</w:t>
            </w:r>
          </w:p>
        </w:tc>
        <w:tc>
          <w:tcPr>
            <w:tcW w:w="1989"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4185BC44">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采用精密磨削、离子注入等新工艺，显著提升产品精度和效率</w:t>
            </w:r>
          </w:p>
        </w:tc>
        <w:tc>
          <w:tcPr>
            <w:tcW w:w="198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1C521C08">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采用数控磨削、超精加工等改进型工艺，提升产品精度和效率</w:t>
            </w:r>
          </w:p>
        </w:tc>
        <w:tc>
          <w:tcPr>
            <w:tcW w:w="1994"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17AF6234">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采用常规磨削工艺</w:t>
            </w:r>
          </w:p>
        </w:tc>
        <w:tc>
          <w:tcPr>
            <w:tcW w:w="982"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7F1FF381">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查阅专利、技术报告</w:t>
            </w:r>
          </w:p>
        </w:tc>
      </w:tr>
      <w:tr w14:paraId="09D3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77" w:hRule="atLeast"/>
        </w:trPr>
        <w:tc>
          <w:tcPr>
            <w:tcW w:w="421" w:type="dxa"/>
            <w:vMerge w:val="continue"/>
            <w:tcBorders>
              <w:top w:val="single" w:color="auto" w:sz="4" w:space="0"/>
              <w:left w:val="single" w:color="auto" w:sz="4" w:space="0"/>
              <w:bottom w:val="single" w:color="auto" w:sz="4" w:space="0"/>
              <w:right w:val="single" w:color="auto" w:sz="4" w:space="0"/>
            </w:tcBorders>
            <w:shd w:val="clear"/>
            <w:tcMar>
              <w:top w:w="15" w:type="dxa"/>
              <w:left w:w="0" w:type="dxa"/>
              <w:bottom w:w="15" w:type="dxa"/>
              <w:right w:w="15" w:type="dxa"/>
            </w:tcMar>
            <w:vAlign w:val="center"/>
          </w:tcPr>
          <w:p w14:paraId="56EDCA8C">
            <w:pPr>
              <w:spacing w:line="360" w:lineRule="auto"/>
              <w:rPr>
                <w:rFonts w:hint="default" w:ascii="Calibri" w:hAnsi="Calibri" w:cs="Times New Roman"/>
                <w:sz w:val="28"/>
                <w:szCs w:val="28"/>
              </w:rPr>
            </w:pPr>
          </w:p>
        </w:tc>
        <w:tc>
          <w:tcPr>
            <w:tcW w:w="56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11BEC7A">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智能化水平</w:t>
            </w:r>
          </w:p>
        </w:tc>
        <w:tc>
          <w:tcPr>
            <w:tcW w:w="1420"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7DD8742E">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产品说明书、企业资料</w:t>
            </w:r>
          </w:p>
        </w:tc>
        <w:tc>
          <w:tcPr>
            <w:tcW w:w="1989"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0371A77">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具备在线监测、故障诊断、远程控制等智能化功能</w:t>
            </w:r>
          </w:p>
        </w:tc>
        <w:tc>
          <w:tcPr>
            <w:tcW w:w="1988"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0641052">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具备在线监测、故障诊断等智能化功能</w:t>
            </w:r>
          </w:p>
        </w:tc>
        <w:tc>
          <w:tcPr>
            <w:tcW w:w="1994"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E2506B2">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不具备智能化功能</w:t>
            </w:r>
          </w:p>
        </w:tc>
        <w:tc>
          <w:tcPr>
            <w:tcW w:w="982"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50D12DF4">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left"/>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查阅资料，现场考察</w:t>
            </w:r>
            <w:bookmarkEnd w:id="38"/>
          </w:p>
        </w:tc>
      </w:tr>
      <w:bookmarkEnd w:id="33"/>
    </w:tbl>
    <w:p w14:paraId="324148DB">
      <w:pPr>
        <w:pStyle w:val="11"/>
        <w:keepNext w:val="0"/>
        <w:keepLines w:val="0"/>
        <w:widowControl/>
        <w:numPr>
          <w:ilvl w:val="1"/>
          <w:numId w:val="5"/>
        </w:numPr>
        <w:suppressLineNumbers w:val="0"/>
        <w:adjustRightInd/>
        <w:spacing w:before="480" w:beforeLines="200" w:beforeAutospacing="0" w:after="240" w:afterLines="100" w:afterAutospacing="0" w:line="360" w:lineRule="auto"/>
        <w:ind w:left="0" w:right="0" w:firstLine="0"/>
        <w:jc w:val="both"/>
        <w:outlineLvl w:val="0"/>
        <w:rPr>
          <w:rFonts w:hint="default" w:ascii="Times New Roman" w:hAnsi="Times New Roman" w:cs="Times New Roman"/>
          <w:sz w:val="28"/>
          <w:szCs w:val="28"/>
          <w:lang w:val="en-US"/>
        </w:rPr>
      </w:pPr>
      <w:bookmarkStart w:id="39" w:name="_Toc192085351"/>
      <w:r>
        <w:rPr>
          <w:rFonts w:hint="eastAsia" w:ascii="Times New Roman" w:hAnsi="Times New Roman" w:eastAsia="黑体" w:cs="Times New Roman"/>
          <w:kern w:val="0"/>
          <w:sz w:val="28"/>
          <w:szCs w:val="28"/>
          <w:lang w:val="en-US" w:eastAsia="zh-CN" w:bidi="ar"/>
        </w:rPr>
        <w:t>评价方法</w:t>
      </w:r>
      <w:bookmarkEnd w:id="39"/>
    </w:p>
    <w:p w14:paraId="4DFC61A5">
      <w:pPr>
        <w:pStyle w:val="11"/>
        <w:keepNext w:val="0"/>
        <w:keepLines w:val="0"/>
        <w:widowControl/>
        <w:numPr>
          <w:ilvl w:val="2"/>
          <w:numId w:val="5"/>
        </w:numPr>
        <w:suppressLineNumbers w:val="0"/>
        <w:spacing w:before="120" w:beforeLines="50" w:beforeAutospacing="0" w:after="120" w:afterLines="50" w:afterAutospacing="0" w:line="360" w:lineRule="auto"/>
        <w:ind w:left="0" w:right="0" w:firstLine="0"/>
        <w:jc w:val="both"/>
        <w:outlineLvl w:val="1"/>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数据收集</w:t>
      </w:r>
    </w:p>
    <w:p w14:paraId="3E88E7F6">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应制定详细的申报表格，要求企业提供产品技术参数、检测报告、质量管理体系文件、市场销售数据等相关资料。</w:t>
      </w:r>
    </w:p>
    <w:p w14:paraId="5CBFD1C0">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应委托第三方机构进行市场调研，收集行业数据、用户反馈、品牌知名度等信息。</w:t>
      </w:r>
    </w:p>
    <w:p w14:paraId="5A88F254">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通过问卷调查、电话回访等方式，应收集用户对产品质量、服务等方面的评价。</w:t>
      </w:r>
    </w:p>
    <w:p w14:paraId="7D7A4477">
      <w:pPr>
        <w:pStyle w:val="11"/>
        <w:keepNext w:val="0"/>
        <w:keepLines w:val="0"/>
        <w:widowControl/>
        <w:numPr>
          <w:ilvl w:val="2"/>
          <w:numId w:val="5"/>
        </w:numPr>
        <w:suppressLineNumbers w:val="0"/>
        <w:spacing w:before="120" w:beforeLines="50" w:beforeAutospacing="0" w:after="120" w:afterLines="50" w:afterAutospacing="0" w:line="360" w:lineRule="auto"/>
        <w:ind w:left="0" w:right="0" w:firstLine="0"/>
        <w:jc w:val="both"/>
        <w:outlineLvl w:val="1"/>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指标评分</w:t>
      </w:r>
    </w:p>
    <w:p w14:paraId="45ED2E4C">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根据检测报告、市场调研数据等，应按照评分标准直接进行评分。</w:t>
      </w:r>
    </w:p>
    <w:p w14:paraId="173E6369">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应组织专家评审组，根据企业提供的资料、现场考察情况等进行评分。</w:t>
      </w:r>
    </w:p>
    <w:p w14:paraId="25017AAD">
      <w:pPr>
        <w:pStyle w:val="11"/>
        <w:keepNext w:val="0"/>
        <w:keepLines w:val="0"/>
        <w:widowControl/>
        <w:numPr>
          <w:ilvl w:val="2"/>
          <w:numId w:val="5"/>
        </w:numPr>
        <w:suppressLineNumbers w:val="0"/>
        <w:spacing w:before="120" w:beforeLines="50" w:beforeAutospacing="0" w:after="120" w:afterLines="50" w:afterAutospacing="0" w:line="360" w:lineRule="auto"/>
        <w:ind w:left="0" w:right="0" w:firstLine="0"/>
        <w:jc w:val="both"/>
        <w:outlineLvl w:val="1"/>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综合评价</w:t>
      </w:r>
    </w:p>
    <w:p w14:paraId="5807FB2B">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应采用专家打分法、层次分析法等方法，确定各评价指标的权重。</w:t>
      </w:r>
    </w:p>
    <w:p w14:paraId="02EEB9A9">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采用加权平均法或其他科学方法，应对各项指标得分进行综合计算，得出最终评价结果。</w:t>
      </w:r>
    </w:p>
    <w:p w14:paraId="770932C2">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根据综合评价结果，可将研磨丝杆划分为特级、一级、二级、三级等不同等级。</w:t>
      </w:r>
    </w:p>
    <w:p w14:paraId="75DF4145">
      <w:pPr>
        <w:pStyle w:val="11"/>
        <w:keepNext w:val="0"/>
        <w:keepLines w:val="0"/>
        <w:widowControl/>
        <w:numPr>
          <w:ilvl w:val="2"/>
          <w:numId w:val="5"/>
        </w:numPr>
        <w:suppressLineNumbers w:val="0"/>
        <w:spacing w:before="120" w:beforeLines="50" w:beforeAutospacing="0" w:after="120" w:afterLines="50" w:afterAutospacing="0" w:line="360" w:lineRule="auto"/>
        <w:ind w:left="0" w:right="0" w:firstLine="0"/>
        <w:jc w:val="both"/>
        <w:outlineLvl w:val="1"/>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具体评价方法</w:t>
      </w:r>
    </w:p>
    <w:p w14:paraId="045223F0">
      <w:pPr>
        <w:pStyle w:val="11"/>
        <w:keepNext w:val="0"/>
        <w:keepLines w:val="0"/>
        <w:widowControl w:val="0"/>
        <w:numPr>
          <w:ilvl w:val="3"/>
          <w:numId w:val="5"/>
        </w:numPr>
        <w:suppressLineNumbers w:val="0"/>
        <w:adjustRightInd/>
        <w:spacing w:before="120" w:beforeLines="50" w:beforeAutospacing="0" w:after="120" w:afterLines="50" w:afterAutospacing="0" w:line="360" w:lineRule="auto"/>
        <w:ind w:left="0" w:right="0" w:firstLine="0"/>
        <w:jc w:val="both"/>
        <w:outlineLvl w:val="2"/>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性能指标评价</w:t>
      </w:r>
    </w:p>
    <w:p w14:paraId="4ADFF288">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应满足以下要求：</w:t>
      </w:r>
    </w:p>
    <w:p w14:paraId="221D0DE2">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精度等级：依据</w:t>
      </w:r>
      <w:bookmarkStart w:id="40" w:name="_Hlk192082802"/>
      <w:r>
        <w:rPr>
          <w:rFonts w:hint="default" w:ascii="Times New Roman" w:hAnsi="Times New Roman" w:eastAsia="宋体" w:cs="Times New Roman"/>
          <w:kern w:val="0"/>
          <w:sz w:val="28"/>
          <w:szCs w:val="28"/>
          <w:lang w:val="en-US" w:eastAsia="zh-CN" w:bidi="ar"/>
        </w:rPr>
        <w:t>GB/T 1184</w:t>
      </w:r>
      <w:r>
        <w:rPr>
          <w:rFonts w:hint="eastAsia" w:ascii="Times New Roman" w:hAnsi="Times New Roman" w:eastAsia="宋体" w:cs="Times New Roman"/>
          <w:kern w:val="0"/>
          <w:sz w:val="28"/>
          <w:szCs w:val="28"/>
          <w:lang w:val="en-US" w:eastAsia="zh-CN" w:bidi="ar"/>
        </w:rPr>
        <w:t>和</w:t>
      </w:r>
      <w:r>
        <w:rPr>
          <w:rFonts w:hint="default" w:ascii="Times New Roman" w:hAnsi="Times New Roman" w:eastAsia="宋体" w:cs="Times New Roman"/>
          <w:kern w:val="0"/>
          <w:sz w:val="28"/>
          <w:szCs w:val="28"/>
          <w:lang w:val="en-US" w:eastAsia="zh-CN" w:bidi="ar"/>
        </w:rPr>
        <w:t>JB/T 2886</w:t>
      </w:r>
      <w:bookmarkEnd w:id="40"/>
      <w:r>
        <w:rPr>
          <w:rFonts w:hint="eastAsia" w:ascii="Times New Roman" w:hAnsi="Times New Roman" w:eastAsia="宋体" w:cs="Times New Roman"/>
          <w:kern w:val="0"/>
          <w:sz w:val="28"/>
          <w:szCs w:val="28"/>
          <w:lang w:val="en-US" w:eastAsia="zh-CN" w:bidi="ar"/>
        </w:rPr>
        <w:t>进行检测，根据误差范围划分等级。</w:t>
      </w:r>
    </w:p>
    <w:p w14:paraId="45F5CEE5">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刚性：采用专用设备进行检测，根据刚性值划分等级。</w:t>
      </w:r>
    </w:p>
    <w:p w14:paraId="0B6CE855">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摩擦力矩：采用专用设备进行检测，根据摩擦力矩值划分等级。</w:t>
      </w:r>
    </w:p>
    <w:p w14:paraId="364BA877">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寿命：依据</w:t>
      </w:r>
      <w:r>
        <w:rPr>
          <w:rFonts w:hint="default" w:ascii="Times New Roman" w:hAnsi="Times New Roman" w:eastAsia="宋体" w:cs="Times New Roman"/>
          <w:kern w:val="0"/>
          <w:sz w:val="28"/>
          <w:szCs w:val="28"/>
          <w:lang w:val="en-US" w:eastAsia="zh-CN" w:bidi="ar"/>
        </w:rPr>
        <w:t>JB/T 2886</w:t>
      </w:r>
      <w:r>
        <w:rPr>
          <w:rFonts w:hint="eastAsia" w:ascii="Times New Roman" w:hAnsi="Times New Roman" w:eastAsia="宋体" w:cs="Times New Roman"/>
          <w:kern w:val="0"/>
          <w:sz w:val="28"/>
          <w:szCs w:val="28"/>
          <w:lang w:val="en-US" w:eastAsia="zh-CN" w:bidi="ar"/>
        </w:rPr>
        <w:t>进行寿命试验，根据寿命值划分等级。</w:t>
      </w:r>
    </w:p>
    <w:p w14:paraId="7E67AF23">
      <w:pPr>
        <w:pStyle w:val="11"/>
        <w:keepNext w:val="0"/>
        <w:keepLines w:val="0"/>
        <w:widowControl w:val="0"/>
        <w:numPr>
          <w:ilvl w:val="3"/>
          <w:numId w:val="5"/>
        </w:numPr>
        <w:suppressLineNumbers w:val="0"/>
        <w:adjustRightInd/>
        <w:spacing w:before="120" w:beforeLines="50" w:beforeAutospacing="0" w:after="120" w:afterLines="50" w:afterAutospacing="0" w:line="360" w:lineRule="auto"/>
        <w:ind w:left="0" w:right="0" w:firstLine="0"/>
        <w:jc w:val="both"/>
        <w:outlineLvl w:val="2"/>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可靠性评价</w:t>
      </w:r>
    </w:p>
    <w:p w14:paraId="7428063B">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应满足以下要求：</w:t>
      </w:r>
    </w:p>
    <w:p w14:paraId="017A002A">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平均无故障工作时间（</w:t>
      </w:r>
      <w:r>
        <w:rPr>
          <w:rFonts w:hint="default" w:ascii="Times New Roman" w:hAnsi="Times New Roman" w:eastAsia="宋体" w:cs="Times New Roman"/>
          <w:kern w:val="0"/>
          <w:sz w:val="28"/>
          <w:szCs w:val="28"/>
          <w:lang w:val="en-US" w:eastAsia="zh-CN" w:bidi="ar"/>
        </w:rPr>
        <w:t>MTBF</w:t>
      </w:r>
      <w:r>
        <w:rPr>
          <w:rFonts w:hint="eastAsia" w:ascii="Times New Roman" w:hAnsi="Times New Roman" w:eastAsia="宋体" w:cs="Times New Roman"/>
          <w:kern w:val="0"/>
          <w:sz w:val="28"/>
          <w:szCs w:val="28"/>
          <w:lang w:val="en-US" w:eastAsia="zh-CN" w:bidi="ar"/>
        </w:rPr>
        <w:t>）：收集用户使用数据进行分析，根据</w:t>
      </w:r>
      <w:r>
        <w:rPr>
          <w:rFonts w:hint="default" w:ascii="Times New Roman" w:hAnsi="Times New Roman" w:eastAsia="宋体" w:cs="Times New Roman"/>
          <w:kern w:val="0"/>
          <w:sz w:val="28"/>
          <w:szCs w:val="28"/>
          <w:lang w:val="en-US" w:eastAsia="zh-CN" w:bidi="ar"/>
        </w:rPr>
        <w:t>MTBF</w:t>
      </w:r>
      <w:r>
        <w:rPr>
          <w:rFonts w:hint="eastAsia" w:ascii="Times New Roman" w:hAnsi="Times New Roman" w:eastAsia="宋体" w:cs="Times New Roman"/>
          <w:kern w:val="0"/>
          <w:sz w:val="28"/>
          <w:szCs w:val="28"/>
          <w:lang w:val="en-US" w:eastAsia="zh-CN" w:bidi="ar"/>
        </w:rPr>
        <w:t>值划分等级。</w:t>
      </w:r>
    </w:p>
    <w:p w14:paraId="022551FF">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平均修复时间（</w:t>
      </w:r>
      <w:r>
        <w:rPr>
          <w:rFonts w:hint="default" w:ascii="Times New Roman" w:hAnsi="Times New Roman" w:eastAsia="宋体" w:cs="Times New Roman"/>
          <w:kern w:val="0"/>
          <w:sz w:val="28"/>
          <w:szCs w:val="28"/>
          <w:lang w:val="en-US" w:eastAsia="zh-CN" w:bidi="ar"/>
        </w:rPr>
        <w:t>MTTR</w:t>
      </w:r>
      <w:r>
        <w:rPr>
          <w:rFonts w:hint="eastAsia" w:ascii="Times New Roman" w:hAnsi="Times New Roman" w:eastAsia="宋体" w:cs="Times New Roman"/>
          <w:kern w:val="0"/>
          <w:sz w:val="28"/>
          <w:szCs w:val="28"/>
          <w:lang w:val="en-US" w:eastAsia="zh-CN" w:bidi="ar"/>
        </w:rPr>
        <w:t>）：收集用户维修数据进行分析，根据</w:t>
      </w:r>
      <w:r>
        <w:rPr>
          <w:rFonts w:hint="default" w:ascii="Times New Roman" w:hAnsi="Times New Roman" w:eastAsia="宋体" w:cs="Times New Roman"/>
          <w:kern w:val="0"/>
          <w:sz w:val="28"/>
          <w:szCs w:val="28"/>
          <w:lang w:val="en-US" w:eastAsia="zh-CN" w:bidi="ar"/>
        </w:rPr>
        <w:t>MTTR</w:t>
      </w:r>
      <w:r>
        <w:rPr>
          <w:rFonts w:hint="eastAsia" w:ascii="Times New Roman" w:hAnsi="Times New Roman" w:eastAsia="宋体" w:cs="Times New Roman"/>
          <w:kern w:val="0"/>
          <w:sz w:val="28"/>
          <w:szCs w:val="28"/>
          <w:lang w:val="en-US" w:eastAsia="zh-CN" w:bidi="ar"/>
        </w:rPr>
        <w:t>值划分等级。</w:t>
      </w:r>
    </w:p>
    <w:p w14:paraId="5173A289">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失效率：收集用户使用数据进行分析，根据失效率划分等级。</w:t>
      </w:r>
    </w:p>
    <w:p w14:paraId="4CBFF0CC">
      <w:pPr>
        <w:pStyle w:val="11"/>
        <w:keepNext w:val="0"/>
        <w:keepLines w:val="0"/>
        <w:widowControl w:val="0"/>
        <w:numPr>
          <w:ilvl w:val="3"/>
          <w:numId w:val="5"/>
        </w:numPr>
        <w:suppressLineNumbers w:val="0"/>
        <w:adjustRightInd/>
        <w:spacing w:before="120" w:beforeLines="50" w:beforeAutospacing="0" w:after="120" w:afterLines="50" w:afterAutospacing="0" w:line="360" w:lineRule="auto"/>
        <w:ind w:left="0" w:right="0" w:firstLine="0"/>
        <w:jc w:val="both"/>
        <w:outlineLvl w:val="2"/>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工艺水平评价</w:t>
      </w:r>
    </w:p>
    <w:p w14:paraId="3BC233FA">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应满足以下要求：</w:t>
      </w:r>
    </w:p>
    <w:p w14:paraId="3AA719F6">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加工设备先进性：现场考察设备型号、精度等级等，根据设备先进程度划分等级。</w:t>
      </w:r>
    </w:p>
    <w:p w14:paraId="71614213">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检测手段完善程度：查阅企业检测记录，根据检测项目覆盖率和数据准确性划分等级。</w:t>
      </w:r>
    </w:p>
    <w:p w14:paraId="3C49B490">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工艺稳定性：查阅企业工艺文件、质量控制记录等，根据关键工序控制能力和产品合格率划分等级。</w:t>
      </w:r>
    </w:p>
    <w:p w14:paraId="37BF4672">
      <w:pPr>
        <w:pStyle w:val="11"/>
        <w:keepNext w:val="0"/>
        <w:keepLines w:val="0"/>
        <w:widowControl w:val="0"/>
        <w:numPr>
          <w:ilvl w:val="3"/>
          <w:numId w:val="5"/>
        </w:numPr>
        <w:suppressLineNumbers w:val="0"/>
        <w:adjustRightInd/>
        <w:spacing w:before="120" w:beforeLines="50" w:beforeAutospacing="0" w:after="120" w:afterLines="50" w:afterAutospacing="0" w:line="360" w:lineRule="auto"/>
        <w:ind w:left="0" w:right="0" w:firstLine="0"/>
        <w:jc w:val="both"/>
        <w:outlineLvl w:val="2"/>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质量保证能力评价</w:t>
      </w:r>
    </w:p>
    <w:p w14:paraId="5944036F">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应满足以下要求：</w:t>
      </w:r>
    </w:p>
    <w:p w14:paraId="2C1A839D">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质量管理体系认证情况：查阅企业认证证书，根据认证级别划分等级。</w:t>
      </w:r>
    </w:p>
    <w:p w14:paraId="0997B67D">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质量追溯体系完善程度：查阅企业质量追溯文件、记录等，根据追溯体系完善程度划分等级。</w:t>
      </w:r>
    </w:p>
    <w:p w14:paraId="11DF7738">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质量改进能力：查阅企业质量改进记录、案例分析等，根据质量改进活动开展情况和成效划分等级。</w:t>
      </w:r>
    </w:p>
    <w:p w14:paraId="1EDDFFB2">
      <w:pPr>
        <w:pStyle w:val="11"/>
        <w:keepNext w:val="0"/>
        <w:keepLines w:val="0"/>
        <w:widowControl w:val="0"/>
        <w:numPr>
          <w:ilvl w:val="3"/>
          <w:numId w:val="5"/>
        </w:numPr>
        <w:suppressLineNumbers w:val="0"/>
        <w:adjustRightInd/>
        <w:spacing w:before="120" w:beforeLines="50" w:beforeAutospacing="0" w:after="120" w:afterLines="50" w:afterAutospacing="0" w:line="360" w:lineRule="auto"/>
        <w:ind w:left="0" w:right="0" w:firstLine="0"/>
        <w:jc w:val="both"/>
        <w:outlineLvl w:val="2"/>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市场表现评价</w:t>
      </w:r>
    </w:p>
    <w:p w14:paraId="365814FF">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应满足以下要求：</w:t>
      </w:r>
    </w:p>
    <w:p w14:paraId="43121A92">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市场占有率：收集行业数据、市场调研报告等，根据市场占有率排名划分等级。</w:t>
      </w:r>
    </w:p>
    <w:p w14:paraId="211BBFF1">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用户满意度：进行用户问卷调查，根据用户满意度评分划分等级。</w:t>
      </w:r>
    </w:p>
    <w:p w14:paraId="3B2694F0">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品牌知名度：进行市场调研、网络搜索等，根据品牌知名度排名划分等级。</w:t>
      </w:r>
    </w:p>
    <w:p w14:paraId="6F56D5E3">
      <w:pPr>
        <w:pStyle w:val="11"/>
        <w:keepNext w:val="0"/>
        <w:keepLines w:val="0"/>
        <w:widowControl/>
        <w:numPr>
          <w:ilvl w:val="2"/>
          <w:numId w:val="5"/>
        </w:numPr>
        <w:suppressLineNumbers w:val="0"/>
        <w:spacing w:before="120" w:beforeLines="50" w:beforeAutospacing="0" w:after="120" w:afterLines="50" w:afterAutospacing="0" w:line="360" w:lineRule="auto"/>
        <w:ind w:left="0" w:right="0" w:firstLine="0"/>
        <w:jc w:val="both"/>
        <w:outlineLvl w:val="1"/>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专家评审</w:t>
      </w:r>
    </w:p>
    <w:p w14:paraId="72EE8B47">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应组建由行业专家、学者、用户代表等组成的专家评审组。</w:t>
      </w:r>
    </w:p>
    <w:p w14:paraId="4CD4C8C7">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专家评审组应负责对定性指标进行评分，并对评价结果进行审核和确认。</w:t>
      </w:r>
    </w:p>
    <w:p w14:paraId="25B4CBFD">
      <w:pPr>
        <w:pStyle w:val="11"/>
        <w:keepNext w:val="0"/>
        <w:keepLines w:val="0"/>
        <w:widowControl/>
        <w:numPr>
          <w:ilvl w:val="2"/>
          <w:numId w:val="5"/>
        </w:numPr>
        <w:suppressLineNumbers w:val="0"/>
        <w:spacing w:before="120" w:beforeLines="50" w:beforeAutospacing="0" w:after="120" w:afterLines="50" w:afterAutospacing="0" w:line="360" w:lineRule="auto"/>
        <w:ind w:left="0" w:right="0" w:firstLine="0"/>
        <w:jc w:val="both"/>
        <w:outlineLvl w:val="1"/>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结果公示</w:t>
      </w:r>
    </w:p>
    <w:p w14:paraId="1017520B">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可将评价结果向社会公示，接受社会监督。</w:t>
      </w:r>
    </w:p>
    <w:p w14:paraId="1424E71A">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对评价结果有异议的，可提出申诉，由专家评审组进行复核。</w:t>
      </w:r>
    </w:p>
    <w:p w14:paraId="0C5A0592">
      <w:pPr>
        <w:pStyle w:val="11"/>
        <w:keepNext w:val="0"/>
        <w:keepLines w:val="0"/>
        <w:widowControl/>
        <w:numPr>
          <w:ilvl w:val="1"/>
          <w:numId w:val="5"/>
        </w:numPr>
        <w:suppressLineNumbers w:val="0"/>
        <w:adjustRightInd/>
        <w:spacing w:before="240" w:beforeLines="100" w:beforeAutospacing="0" w:after="240" w:afterLines="100" w:afterAutospacing="0" w:line="360" w:lineRule="auto"/>
        <w:ind w:left="0" w:right="0" w:firstLine="0"/>
        <w:jc w:val="both"/>
        <w:outlineLvl w:val="0"/>
        <w:rPr>
          <w:rFonts w:hint="default" w:ascii="Times New Roman" w:hAnsi="Times New Roman" w:cs="Times New Roman"/>
          <w:sz w:val="28"/>
          <w:szCs w:val="28"/>
          <w:lang w:val="en-US"/>
        </w:rPr>
      </w:pPr>
      <w:bookmarkStart w:id="41" w:name="_Toc192085352"/>
      <w:r>
        <w:rPr>
          <w:rFonts w:hint="eastAsia" w:ascii="Times New Roman" w:hAnsi="Times New Roman" w:eastAsia="黑体" w:cs="Times New Roman"/>
          <w:kern w:val="0"/>
          <w:sz w:val="28"/>
          <w:szCs w:val="28"/>
          <w:lang w:val="en-US" w:eastAsia="zh-CN" w:bidi="ar"/>
        </w:rPr>
        <w:t>等级划分</w:t>
      </w:r>
      <w:bookmarkEnd w:id="41"/>
    </w:p>
    <w:p w14:paraId="5F4E68C1">
      <w:pPr>
        <w:pStyle w:val="11"/>
        <w:keepNext w:val="0"/>
        <w:keepLines w:val="0"/>
        <w:widowControl/>
        <w:numPr>
          <w:ilvl w:val="2"/>
          <w:numId w:val="5"/>
        </w:numPr>
        <w:suppressLineNumbers w:val="0"/>
        <w:spacing w:before="120" w:beforeLines="50" w:beforeAutospacing="0" w:after="120" w:afterLines="50" w:afterAutospacing="0" w:line="360" w:lineRule="auto"/>
        <w:ind w:left="0" w:right="0" w:firstLine="0"/>
        <w:jc w:val="both"/>
        <w:outlineLvl w:val="1"/>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等级划分标准</w:t>
      </w:r>
    </w:p>
    <w:p w14:paraId="43B360E0">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等级划分标准见表</w:t>
      </w:r>
      <w:r>
        <w:rPr>
          <w:rFonts w:hint="default" w:ascii="Times New Roman" w:hAnsi="Times New Roman" w:eastAsia="宋体" w:cs="Times New Roman"/>
          <w:kern w:val="0"/>
          <w:sz w:val="28"/>
          <w:szCs w:val="28"/>
          <w:lang w:val="en-US" w:eastAsia="zh-CN" w:bidi="ar"/>
        </w:rPr>
        <w:t>2</w:t>
      </w:r>
      <w:r>
        <w:rPr>
          <w:rFonts w:hint="eastAsia" w:ascii="Times New Roman" w:hAnsi="Times New Roman" w:eastAsia="宋体" w:cs="Times New Roman"/>
          <w:kern w:val="0"/>
          <w:sz w:val="28"/>
          <w:szCs w:val="28"/>
          <w:lang w:val="en-US" w:eastAsia="zh-CN" w:bidi="ar"/>
        </w:rPr>
        <w:t>。</w:t>
      </w:r>
    </w:p>
    <w:p w14:paraId="0DAC3816">
      <w:pPr>
        <w:pStyle w:val="11"/>
        <w:keepNext w:val="0"/>
        <w:keepLines w:val="0"/>
        <w:widowControl/>
        <w:numPr>
          <w:ilvl w:val="0"/>
          <w:numId w:val="6"/>
        </w:numPr>
        <w:suppressLineNumbers w:val="0"/>
        <w:tabs>
          <w:tab w:val="left" w:pos="0"/>
        </w:tabs>
        <w:adjustRightInd/>
        <w:spacing w:before="120" w:beforeLines="50" w:beforeAutospacing="0" w:after="120" w:afterLines="50" w:afterAutospacing="0" w:line="360" w:lineRule="auto"/>
        <w:ind w:left="0" w:right="0" w:firstLine="0"/>
        <w:jc w:val="center"/>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等级划分标准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324"/>
        <w:gridCol w:w="1472"/>
        <w:gridCol w:w="5910"/>
      </w:tblGrid>
      <w:tr w14:paraId="7307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13" w:hRule="atLeast"/>
          <w:tblHeader/>
        </w:trPr>
        <w:tc>
          <w:tcPr>
            <w:tcW w:w="1413" w:type="dxa"/>
            <w:tcBorders>
              <w:top w:val="single" w:color="auto" w:sz="4" w:space="0"/>
              <w:left w:val="single" w:color="auto" w:sz="4" w:space="0"/>
              <w:bottom w:val="single" w:color="auto" w:sz="4" w:space="0"/>
              <w:right w:val="single" w:color="auto" w:sz="4" w:space="0"/>
            </w:tcBorders>
            <w:shd w:val="clear"/>
            <w:tcMar>
              <w:top w:w="15" w:type="dxa"/>
              <w:left w:w="0" w:type="dxa"/>
              <w:bottom w:w="15" w:type="dxa"/>
              <w:right w:w="15" w:type="dxa"/>
            </w:tcMar>
            <w:vAlign w:val="center"/>
          </w:tcPr>
          <w:p w14:paraId="13A6DCF7">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等级</w:t>
            </w:r>
          </w:p>
        </w:tc>
        <w:tc>
          <w:tcPr>
            <w:tcW w:w="1559"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3D3E748B">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综合评价得分</w:t>
            </w:r>
          </w:p>
        </w:tc>
        <w:tc>
          <w:tcPr>
            <w:tcW w:w="6372"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20A94D23">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描述</w:t>
            </w:r>
          </w:p>
        </w:tc>
      </w:tr>
      <w:tr w14:paraId="4191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tcMar>
              <w:top w:w="15" w:type="dxa"/>
              <w:left w:w="0" w:type="dxa"/>
              <w:bottom w:w="15" w:type="dxa"/>
              <w:right w:w="15" w:type="dxa"/>
            </w:tcMar>
            <w:vAlign w:val="center"/>
          </w:tcPr>
          <w:p w14:paraId="48FE390C">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特级</w:t>
            </w:r>
          </w:p>
        </w:tc>
        <w:tc>
          <w:tcPr>
            <w:tcW w:w="1559"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04ADC35">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≥90</w:t>
            </w:r>
            <w:r>
              <w:rPr>
                <w:rFonts w:hint="eastAsia" w:ascii="Times New Roman" w:hAnsi="Times New Roman" w:eastAsia="宋体" w:cs="Times New Roman"/>
                <w:kern w:val="0"/>
                <w:sz w:val="28"/>
                <w:szCs w:val="28"/>
                <w:bdr w:val="none" w:color="auto" w:sz="0" w:space="0"/>
                <w:lang w:val="en-US" w:eastAsia="zh-CN" w:bidi="ar"/>
              </w:rPr>
              <w:t>分</w:t>
            </w:r>
          </w:p>
        </w:tc>
        <w:tc>
          <w:tcPr>
            <w:tcW w:w="6372"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5721CE7B">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both"/>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在性能指标、可靠性、工艺水平、质量保证能力、市场表现等方面均处于行业领先水平，代表行业最高水平。</w:t>
            </w:r>
          </w:p>
        </w:tc>
      </w:tr>
      <w:tr w14:paraId="46F6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tcMar>
              <w:top w:w="15" w:type="dxa"/>
              <w:left w:w="0" w:type="dxa"/>
              <w:bottom w:w="15" w:type="dxa"/>
              <w:right w:w="15" w:type="dxa"/>
            </w:tcMar>
            <w:vAlign w:val="center"/>
          </w:tcPr>
          <w:p w14:paraId="6D540681">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一级</w:t>
            </w:r>
          </w:p>
        </w:tc>
        <w:tc>
          <w:tcPr>
            <w:tcW w:w="1559"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22A045A5">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80</w:t>
            </w:r>
            <w:r>
              <w:rPr>
                <w:rFonts w:hint="eastAsia" w:ascii="Times New Roman" w:hAnsi="Times New Roman" w:eastAsia="宋体" w:cs="Times New Roman"/>
                <w:kern w:val="0"/>
                <w:sz w:val="28"/>
                <w:szCs w:val="28"/>
                <w:bdr w:val="none" w:color="auto" w:sz="0" w:space="0"/>
                <w:lang w:val="en-US" w:eastAsia="zh-CN" w:bidi="ar"/>
              </w:rPr>
              <w:t>分</w:t>
            </w:r>
            <w:r>
              <w:rPr>
                <w:rFonts w:hint="default" w:ascii="Times New Roman" w:hAnsi="Times New Roman" w:eastAsia="宋体" w:cs="Times New Roman"/>
                <w:kern w:val="0"/>
                <w:sz w:val="28"/>
                <w:szCs w:val="28"/>
                <w:bdr w:val="none" w:color="auto" w:sz="0" w:space="0"/>
                <w:lang w:val="en-US" w:eastAsia="zh-CN" w:bidi="ar"/>
              </w:rPr>
              <w:t>~89</w:t>
            </w:r>
            <w:r>
              <w:rPr>
                <w:rFonts w:hint="eastAsia" w:ascii="Times New Roman" w:hAnsi="Times New Roman" w:eastAsia="宋体" w:cs="Times New Roman"/>
                <w:kern w:val="0"/>
                <w:sz w:val="28"/>
                <w:szCs w:val="28"/>
                <w:bdr w:val="none" w:color="auto" w:sz="0" w:space="0"/>
                <w:lang w:val="en-US" w:eastAsia="zh-CN" w:bidi="ar"/>
              </w:rPr>
              <w:t>分</w:t>
            </w:r>
          </w:p>
        </w:tc>
        <w:tc>
          <w:tcPr>
            <w:tcW w:w="6372"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2E9193B5">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both"/>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在性能指标、可靠性、工艺水平、质量保证能力、市场表现等方面表现优秀，接近行业领先水平。</w:t>
            </w:r>
          </w:p>
        </w:tc>
      </w:tr>
      <w:tr w14:paraId="6AB9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tcMar>
              <w:top w:w="15" w:type="dxa"/>
              <w:left w:w="0" w:type="dxa"/>
              <w:bottom w:w="15" w:type="dxa"/>
              <w:right w:w="15" w:type="dxa"/>
            </w:tcMar>
            <w:vAlign w:val="center"/>
          </w:tcPr>
          <w:p w14:paraId="164B0D75">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二级</w:t>
            </w:r>
          </w:p>
        </w:tc>
        <w:tc>
          <w:tcPr>
            <w:tcW w:w="1559"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6503ED29">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70</w:t>
            </w:r>
            <w:r>
              <w:rPr>
                <w:rFonts w:hint="eastAsia" w:ascii="Times New Roman" w:hAnsi="Times New Roman" w:eastAsia="宋体" w:cs="Times New Roman"/>
                <w:kern w:val="0"/>
                <w:sz w:val="28"/>
                <w:szCs w:val="28"/>
                <w:bdr w:val="none" w:color="auto" w:sz="0" w:space="0"/>
                <w:lang w:val="en-US" w:eastAsia="zh-CN" w:bidi="ar"/>
              </w:rPr>
              <w:t>分</w:t>
            </w:r>
            <w:r>
              <w:rPr>
                <w:rFonts w:hint="default" w:ascii="Times New Roman" w:hAnsi="Times New Roman" w:eastAsia="宋体" w:cs="Times New Roman"/>
                <w:kern w:val="0"/>
                <w:sz w:val="28"/>
                <w:szCs w:val="28"/>
                <w:bdr w:val="none" w:color="auto" w:sz="0" w:space="0"/>
                <w:lang w:val="en-US" w:eastAsia="zh-CN" w:bidi="ar"/>
              </w:rPr>
              <w:t>~79</w:t>
            </w:r>
            <w:r>
              <w:rPr>
                <w:rFonts w:hint="eastAsia" w:ascii="Times New Roman" w:hAnsi="Times New Roman" w:eastAsia="宋体" w:cs="Times New Roman"/>
                <w:kern w:val="0"/>
                <w:sz w:val="28"/>
                <w:szCs w:val="28"/>
                <w:bdr w:val="none" w:color="auto" w:sz="0" w:space="0"/>
                <w:lang w:val="en-US" w:eastAsia="zh-CN" w:bidi="ar"/>
              </w:rPr>
              <w:t>分</w:t>
            </w:r>
          </w:p>
        </w:tc>
        <w:tc>
          <w:tcPr>
            <w:tcW w:w="6372"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47EE2FB5">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both"/>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在性能指标、可靠性、工艺水平、质量保证能力、市场表现等方面表现良好，达到行业平均水平。</w:t>
            </w:r>
          </w:p>
        </w:tc>
      </w:tr>
      <w:tr w14:paraId="787A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tcMar>
              <w:top w:w="15" w:type="dxa"/>
              <w:left w:w="0" w:type="dxa"/>
              <w:bottom w:w="15" w:type="dxa"/>
              <w:right w:w="15" w:type="dxa"/>
            </w:tcMar>
            <w:vAlign w:val="center"/>
          </w:tcPr>
          <w:p w14:paraId="2C1E1E7D">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三级</w:t>
            </w:r>
          </w:p>
        </w:tc>
        <w:tc>
          <w:tcPr>
            <w:tcW w:w="1559"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335066CF">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center"/>
              <w:rPr>
                <w:rFonts w:hint="default" w:ascii="Times New Roman" w:hAnsi="Times New Roman" w:cs="Times New Roman"/>
                <w:sz w:val="28"/>
                <w:szCs w:val="28"/>
                <w:bdr w:val="none" w:color="auto" w:sz="0" w:space="0"/>
                <w:lang w:val="en-US"/>
              </w:rPr>
            </w:pPr>
            <w:r>
              <w:rPr>
                <w:rFonts w:hint="default" w:ascii="Times New Roman" w:hAnsi="Times New Roman" w:eastAsia="宋体" w:cs="Times New Roman"/>
                <w:kern w:val="0"/>
                <w:sz w:val="28"/>
                <w:szCs w:val="28"/>
                <w:bdr w:val="none" w:color="auto" w:sz="0" w:space="0"/>
                <w:lang w:val="en-US" w:eastAsia="zh-CN" w:bidi="ar"/>
              </w:rPr>
              <w:t>60</w:t>
            </w:r>
            <w:r>
              <w:rPr>
                <w:rFonts w:hint="eastAsia" w:ascii="Times New Roman" w:hAnsi="Times New Roman" w:eastAsia="宋体" w:cs="Times New Roman"/>
                <w:kern w:val="0"/>
                <w:sz w:val="28"/>
                <w:szCs w:val="28"/>
                <w:bdr w:val="none" w:color="auto" w:sz="0" w:space="0"/>
                <w:lang w:val="en-US" w:eastAsia="zh-CN" w:bidi="ar"/>
              </w:rPr>
              <w:t>分</w:t>
            </w:r>
            <w:r>
              <w:rPr>
                <w:rFonts w:hint="default" w:ascii="Times New Roman" w:hAnsi="Times New Roman" w:eastAsia="宋体" w:cs="Times New Roman"/>
                <w:kern w:val="0"/>
                <w:sz w:val="28"/>
                <w:szCs w:val="28"/>
                <w:bdr w:val="none" w:color="auto" w:sz="0" w:space="0"/>
                <w:lang w:val="en-US" w:eastAsia="zh-CN" w:bidi="ar"/>
              </w:rPr>
              <w:t>~69</w:t>
            </w:r>
            <w:r>
              <w:rPr>
                <w:rFonts w:hint="eastAsia" w:ascii="Times New Roman" w:hAnsi="Times New Roman" w:eastAsia="宋体" w:cs="Times New Roman"/>
                <w:kern w:val="0"/>
                <w:sz w:val="28"/>
                <w:szCs w:val="28"/>
                <w:bdr w:val="none" w:color="auto" w:sz="0" w:space="0"/>
                <w:lang w:val="en-US" w:eastAsia="zh-CN" w:bidi="ar"/>
              </w:rPr>
              <w:t>分</w:t>
            </w:r>
          </w:p>
        </w:tc>
        <w:tc>
          <w:tcPr>
            <w:tcW w:w="6372" w:type="dxa"/>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14:paraId="09A8AA50">
            <w:pPr>
              <w:pStyle w:val="11"/>
              <w:keepNext w:val="0"/>
              <w:keepLines w:val="0"/>
              <w:widowControl/>
              <w:suppressLineNumbers w:val="0"/>
              <w:autoSpaceDE w:val="0"/>
              <w:autoSpaceDN w:val="0"/>
              <w:adjustRightInd/>
              <w:spacing w:before="0" w:beforeAutospacing="0" w:after="0" w:afterAutospacing="0" w:line="360" w:lineRule="auto"/>
              <w:ind w:left="0" w:right="0" w:firstLine="0" w:firstLineChars="0"/>
              <w:jc w:val="both"/>
              <w:rPr>
                <w:rFonts w:hint="default" w:ascii="Times New Roman" w:hAnsi="Times New Roman" w:cs="Times New Roman"/>
                <w:sz w:val="28"/>
                <w:szCs w:val="28"/>
                <w:bdr w:val="none" w:color="auto" w:sz="0" w:space="0"/>
                <w:lang w:val="en-US"/>
              </w:rPr>
            </w:pPr>
            <w:r>
              <w:rPr>
                <w:rFonts w:hint="eastAsia" w:ascii="Times New Roman" w:hAnsi="Times New Roman" w:eastAsia="宋体" w:cs="Times New Roman"/>
                <w:kern w:val="0"/>
                <w:sz w:val="28"/>
                <w:szCs w:val="28"/>
                <w:bdr w:val="none" w:color="auto" w:sz="0" w:space="0"/>
                <w:lang w:val="en-US" w:eastAsia="zh-CN" w:bidi="ar"/>
              </w:rPr>
              <w:t>在性能指标、可靠性、工艺水平、质量保证能力、市场表现等方面表现一般，低于行业平均水平。</w:t>
            </w:r>
          </w:p>
        </w:tc>
      </w:tr>
    </w:tbl>
    <w:p w14:paraId="14516C2F">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p>
    <w:p w14:paraId="70DF41EB">
      <w:pPr>
        <w:pStyle w:val="11"/>
        <w:keepNext w:val="0"/>
        <w:keepLines w:val="0"/>
        <w:widowControl/>
        <w:numPr>
          <w:ilvl w:val="2"/>
          <w:numId w:val="5"/>
        </w:numPr>
        <w:suppressLineNumbers w:val="0"/>
        <w:spacing w:before="120" w:beforeLines="50" w:beforeAutospacing="0" w:after="120" w:afterLines="50" w:afterAutospacing="0" w:line="360" w:lineRule="auto"/>
        <w:ind w:left="0" w:right="0" w:firstLine="0"/>
        <w:jc w:val="both"/>
        <w:outlineLvl w:val="1"/>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各等级具体要求</w:t>
      </w:r>
    </w:p>
    <w:p w14:paraId="5DB166E4">
      <w:pPr>
        <w:pStyle w:val="11"/>
        <w:keepNext w:val="0"/>
        <w:keepLines w:val="0"/>
        <w:widowControl w:val="0"/>
        <w:numPr>
          <w:ilvl w:val="3"/>
          <w:numId w:val="5"/>
        </w:numPr>
        <w:suppressLineNumbers w:val="0"/>
        <w:adjustRightInd/>
        <w:spacing w:before="120" w:beforeLines="50" w:beforeAutospacing="0" w:after="120" w:afterLines="50" w:afterAutospacing="0" w:line="360" w:lineRule="auto"/>
        <w:ind w:left="0" w:right="0" w:firstLine="0"/>
        <w:jc w:val="both"/>
        <w:outlineLvl w:val="2"/>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特级</w:t>
      </w:r>
    </w:p>
    <w:p w14:paraId="42608EA6">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bookmarkStart w:id="42" w:name="_Hlk192066903"/>
      <w:r>
        <w:rPr>
          <w:rFonts w:hint="eastAsia" w:ascii="Times New Roman" w:hAnsi="Times New Roman" w:eastAsia="宋体" w:cs="Times New Roman"/>
          <w:kern w:val="0"/>
          <w:sz w:val="28"/>
          <w:szCs w:val="28"/>
          <w:lang w:val="en-US" w:eastAsia="zh-CN" w:bidi="ar"/>
        </w:rPr>
        <w:t>应满足以下要求：</w:t>
      </w:r>
    </w:p>
    <w:bookmarkEnd w:id="42"/>
    <w:p w14:paraId="1397F13B">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性能指标：所有性能指标均达到行业领先水平，部分指标达到国际先进水平。</w:t>
      </w:r>
    </w:p>
    <w:p w14:paraId="29FC2FC7">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可靠性：产品可靠性高，平均无故障工作时间长，失效率低。</w:t>
      </w:r>
    </w:p>
    <w:p w14:paraId="313C68A0">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工艺水平：采用先进的加工设备和检测手段，工艺稳定，产品合格率高。</w:t>
      </w:r>
    </w:p>
    <w:p w14:paraId="355FA043">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质量保证能力：建立完善的质量管理体系和追溯体系，持续开展质量改进活动。</w:t>
      </w:r>
    </w:p>
    <w:p w14:paraId="3B921A27">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市场表现：市场占有率高，用户满意度高，品牌知名度高。</w:t>
      </w:r>
    </w:p>
    <w:p w14:paraId="62DF8FF6">
      <w:pPr>
        <w:pStyle w:val="11"/>
        <w:keepNext w:val="0"/>
        <w:keepLines w:val="0"/>
        <w:widowControl w:val="0"/>
        <w:numPr>
          <w:ilvl w:val="3"/>
          <w:numId w:val="5"/>
        </w:numPr>
        <w:suppressLineNumbers w:val="0"/>
        <w:adjustRightInd/>
        <w:spacing w:before="120" w:beforeLines="50" w:beforeAutospacing="0" w:after="120" w:afterLines="50" w:afterAutospacing="0" w:line="360" w:lineRule="auto"/>
        <w:ind w:left="0" w:right="0" w:firstLine="0"/>
        <w:jc w:val="both"/>
        <w:outlineLvl w:val="2"/>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一级</w:t>
      </w:r>
    </w:p>
    <w:p w14:paraId="3ECEC429">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应满足以下要求：</w:t>
      </w:r>
    </w:p>
    <w:p w14:paraId="1626C368">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性能指标：主要性能指标达到行业领先水平，部分指标接近国际先进水平。</w:t>
      </w:r>
    </w:p>
    <w:p w14:paraId="257281B7">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可靠性：产品可靠性较高，平均无故障工作时间较长，失效率较低。</w:t>
      </w:r>
    </w:p>
    <w:p w14:paraId="25E8DE94">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工艺水平：采用先进的加工设备和检测手段，工艺较为稳定，产品合格率较高。</w:t>
      </w:r>
    </w:p>
    <w:p w14:paraId="1B4E295C">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质量保证能力：建立较为完善的质量管理体系和追溯体系，定期开展质量改进活动。</w:t>
      </w:r>
    </w:p>
    <w:p w14:paraId="0949006F">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市场表现：市场占有率较高，用户满意度较高，品牌知名度较高。</w:t>
      </w:r>
    </w:p>
    <w:p w14:paraId="25EFB1C0">
      <w:pPr>
        <w:pStyle w:val="11"/>
        <w:keepNext w:val="0"/>
        <w:keepLines w:val="0"/>
        <w:widowControl w:val="0"/>
        <w:numPr>
          <w:ilvl w:val="3"/>
          <w:numId w:val="5"/>
        </w:numPr>
        <w:suppressLineNumbers w:val="0"/>
        <w:adjustRightInd/>
        <w:spacing w:before="120" w:beforeLines="50" w:beforeAutospacing="0" w:after="120" w:afterLines="50" w:afterAutospacing="0" w:line="360" w:lineRule="auto"/>
        <w:ind w:left="0" w:right="0" w:firstLine="0"/>
        <w:jc w:val="both"/>
        <w:outlineLvl w:val="2"/>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二级</w:t>
      </w:r>
    </w:p>
    <w:p w14:paraId="13A7E251">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应满足以下要求：</w:t>
      </w:r>
    </w:p>
    <w:p w14:paraId="331B4D1C">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性能指标：主要性能指标达到行业平均水平。</w:t>
      </w:r>
    </w:p>
    <w:p w14:paraId="497CC027">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可靠性：产品可靠性一般，平均无故障工作时间一般，失效率一般。</w:t>
      </w:r>
    </w:p>
    <w:p w14:paraId="460BAA69">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工艺水平：采用常规的加工设备和检测手段，工艺基本稳定，产品合格率一般。</w:t>
      </w:r>
    </w:p>
    <w:p w14:paraId="230E47C3">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质量保证能力：建立基本完善的质量管理体系和追溯体系，偶尔开展质量改进活动。</w:t>
      </w:r>
    </w:p>
    <w:p w14:paraId="1657F146">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市场表现：市场占有率一般，用户满意度一般，品牌知名度一般。</w:t>
      </w:r>
    </w:p>
    <w:p w14:paraId="64F3EC47">
      <w:pPr>
        <w:pStyle w:val="11"/>
        <w:keepNext w:val="0"/>
        <w:keepLines w:val="0"/>
        <w:widowControl w:val="0"/>
        <w:numPr>
          <w:ilvl w:val="3"/>
          <w:numId w:val="5"/>
        </w:numPr>
        <w:suppressLineNumbers w:val="0"/>
        <w:adjustRightInd/>
        <w:spacing w:before="120" w:beforeLines="50" w:beforeAutospacing="0" w:after="120" w:afterLines="50" w:afterAutospacing="0" w:line="360" w:lineRule="auto"/>
        <w:ind w:left="0" w:right="0" w:firstLine="0"/>
        <w:jc w:val="both"/>
        <w:outlineLvl w:val="2"/>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三级</w:t>
      </w:r>
    </w:p>
    <w:p w14:paraId="76E80734">
      <w:pPr>
        <w:pStyle w:val="11"/>
        <w:keepNext w:val="0"/>
        <w:keepLines w:val="0"/>
        <w:widowControl/>
        <w:suppressLineNumbers w:val="0"/>
        <w:autoSpaceDE w:val="0"/>
        <w:autoSpaceDN w:val="0"/>
        <w:adjustRightInd/>
        <w:spacing w:before="0" w:beforeAutospacing="0" w:after="0" w:afterAutospacing="0" w:line="360" w:lineRule="auto"/>
        <w:ind w:left="0" w:right="0" w:firstLine="560" w:firstLineChars="200"/>
        <w:jc w:val="both"/>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应满足以下要求：</w:t>
      </w:r>
    </w:p>
    <w:p w14:paraId="7BDC3FD7">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性能指标：部分性能指标未达到行业平均水平。</w:t>
      </w:r>
    </w:p>
    <w:p w14:paraId="1A12C4C7">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可靠性：产品可靠性较低，平均无故障工作时间较短，失效率较高。</w:t>
      </w:r>
    </w:p>
    <w:p w14:paraId="076C073A">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工艺水平：加工设备和检测手段较为落后，工艺不稳定，产品合格率较低。</w:t>
      </w:r>
    </w:p>
    <w:p w14:paraId="5DC6A5FF">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质量保证能力：质量管理体系和追溯体系不完善，缺乏质量改进活动。</w:t>
      </w:r>
    </w:p>
    <w:p w14:paraId="57BEAFE0">
      <w:pPr>
        <w:pStyle w:val="11"/>
        <w:keepNext w:val="0"/>
        <w:keepLines w:val="0"/>
        <w:widowControl/>
        <w:numPr>
          <w:ilvl w:val="0"/>
          <w:numId w:val="7"/>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市场表现：市场占有率较低，用户满意度较低，品牌知名度较低。</w:t>
      </w:r>
    </w:p>
    <w:p w14:paraId="7EED93CE">
      <w:pPr>
        <w:pStyle w:val="11"/>
        <w:keepNext w:val="0"/>
        <w:keepLines w:val="0"/>
        <w:widowControl/>
        <w:numPr>
          <w:ilvl w:val="2"/>
          <w:numId w:val="5"/>
        </w:numPr>
        <w:suppressLineNumbers w:val="0"/>
        <w:spacing w:before="120" w:beforeLines="50" w:beforeAutospacing="0" w:after="120" w:afterLines="50" w:afterAutospacing="0" w:line="360" w:lineRule="auto"/>
        <w:ind w:left="0" w:right="0" w:firstLine="0"/>
        <w:jc w:val="both"/>
        <w:outlineLvl w:val="1"/>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等级标识</w:t>
      </w:r>
    </w:p>
    <w:p w14:paraId="7E18C659">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获得质量分级及评价的研磨丝杆，可在产品包装、说明书、网站等位置使用相应的等级标识。</w:t>
      </w:r>
    </w:p>
    <w:p w14:paraId="6C47E091">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特级可使用</w:t>
      </w:r>
      <w:r>
        <w:rPr>
          <w:rFonts w:hint="default" w:ascii="Times New Roman" w:hAnsi="Times New Roman" w:eastAsia="宋体" w:cs="Times New Roman"/>
          <w:kern w:val="0"/>
          <w:sz w:val="28"/>
          <w:szCs w:val="28"/>
          <w:lang w:val="en-US" w:eastAsia="zh-CN" w:bidi="ar"/>
        </w:rPr>
        <w:t>“</w:t>
      </w:r>
      <w:r>
        <w:rPr>
          <w:rFonts w:hint="eastAsia" w:ascii="Times New Roman" w:hAnsi="Times New Roman" w:eastAsia="宋体" w:cs="Times New Roman"/>
          <w:kern w:val="0"/>
          <w:sz w:val="28"/>
          <w:szCs w:val="28"/>
          <w:lang w:val="en-US" w:eastAsia="zh-CN" w:bidi="ar"/>
        </w:rPr>
        <w:t>研磨丝杆特级</w:t>
      </w:r>
      <w:r>
        <w:rPr>
          <w:rFonts w:hint="default" w:ascii="Times New Roman" w:hAnsi="Times New Roman" w:eastAsia="宋体" w:cs="Times New Roman"/>
          <w:kern w:val="0"/>
          <w:sz w:val="28"/>
          <w:szCs w:val="28"/>
          <w:lang w:val="en-US" w:eastAsia="zh-CN" w:bidi="ar"/>
        </w:rPr>
        <w:t>”</w:t>
      </w:r>
      <w:r>
        <w:rPr>
          <w:rFonts w:hint="eastAsia" w:ascii="Times New Roman" w:hAnsi="Times New Roman" w:eastAsia="宋体" w:cs="Times New Roman"/>
          <w:kern w:val="0"/>
          <w:sz w:val="28"/>
          <w:szCs w:val="28"/>
          <w:lang w:val="en-US" w:eastAsia="zh-CN" w:bidi="ar"/>
        </w:rPr>
        <w:t>标识。</w:t>
      </w:r>
    </w:p>
    <w:p w14:paraId="1689B35B">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一级可使用</w:t>
      </w:r>
      <w:r>
        <w:rPr>
          <w:rFonts w:hint="default" w:ascii="Times New Roman" w:hAnsi="Times New Roman" w:eastAsia="宋体" w:cs="Times New Roman"/>
          <w:kern w:val="0"/>
          <w:sz w:val="28"/>
          <w:szCs w:val="28"/>
          <w:lang w:val="en-US" w:eastAsia="zh-CN" w:bidi="ar"/>
        </w:rPr>
        <w:t>“</w:t>
      </w:r>
      <w:r>
        <w:rPr>
          <w:rFonts w:hint="eastAsia" w:ascii="Times New Roman" w:hAnsi="Times New Roman" w:eastAsia="宋体" w:cs="Times New Roman"/>
          <w:kern w:val="0"/>
          <w:sz w:val="28"/>
          <w:szCs w:val="28"/>
          <w:lang w:val="en-US" w:eastAsia="zh-CN" w:bidi="ar"/>
        </w:rPr>
        <w:t>研磨丝杆一级</w:t>
      </w:r>
      <w:r>
        <w:rPr>
          <w:rFonts w:hint="default" w:ascii="Times New Roman" w:hAnsi="Times New Roman" w:eastAsia="宋体" w:cs="Times New Roman"/>
          <w:kern w:val="0"/>
          <w:sz w:val="28"/>
          <w:szCs w:val="28"/>
          <w:lang w:val="en-US" w:eastAsia="zh-CN" w:bidi="ar"/>
        </w:rPr>
        <w:t>”</w:t>
      </w:r>
      <w:r>
        <w:rPr>
          <w:rFonts w:hint="eastAsia" w:ascii="Times New Roman" w:hAnsi="Times New Roman" w:eastAsia="宋体" w:cs="Times New Roman"/>
          <w:kern w:val="0"/>
          <w:sz w:val="28"/>
          <w:szCs w:val="28"/>
          <w:lang w:val="en-US" w:eastAsia="zh-CN" w:bidi="ar"/>
        </w:rPr>
        <w:t>标识。</w:t>
      </w:r>
    </w:p>
    <w:p w14:paraId="0CE28811">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二级可使用</w:t>
      </w:r>
      <w:r>
        <w:rPr>
          <w:rFonts w:hint="default" w:ascii="Times New Roman" w:hAnsi="Times New Roman" w:eastAsia="宋体" w:cs="Times New Roman"/>
          <w:kern w:val="0"/>
          <w:sz w:val="28"/>
          <w:szCs w:val="28"/>
          <w:lang w:val="en-US" w:eastAsia="zh-CN" w:bidi="ar"/>
        </w:rPr>
        <w:t>“</w:t>
      </w:r>
      <w:r>
        <w:rPr>
          <w:rFonts w:hint="eastAsia" w:ascii="Times New Roman" w:hAnsi="Times New Roman" w:eastAsia="宋体" w:cs="Times New Roman"/>
          <w:kern w:val="0"/>
          <w:sz w:val="28"/>
          <w:szCs w:val="28"/>
          <w:lang w:val="en-US" w:eastAsia="zh-CN" w:bidi="ar"/>
        </w:rPr>
        <w:t>研磨丝杆二级</w:t>
      </w:r>
      <w:r>
        <w:rPr>
          <w:rFonts w:hint="default" w:ascii="Times New Roman" w:hAnsi="Times New Roman" w:eastAsia="宋体" w:cs="Times New Roman"/>
          <w:kern w:val="0"/>
          <w:sz w:val="28"/>
          <w:szCs w:val="28"/>
          <w:lang w:val="en-US" w:eastAsia="zh-CN" w:bidi="ar"/>
        </w:rPr>
        <w:t>”</w:t>
      </w:r>
      <w:r>
        <w:rPr>
          <w:rFonts w:hint="eastAsia" w:ascii="Times New Roman" w:hAnsi="Times New Roman" w:eastAsia="宋体" w:cs="Times New Roman"/>
          <w:kern w:val="0"/>
          <w:sz w:val="28"/>
          <w:szCs w:val="28"/>
          <w:lang w:val="en-US" w:eastAsia="zh-CN" w:bidi="ar"/>
        </w:rPr>
        <w:t>标识。</w:t>
      </w:r>
    </w:p>
    <w:p w14:paraId="66546174">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三级可使用</w:t>
      </w:r>
      <w:r>
        <w:rPr>
          <w:rFonts w:hint="default" w:ascii="Times New Roman" w:hAnsi="Times New Roman" w:eastAsia="宋体" w:cs="Times New Roman"/>
          <w:kern w:val="0"/>
          <w:sz w:val="28"/>
          <w:szCs w:val="28"/>
          <w:lang w:val="en-US" w:eastAsia="zh-CN" w:bidi="ar"/>
        </w:rPr>
        <w:t>“</w:t>
      </w:r>
      <w:r>
        <w:rPr>
          <w:rFonts w:hint="eastAsia" w:ascii="Times New Roman" w:hAnsi="Times New Roman" w:eastAsia="宋体" w:cs="Times New Roman"/>
          <w:kern w:val="0"/>
          <w:sz w:val="28"/>
          <w:szCs w:val="28"/>
          <w:lang w:val="en-US" w:eastAsia="zh-CN" w:bidi="ar"/>
        </w:rPr>
        <w:t>研磨丝杆三级</w:t>
      </w:r>
      <w:r>
        <w:rPr>
          <w:rFonts w:hint="default" w:ascii="Times New Roman" w:hAnsi="Times New Roman" w:eastAsia="宋体" w:cs="Times New Roman"/>
          <w:kern w:val="0"/>
          <w:sz w:val="28"/>
          <w:szCs w:val="28"/>
          <w:lang w:val="en-US" w:eastAsia="zh-CN" w:bidi="ar"/>
        </w:rPr>
        <w:t>”</w:t>
      </w:r>
      <w:r>
        <w:rPr>
          <w:rFonts w:hint="eastAsia" w:ascii="Times New Roman" w:hAnsi="Times New Roman" w:eastAsia="宋体" w:cs="Times New Roman"/>
          <w:kern w:val="0"/>
          <w:sz w:val="28"/>
          <w:szCs w:val="28"/>
          <w:lang w:val="en-US" w:eastAsia="zh-CN" w:bidi="ar"/>
        </w:rPr>
        <w:t>标识。</w:t>
      </w:r>
    </w:p>
    <w:p w14:paraId="43C06518">
      <w:pPr>
        <w:pStyle w:val="11"/>
        <w:keepNext w:val="0"/>
        <w:keepLines w:val="0"/>
        <w:widowControl/>
        <w:numPr>
          <w:ilvl w:val="2"/>
          <w:numId w:val="5"/>
        </w:numPr>
        <w:suppressLineNumbers w:val="0"/>
        <w:spacing w:before="120" w:beforeLines="50" w:beforeAutospacing="0" w:after="120" w:afterLines="50" w:afterAutospacing="0" w:line="360" w:lineRule="auto"/>
        <w:ind w:left="0" w:right="0" w:firstLine="0"/>
        <w:jc w:val="both"/>
        <w:outlineLvl w:val="1"/>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等级动态调整</w:t>
      </w:r>
    </w:p>
    <w:p w14:paraId="49BFE41F">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应建立等级动态调整机制，定期对已获得等级的产品进行复评。</w:t>
      </w:r>
    </w:p>
    <w:p w14:paraId="50CEB2AA">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对于质量提升明显的产品，可升级其等级。</w:t>
      </w:r>
    </w:p>
    <w:p w14:paraId="1CA3C17D">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对于质量下降的产品，可降低其等级或取消其等级资格。</w:t>
      </w:r>
    </w:p>
    <w:p w14:paraId="0903039F">
      <w:pPr>
        <w:pStyle w:val="11"/>
        <w:keepNext w:val="0"/>
        <w:keepLines w:val="0"/>
        <w:widowControl/>
        <w:numPr>
          <w:ilvl w:val="1"/>
          <w:numId w:val="5"/>
        </w:numPr>
        <w:suppressLineNumbers w:val="0"/>
        <w:adjustRightInd/>
        <w:spacing w:before="240" w:beforeLines="100" w:beforeAutospacing="0" w:after="240" w:afterLines="100" w:afterAutospacing="0" w:line="360" w:lineRule="auto"/>
        <w:ind w:left="0" w:right="0" w:firstLine="0"/>
        <w:jc w:val="both"/>
        <w:outlineLvl w:val="0"/>
        <w:rPr>
          <w:rFonts w:hint="default" w:ascii="Times New Roman" w:hAnsi="Times New Roman" w:cs="Times New Roman"/>
          <w:sz w:val="28"/>
          <w:szCs w:val="28"/>
          <w:lang w:val="en-US"/>
        </w:rPr>
      </w:pPr>
      <w:bookmarkStart w:id="43" w:name="_Toc192085353"/>
      <w:r>
        <w:rPr>
          <w:rFonts w:hint="eastAsia" w:ascii="Times New Roman" w:hAnsi="Times New Roman" w:eastAsia="黑体" w:cs="Times New Roman"/>
          <w:kern w:val="0"/>
          <w:sz w:val="28"/>
          <w:szCs w:val="28"/>
          <w:lang w:val="en-US" w:eastAsia="zh-CN" w:bidi="ar"/>
        </w:rPr>
        <w:t>标识</w:t>
      </w:r>
      <w:bookmarkEnd w:id="43"/>
    </w:p>
    <w:p w14:paraId="7266B7DD">
      <w:pPr>
        <w:pStyle w:val="11"/>
        <w:keepNext w:val="0"/>
        <w:keepLines w:val="0"/>
        <w:widowControl/>
        <w:numPr>
          <w:ilvl w:val="2"/>
          <w:numId w:val="5"/>
        </w:numPr>
        <w:suppressLineNumbers w:val="0"/>
        <w:spacing w:before="120" w:beforeLines="50" w:beforeAutospacing="0" w:after="120" w:afterLines="50" w:afterAutospacing="0" w:line="360" w:lineRule="auto"/>
        <w:ind w:left="0" w:right="0" w:firstLine="0"/>
        <w:jc w:val="both"/>
        <w:outlineLvl w:val="1"/>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标识设计</w:t>
      </w:r>
    </w:p>
    <w:p w14:paraId="3CC497F1">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标识图案应简洁明了，易于识别，并体现研磨丝杆行业特点和质量分级及评价的含义。</w:t>
      </w:r>
    </w:p>
    <w:p w14:paraId="1CC5A0D9">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标识颜色应醒目、庄重，建议采用红色、金色等颜色。</w:t>
      </w:r>
    </w:p>
    <w:p w14:paraId="4143B7F2">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标识文字应清晰易读，包括</w:t>
      </w:r>
      <w:r>
        <w:rPr>
          <w:rFonts w:hint="default" w:ascii="Times New Roman" w:hAnsi="Times New Roman" w:eastAsia="宋体" w:cs="Times New Roman"/>
          <w:kern w:val="0"/>
          <w:sz w:val="28"/>
          <w:szCs w:val="28"/>
          <w:lang w:val="en-US" w:eastAsia="zh-CN" w:bidi="ar"/>
        </w:rPr>
        <w:t>“</w:t>
      </w:r>
      <w:r>
        <w:rPr>
          <w:rFonts w:hint="eastAsia" w:ascii="Times New Roman" w:hAnsi="Times New Roman" w:eastAsia="宋体" w:cs="Times New Roman"/>
          <w:kern w:val="0"/>
          <w:sz w:val="28"/>
          <w:szCs w:val="28"/>
          <w:lang w:val="en-US" w:eastAsia="zh-CN" w:bidi="ar"/>
        </w:rPr>
        <w:t>研磨丝杆质量分级及评价</w:t>
      </w:r>
      <w:r>
        <w:rPr>
          <w:rFonts w:hint="default" w:ascii="Times New Roman" w:hAnsi="Times New Roman" w:eastAsia="宋体" w:cs="Times New Roman"/>
          <w:kern w:val="0"/>
          <w:sz w:val="28"/>
          <w:szCs w:val="28"/>
          <w:lang w:val="en-US" w:eastAsia="zh-CN" w:bidi="ar"/>
        </w:rPr>
        <w:t>”</w:t>
      </w:r>
      <w:r>
        <w:rPr>
          <w:rFonts w:hint="eastAsia" w:ascii="Times New Roman" w:hAnsi="Times New Roman" w:eastAsia="宋体" w:cs="Times New Roman"/>
          <w:kern w:val="0"/>
          <w:sz w:val="28"/>
          <w:szCs w:val="28"/>
          <w:lang w:val="en-US" w:eastAsia="zh-CN" w:bidi="ar"/>
        </w:rPr>
        <w:t>字样和等级名称（特级、一级、二级、三级）。</w:t>
      </w:r>
    </w:p>
    <w:p w14:paraId="2FEDBC9E">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标识尺寸应根据使用场景进行合理设计，标识应清晰可见。</w:t>
      </w:r>
    </w:p>
    <w:p w14:paraId="3F423088">
      <w:pPr>
        <w:pStyle w:val="11"/>
        <w:keepNext w:val="0"/>
        <w:keepLines w:val="0"/>
        <w:widowControl/>
        <w:numPr>
          <w:ilvl w:val="2"/>
          <w:numId w:val="5"/>
        </w:numPr>
        <w:suppressLineNumbers w:val="0"/>
        <w:spacing w:before="120" w:beforeLines="50" w:beforeAutospacing="0" w:after="120" w:afterLines="50" w:afterAutospacing="0" w:line="360" w:lineRule="auto"/>
        <w:ind w:left="0" w:right="0" w:firstLine="0"/>
        <w:jc w:val="both"/>
        <w:outlineLvl w:val="1"/>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标识使用</w:t>
      </w:r>
    </w:p>
    <w:p w14:paraId="0A4C2839">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获得质量分级及评价的研磨丝杆，可在产品包装、说明书、网站、宣传资料等位置使用相应的等级标识。</w:t>
      </w:r>
    </w:p>
    <w:p w14:paraId="2B36B21E">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标识应清晰、醒目地标注在产品或相关资料的显著位置。</w:t>
      </w:r>
    </w:p>
    <w:p w14:paraId="7C37C4FA">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标识使用期限应与等级有效期一致，到期后需重新申请评价。</w:t>
      </w:r>
    </w:p>
    <w:p w14:paraId="2B7A7285">
      <w:pPr>
        <w:pStyle w:val="11"/>
        <w:keepNext w:val="0"/>
        <w:keepLines w:val="0"/>
        <w:widowControl/>
        <w:numPr>
          <w:ilvl w:val="2"/>
          <w:numId w:val="5"/>
        </w:numPr>
        <w:suppressLineNumbers w:val="0"/>
        <w:spacing w:before="120" w:beforeLines="50" w:beforeAutospacing="0" w:after="120" w:afterLines="50" w:afterAutospacing="0" w:line="360" w:lineRule="auto"/>
        <w:ind w:left="0" w:right="0" w:firstLine="0"/>
        <w:jc w:val="both"/>
        <w:outlineLvl w:val="1"/>
        <w:rPr>
          <w:rFonts w:hint="default" w:ascii="Times New Roman" w:hAnsi="Times New Roman" w:cs="Times New Roman"/>
          <w:sz w:val="28"/>
          <w:szCs w:val="28"/>
          <w:lang w:val="en-US"/>
        </w:rPr>
      </w:pPr>
      <w:r>
        <w:rPr>
          <w:rFonts w:hint="eastAsia" w:ascii="Times New Roman" w:hAnsi="Times New Roman" w:eastAsia="黑体" w:cs="Times New Roman"/>
          <w:kern w:val="0"/>
          <w:sz w:val="28"/>
          <w:szCs w:val="28"/>
          <w:lang w:val="en-US" w:eastAsia="zh-CN" w:bidi="ar"/>
        </w:rPr>
        <w:t>标识管理</w:t>
      </w:r>
    </w:p>
    <w:p w14:paraId="7849B6BD">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获得质量分级及评价的企业，应将标识图案、使用范围等信息向相关部门备案。</w:t>
      </w:r>
    </w:p>
    <w:p w14:paraId="107F92D0">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相关部门应加强对标识使用的监管，打击假冒伪劣标识，维护标识的权威性。</w:t>
      </w:r>
    </w:p>
    <w:p w14:paraId="3EEC10F8">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应建立标识追溯机制，标识可追溯至具体产品和生产企业。</w:t>
      </w:r>
    </w:p>
    <w:p w14:paraId="11A94C7C">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宜鼓励企业创新标识设计，提升品牌形象。</w:t>
      </w:r>
    </w:p>
    <w:p w14:paraId="53C8D2FA">
      <w:pPr>
        <w:pStyle w:val="11"/>
        <w:keepNext w:val="0"/>
        <w:keepLines w:val="0"/>
        <w:widowControl w:val="0"/>
        <w:numPr>
          <w:ilvl w:val="3"/>
          <w:numId w:val="5"/>
        </w:numPr>
        <w:suppressLineNumbers w:val="0"/>
        <w:spacing w:before="0" w:beforeLines="-2147483648" w:beforeAutospacing="0" w:after="0" w:afterLines="-2147483648" w:afterAutospacing="0" w:line="360" w:lineRule="auto"/>
        <w:ind w:left="0" w:right="0" w:firstLine="0"/>
        <w:jc w:val="both"/>
        <w:outlineLvl w:val="9"/>
        <w:rPr>
          <w:rFonts w:hint="default" w:ascii="Times New Roman" w:hAnsi="Times New Roman" w:cs="Times New Roman"/>
          <w:sz w:val="28"/>
          <w:szCs w:val="28"/>
          <w:lang w:val="en-US"/>
        </w:rPr>
      </w:pPr>
      <w:r>
        <w:rPr>
          <w:rFonts w:hint="eastAsia" w:ascii="Times New Roman" w:hAnsi="Times New Roman" w:eastAsia="宋体" w:cs="Times New Roman"/>
          <w:kern w:val="0"/>
          <w:sz w:val="28"/>
          <w:szCs w:val="28"/>
          <w:lang w:val="en-US" w:eastAsia="zh-CN" w:bidi="ar"/>
        </w:rPr>
        <w:t>相关部门应加强对标识的宣传和推广，提高公众对标识的认知度。</w:t>
      </w:r>
    </w:p>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4"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44"/>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5"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45"/>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6"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46"/>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eastAsia" w:ascii="Times New Roman" w:hAnsi="Times New Roman" w:cs="Times New Roman"/>
          <w:kern w:val="0"/>
          <w:sz w:val="28"/>
          <w:szCs w:val="28"/>
          <w:highlight w:val="none"/>
          <w:lang w:val="en-US" w:eastAsia="zh-CN" w:bidi="ar-SA"/>
        </w:rPr>
        <w:t>质量分级及评价</w:t>
      </w:r>
      <w:r>
        <w:rPr>
          <w:rFonts w:hint="default" w:ascii="Times New Roman" w:hAnsi="Times New Roman" w:cs="Times New Roman" w:eastAsiaTheme="minorEastAsia"/>
          <w:kern w:val="0"/>
          <w:sz w:val="28"/>
          <w:szCs w:val="28"/>
          <w:highlight w:val="none"/>
          <w:lang w:val="en-US" w:eastAsia="zh-CN" w:bidi="ar-SA"/>
        </w:rPr>
        <w:t>企业规范运营，在国际市场上有机会与其他各国（相关）企业竞争。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47"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47"/>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8"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48"/>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9"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49"/>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0"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50"/>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1"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51"/>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2"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52"/>
    </w:p>
    <w:p w14:paraId="72CE720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sectPr>
      <w:footerReference r:id="rId4" w:type="default"/>
      <w:pgSz w:w="11906" w:h="16838"/>
      <w:pgMar w:top="1418" w:right="1418" w:bottom="1985"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 w:name="@黑体">
    <w:panose1 w:val="02010609060101010101"/>
    <w:charset w:val="86"/>
    <w:family w:val="auto"/>
    <w:pitch w:val="fixed"/>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7AE436"/>
    <w:multiLevelType w:val="multilevel"/>
    <w:tmpl w:val="CA7AE436"/>
    <w:lvl w:ilvl="0" w:tentative="0">
      <w:start w:val="1"/>
      <w:numFmt w:val="decimal"/>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5"/>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F1292C52"/>
    <w:multiLevelType w:val="multilevel"/>
    <w:tmpl w:val="F1292C52"/>
    <w:lvl w:ilvl="0" w:tentative="0">
      <w:start w:val="1"/>
      <w:numFmt w:val="none"/>
      <w:suff w:val="nothing"/>
      <w:lvlText w:val="%1"/>
      <w:lvlJc w:val="left"/>
      <w:pPr>
        <w:ind w:left="0" w:firstLine="0"/>
      </w:pPr>
    </w:lvl>
    <w:lvl w:ilvl="1" w:tentative="0">
      <w:start w:val="1"/>
      <w:numFmt w:val="decimal"/>
      <w:pStyle w:val="39"/>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43"/>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41"/>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2">
    <w:nsid w:val="FB3E8CB8"/>
    <w:multiLevelType w:val="multilevel"/>
    <w:tmpl w:val="FB3E8CB8"/>
    <w:lvl w:ilvl="0" w:tentative="0">
      <w:start w:val="1"/>
      <w:numFmt w:val="decimal"/>
      <w:pStyle w:val="3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5"/>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12970D18"/>
    <w:multiLevelType w:val="multilevel"/>
    <w:tmpl w:val="12970D18"/>
    <w:lvl w:ilvl="0" w:tentative="0">
      <w:start w:val="1"/>
      <w:numFmt w:val="none"/>
      <w:pStyle w:val="36"/>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5">
    <w:nsid w:val="62297841"/>
    <w:multiLevelType w:val="multilevel"/>
    <w:tmpl w:val="62297841"/>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6">
    <w:nsid w:val="75AE42E5"/>
    <w:multiLevelType w:val="multilevel"/>
    <w:tmpl w:val="75AE42E5"/>
    <w:lvl w:ilvl="0" w:tentative="0">
      <w:start w:val="1"/>
      <w:numFmt w:val="none"/>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num w:numId="1">
    <w:abstractNumId w:val="3"/>
  </w:num>
  <w:num w:numId="2">
    <w:abstractNumId w:val="2"/>
  </w:num>
  <w:num w:numId="3">
    <w:abstractNumId w:val="4"/>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10F4177"/>
    <w:rsid w:val="169901DF"/>
    <w:rsid w:val="170D2EB2"/>
    <w:rsid w:val="18E71105"/>
    <w:rsid w:val="19312DFE"/>
    <w:rsid w:val="1F15287C"/>
    <w:rsid w:val="255B6B18"/>
    <w:rsid w:val="2C2D1EE2"/>
    <w:rsid w:val="2D467F37"/>
    <w:rsid w:val="2DAD6C8F"/>
    <w:rsid w:val="34CA3C75"/>
    <w:rsid w:val="3AFC0F1D"/>
    <w:rsid w:val="40E14CE3"/>
    <w:rsid w:val="542D0422"/>
    <w:rsid w:val="57BF1D4F"/>
    <w:rsid w:val="5EBD7B0D"/>
    <w:rsid w:val="663F4E49"/>
    <w:rsid w:val="67A80C44"/>
    <w:rsid w:val="6B9E6287"/>
    <w:rsid w:val="6E433E9B"/>
    <w:rsid w:val="6FF12124"/>
    <w:rsid w:val="706C61B1"/>
    <w:rsid w:val="70764670"/>
    <w:rsid w:val="721F5CDA"/>
    <w:rsid w:val="729E236D"/>
    <w:rsid w:val="742D6873"/>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段"/>
    <w:basedOn w:val="1"/>
    <w:link w:val="42"/>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5">
    <w:name w:val="标准文件_正文表标题"/>
    <w:basedOn w:val="1"/>
    <w:next w:val="34"/>
    <w:qFormat/>
    <w:uiPriority w:val="0"/>
    <w:pPr>
      <w:keepNext w:val="0"/>
      <w:keepLines w:val="0"/>
      <w:widowControl/>
      <w:numPr>
        <w:ilvl w:val="0"/>
        <w:numId w:val="2"/>
      </w:numPr>
      <w:suppressLineNumbers w:val="0"/>
      <w:tabs>
        <w:tab w:val="left" w:pos="0"/>
      </w:tabs>
      <w:adjustRightInd/>
      <w:spacing w:before="50" w:beforeLines="50" w:beforeAutospacing="0" w:after="50" w:afterLines="50" w:afterAutospacing="0" w:line="240" w:lineRule="auto"/>
      <w:ind w:left="0" w:right="0" w:firstLine="0"/>
      <w:jc w:val="center"/>
    </w:pPr>
    <w:rPr>
      <w:rFonts w:hint="eastAsia" w:ascii="黑体" w:hAnsi="Times New Roman" w:eastAsia="黑体" w:cs="Times New Roman"/>
      <w:kern w:val="0"/>
      <w:sz w:val="21"/>
      <w:szCs w:val="20"/>
      <w:lang w:val="en-US" w:eastAsia="zh-CN" w:bidi="ar"/>
    </w:rPr>
  </w:style>
  <w:style w:type="paragraph" w:customStyle="1" w:styleId="36">
    <w:name w:val="标准文件_一级项"/>
    <w:basedOn w:val="1"/>
    <w:qFormat/>
    <w:uiPriority w:val="0"/>
    <w:pPr>
      <w:keepNext w:val="0"/>
      <w:keepLines w:val="0"/>
      <w:widowControl/>
      <w:numPr>
        <w:ilvl w:val="0"/>
        <w:numId w:val="3"/>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37">
    <w:name w:val="标准文件_二级条标题"/>
    <w:basedOn w:val="1"/>
    <w:next w:val="34"/>
    <w:qFormat/>
    <w:uiPriority w:val="0"/>
    <w:pPr>
      <w:keepNext w:val="0"/>
      <w:keepLines w:val="0"/>
      <w:widowControl w:val="0"/>
      <w:numPr>
        <w:ilvl w:val="3"/>
        <w:numId w:val="4"/>
      </w:numPr>
      <w:suppressLineNumbers w:val="0"/>
      <w:adjustRightInd/>
      <w:spacing w:before="50" w:beforeLines="50" w:beforeAutospacing="0" w:after="50" w:afterLines="50" w:afterAutospacing="0" w:line="240" w:lineRule="auto"/>
      <w:ind w:left="0" w:right="0" w:firstLine="0"/>
      <w:jc w:val="both"/>
      <w:outlineLvl w:val="2"/>
    </w:pPr>
    <w:rPr>
      <w:rFonts w:hint="eastAsia" w:ascii="黑体" w:hAnsi="Times New Roman" w:eastAsia="黑体" w:cs="Times New Roman"/>
      <w:kern w:val="0"/>
      <w:sz w:val="21"/>
      <w:szCs w:val="20"/>
      <w:lang w:val="en-US" w:eastAsia="zh-CN" w:bidi="ar"/>
    </w:rPr>
  </w:style>
  <w:style w:type="paragraph" w:customStyle="1" w:styleId="38">
    <w:name w:val="标准文件_一级条标题"/>
    <w:basedOn w:val="39"/>
    <w:next w:val="34"/>
    <w:qFormat/>
    <w:uiPriority w:val="0"/>
    <w:pPr>
      <w:keepNext w:val="0"/>
      <w:keepLines w:val="0"/>
      <w:widowControl/>
      <w:numPr>
        <w:ilvl w:val="2"/>
        <w:numId w:val="4"/>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39">
    <w:name w:val="标准文件_章标题"/>
    <w:basedOn w:val="1"/>
    <w:next w:val="34"/>
    <w:qFormat/>
    <w:uiPriority w:val="0"/>
    <w:pPr>
      <w:keepNext w:val="0"/>
      <w:keepLines w:val="0"/>
      <w:widowControl/>
      <w:numPr>
        <w:ilvl w:val="1"/>
        <w:numId w:val="4"/>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40">
    <w:name w:val="标准文件_一级无标题"/>
    <w:basedOn w:val="38"/>
    <w:qFormat/>
    <w:uiPriority w:val="0"/>
    <w:pPr>
      <w:keepNext w:val="0"/>
      <w:keepLines w:val="0"/>
      <w:widowControl/>
      <w:numPr>
        <w:ilvl w:val="2"/>
        <w:numId w:val="4"/>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41">
    <w:name w:val="标准文件_二级无标题"/>
    <w:basedOn w:val="37"/>
    <w:qFormat/>
    <w:uiPriority w:val="0"/>
    <w:pPr>
      <w:keepNext w:val="0"/>
      <w:keepLines w:val="0"/>
      <w:widowControl w:val="0"/>
      <w:numPr>
        <w:ilvl w:val="3"/>
        <w:numId w:val="4"/>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character" w:customStyle="1" w:styleId="42">
    <w:name w:val="标准文件_段 Char"/>
    <w:basedOn w:val="14"/>
    <w:link w:val="34"/>
    <w:qFormat/>
    <w:uiPriority w:val="0"/>
    <w:rPr>
      <w:rFonts w:hint="eastAsia" w:ascii="宋体" w:hAnsi="Times New Roman" w:eastAsia="宋体" w:cs="宋体"/>
      <w:sz w:val="21"/>
    </w:rPr>
  </w:style>
  <w:style w:type="paragraph" w:customStyle="1" w:styleId="43">
    <w:name w:val="标准文件_术语条一"/>
    <w:basedOn w:val="40"/>
    <w:next w:val="34"/>
    <w:qFormat/>
    <w:uiPriority w:val="0"/>
    <w:pPr>
      <w:keepNext w:val="0"/>
      <w:keepLines w:val="0"/>
      <w:widowControl/>
      <w:numPr>
        <w:ilvl w:val="2"/>
        <w:numId w:val="4"/>
      </w:numPr>
      <w:suppressLineNumbers w:val="0"/>
      <w:spacing w:before="0" w:beforeAutospacing="0" w:after="0" w:afterAutospacing="0"/>
      <w:ind w:left="0" w:right="0" w:firstLine="0"/>
      <w:jc w:val="both"/>
    </w:pPr>
    <w:rPr>
      <w:rFonts w:hint="eastAsia" w:ascii="宋体"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2969</Words>
  <Characters>3193</Characters>
  <Lines>62</Lines>
  <Paragraphs>17</Paragraphs>
  <TotalTime>9</TotalTime>
  <ScaleCrop>false</ScaleCrop>
  <LinksUpToDate>false</LinksUpToDate>
  <CharactersWithSpaces>3294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JuneRain</cp:lastModifiedBy>
  <dcterms:modified xsi:type="dcterms:W3CDTF">2025-03-25T09:24:50Z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286513CB856B4AD4B4C264CC0310DEB1</vt:lpwstr>
  </property>
  <property fmtid="{D5CDD505-2E9C-101B-9397-08002B2CF9AE}" pid="4" name="KSOTemplateDocerSaveRecord">
    <vt:lpwstr>eyJoZGlkIjoiYjBjNmNlZTRkMmZjYmYyZTM5OTBkZjEzNTRhZTU4MGUiLCJ1c2VySWQiOiI3MzQxNTE1NjYifQ==</vt:lpwstr>
  </property>
</Properties>
</file>