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9FA4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F9F618B">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06E13CC">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13.020.60</w:t>
            </w:r>
            <w:r>
              <w:rPr>
                <w:rFonts w:ascii="黑体" w:hAnsi="黑体" w:eastAsia="黑体"/>
                <w:sz w:val="21"/>
                <w:szCs w:val="21"/>
              </w:rPr>
              <w:fldChar w:fldCharType="end"/>
            </w:r>
            <w:bookmarkEnd w:id="0"/>
          </w:p>
        </w:tc>
      </w:tr>
      <w:tr w14:paraId="0D10F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2950E3B">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2813A56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B4F9BAA">
                  <w:pPr>
                    <w:pStyle w:val="50"/>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14BC0B7A">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Z 04</w:t>
            </w:r>
            <w:r>
              <w:rPr>
                <w:rFonts w:ascii="黑体" w:hAnsi="黑体" w:eastAsia="黑体"/>
                <w:sz w:val="21"/>
                <w:szCs w:val="21"/>
              </w:rPr>
              <w:fldChar w:fldCharType="end"/>
            </w:r>
            <w:bookmarkEnd w:id="2"/>
          </w:p>
        </w:tc>
      </w:tr>
    </w:tbl>
    <w:p w14:paraId="5E2A8486">
      <w:pPr>
        <w:pStyle w:val="51"/>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02AEB83">
      <w:pPr>
        <w:pStyle w:val="196"/>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2999CA79">
      <w:pPr>
        <w:pStyle w:val="197"/>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0BF93B2F">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3602887">
      <w:pPr>
        <w:pStyle w:val="51"/>
        <w:framePr w:w="9639" w:h="6976" w:hRule="exact" w:hSpace="0" w:vSpace="0" w:wrap="around" w:hAnchor="page" w:y="6408"/>
        <w:jc w:val="center"/>
        <w:rPr>
          <w:rFonts w:hint="eastAsia" w:ascii="黑体" w:hAnsi="黑体" w:eastAsia="黑体"/>
          <w:b w:val="0"/>
          <w:bCs w:val="0"/>
          <w:w w:val="100"/>
        </w:rPr>
      </w:pPr>
    </w:p>
    <w:p w14:paraId="4AFFB48F">
      <w:pPr>
        <w:pStyle w:val="198"/>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可持续性产品评价要求 研磨丝杆</w:t>
      </w:r>
      <w:r>
        <w:fldChar w:fldCharType="end"/>
      </w:r>
      <w:bookmarkEnd w:id="9"/>
    </w:p>
    <w:p w14:paraId="4EBEB2FB">
      <w:pPr>
        <w:framePr w:w="9639" w:h="6974" w:hRule="exact" w:wrap="around" w:vAnchor="page" w:hAnchor="page" w:x="1419" w:y="6408" w:anchorLock="1"/>
        <w:ind w:left="-1418"/>
      </w:pPr>
    </w:p>
    <w:p w14:paraId="04E529A5">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Evaluation of sustainable products requires  Grinding screw</w:t>
      </w:r>
      <w:r>
        <w:rPr>
          <w:rFonts w:eastAsia="黑体"/>
          <w:szCs w:val="28"/>
        </w:rPr>
        <w:fldChar w:fldCharType="end"/>
      </w:r>
      <w:bookmarkEnd w:id="10"/>
    </w:p>
    <w:p w14:paraId="667B45FA">
      <w:pPr>
        <w:framePr w:w="9639" w:h="6974" w:hRule="exact" w:wrap="around" w:vAnchor="page" w:hAnchor="page" w:x="1419" w:y="6408" w:anchorLock="1"/>
        <w:spacing w:line="760" w:lineRule="exact"/>
        <w:ind w:left="-1418"/>
      </w:pPr>
    </w:p>
    <w:p w14:paraId="22387A03">
      <w:pPr>
        <w:pStyle w:val="25"/>
        <w:framePr w:w="9639" w:h="6974" w:hRule="exact" w:wrap="around" w:vAnchor="page" w:hAnchor="page" w:x="1419" w:y="6408" w:anchorLock="1"/>
        <w:adjustRightInd/>
        <w:spacing w:before="440" w:after="160" w:line="360" w:lineRule="exact"/>
        <w:jc w:val="center"/>
        <w:textAlignment w:val="bottom"/>
        <w:rPr>
          <w:szCs w:val="28"/>
        </w:rPr>
      </w:pPr>
      <w:r>
        <w:rPr>
          <w:rFonts w:ascii="Times New Roman" w:hAnsi="Times New Roman"/>
          <w:kern w:val="0"/>
          <w:szCs w:val="28"/>
          <w:lang w:bidi="ar"/>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rFonts w:ascii="Times New Roman" w:hAnsi="Times New Roman"/>
          <w:kern w:val="0"/>
          <w:szCs w:val="28"/>
          <w:lang w:bidi="ar"/>
        </w:rPr>
        <w:instrText xml:space="preserve"> FORMDROPDOWN </w:instrText>
      </w:r>
      <w:r>
        <w:rPr>
          <w:rFonts w:ascii="Times New Roman" w:hAnsi="Times New Roman"/>
          <w:kern w:val="0"/>
          <w:szCs w:val="28"/>
          <w:lang w:bidi="ar"/>
        </w:rPr>
        <w:fldChar w:fldCharType="separate"/>
      </w:r>
      <w:r>
        <w:rPr>
          <w:rFonts w:ascii="Times New Roman" w:hAnsi="Times New Roman"/>
          <w:kern w:val="0"/>
          <w:sz w:val="28"/>
          <w:szCs w:val="20"/>
          <w:lang w:bidi="ar"/>
        </w:rPr>
        <w:fldChar w:fldCharType="end"/>
      </w:r>
      <w:bookmarkEnd w:id="11"/>
    </w:p>
    <w:p w14:paraId="6BAD9808">
      <w:pPr>
        <w:pStyle w:val="25"/>
        <w:framePr w:w="9639" w:h="6974" w:hRule="exact" w:wrap="around" w:vAnchor="page" w:hAnchor="page" w:x="1419" w:y="6408" w:anchorLock="1"/>
        <w:adjustRightInd/>
        <w:spacing w:before="180" w:line="240" w:lineRule="atLeast"/>
        <w:jc w:val="center"/>
        <w:textAlignment w:val="bottom"/>
        <w:rPr>
          <w:sz w:val="21"/>
          <w:szCs w:val="28"/>
        </w:rPr>
      </w:pPr>
      <w:r>
        <w:rPr>
          <w:rFonts w:ascii="Times New Roman" w:hAnsi="Times New Roman"/>
          <w:kern w:val="0"/>
          <w:sz w:val="21"/>
          <w:szCs w:val="28"/>
          <w:lang w:bidi="ar"/>
        </w:rPr>
        <w:fldChar w:fldCharType="begin">
          <w:ffData>
            <w:name w:val="CMPLSH_DATE"/>
            <w:enabled/>
            <w:calcOnExit w:val="0"/>
            <w:textInput/>
          </w:ffData>
        </w:fldChar>
      </w:r>
      <w:bookmarkStart w:id="12" w:name="CMPLSH_DATE"/>
      <w:r>
        <w:rPr>
          <w:rFonts w:ascii="Times New Roman" w:hAnsi="Times New Roman"/>
          <w:kern w:val="0"/>
          <w:sz w:val="21"/>
          <w:szCs w:val="28"/>
          <w:lang w:bidi="ar"/>
        </w:rPr>
        <w:instrText xml:space="preserve"> FORMTEXT </w:instrText>
      </w:r>
      <w:r>
        <w:rPr>
          <w:rFonts w:ascii="Times New Roman" w:hAnsi="Times New Roman"/>
          <w:kern w:val="0"/>
          <w:sz w:val="21"/>
          <w:szCs w:val="28"/>
          <w:lang w:bidi="ar"/>
        </w:rPr>
        <w:fldChar w:fldCharType="separate"/>
      </w:r>
      <w:r>
        <w:rPr>
          <w:rFonts w:ascii="Times New Roman" w:hAnsi="Times New Roman"/>
          <w:kern w:val="0"/>
          <w:sz w:val="21"/>
          <w:szCs w:val="28"/>
          <w:lang w:bidi="ar"/>
        </w:rPr>
        <w:t>     </w:t>
      </w:r>
      <w:r>
        <w:rPr>
          <w:rFonts w:ascii="Times New Roman" w:hAnsi="Times New Roman"/>
          <w:kern w:val="0"/>
          <w:sz w:val="28"/>
          <w:szCs w:val="20"/>
          <w:lang w:bidi="ar"/>
        </w:rPr>
        <w:fldChar w:fldCharType="end"/>
      </w:r>
      <w:bookmarkEnd w:id="12"/>
    </w:p>
    <w:p w14:paraId="7DAE6E07">
      <w:pPr>
        <w:pStyle w:val="25"/>
        <w:framePr w:w="9639" w:h="6974" w:hRule="exact" w:wrap="around" w:vAnchor="page" w:hAnchor="page" w:x="1419" w:y="6408" w:anchorLock="1"/>
        <w:adjustRightInd/>
        <w:spacing w:before="720" w:beforeLines="300" w:after="72" w:afterLines="30" w:line="240" w:lineRule="auto"/>
        <w:jc w:val="center"/>
        <w:textAlignment w:val="bottom"/>
        <w:rPr>
          <w:b/>
          <w:sz w:val="21"/>
          <w:szCs w:val="28"/>
        </w:rPr>
      </w:pPr>
      <w:r>
        <w:rPr>
          <w:rFonts w:ascii="Times New Roman" w:hAnsi="Times New Roman"/>
          <w:b/>
          <w:kern w:val="0"/>
          <w:sz w:val="21"/>
          <w:szCs w:val="28"/>
          <w:lang w:bidi="ar"/>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rFonts w:ascii="Times New Roman" w:hAnsi="Times New Roman"/>
          <w:b/>
          <w:kern w:val="0"/>
          <w:sz w:val="21"/>
          <w:szCs w:val="28"/>
          <w:lang w:bidi="ar"/>
        </w:rPr>
        <w:instrText xml:space="preserve"> FORMDROPDOWN </w:instrText>
      </w:r>
      <w:r>
        <w:rPr>
          <w:rFonts w:ascii="Times New Roman" w:hAnsi="Times New Roman"/>
          <w:b/>
          <w:kern w:val="0"/>
          <w:sz w:val="21"/>
          <w:szCs w:val="28"/>
          <w:lang w:bidi="ar"/>
        </w:rPr>
        <w:fldChar w:fldCharType="separate"/>
      </w:r>
      <w:r>
        <w:rPr>
          <w:rFonts w:ascii="Times New Roman" w:hAnsi="Times New Roman"/>
          <w:kern w:val="0"/>
          <w:sz w:val="28"/>
          <w:szCs w:val="20"/>
          <w:lang w:bidi="ar"/>
        </w:rPr>
        <w:fldChar w:fldCharType="end"/>
      </w:r>
      <w:bookmarkEnd w:id="13"/>
    </w:p>
    <w:p w14:paraId="27BFFDF4">
      <w:pPr>
        <w:pStyle w:val="126"/>
        <w:framePr w:w="9639" w:h="6974" w:hRule="exact" w:wrap="around" w:vAnchor="page" w:hAnchor="page" w:x="1419" w:y="6408" w:anchorLock="1"/>
        <w:textAlignment w:val="bottom"/>
        <w:rPr>
          <w:rFonts w:eastAsia="黑体"/>
          <w:szCs w:val="28"/>
        </w:rPr>
      </w:pPr>
    </w:p>
    <w:p w14:paraId="0B7E336A">
      <w:pPr>
        <w:pStyle w:val="19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3871EB6">
      <w:pPr>
        <w:pStyle w:val="19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1B1DE3E">
      <w:pPr>
        <w:pStyle w:val="152"/>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中国中小企业协会</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4FA7DE38">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604E12F">
      <w:pPr>
        <w:pStyle w:val="92"/>
        <w:spacing w:after="360"/>
        <w:rPr>
          <w:rFonts w:ascii="Times New Roman" w:hAnsi="Times New Roman"/>
        </w:rPr>
      </w:pPr>
      <w:bookmarkStart w:id="21" w:name="BookMark1"/>
      <w:bookmarkStart w:id="22" w:name="_Toc179906344"/>
      <w:bookmarkStart w:id="23" w:name="_Toc179966951"/>
      <w:bookmarkStart w:id="24" w:name="_Toc179816564"/>
      <w:r>
        <w:rPr>
          <w:rFonts w:ascii="Times New Roman" w:hAnsi="Times New Roman"/>
          <w:spacing w:val="320"/>
        </w:rPr>
        <w:t>目</w:t>
      </w:r>
      <w:r>
        <w:rPr>
          <w:rFonts w:ascii="Times New Roman" w:hAnsi="Times New Roman"/>
        </w:rPr>
        <w:t>次</w:t>
      </w:r>
    </w:p>
    <w:p w14:paraId="343FB5EC">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"_Toc192153878" </w:instrText>
      </w:r>
      <w:r>
        <w:fldChar w:fldCharType="separate"/>
      </w:r>
      <w:r>
        <w:rPr>
          <w:rStyle w:val="33"/>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_Toc192153878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0B32DD4E">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"_Toc192153879" </w:instrText>
      </w:r>
      <w:r>
        <w:fldChar w:fldCharType="separate"/>
      </w:r>
      <w:r>
        <w:rPr>
          <w:rStyle w:val="33"/>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_Toc192153879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3960A026">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"_Toc192153880" </w:instrText>
      </w:r>
      <w:r>
        <w:fldChar w:fldCharType="separate"/>
      </w:r>
      <w:r>
        <w:rPr>
          <w:rStyle w:val="33"/>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_Toc192153880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AECAF17">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"_Toc192153881" </w:instrText>
      </w:r>
      <w:r>
        <w:fldChar w:fldCharType="separate"/>
      </w:r>
      <w:r>
        <w:rPr>
          <w:rStyle w:val="33"/>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_Toc192153881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505E4A9">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"_Toc192153882" </w:instrText>
      </w:r>
      <w:r>
        <w:fldChar w:fldCharType="separate"/>
      </w:r>
      <w:r>
        <w:rPr>
          <w:rStyle w:val="33"/>
          <w:rFonts w:ascii="Times New Roman"/>
        </w:rPr>
        <w:t>4  评价原则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_Toc192153882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7E222964">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"_Toc192153883" </w:instrText>
      </w:r>
      <w:r>
        <w:fldChar w:fldCharType="separate"/>
      </w:r>
      <w:r>
        <w:rPr>
          <w:rStyle w:val="33"/>
          <w:rFonts w:ascii="Times New Roman"/>
        </w:rPr>
        <w:t>5  评价体系</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_Toc192153883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7F9AE739">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"_Toc192153884" </w:instrText>
      </w:r>
      <w:r>
        <w:fldChar w:fldCharType="separate"/>
      </w:r>
      <w:r>
        <w:rPr>
          <w:rStyle w:val="33"/>
          <w:rFonts w:ascii="Times New Roman"/>
        </w:rPr>
        <w:t>6  评价要求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_Toc192153884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74A56652">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"_Toc192153885" </w:instrText>
      </w:r>
      <w:r>
        <w:fldChar w:fldCharType="separate"/>
      </w:r>
      <w:r>
        <w:rPr>
          <w:rStyle w:val="33"/>
          <w:rFonts w:ascii="Times New Roman"/>
        </w:rPr>
        <w:t>7  评价方法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_Toc192153885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0853584B">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"_Toc192153886" </w:instrText>
      </w:r>
      <w:r>
        <w:fldChar w:fldCharType="separate"/>
      </w:r>
      <w:r>
        <w:rPr>
          <w:rStyle w:val="33"/>
          <w:rFonts w:ascii="Times New Roman"/>
        </w:rPr>
        <w:t>附录A（资料性）  可持续性产品评价指标证明材料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_Toc192153886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006EFC82">
      <w:pPr>
        <w:pStyle w:val="92"/>
        <w:spacing w:after="360"/>
        <w:rPr>
          <w:rFonts w:ascii="Times New Roman" w:hAns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1"/>
    <w:p w14:paraId="3CD9B0BD">
      <w:pPr>
        <w:pStyle w:val="90"/>
        <w:spacing w:before="900" w:after="360"/>
        <w:rPr>
          <w:rFonts w:ascii="Times New Roman"/>
        </w:rPr>
      </w:pPr>
      <w:bookmarkStart w:id="25" w:name="_Toc192153878"/>
      <w:bookmarkStart w:id="26" w:name="BookMark2"/>
      <w:r>
        <w:rPr>
          <w:rFonts w:ascii="Times New Roman"/>
          <w:spacing w:val="320"/>
        </w:rPr>
        <w:t>前</w:t>
      </w:r>
      <w:r>
        <w:rPr>
          <w:rFonts w:ascii="Times New Roman"/>
        </w:rPr>
        <w:t>言</w:t>
      </w:r>
      <w:bookmarkEnd w:id="22"/>
      <w:bookmarkEnd w:id="23"/>
      <w:bookmarkEnd w:id="24"/>
      <w:bookmarkEnd w:id="25"/>
    </w:p>
    <w:p w14:paraId="065E0E45">
      <w:pPr>
        <w:pStyle w:val="57"/>
        <w:ind w:firstLine="420"/>
        <w:rPr>
          <w:rFonts w:ascii="Times New Roman"/>
        </w:rPr>
      </w:pPr>
      <w:r>
        <w:rPr>
          <w:rFonts w:ascii="Times New Roman"/>
        </w:rPr>
        <w:t>本文件按照GB/T 1.1—2020《标准化工作导则  第1部分：标准化文件的结构和起草规则》的规定起草。</w:t>
      </w:r>
    </w:p>
    <w:p w14:paraId="61561035">
      <w:pPr>
        <w:pStyle w:val="57"/>
        <w:ind w:firstLine="420"/>
        <w:rPr>
          <w:rFonts w:ascii="Times New Roman"/>
        </w:rPr>
      </w:pPr>
      <w:r>
        <w:rPr>
          <w:rFonts w:ascii="Times New Roman"/>
        </w:rPr>
        <w:t>请注意本文件的某些内容可能涉及专利。本文件的发布机构不承担识别专利的责任。</w:t>
      </w:r>
    </w:p>
    <w:p w14:paraId="3DB8A25D">
      <w:pPr>
        <w:pStyle w:val="57"/>
        <w:ind w:firstLine="420"/>
        <w:rPr>
          <w:rFonts w:ascii="Times New Roman"/>
        </w:rPr>
      </w:pPr>
      <w:r>
        <w:rPr>
          <w:rFonts w:ascii="Times New Roman"/>
        </w:rPr>
        <w:t>本文件由</w:t>
      </w:r>
      <w:r>
        <w:rPr>
          <w:rFonts w:hint="eastAsia" w:ascii="Times New Roman"/>
        </w:rPr>
        <w:t>浙江健壮传动科技有限公司</w:t>
      </w:r>
      <w:r>
        <w:rPr>
          <w:rFonts w:ascii="Times New Roman"/>
        </w:rPr>
        <w:t>提出。</w:t>
      </w:r>
    </w:p>
    <w:p w14:paraId="6F398CD8">
      <w:pPr>
        <w:pStyle w:val="57"/>
        <w:ind w:firstLine="420"/>
        <w:rPr>
          <w:rFonts w:ascii="Times New Roman"/>
        </w:rPr>
      </w:pPr>
      <w:r>
        <w:rPr>
          <w:rFonts w:ascii="Times New Roman"/>
        </w:rPr>
        <w:t>本文件由</w:t>
      </w:r>
      <w:r>
        <w:rPr>
          <w:rFonts w:hint="eastAsia" w:ascii="Times New Roman"/>
        </w:rPr>
        <w:t>中国中小企业协会</w:t>
      </w:r>
      <w:r>
        <w:rPr>
          <w:rFonts w:ascii="Times New Roman"/>
        </w:rPr>
        <w:t>归口。</w:t>
      </w:r>
    </w:p>
    <w:p w14:paraId="0DDD2A1E">
      <w:pPr>
        <w:pStyle w:val="57"/>
        <w:ind w:firstLine="420"/>
        <w:rPr>
          <w:rFonts w:hint="eastAsia" w:ascii="Times New Roman" w:eastAsia="宋体"/>
          <w:lang w:eastAsia="zh-CN"/>
        </w:rPr>
      </w:pPr>
      <w:r>
        <w:rPr>
          <w:rFonts w:ascii="Times New Roman"/>
        </w:rPr>
        <w:t>本文件起草单位：</w:t>
      </w:r>
      <w:r>
        <w:rPr>
          <w:rFonts w:hint="eastAsia" w:ascii="Times New Roman"/>
        </w:rPr>
        <w:t>浙江健壮传动科技有限公司</w:t>
      </w:r>
      <w:r>
        <w:rPr>
          <w:rFonts w:hint="eastAsia" w:ascii="Times New Roman"/>
          <w:lang w:eastAsia="zh-CN"/>
        </w:rPr>
        <w:t>。</w:t>
      </w:r>
      <w:bookmarkStart w:id="87" w:name="_GoBack"/>
      <w:bookmarkEnd w:id="87"/>
    </w:p>
    <w:p w14:paraId="78A566E2">
      <w:pPr>
        <w:pStyle w:val="57"/>
        <w:ind w:firstLine="420"/>
        <w:rPr>
          <w:rFonts w:ascii="Times New Roman"/>
        </w:rPr>
      </w:pPr>
      <w:r>
        <w:rPr>
          <w:rFonts w:ascii="Times New Roman"/>
        </w:rPr>
        <w:t>本文件主要起草人：</w:t>
      </w:r>
    </w:p>
    <w:p w14:paraId="7C68EFD2">
      <w:pPr>
        <w:pStyle w:val="57"/>
        <w:ind w:firstLine="420"/>
        <w:rPr>
          <w:rFonts w:ascii="Times New Roman"/>
        </w:rPr>
      </w:pPr>
    </w:p>
    <w:p w14:paraId="60C55814">
      <w:pPr>
        <w:pStyle w:val="57"/>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p>
    <w:bookmarkEnd w:id="26"/>
    <w:p w14:paraId="0DD0DCCC">
      <w:pPr>
        <w:spacing w:line="20" w:lineRule="exact"/>
        <w:jc w:val="center"/>
        <w:rPr>
          <w:rFonts w:ascii="Times New Roman" w:hAnsi="Times New Roman" w:eastAsia="黑体"/>
          <w:sz w:val="32"/>
          <w:szCs w:val="32"/>
        </w:rPr>
      </w:pPr>
      <w:bookmarkStart w:id="27" w:name="BookMark4"/>
    </w:p>
    <w:p w14:paraId="20B3364F">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8247599FA82E4DC5BEFA56813CE9E4E9"/>
        </w:placeholder>
      </w:sdtPr>
      <w:sdtEndPr>
        <w:rPr>
          <w:rFonts w:ascii="Times New Roman" w:hAnsi="Times New Roman"/>
        </w:rPr>
      </w:sdtEndPr>
      <w:sdtContent>
        <w:p w14:paraId="16373105">
          <w:pPr>
            <w:pStyle w:val="178"/>
            <w:spacing w:before="240" w:beforeLines="100" w:after="528" w:afterLines="220"/>
            <w:rPr>
              <w:rFonts w:ascii="Times New Roman" w:hAnsi="Times New Roman"/>
            </w:rPr>
          </w:pPr>
          <w:bookmarkStart w:id="28" w:name="NEW_STAND_NAME"/>
          <w:r>
            <w:rPr>
              <w:rFonts w:ascii="Times New Roman" w:hAnsi="Times New Roman"/>
            </w:rPr>
            <w:t>可持续性产品评价要求 研磨丝杆</w:t>
          </w:r>
        </w:p>
      </w:sdtContent>
    </w:sdt>
    <w:bookmarkEnd w:id="28"/>
    <w:p w14:paraId="5E6048C2">
      <w:pPr>
        <w:pStyle w:val="105"/>
        <w:spacing w:before="240" w:after="240"/>
        <w:rPr>
          <w:rFonts w:ascii="Times New Roman"/>
        </w:rPr>
      </w:pPr>
      <w:bookmarkStart w:id="29" w:name="_Toc26986771"/>
      <w:bookmarkStart w:id="30" w:name="_Toc24884211"/>
      <w:bookmarkStart w:id="31" w:name="_Toc179816565"/>
      <w:bookmarkStart w:id="32" w:name="_Toc26986530"/>
      <w:bookmarkStart w:id="33" w:name="_Toc179906345"/>
      <w:bookmarkStart w:id="34" w:name="_Toc97192964"/>
      <w:bookmarkStart w:id="35" w:name="_Toc24884218"/>
      <w:bookmarkStart w:id="36" w:name="_Toc17233325"/>
      <w:bookmarkStart w:id="37" w:name="_Toc17233333"/>
      <w:bookmarkStart w:id="38" w:name="_Toc179966952"/>
      <w:bookmarkStart w:id="39" w:name="_Toc26648465"/>
      <w:bookmarkStart w:id="40" w:name="_Toc26718930"/>
      <w:bookmarkStart w:id="41" w:name="_Toc192153879"/>
      <w:r>
        <w:rPr>
          <w:rFonts w:ascii="Times New Roman"/>
        </w:rPr>
        <w:t>范围</w:t>
      </w:r>
      <w:bookmarkEnd w:id="29"/>
      <w:bookmarkEnd w:id="30"/>
      <w:bookmarkEnd w:id="31"/>
      <w:bookmarkEnd w:id="32"/>
      <w:bookmarkEnd w:id="33"/>
      <w:bookmarkEnd w:id="34"/>
      <w:bookmarkEnd w:id="35"/>
      <w:bookmarkEnd w:id="36"/>
      <w:bookmarkEnd w:id="37"/>
      <w:bookmarkEnd w:id="38"/>
      <w:bookmarkEnd w:id="39"/>
      <w:bookmarkEnd w:id="40"/>
      <w:bookmarkEnd w:id="41"/>
    </w:p>
    <w:p w14:paraId="2ED4204E">
      <w:pPr>
        <w:pStyle w:val="57"/>
        <w:ind w:firstLine="420"/>
        <w:rPr>
          <w:rFonts w:ascii="Times New Roman"/>
        </w:rPr>
      </w:pPr>
      <w:bookmarkStart w:id="42" w:name="_Toc24884219"/>
      <w:bookmarkStart w:id="43" w:name="_Toc17233326"/>
      <w:bookmarkStart w:id="44" w:name="_Toc17233334"/>
      <w:bookmarkStart w:id="45" w:name="_Toc26648466"/>
      <w:bookmarkStart w:id="46" w:name="_Toc24884212"/>
      <w:r>
        <w:rPr>
          <w:rFonts w:ascii="Times New Roman"/>
        </w:rPr>
        <w:t>本文件规定了研磨丝杆可持续产品评价的术语和定义、评价原则、评价体系、评价要求和评价方法相关内容。</w:t>
      </w:r>
    </w:p>
    <w:p w14:paraId="1AE82468">
      <w:pPr>
        <w:pStyle w:val="57"/>
        <w:ind w:firstLine="420"/>
        <w:rPr>
          <w:rFonts w:ascii="Times New Roman"/>
        </w:rPr>
      </w:pPr>
      <w:r>
        <w:rPr>
          <w:rFonts w:ascii="Times New Roman"/>
        </w:rPr>
        <w:t>本文件适用于研磨丝杆可持续产品评价。</w:t>
      </w:r>
    </w:p>
    <w:p w14:paraId="56C97BFA">
      <w:pPr>
        <w:pStyle w:val="105"/>
        <w:spacing w:before="240" w:after="240"/>
        <w:rPr>
          <w:rFonts w:ascii="Times New Roman"/>
        </w:rPr>
      </w:pPr>
      <w:bookmarkStart w:id="47" w:name="_Toc179966953"/>
      <w:bookmarkStart w:id="48" w:name="_Toc192153880"/>
      <w:bookmarkStart w:id="49" w:name="_Toc97192965"/>
      <w:bookmarkStart w:id="50" w:name="_Toc179816566"/>
      <w:bookmarkStart w:id="51" w:name="_Toc179906346"/>
      <w:bookmarkStart w:id="52" w:name="_Toc26718931"/>
      <w:bookmarkStart w:id="53" w:name="_Toc26986531"/>
      <w:bookmarkStart w:id="54" w:name="_Toc26986772"/>
      <w:r>
        <w:rPr>
          <w:rFonts w:ascii="Times New Roman"/>
        </w:rPr>
        <w:t>规范性引用文件</w:t>
      </w:r>
      <w:bookmarkEnd w:id="42"/>
      <w:bookmarkEnd w:id="43"/>
      <w:bookmarkEnd w:id="44"/>
      <w:bookmarkEnd w:id="45"/>
      <w:bookmarkEnd w:id="46"/>
      <w:bookmarkEnd w:id="47"/>
      <w:bookmarkEnd w:id="48"/>
      <w:bookmarkEnd w:id="49"/>
      <w:bookmarkEnd w:id="50"/>
      <w:bookmarkEnd w:id="51"/>
      <w:bookmarkEnd w:id="52"/>
      <w:bookmarkEnd w:id="53"/>
      <w:bookmarkEnd w:id="54"/>
    </w:p>
    <w:sdt>
      <w:sdtPr>
        <w:rPr>
          <w:rFonts w:ascii="Times New Roman"/>
        </w:rPr>
        <w:id w:val="715848253"/>
        <w:placeholder>
          <w:docPart w:val="FBDF20C48D9544D798F431329C44836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0AA609A1">
          <w:pPr>
            <w:pStyle w:val="57"/>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ECC16DE">
      <w:pPr>
        <w:pStyle w:val="57"/>
        <w:ind w:firstLine="420"/>
        <w:rPr>
          <w:rFonts w:ascii="Times New Roman"/>
        </w:rPr>
      </w:pPr>
      <w:r>
        <w:rPr>
          <w:rFonts w:ascii="Times New Roman"/>
        </w:rPr>
        <w:t>GB/T 16716.1 包装与环境 第1部分：通则</w:t>
      </w:r>
    </w:p>
    <w:p w14:paraId="16961107">
      <w:pPr>
        <w:pStyle w:val="57"/>
        <w:ind w:firstLine="420"/>
        <w:rPr>
          <w:rFonts w:ascii="Times New Roman"/>
        </w:rPr>
      </w:pPr>
      <w:r>
        <w:rPr>
          <w:rFonts w:ascii="Times New Roman"/>
        </w:rPr>
        <w:t>GB/T 18455 包装回收标志</w:t>
      </w:r>
    </w:p>
    <w:p w14:paraId="1617ECDF">
      <w:pPr>
        <w:pStyle w:val="57"/>
        <w:ind w:firstLine="420"/>
        <w:rPr>
          <w:rFonts w:ascii="Times New Roman"/>
        </w:rPr>
      </w:pPr>
      <w:r>
        <w:rPr>
          <w:rFonts w:ascii="Times New Roman"/>
        </w:rPr>
        <w:t>GB/T 19001 质量管理体系 要求</w:t>
      </w:r>
    </w:p>
    <w:p w14:paraId="2EE6EAC0">
      <w:pPr>
        <w:pStyle w:val="57"/>
        <w:ind w:firstLine="420"/>
        <w:rPr>
          <w:rFonts w:ascii="Times New Roman"/>
        </w:rPr>
      </w:pPr>
      <w:r>
        <w:rPr>
          <w:rFonts w:ascii="Times New Roman"/>
        </w:rPr>
        <w:t>GB/T 20862 产品可回收利用率计算方法导则</w:t>
      </w:r>
    </w:p>
    <w:p w14:paraId="6BC88304">
      <w:pPr>
        <w:pStyle w:val="57"/>
        <w:ind w:firstLine="420"/>
        <w:rPr>
          <w:rFonts w:ascii="Times New Roman"/>
        </w:rPr>
      </w:pPr>
      <w:r>
        <w:rPr>
          <w:rFonts w:ascii="Times New Roman"/>
        </w:rPr>
        <w:t>GB/T 24001 环境管理体系 要求及使用指南</w:t>
      </w:r>
    </w:p>
    <w:p w14:paraId="0657244C">
      <w:pPr>
        <w:pStyle w:val="57"/>
        <w:ind w:firstLine="420"/>
        <w:rPr>
          <w:rFonts w:ascii="Times New Roman"/>
        </w:rPr>
      </w:pPr>
      <w:r>
        <w:rPr>
          <w:rFonts w:ascii="Times New Roman"/>
        </w:rPr>
        <w:t>GB/T 31268 限制商品过度包装 通则</w:t>
      </w:r>
    </w:p>
    <w:p w14:paraId="58182431">
      <w:pPr>
        <w:pStyle w:val="57"/>
        <w:ind w:firstLine="420"/>
        <w:rPr>
          <w:rFonts w:ascii="Times New Roman"/>
        </w:rPr>
      </w:pPr>
      <w:r>
        <w:rPr>
          <w:rFonts w:ascii="Times New Roman"/>
        </w:rPr>
        <w:t xml:space="preserve">GB/T 45001 职业健康安全管理体系 要求及使用指南 </w:t>
      </w:r>
    </w:p>
    <w:p w14:paraId="31314890">
      <w:pPr>
        <w:pStyle w:val="57"/>
        <w:ind w:firstLine="420"/>
        <w:rPr>
          <w:rFonts w:ascii="Times New Roman"/>
        </w:rPr>
      </w:pPr>
      <w:r>
        <w:rPr>
          <w:rFonts w:ascii="Times New Roman"/>
        </w:rPr>
        <w:t>ISO 14067 温室气体 产品碳足迹 量化要求和指南（Greenhouse gases—Carbon footprint of products—Requirements and guidelines for quantification）</w:t>
      </w:r>
    </w:p>
    <w:p w14:paraId="4AB99135">
      <w:pPr>
        <w:pStyle w:val="57"/>
        <w:ind w:firstLine="420"/>
        <w:rPr>
          <w:rFonts w:ascii="Times New Roman"/>
        </w:rPr>
      </w:pPr>
      <w:r>
        <w:rPr>
          <w:rFonts w:ascii="Times New Roman"/>
        </w:rPr>
        <w:t>ISO 14068-1 气候变化管理向净零的过渡 第1部分：碳中和（Climate change management—Transition to net zero—Part 1: Carbon neutrality）</w:t>
      </w:r>
    </w:p>
    <w:p w14:paraId="4C047060">
      <w:pPr>
        <w:pStyle w:val="57"/>
        <w:ind w:firstLine="420"/>
        <w:rPr>
          <w:rFonts w:ascii="Times New Roman"/>
        </w:rPr>
      </w:pPr>
      <w:r>
        <w:rPr>
          <w:rFonts w:ascii="Times New Roman"/>
        </w:rPr>
        <w:t xml:space="preserve">ASTMD 6866 使用放射性碳分析法测定固体、液体和气体样品中生物基含量的标准试验方法（Standard </w:t>
      </w:r>
      <w:r>
        <w:rPr>
          <w:rFonts w:hint="eastAsia" w:ascii="Times New Roman"/>
        </w:rPr>
        <w:t>t</w:t>
      </w:r>
      <w:r>
        <w:rPr>
          <w:rFonts w:ascii="Times New Roman"/>
        </w:rPr>
        <w:t xml:space="preserve">est </w:t>
      </w:r>
      <w:r>
        <w:rPr>
          <w:rFonts w:hint="eastAsia" w:ascii="Times New Roman"/>
        </w:rPr>
        <w:t>m</w:t>
      </w:r>
      <w:r>
        <w:rPr>
          <w:rFonts w:ascii="Times New Roman"/>
        </w:rPr>
        <w:t xml:space="preserve">ethods for </w:t>
      </w:r>
      <w:r>
        <w:rPr>
          <w:rFonts w:hint="eastAsia" w:ascii="Times New Roman"/>
        </w:rPr>
        <w:t>d</w:t>
      </w:r>
      <w:r>
        <w:rPr>
          <w:rFonts w:ascii="Times New Roman"/>
        </w:rPr>
        <w:t xml:space="preserve">etermining the </w:t>
      </w:r>
      <w:r>
        <w:rPr>
          <w:rFonts w:hint="eastAsia" w:ascii="Times New Roman"/>
        </w:rPr>
        <w:t>b</w:t>
      </w:r>
      <w:r>
        <w:rPr>
          <w:rFonts w:ascii="Times New Roman"/>
        </w:rPr>
        <w:t xml:space="preserve">iobased </w:t>
      </w:r>
      <w:r>
        <w:rPr>
          <w:rFonts w:hint="eastAsia" w:ascii="Times New Roman"/>
        </w:rPr>
        <w:t>c</w:t>
      </w:r>
      <w:r>
        <w:rPr>
          <w:rFonts w:ascii="Times New Roman"/>
        </w:rPr>
        <w:t xml:space="preserve">ontent of </w:t>
      </w:r>
      <w:r>
        <w:rPr>
          <w:rFonts w:hint="eastAsia" w:ascii="Times New Roman"/>
        </w:rPr>
        <w:t>s</w:t>
      </w:r>
      <w:r>
        <w:rPr>
          <w:rFonts w:ascii="Times New Roman"/>
        </w:rPr>
        <w:t xml:space="preserve">olid, </w:t>
      </w:r>
      <w:r>
        <w:rPr>
          <w:rFonts w:hint="eastAsia" w:ascii="Times New Roman"/>
        </w:rPr>
        <w:t>l</w:t>
      </w:r>
      <w:r>
        <w:rPr>
          <w:rFonts w:ascii="Times New Roman"/>
        </w:rPr>
        <w:t xml:space="preserve">iquid, and </w:t>
      </w:r>
      <w:r>
        <w:rPr>
          <w:rFonts w:hint="eastAsia" w:ascii="Times New Roman"/>
        </w:rPr>
        <w:t>g</w:t>
      </w:r>
      <w:r>
        <w:rPr>
          <w:rFonts w:ascii="Times New Roman"/>
        </w:rPr>
        <w:t xml:space="preserve">aseous </w:t>
      </w:r>
      <w:r>
        <w:rPr>
          <w:rFonts w:hint="eastAsia" w:ascii="Times New Roman"/>
        </w:rPr>
        <w:t>s</w:t>
      </w:r>
      <w:r>
        <w:rPr>
          <w:rFonts w:ascii="Times New Roman"/>
        </w:rPr>
        <w:t xml:space="preserve">amples </w:t>
      </w:r>
      <w:r>
        <w:rPr>
          <w:rFonts w:hint="eastAsia" w:ascii="Times New Roman"/>
        </w:rPr>
        <w:t>u</w:t>
      </w:r>
      <w:r>
        <w:rPr>
          <w:rFonts w:ascii="Times New Roman"/>
        </w:rPr>
        <w:t xml:space="preserve">sing </w:t>
      </w:r>
      <w:r>
        <w:rPr>
          <w:rFonts w:hint="eastAsia" w:ascii="Times New Roman"/>
        </w:rPr>
        <w:t>r</w:t>
      </w:r>
      <w:r>
        <w:rPr>
          <w:rFonts w:ascii="Times New Roman"/>
        </w:rPr>
        <w:t xml:space="preserve">adiocarbon </w:t>
      </w:r>
      <w:r>
        <w:rPr>
          <w:rFonts w:hint="eastAsia" w:ascii="Times New Roman"/>
        </w:rPr>
        <w:t>a</w:t>
      </w:r>
      <w:r>
        <w:rPr>
          <w:rFonts w:ascii="Times New Roman"/>
        </w:rPr>
        <w:t>nalysis）</w:t>
      </w:r>
    </w:p>
    <w:p w14:paraId="6157EFB6">
      <w:pPr>
        <w:pStyle w:val="57"/>
        <w:ind w:firstLine="420"/>
        <w:rPr>
          <w:rFonts w:ascii="Times New Roman"/>
        </w:rPr>
      </w:pPr>
      <w:r>
        <w:rPr>
          <w:rFonts w:ascii="Times New Roman"/>
        </w:rPr>
        <w:t>PAS 2050 商品和服务在生命周期内的温室气体排放评价规范（Specification for the assessment of the life cycle greenhouse gas emissions of goods and services）</w:t>
      </w:r>
    </w:p>
    <w:p w14:paraId="0593F4FC">
      <w:pPr>
        <w:pStyle w:val="105"/>
        <w:spacing w:before="240" w:after="240"/>
        <w:rPr>
          <w:rFonts w:ascii="Times New Roman"/>
        </w:rPr>
      </w:pPr>
      <w:bookmarkStart w:id="55" w:name="_Toc97192966"/>
      <w:bookmarkStart w:id="56" w:name="_Toc179966954"/>
      <w:bookmarkStart w:id="57" w:name="_Toc179906347"/>
      <w:bookmarkStart w:id="58" w:name="_Toc179816567"/>
      <w:bookmarkStart w:id="59" w:name="_Toc192153881"/>
      <w:r>
        <w:rPr>
          <w:rFonts w:ascii="Times New Roman"/>
          <w:szCs w:val="21"/>
        </w:rPr>
        <w:t>术语和定义</w:t>
      </w:r>
      <w:bookmarkEnd w:id="55"/>
      <w:bookmarkEnd w:id="56"/>
      <w:bookmarkEnd w:id="57"/>
      <w:bookmarkEnd w:id="58"/>
      <w:bookmarkEnd w:id="59"/>
    </w:p>
    <w:sdt>
      <w:sdtPr>
        <w:rPr>
          <w:rFonts w:ascii="Times New Roman"/>
        </w:rPr>
        <w:id w:val="-1909835108"/>
        <w:placeholder>
          <w:docPart w:val="3E33C3C4925C45369A38629FABD259D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182A0F30">
          <w:pPr>
            <w:pStyle w:val="57"/>
            <w:ind w:firstLine="420"/>
            <w:rPr>
              <w:rFonts w:ascii="Times New Roman"/>
            </w:rPr>
          </w:pPr>
          <w:bookmarkStart w:id="60" w:name="_Toc26986532"/>
          <w:bookmarkEnd w:id="60"/>
          <w:r>
            <w:rPr>
              <w:rFonts w:ascii="Times New Roman"/>
            </w:rPr>
            <w:t>下列术语和定义适用于本文件。</w:t>
          </w:r>
        </w:p>
      </w:sdtContent>
    </w:sdt>
    <w:p w14:paraId="20955B4A">
      <w:pPr>
        <w:pStyle w:val="224"/>
        <w:rPr>
          <w:rFonts w:ascii="Times New Roman" w:eastAsia="黑体"/>
        </w:rPr>
      </w:pPr>
      <w:r>
        <w:rPr>
          <w:rFonts w:ascii="Times New Roman" w:eastAsia="黑体"/>
        </w:rPr>
        <w:br w:type="textWrapping"/>
      </w:r>
      <w:r>
        <w:rPr>
          <w:rFonts w:ascii="Times New Roman" w:eastAsia="黑体"/>
        </w:rPr>
        <w:t xml:space="preserve">    研磨丝杆 grinding screw</w:t>
      </w:r>
    </w:p>
    <w:p w14:paraId="1CDBD7DD">
      <w:pPr>
        <w:pStyle w:val="57"/>
        <w:ind w:firstLine="420"/>
        <w:rPr>
          <w:rFonts w:ascii="Times New Roman"/>
        </w:rPr>
      </w:pPr>
      <w:r>
        <w:rPr>
          <w:rFonts w:ascii="Times New Roman"/>
        </w:rPr>
        <w:t>由螺杆、螺母、钢球、预压片、反向器、防尘器组成。是将回转运动转化为直线运动，或将直线运动转化为回转运动的理想产品。是工具机械和精密机械上最常使用的传动元件，将旋转运动转换成线性运动，或将扭矩转换成轴向反复作用力，同时兼具高精度、可逆性和高效率的特点。</w:t>
      </w:r>
    </w:p>
    <w:p w14:paraId="38F4F2AE">
      <w:pPr>
        <w:pStyle w:val="224"/>
        <w:ind w:left="420" w:hanging="420" w:hangingChars="200"/>
        <w:rPr>
          <w:rFonts w:ascii="Times New Roman" w:eastAsia="黑体"/>
        </w:rPr>
      </w:pPr>
      <w:r>
        <w:rPr>
          <w:rFonts w:ascii="Times New Roman" w:eastAsia="黑体"/>
        </w:rPr>
        <w:br w:type="textWrapping"/>
      </w:r>
      <w:r>
        <w:rPr>
          <w:rFonts w:ascii="Times New Roman" w:eastAsia="黑体"/>
        </w:rPr>
        <w:t>可持续性 sustainability</w:t>
      </w:r>
    </w:p>
    <w:p w14:paraId="280EDC4C">
      <w:pPr>
        <w:pStyle w:val="57"/>
        <w:ind w:firstLine="420"/>
        <w:rPr>
          <w:rFonts w:ascii="Times New Roman"/>
        </w:rPr>
      </w:pPr>
      <w:r>
        <w:rPr>
          <w:rFonts w:ascii="Times New Roman"/>
        </w:rPr>
        <w:t>在既满足当代人环境、社会和经济方面的需要，又不危及后代人满足其需要的能力的情况下的系统状态。</w:t>
      </w:r>
    </w:p>
    <w:p w14:paraId="5D261657">
      <w:pPr>
        <w:pStyle w:val="224"/>
        <w:ind w:left="420" w:hanging="420" w:hangingChars="200"/>
        <w:rPr>
          <w:rFonts w:ascii="Times New Roman" w:eastAsia="黑体"/>
        </w:rPr>
      </w:pPr>
      <w:r>
        <w:rPr>
          <w:rFonts w:ascii="Times New Roman" w:eastAsia="黑体"/>
        </w:rPr>
        <w:br w:type="textWrapping"/>
      </w:r>
      <w:r>
        <w:rPr>
          <w:rFonts w:ascii="Times New Roman" w:eastAsia="黑体"/>
        </w:rPr>
        <w:t>可再生利用率 recyclability rate</w:t>
      </w:r>
    </w:p>
    <w:p w14:paraId="1933F36E">
      <w:pPr>
        <w:pStyle w:val="57"/>
        <w:ind w:firstLine="420"/>
        <w:rPr>
          <w:rFonts w:ascii="Times New Roman"/>
        </w:rPr>
      </w:pPr>
      <w:r>
        <w:rPr>
          <w:rFonts w:ascii="Times New Roman"/>
        </w:rPr>
        <w:t>新产品中能够被再使用部分与再生利用部分的质量之和（不包括能量回收部分）占新产品质量的百分比。</w:t>
      </w:r>
    </w:p>
    <w:p w14:paraId="790E850B">
      <w:pPr>
        <w:pStyle w:val="224"/>
        <w:ind w:left="420" w:hanging="420" w:hangingChars="200"/>
        <w:rPr>
          <w:rFonts w:ascii="Times New Roman" w:eastAsia="黑体"/>
        </w:rPr>
      </w:pPr>
      <w:r>
        <w:rPr>
          <w:rFonts w:ascii="Times New Roman" w:eastAsia="黑体"/>
        </w:rPr>
        <w:br w:type="textWrapping"/>
      </w:r>
      <w:r>
        <w:rPr>
          <w:rFonts w:ascii="Times New Roman" w:eastAsia="黑体"/>
        </w:rPr>
        <w:t>可回收利用率 recoverability rate</w:t>
      </w:r>
    </w:p>
    <w:p w14:paraId="3D12FF24">
      <w:pPr>
        <w:pStyle w:val="57"/>
        <w:ind w:firstLine="420"/>
        <w:rPr>
          <w:rFonts w:ascii="Times New Roman"/>
        </w:rPr>
      </w:pPr>
      <w:r>
        <w:rPr>
          <w:rFonts w:ascii="Times New Roman"/>
        </w:rPr>
        <w:t>新产品中能够被回收利用部分（包括再使用部分、再生利用部分和能量回收部分）的质量之和占新产品质量的百分比。</w:t>
      </w:r>
    </w:p>
    <w:p w14:paraId="1CD2E391">
      <w:pPr>
        <w:pStyle w:val="105"/>
        <w:spacing w:before="240" w:after="240"/>
        <w:rPr>
          <w:rFonts w:ascii="Times New Roman"/>
        </w:rPr>
      </w:pPr>
      <w:bookmarkStart w:id="61" w:name="_Toc192153882"/>
      <w:bookmarkStart w:id="62" w:name="_Toc179906348"/>
      <w:bookmarkStart w:id="63" w:name="_Toc179966955"/>
      <w:bookmarkStart w:id="64" w:name="_Toc179816568"/>
      <w:r>
        <w:rPr>
          <w:rFonts w:ascii="Times New Roman"/>
        </w:rPr>
        <w:t>评价原则</w:t>
      </w:r>
      <w:bookmarkEnd w:id="61"/>
      <w:bookmarkEnd w:id="62"/>
      <w:bookmarkEnd w:id="63"/>
      <w:bookmarkEnd w:id="64"/>
    </w:p>
    <w:p w14:paraId="61710332">
      <w:pPr>
        <w:pStyle w:val="106"/>
        <w:spacing w:before="120" w:after="120"/>
        <w:rPr>
          <w:rFonts w:ascii="Times New Roman"/>
        </w:rPr>
      </w:pPr>
      <w:r>
        <w:rPr>
          <w:rFonts w:ascii="Times New Roman"/>
        </w:rPr>
        <w:t>客观性</w:t>
      </w:r>
    </w:p>
    <w:p w14:paraId="479486FB">
      <w:pPr>
        <w:pStyle w:val="57"/>
        <w:ind w:firstLine="420"/>
        <w:rPr>
          <w:rFonts w:ascii="Times New Roman"/>
        </w:rPr>
      </w:pPr>
      <w:r>
        <w:rPr>
          <w:rFonts w:ascii="Times New Roman"/>
        </w:rPr>
        <w:t>评价过程应客观真实，被评价方和评价方应提供真实的数据和信息，如实反映被评价产品可持续性情况。</w:t>
      </w:r>
    </w:p>
    <w:p w14:paraId="280B21A7">
      <w:pPr>
        <w:pStyle w:val="106"/>
        <w:spacing w:before="120" w:after="120"/>
        <w:rPr>
          <w:rFonts w:ascii="Times New Roman"/>
        </w:rPr>
      </w:pPr>
      <w:r>
        <w:rPr>
          <w:rFonts w:ascii="Times New Roman"/>
        </w:rPr>
        <w:t>公正性</w:t>
      </w:r>
    </w:p>
    <w:p w14:paraId="4E16CEAC">
      <w:pPr>
        <w:pStyle w:val="57"/>
        <w:ind w:firstLine="420"/>
        <w:rPr>
          <w:rFonts w:ascii="Times New Roman"/>
        </w:rPr>
      </w:pPr>
      <w:r>
        <w:rPr>
          <w:rFonts w:ascii="Times New Roman"/>
        </w:rPr>
        <w:t>评价主体应承担相应的责任和义务，以无偏见的方式实施评价活动，评价过程和结果不受与评价结果有利益关系的任何组织或个人的影响。</w:t>
      </w:r>
    </w:p>
    <w:p w14:paraId="5C036F81">
      <w:pPr>
        <w:pStyle w:val="106"/>
        <w:spacing w:before="120" w:after="120"/>
        <w:rPr>
          <w:rFonts w:ascii="Times New Roman"/>
        </w:rPr>
      </w:pPr>
      <w:r>
        <w:rPr>
          <w:rFonts w:ascii="Times New Roman"/>
        </w:rPr>
        <w:t>科学性</w:t>
      </w:r>
    </w:p>
    <w:p w14:paraId="0AD98B99">
      <w:pPr>
        <w:pStyle w:val="57"/>
        <w:ind w:firstLine="420"/>
        <w:rPr>
          <w:rFonts w:ascii="Times New Roman"/>
        </w:rPr>
      </w:pPr>
      <w:r>
        <w:rPr>
          <w:rFonts w:ascii="Times New Roman"/>
        </w:rPr>
        <w:t>评价指标应包括能表征研磨丝杆产品可持续性的主要因素，评价结果建立在科学的数据分析基础上。</w:t>
      </w:r>
    </w:p>
    <w:p w14:paraId="56CD16FE">
      <w:pPr>
        <w:pStyle w:val="106"/>
        <w:spacing w:before="120" w:after="120"/>
        <w:rPr>
          <w:rFonts w:ascii="Times New Roman"/>
        </w:rPr>
      </w:pPr>
      <w:r>
        <w:rPr>
          <w:rFonts w:ascii="Times New Roman"/>
        </w:rPr>
        <w:t>可操作性</w:t>
      </w:r>
    </w:p>
    <w:p w14:paraId="14F7E0C6">
      <w:pPr>
        <w:pStyle w:val="57"/>
        <w:ind w:firstLine="420"/>
        <w:rPr>
          <w:rFonts w:ascii="Times New Roman"/>
        </w:rPr>
      </w:pPr>
      <w:r>
        <w:rPr>
          <w:rFonts w:ascii="Times New Roman"/>
        </w:rPr>
        <w:t>相关评价指标和信息应便于采集或获得，评价方法切实可行。</w:t>
      </w:r>
    </w:p>
    <w:p w14:paraId="0476BEE3">
      <w:pPr>
        <w:pStyle w:val="105"/>
        <w:spacing w:before="240" w:after="240"/>
        <w:rPr>
          <w:rFonts w:ascii="Times New Roman"/>
        </w:rPr>
      </w:pPr>
      <w:bookmarkStart w:id="65" w:name="_Toc179966956"/>
      <w:bookmarkStart w:id="66" w:name="_Toc179816569"/>
      <w:bookmarkStart w:id="67" w:name="_Toc179906349"/>
      <w:bookmarkStart w:id="68" w:name="_Toc192153883"/>
      <w:r>
        <w:rPr>
          <w:rFonts w:ascii="Times New Roman"/>
        </w:rPr>
        <w:t>评价体系</w:t>
      </w:r>
      <w:bookmarkEnd w:id="65"/>
      <w:bookmarkEnd w:id="66"/>
      <w:bookmarkEnd w:id="67"/>
      <w:bookmarkEnd w:id="68"/>
    </w:p>
    <w:p w14:paraId="5A85AB5B">
      <w:pPr>
        <w:pStyle w:val="163"/>
        <w:rPr>
          <w:rFonts w:ascii="Times New Roman"/>
        </w:rPr>
      </w:pPr>
      <w:r>
        <w:rPr>
          <w:rFonts w:ascii="Times New Roman"/>
        </w:rPr>
        <w:t>研磨丝杆可持续性产品评价体系包括基本要求与评价指标要求两部分。基本要求为产品参与评价的基本条件，不参与评级。评价指标要求包括原材料、生产工艺、包装、产品可回收利用及其他五个方面的可持续性评价。</w:t>
      </w:r>
    </w:p>
    <w:p w14:paraId="550BB84B">
      <w:pPr>
        <w:pStyle w:val="163"/>
        <w:rPr>
          <w:rFonts w:ascii="Times New Roman"/>
        </w:rPr>
      </w:pPr>
      <w:r>
        <w:rPr>
          <w:rFonts w:ascii="Times New Roman"/>
        </w:rPr>
        <w:t>评价指标要求分为必选要求和可选要求，必选要求为产品或企业应达到的基础性要求，必选要求不达标不应评价为可持续性产品，可选要求为希望产品或企业努力达到的提高性要求，具有先进性。</w:t>
      </w:r>
    </w:p>
    <w:p w14:paraId="3DAA0736">
      <w:pPr>
        <w:pStyle w:val="105"/>
        <w:spacing w:before="240" w:after="240"/>
        <w:rPr>
          <w:rFonts w:ascii="Times New Roman"/>
        </w:rPr>
      </w:pPr>
      <w:bookmarkStart w:id="69" w:name="_Toc179816570"/>
      <w:bookmarkStart w:id="70" w:name="_Toc192153884"/>
      <w:bookmarkStart w:id="71" w:name="_Toc179906350"/>
      <w:bookmarkStart w:id="72" w:name="_Toc179966957"/>
      <w:r>
        <w:rPr>
          <w:rFonts w:ascii="Times New Roman"/>
        </w:rPr>
        <w:t>评价要求</w:t>
      </w:r>
      <w:bookmarkEnd w:id="69"/>
      <w:bookmarkEnd w:id="70"/>
      <w:bookmarkEnd w:id="71"/>
      <w:bookmarkEnd w:id="72"/>
    </w:p>
    <w:p w14:paraId="3EE38706">
      <w:pPr>
        <w:pStyle w:val="106"/>
        <w:spacing w:before="120" w:after="120"/>
        <w:rPr>
          <w:rFonts w:ascii="Times New Roman"/>
        </w:rPr>
      </w:pPr>
      <w:r>
        <w:rPr>
          <w:rFonts w:ascii="Times New Roman"/>
        </w:rPr>
        <w:t>基本要求</w:t>
      </w:r>
    </w:p>
    <w:p w14:paraId="39BFB3F1">
      <w:pPr>
        <w:pStyle w:val="166"/>
        <w:rPr>
          <w:rFonts w:ascii="Times New Roman"/>
        </w:rPr>
      </w:pPr>
      <w:r>
        <w:rPr>
          <w:rFonts w:ascii="Times New Roman"/>
        </w:rPr>
        <w:t>近三年，企业及原材料供应商应无环境、安全重大及以上事故。</w:t>
      </w:r>
    </w:p>
    <w:p w14:paraId="0A66F853">
      <w:pPr>
        <w:pStyle w:val="166"/>
        <w:rPr>
          <w:rFonts w:ascii="Times New Roman"/>
        </w:rPr>
      </w:pPr>
      <w:r>
        <w:rPr>
          <w:rFonts w:ascii="Times New Roman"/>
        </w:rPr>
        <w:t>企业应无不良信誉记录。</w:t>
      </w:r>
    </w:p>
    <w:p w14:paraId="2B513E7A">
      <w:pPr>
        <w:pStyle w:val="166"/>
        <w:rPr>
          <w:rFonts w:ascii="Times New Roman"/>
        </w:rPr>
      </w:pPr>
      <w:r>
        <w:rPr>
          <w:rFonts w:ascii="Times New Roman"/>
        </w:rPr>
        <w:t>企业应将可持续发展理念纳入发展战略规划，明确管理目标、计划和措施。</w:t>
      </w:r>
    </w:p>
    <w:p w14:paraId="66D69C3E">
      <w:pPr>
        <w:pStyle w:val="166"/>
        <w:rPr>
          <w:rFonts w:ascii="Times New Roman"/>
        </w:rPr>
      </w:pPr>
      <w:r>
        <w:rPr>
          <w:rFonts w:ascii="Times New Roman"/>
        </w:rPr>
        <w:t>产品质量应符合标注的执行标准及对应的强制性国家标准要求。</w:t>
      </w:r>
    </w:p>
    <w:p w14:paraId="5234F321">
      <w:pPr>
        <w:pStyle w:val="106"/>
        <w:spacing w:before="120" w:after="120"/>
        <w:rPr>
          <w:rFonts w:ascii="Times New Roman"/>
        </w:rPr>
      </w:pPr>
      <w:r>
        <w:rPr>
          <w:rFonts w:ascii="Times New Roman"/>
        </w:rPr>
        <w:t>评价指标要求</w:t>
      </w:r>
    </w:p>
    <w:p w14:paraId="54601573">
      <w:pPr>
        <w:pStyle w:val="66"/>
        <w:spacing w:before="120" w:after="120"/>
        <w:rPr>
          <w:rFonts w:ascii="Times New Roman"/>
        </w:rPr>
      </w:pPr>
      <w:r>
        <w:rPr>
          <w:rFonts w:ascii="Times New Roman"/>
        </w:rPr>
        <w:t>原材料</w:t>
      </w:r>
    </w:p>
    <w:p w14:paraId="0523BC2A">
      <w:pPr>
        <w:pStyle w:val="95"/>
        <w:spacing w:before="120" w:after="120"/>
        <w:rPr>
          <w:rFonts w:ascii="Times New Roman"/>
        </w:rPr>
      </w:pPr>
      <w:r>
        <w:rPr>
          <w:rFonts w:ascii="Times New Roman"/>
        </w:rPr>
        <w:t>必选要求</w:t>
      </w:r>
    </w:p>
    <w:p w14:paraId="46F65380">
      <w:pPr>
        <w:pStyle w:val="57"/>
        <w:ind w:firstLine="420"/>
        <w:rPr>
          <w:rFonts w:ascii="Times New Roman"/>
        </w:rPr>
      </w:pPr>
      <w:r>
        <w:rPr>
          <w:rFonts w:ascii="Times New Roman"/>
        </w:rPr>
        <w:t>研磨丝杆可持续性产品的原材料应满足以下要求。</w:t>
      </w:r>
    </w:p>
    <w:p w14:paraId="72EE30D6">
      <w:pPr>
        <w:pStyle w:val="133"/>
        <w:rPr>
          <w:rFonts w:ascii="Times New Roman"/>
        </w:rPr>
      </w:pPr>
      <w:r>
        <w:rPr>
          <w:rFonts w:ascii="Times New Roman"/>
        </w:rPr>
        <w:t>研磨丝杆产品使用的原材料应符合标注的执行标准及相应的强制性国家标准要求。</w:t>
      </w:r>
    </w:p>
    <w:p w14:paraId="36D46BB1">
      <w:pPr>
        <w:pStyle w:val="133"/>
        <w:rPr>
          <w:rFonts w:ascii="Times New Roman"/>
        </w:rPr>
      </w:pPr>
      <w:r>
        <w:rPr>
          <w:rFonts w:ascii="Times New Roman"/>
        </w:rPr>
        <w:t>研磨丝杆产品应至少使用表1中所列5种原材料中的1种，使用量占比统计方式按以下任一方式进行：</w:t>
      </w:r>
    </w:p>
    <w:p w14:paraId="0E343926">
      <w:pPr>
        <w:pStyle w:val="188"/>
        <w:rPr>
          <w:rFonts w:ascii="Times New Roman"/>
        </w:rPr>
      </w:pPr>
      <w:r>
        <w:rPr>
          <w:rFonts w:ascii="Times New Roman"/>
        </w:rPr>
        <w:t>满足表1要求的天然含量≥10%；</w:t>
      </w:r>
    </w:p>
    <w:p w14:paraId="0481241A">
      <w:pPr>
        <w:pStyle w:val="188"/>
        <w:rPr>
          <w:rFonts w:ascii="Times New Roman"/>
        </w:rPr>
      </w:pPr>
      <w:r>
        <w:rPr>
          <w:rFonts w:ascii="Times New Roman"/>
        </w:rPr>
        <w:t>满足表1要求的有机成分≥2%。</w:t>
      </w:r>
    </w:p>
    <w:p w14:paraId="69529CE2">
      <w:pPr>
        <w:rPr>
          <w:rFonts w:ascii="Times New Roman" w:hAnsi="Times New Roman"/>
        </w:rPr>
      </w:pPr>
      <w:r>
        <w:rPr>
          <w:rFonts w:ascii="Times New Roman" w:hAnsi="Times New Roman"/>
        </w:rPr>
        <w:br w:type="page"/>
      </w:r>
    </w:p>
    <w:p w14:paraId="21598716">
      <w:pPr>
        <w:pStyle w:val="113"/>
        <w:spacing w:before="120" w:after="120"/>
        <w:rPr>
          <w:rFonts w:ascii="Times New Roman"/>
        </w:rPr>
      </w:pPr>
      <w:r>
        <w:rPr>
          <w:rFonts w:ascii="Times New Roman"/>
        </w:rPr>
        <w:t>原材料要求</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851"/>
        <w:gridCol w:w="1134"/>
        <w:gridCol w:w="992"/>
        <w:gridCol w:w="2977"/>
        <w:gridCol w:w="2823"/>
      </w:tblGrid>
      <w:tr w14:paraId="281B82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557" w:type="dxa"/>
            <w:tcBorders>
              <w:top w:val="single" w:color="auto" w:sz="8" w:space="0"/>
              <w:bottom w:val="single" w:color="auto" w:sz="8" w:space="0"/>
            </w:tcBorders>
            <w:shd w:val="clear" w:color="auto" w:fill="auto"/>
            <w:vAlign w:val="center"/>
          </w:tcPr>
          <w:p w14:paraId="02A00993">
            <w:pPr>
              <w:pStyle w:val="179"/>
              <w:rPr>
                <w:rFonts w:ascii="Times New Roman"/>
              </w:rPr>
            </w:pPr>
            <w:r>
              <w:rPr>
                <w:rFonts w:ascii="Times New Roman"/>
              </w:rPr>
              <w:t>序号</w:t>
            </w:r>
          </w:p>
        </w:tc>
        <w:tc>
          <w:tcPr>
            <w:tcW w:w="1985" w:type="dxa"/>
            <w:gridSpan w:val="2"/>
            <w:tcBorders>
              <w:top w:val="single" w:color="auto" w:sz="8" w:space="0"/>
              <w:bottom w:val="single" w:color="auto" w:sz="8" w:space="0"/>
            </w:tcBorders>
            <w:shd w:val="clear" w:color="auto" w:fill="auto"/>
            <w:vAlign w:val="center"/>
          </w:tcPr>
          <w:p w14:paraId="509BF0D1">
            <w:pPr>
              <w:pStyle w:val="179"/>
              <w:rPr>
                <w:rFonts w:ascii="Times New Roman"/>
              </w:rPr>
            </w:pPr>
            <w:r>
              <w:rPr>
                <w:rFonts w:ascii="Times New Roman"/>
              </w:rPr>
              <w:t>材料类别</w:t>
            </w:r>
          </w:p>
        </w:tc>
        <w:tc>
          <w:tcPr>
            <w:tcW w:w="3969" w:type="dxa"/>
            <w:gridSpan w:val="2"/>
            <w:tcBorders>
              <w:top w:val="single" w:color="auto" w:sz="8" w:space="0"/>
              <w:bottom w:val="single" w:color="auto" w:sz="8" w:space="0"/>
            </w:tcBorders>
            <w:shd w:val="clear" w:color="auto" w:fill="auto"/>
            <w:vAlign w:val="center"/>
          </w:tcPr>
          <w:p w14:paraId="09726669">
            <w:pPr>
              <w:pStyle w:val="179"/>
              <w:rPr>
                <w:rFonts w:ascii="Times New Roman"/>
              </w:rPr>
            </w:pPr>
            <w:r>
              <w:rPr>
                <w:rFonts w:ascii="Times New Roman"/>
              </w:rPr>
              <w:t>指标要求</w:t>
            </w:r>
          </w:p>
        </w:tc>
        <w:tc>
          <w:tcPr>
            <w:tcW w:w="2823" w:type="dxa"/>
            <w:tcBorders>
              <w:top w:val="single" w:color="auto" w:sz="8" w:space="0"/>
              <w:bottom w:val="single" w:color="auto" w:sz="8" w:space="0"/>
            </w:tcBorders>
            <w:shd w:val="clear" w:color="auto" w:fill="auto"/>
            <w:vAlign w:val="center"/>
          </w:tcPr>
          <w:p w14:paraId="04CF8485">
            <w:pPr>
              <w:pStyle w:val="179"/>
              <w:rPr>
                <w:rFonts w:ascii="Times New Roman"/>
              </w:rPr>
            </w:pPr>
            <w:r>
              <w:rPr>
                <w:rFonts w:ascii="Times New Roman"/>
              </w:rPr>
              <w:t>验证方法</w:t>
            </w:r>
          </w:p>
        </w:tc>
      </w:tr>
      <w:tr w14:paraId="06DBB1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vMerge w:val="restart"/>
            <w:tcBorders>
              <w:top w:val="single" w:color="auto" w:sz="8" w:space="0"/>
            </w:tcBorders>
            <w:shd w:val="clear" w:color="auto" w:fill="auto"/>
            <w:vAlign w:val="center"/>
          </w:tcPr>
          <w:p w14:paraId="426B9FA8">
            <w:pPr>
              <w:pStyle w:val="179"/>
              <w:rPr>
                <w:rFonts w:ascii="Times New Roman"/>
              </w:rPr>
            </w:pPr>
            <w:r>
              <w:rPr>
                <w:rFonts w:ascii="Times New Roman"/>
              </w:rPr>
              <w:t>1</w:t>
            </w:r>
          </w:p>
        </w:tc>
        <w:tc>
          <w:tcPr>
            <w:tcW w:w="851" w:type="dxa"/>
            <w:vMerge w:val="restart"/>
            <w:tcBorders>
              <w:top w:val="single" w:color="auto" w:sz="8" w:space="0"/>
            </w:tcBorders>
            <w:shd w:val="clear" w:color="auto" w:fill="auto"/>
            <w:vAlign w:val="center"/>
          </w:tcPr>
          <w:p w14:paraId="35D8BA5C">
            <w:pPr>
              <w:pStyle w:val="179"/>
              <w:rPr>
                <w:rFonts w:ascii="Times New Roman"/>
              </w:rPr>
            </w:pPr>
            <w:r>
              <w:rPr>
                <w:rFonts w:ascii="Times New Roman"/>
              </w:rPr>
              <w:t>天然材料</w:t>
            </w:r>
          </w:p>
        </w:tc>
        <w:tc>
          <w:tcPr>
            <w:tcW w:w="1134" w:type="dxa"/>
            <w:vMerge w:val="restart"/>
            <w:tcBorders>
              <w:top w:val="single" w:color="auto" w:sz="8" w:space="0"/>
            </w:tcBorders>
            <w:shd w:val="clear" w:color="auto" w:fill="auto"/>
            <w:vAlign w:val="center"/>
          </w:tcPr>
          <w:p w14:paraId="56723C74">
            <w:pPr>
              <w:pStyle w:val="179"/>
              <w:rPr>
                <w:rFonts w:ascii="Times New Roman"/>
              </w:rPr>
            </w:pPr>
            <w:r>
              <w:rPr>
                <w:rFonts w:ascii="Times New Roman"/>
              </w:rPr>
              <w:t>天然辅材</w:t>
            </w:r>
          </w:p>
        </w:tc>
        <w:tc>
          <w:tcPr>
            <w:tcW w:w="3969" w:type="dxa"/>
            <w:gridSpan w:val="2"/>
            <w:tcBorders>
              <w:top w:val="single" w:color="auto" w:sz="8" w:space="0"/>
            </w:tcBorders>
            <w:shd w:val="clear" w:color="auto" w:fill="auto"/>
            <w:vAlign w:val="center"/>
          </w:tcPr>
          <w:p w14:paraId="77861098">
            <w:pPr>
              <w:pStyle w:val="179"/>
              <w:rPr>
                <w:rFonts w:ascii="Times New Roman"/>
              </w:rPr>
            </w:pPr>
            <w:r>
              <w:rPr>
                <w:rFonts w:ascii="Times New Roman"/>
              </w:rPr>
              <w:t>天然含量≥10%</w:t>
            </w:r>
          </w:p>
        </w:tc>
        <w:tc>
          <w:tcPr>
            <w:tcW w:w="2823" w:type="dxa"/>
            <w:tcBorders>
              <w:top w:val="single" w:color="auto" w:sz="8" w:space="0"/>
            </w:tcBorders>
            <w:shd w:val="clear" w:color="auto" w:fill="auto"/>
            <w:vAlign w:val="center"/>
          </w:tcPr>
          <w:p w14:paraId="6D378AFB">
            <w:pPr>
              <w:pStyle w:val="179"/>
              <w:rPr>
                <w:rFonts w:ascii="Times New Roman"/>
              </w:rPr>
            </w:pPr>
            <w:r>
              <w:rPr>
                <w:rFonts w:ascii="Times New Roman"/>
              </w:rPr>
              <w:t>提供检测报告或相关认证证书</w:t>
            </w:r>
          </w:p>
        </w:tc>
      </w:tr>
      <w:tr w14:paraId="45B560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vMerge w:val="continue"/>
            <w:shd w:val="clear" w:color="auto" w:fill="auto"/>
            <w:vAlign w:val="center"/>
          </w:tcPr>
          <w:p w14:paraId="353362C4">
            <w:pPr>
              <w:pStyle w:val="179"/>
              <w:rPr>
                <w:rFonts w:ascii="Times New Roman"/>
              </w:rPr>
            </w:pPr>
          </w:p>
        </w:tc>
        <w:tc>
          <w:tcPr>
            <w:tcW w:w="851" w:type="dxa"/>
            <w:vMerge w:val="continue"/>
            <w:shd w:val="clear" w:color="auto" w:fill="auto"/>
            <w:vAlign w:val="center"/>
          </w:tcPr>
          <w:p w14:paraId="0F60D8D1">
            <w:pPr>
              <w:pStyle w:val="179"/>
              <w:rPr>
                <w:rFonts w:ascii="Times New Roman"/>
              </w:rPr>
            </w:pPr>
          </w:p>
        </w:tc>
        <w:tc>
          <w:tcPr>
            <w:tcW w:w="1134" w:type="dxa"/>
            <w:vMerge w:val="continue"/>
            <w:shd w:val="clear" w:color="auto" w:fill="auto"/>
            <w:vAlign w:val="center"/>
          </w:tcPr>
          <w:p w14:paraId="116A74B7">
            <w:pPr>
              <w:pStyle w:val="179"/>
              <w:rPr>
                <w:rFonts w:ascii="Times New Roman"/>
              </w:rPr>
            </w:pPr>
          </w:p>
        </w:tc>
        <w:tc>
          <w:tcPr>
            <w:tcW w:w="992" w:type="dxa"/>
            <w:vMerge w:val="restart"/>
            <w:shd w:val="clear" w:color="auto" w:fill="auto"/>
            <w:vAlign w:val="center"/>
          </w:tcPr>
          <w:p w14:paraId="3C0C3918">
            <w:pPr>
              <w:pStyle w:val="179"/>
              <w:rPr>
                <w:rFonts w:ascii="Times New Roman"/>
              </w:rPr>
            </w:pPr>
            <w:r>
              <w:rPr>
                <w:rFonts w:ascii="Times New Roman"/>
              </w:rPr>
              <w:t>至少满足</w:t>
            </w:r>
          </w:p>
          <w:p w14:paraId="3BF7126E">
            <w:pPr>
              <w:pStyle w:val="179"/>
              <w:rPr>
                <w:rFonts w:ascii="Times New Roman"/>
              </w:rPr>
            </w:pPr>
            <w:r>
              <w:rPr>
                <w:rFonts w:ascii="Times New Roman"/>
              </w:rPr>
              <w:t>一种</w:t>
            </w:r>
          </w:p>
        </w:tc>
        <w:tc>
          <w:tcPr>
            <w:tcW w:w="2977" w:type="dxa"/>
            <w:shd w:val="clear" w:color="auto" w:fill="auto"/>
            <w:vAlign w:val="center"/>
          </w:tcPr>
          <w:p w14:paraId="108ACF18">
            <w:pPr>
              <w:pStyle w:val="179"/>
              <w:rPr>
                <w:rFonts w:ascii="Times New Roman"/>
              </w:rPr>
            </w:pPr>
            <w:r>
              <w:rPr>
                <w:rFonts w:ascii="Times New Roman"/>
              </w:rPr>
              <w:t>有机成分≥2%</w:t>
            </w:r>
          </w:p>
        </w:tc>
        <w:tc>
          <w:tcPr>
            <w:tcW w:w="2823" w:type="dxa"/>
            <w:shd w:val="clear" w:color="auto" w:fill="auto"/>
            <w:vAlign w:val="center"/>
          </w:tcPr>
          <w:p w14:paraId="383789FC">
            <w:pPr>
              <w:pStyle w:val="179"/>
              <w:rPr>
                <w:rFonts w:ascii="Times New Roman"/>
              </w:rPr>
            </w:pPr>
            <w:r>
              <w:rPr>
                <w:rFonts w:ascii="Times New Roman"/>
              </w:rPr>
              <w:t>提供检测报告或相关认证证书</w:t>
            </w:r>
          </w:p>
        </w:tc>
      </w:tr>
      <w:tr w14:paraId="16E735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vMerge w:val="continue"/>
            <w:shd w:val="clear" w:color="auto" w:fill="auto"/>
            <w:vAlign w:val="center"/>
          </w:tcPr>
          <w:p w14:paraId="5A38E563">
            <w:pPr>
              <w:pStyle w:val="179"/>
              <w:rPr>
                <w:rFonts w:ascii="Times New Roman"/>
              </w:rPr>
            </w:pPr>
          </w:p>
        </w:tc>
        <w:tc>
          <w:tcPr>
            <w:tcW w:w="851" w:type="dxa"/>
            <w:vMerge w:val="continue"/>
            <w:shd w:val="clear" w:color="auto" w:fill="auto"/>
            <w:vAlign w:val="center"/>
          </w:tcPr>
          <w:p w14:paraId="53C4E4C6">
            <w:pPr>
              <w:pStyle w:val="179"/>
              <w:rPr>
                <w:rFonts w:ascii="Times New Roman"/>
              </w:rPr>
            </w:pPr>
          </w:p>
        </w:tc>
        <w:tc>
          <w:tcPr>
            <w:tcW w:w="1134" w:type="dxa"/>
            <w:vMerge w:val="continue"/>
            <w:shd w:val="clear" w:color="auto" w:fill="auto"/>
            <w:vAlign w:val="center"/>
          </w:tcPr>
          <w:p w14:paraId="438969A7">
            <w:pPr>
              <w:pStyle w:val="179"/>
              <w:rPr>
                <w:rFonts w:ascii="Times New Roman"/>
              </w:rPr>
            </w:pPr>
          </w:p>
        </w:tc>
        <w:tc>
          <w:tcPr>
            <w:tcW w:w="992" w:type="dxa"/>
            <w:vMerge w:val="continue"/>
            <w:shd w:val="clear" w:color="auto" w:fill="auto"/>
            <w:vAlign w:val="center"/>
          </w:tcPr>
          <w:p w14:paraId="09A710D3">
            <w:pPr>
              <w:pStyle w:val="179"/>
              <w:rPr>
                <w:rFonts w:ascii="Times New Roman"/>
              </w:rPr>
            </w:pPr>
          </w:p>
        </w:tc>
        <w:tc>
          <w:tcPr>
            <w:tcW w:w="2977" w:type="dxa"/>
            <w:shd w:val="clear" w:color="auto" w:fill="auto"/>
            <w:vAlign w:val="center"/>
          </w:tcPr>
          <w:p w14:paraId="693D2A5E">
            <w:pPr>
              <w:pStyle w:val="179"/>
              <w:rPr>
                <w:rFonts w:ascii="Times New Roman"/>
              </w:rPr>
            </w:pPr>
            <w:r>
              <w:rPr>
                <w:rFonts w:ascii="Times New Roman"/>
              </w:rPr>
              <w:t>获得国际国内权威的生态品认证</w:t>
            </w:r>
          </w:p>
        </w:tc>
        <w:tc>
          <w:tcPr>
            <w:tcW w:w="2823" w:type="dxa"/>
            <w:shd w:val="clear" w:color="auto" w:fill="auto"/>
            <w:vAlign w:val="center"/>
          </w:tcPr>
          <w:p w14:paraId="6A8F4F6F">
            <w:pPr>
              <w:pStyle w:val="179"/>
              <w:rPr>
                <w:rFonts w:ascii="Times New Roman"/>
              </w:rPr>
            </w:pPr>
            <w:r>
              <w:rPr>
                <w:rFonts w:ascii="Times New Roman"/>
              </w:rPr>
              <w:t>提供检测报告或相关认证证书</w:t>
            </w:r>
          </w:p>
        </w:tc>
      </w:tr>
      <w:tr w14:paraId="2ED873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vMerge w:val="continue"/>
            <w:shd w:val="clear" w:color="auto" w:fill="auto"/>
            <w:vAlign w:val="center"/>
          </w:tcPr>
          <w:p w14:paraId="3F06248D">
            <w:pPr>
              <w:pStyle w:val="179"/>
              <w:rPr>
                <w:rFonts w:ascii="Times New Roman"/>
              </w:rPr>
            </w:pPr>
          </w:p>
        </w:tc>
        <w:tc>
          <w:tcPr>
            <w:tcW w:w="851" w:type="dxa"/>
            <w:vMerge w:val="continue"/>
            <w:shd w:val="clear" w:color="auto" w:fill="auto"/>
            <w:vAlign w:val="center"/>
          </w:tcPr>
          <w:p w14:paraId="69B4FD3A">
            <w:pPr>
              <w:pStyle w:val="179"/>
              <w:rPr>
                <w:rFonts w:ascii="Times New Roman"/>
              </w:rPr>
            </w:pPr>
          </w:p>
        </w:tc>
        <w:tc>
          <w:tcPr>
            <w:tcW w:w="1134" w:type="dxa"/>
            <w:vMerge w:val="continue"/>
            <w:shd w:val="clear" w:color="auto" w:fill="auto"/>
            <w:vAlign w:val="center"/>
          </w:tcPr>
          <w:p w14:paraId="5F638943">
            <w:pPr>
              <w:pStyle w:val="179"/>
              <w:rPr>
                <w:rFonts w:ascii="Times New Roman"/>
              </w:rPr>
            </w:pPr>
          </w:p>
        </w:tc>
        <w:tc>
          <w:tcPr>
            <w:tcW w:w="992" w:type="dxa"/>
            <w:vMerge w:val="continue"/>
            <w:shd w:val="clear" w:color="auto" w:fill="auto"/>
            <w:vAlign w:val="center"/>
          </w:tcPr>
          <w:p w14:paraId="0895BE76">
            <w:pPr>
              <w:pStyle w:val="179"/>
              <w:rPr>
                <w:rFonts w:ascii="Times New Roman"/>
              </w:rPr>
            </w:pPr>
          </w:p>
        </w:tc>
        <w:tc>
          <w:tcPr>
            <w:tcW w:w="2977" w:type="dxa"/>
            <w:shd w:val="clear" w:color="auto" w:fill="auto"/>
            <w:vAlign w:val="center"/>
          </w:tcPr>
          <w:p w14:paraId="73B876A7">
            <w:pPr>
              <w:pStyle w:val="179"/>
              <w:rPr>
                <w:rFonts w:ascii="Times New Roman"/>
              </w:rPr>
            </w:pPr>
            <w:r>
              <w:rPr>
                <w:rFonts w:ascii="Times New Roman"/>
              </w:rPr>
              <w:t>采购自中国可持续发展项目或国家产业联盟品牌</w:t>
            </w:r>
          </w:p>
        </w:tc>
        <w:tc>
          <w:tcPr>
            <w:tcW w:w="2823" w:type="dxa"/>
            <w:shd w:val="clear" w:color="auto" w:fill="auto"/>
            <w:vAlign w:val="center"/>
          </w:tcPr>
          <w:p w14:paraId="06ACD0F1">
            <w:pPr>
              <w:pStyle w:val="179"/>
              <w:rPr>
                <w:rFonts w:ascii="Times New Roman"/>
              </w:rPr>
            </w:pPr>
            <w:r>
              <w:rPr>
                <w:rFonts w:ascii="Times New Roman"/>
              </w:rPr>
              <w:t>提供检测报告或相关认证证书</w:t>
            </w:r>
          </w:p>
        </w:tc>
      </w:tr>
      <w:tr w14:paraId="123DEC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vMerge w:val="continue"/>
            <w:shd w:val="clear" w:color="auto" w:fill="auto"/>
            <w:vAlign w:val="center"/>
          </w:tcPr>
          <w:p w14:paraId="40C6BBEB">
            <w:pPr>
              <w:pStyle w:val="179"/>
              <w:rPr>
                <w:rFonts w:ascii="Times New Roman"/>
              </w:rPr>
            </w:pPr>
          </w:p>
        </w:tc>
        <w:tc>
          <w:tcPr>
            <w:tcW w:w="851" w:type="dxa"/>
            <w:vMerge w:val="continue"/>
            <w:shd w:val="clear" w:color="auto" w:fill="auto"/>
            <w:vAlign w:val="center"/>
          </w:tcPr>
          <w:p w14:paraId="2323FFEA">
            <w:pPr>
              <w:pStyle w:val="179"/>
              <w:rPr>
                <w:rFonts w:ascii="Times New Roman"/>
              </w:rPr>
            </w:pPr>
          </w:p>
        </w:tc>
        <w:tc>
          <w:tcPr>
            <w:tcW w:w="1134" w:type="dxa"/>
            <w:shd w:val="clear" w:color="auto" w:fill="auto"/>
            <w:vAlign w:val="center"/>
          </w:tcPr>
          <w:p w14:paraId="371D69CF">
            <w:pPr>
              <w:pStyle w:val="179"/>
              <w:rPr>
                <w:rFonts w:ascii="Times New Roman"/>
              </w:rPr>
            </w:pPr>
            <w:r>
              <w:rPr>
                <w:rFonts w:ascii="Times New Roman"/>
              </w:rPr>
              <w:t>矿石</w:t>
            </w:r>
          </w:p>
        </w:tc>
        <w:tc>
          <w:tcPr>
            <w:tcW w:w="992" w:type="dxa"/>
            <w:shd w:val="clear" w:color="auto" w:fill="auto"/>
            <w:vAlign w:val="center"/>
          </w:tcPr>
          <w:p w14:paraId="7E70EDB5">
            <w:pPr>
              <w:pStyle w:val="179"/>
              <w:rPr>
                <w:rFonts w:ascii="Times New Roman"/>
              </w:rPr>
            </w:pPr>
            <w:r>
              <w:rPr>
                <w:rFonts w:ascii="Times New Roman"/>
              </w:rPr>
              <w:t>至少满足</w:t>
            </w:r>
          </w:p>
          <w:p w14:paraId="4D5C2BD8">
            <w:pPr>
              <w:pStyle w:val="179"/>
              <w:rPr>
                <w:rFonts w:ascii="Times New Roman"/>
              </w:rPr>
            </w:pPr>
            <w:r>
              <w:rPr>
                <w:rFonts w:ascii="Times New Roman"/>
              </w:rPr>
              <w:t>一种</w:t>
            </w:r>
          </w:p>
        </w:tc>
        <w:tc>
          <w:tcPr>
            <w:tcW w:w="2977" w:type="dxa"/>
            <w:shd w:val="clear" w:color="auto" w:fill="auto"/>
            <w:vAlign w:val="center"/>
          </w:tcPr>
          <w:p w14:paraId="640AD74E">
            <w:pPr>
              <w:pStyle w:val="179"/>
              <w:rPr>
                <w:rFonts w:ascii="Times New Roman"/>
              </w:rPr>
            </w:pPr>
            <w:bookmarkStart w:id="73" w:name="_Hlk179883367"/>
            <w:r>
              <w:rPr>
                <w:rFonts w:ascii="Times New Roman"/>
              </w:rPr>
              <w:t>含量≥10%或有机成分≥2%</w:t>
            </w:r>
            <w:bookmarkEnd w:id="73"/>
          </w:p>
        </w:tc>
        <w:tc>
          <w:tcPr>
            <w:tcW w:w="2823" w:type="dxa"/>
            <w:shd w:val="clear" w:color="auto" w:fill="auto"/>
            <w:vAlign w:val="center"/>
          </w:tcPr>
          <w:p w14:paraId="0EF2C360">
            <w:pPr>
              <w:pStyle w:val="179"/>
              <w:rPr>
                <w:rFonts w:ascii="Times New Roman"/>
              </w:rPr>
            </w:pPr>
            <w:r>
              <w:rPr>
                <w:rFonts w:ascii="Times New Roman"/>
              </w:rPr>
              <w:t>提供检测报告或相关认证证书</w:t>
            </w:r>
          </w:p>
        </w:tc>
      </w:tr>
      <w:tr w14:paraId="240BA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14:paraId="6CB62824">
            <w:pPr>
              <w:pStyle w:val="179"/>
              <w:rPr>
                <w:rFonts w:ascii="Times New Roman"/>
              </w:rPr>
            </w:pPr>
            <w:r>
              <w:rPr>
                <w:rFonts w:ascii="Times New Roman"/>
              </w:rPr>
              <w:t>2</w:t>
            </w:r>
          </w:p>
        </w:tc>
        <w:tc>
          <w:tcPr>
            <w:tcW w:w="1985" w:type="dxa"/>
            <w:gridSpan w:val="2"/>
            <w:shd w:val="clear" w:color="auto" w:fill="auto"/>
            <w:vAlign w:val="center"/>
          </w:tcPr>
          <w:p w14:paraId="232EDF32">
            <w:pPr>
              <w:pStyle w:val="179"/>
              <w:rPr>
                <w:rFonts w:ascii="Times New Roman"/>
              </w:rPr>
            </w:pPr>
            <w:r>
              <w:rPr>
                <w:rFonts w:ascii="Times New Roman"/>
              </w:rPr>
              <w:t>回收/再生材料</w:t>
            </w:r>
          </w:p>
        </w:tc>
        <w:tc>
          <w:tcPr>
            <w:tcW w:w="3969" w:type="dxa"/>
            <w:gridSpan w:val="2"/>
            <w:shd w:val="clear" w:color="auto" w:fill="auto"/>
            <w:vAlign w:val="center"/>
          </w:tcPr>
          <w:p w14:paraId="58354D37">
            <w:pPr>
              <w:pStyle w:val="179"/>
              <w:rPr>
                <w:rFonts w:ascii="Times New Roman"/>
              </w:rPr>
            </w:pPr>
            <w:r>
              <w:rPr>
                <w:rFonts w:ascii="Times New Roman"/>
              </w:rPr>
              <w:t>含量≥8%</w:t>
            </w:r>
          </w:p>
        </w:tc>
        <w:tc>
          <w:tcPr>
            <w:tcW w:w="2823" w:type="dxa"/>
            <w:shd w:val="clear" w:color="auto" w:fill="auto"/>
            <w:vAlign w:val="center"/>
          </w:tcPr>
          <w:p w14:paraId="0FE01ED6">
            <w:pPr>
              <w:pStyle w:val="179"/>
              <w:rPr>
                <w:rFonts w:ascii="Times New Roman"/>
              </w:rPr>
            </w:pPr>
            <w:r>
              <w:rPr>
                <w:rFonts w:ascii="Times New Roman"/>
              </w:rPr>
              <w:t>提供检测报告或相关认证证书</w:t>
            </w:r>
          </w:p>
        </w:tc>
      </w:tr>
      <w:tr w14:paraId="11A53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vMerge w:val="restart"/>
            <w:shd w:val="clear" w:color="auto" w:fill="auto"/>
            <w:vAlign w:val="center"/>
          </w:tcPr>
          <w:p w14:paraId="6D4A254F">
            <w:pPr>
              <w:pStyle w:val="179"/>
              <w:rPr>
                <w:rFonts w:ascii="Times New Roman"/>
              </w:rPr>
            </w:pPr>
            <w:bookmarkStart w:id="74" w:name="_Hlk179905836"/>
            <w:r>
              <w:rPr>
                <w:rFonts w:ascii="Times New Roman"/>
              </w:rPr>
              <w:t>3</w:t>
            </w:r>
          </w:p>
        </w:tc>
        <w:tc>
          <w:tcPr>
            <w:tcW w:w="1985" w:type="dxa"/>
            <w:gridSpan w:val="2"/>
            <w:vMerge w:val="restart"/>
            <w:shd w:val="clear" w:color="auto" w:fill="auto"/>
            <w:vAlign w:val="center"/>
          </w:tcPr>
          <w:p w14:paraId="5086359E">
            <w:pPr>
              <w:pStyle w:val="179"/>
              <w:rPr>
                <w:rFonts w:ascii="Times New Roman"/>
              </w:rPr>
            </w:pPr>
            <w:r>
              <w:rPr>
                <w:rFonts w:ascii="Times New Roman"/>
              </w:rPr>
              <w:t>生物基材料</w:t>
            </w:r>
          </w:p>
        </w:tc>
        <w:tc>
          <w:tcPr>
            <w:tcW w:w="992" w:type="dxa"/>
            <w:vMerge w:val="restart"/>
            <w:shd w:val="clear" w:color="auto" w:fill="auto"/>
            <w:vAlign w:val="center"/>
          </w:tcPr>
          <w:p w14:paraId="47C3DA38">
            <w:pPr>
              <w:pStyle w:val="179"/>
              <w:rPr>
                <w:rFonts w:ascii="Times New Roman"/>
              </w:rPr>
            </w:pPr>
            <w:r>
              <w:rPr>
                <w:rFonts w:ascii="Times New Roman"/>
              </w:rPr>
              <w:t>至少满足</w:t>
            </w:r>
          </w:p>
          <w:p w14:paraId="3F977ECB">
            <w:pPr>
              <w:pStyle w:val="179"/>
              <w:rPr>
                <w:rFonts w:ascii="Times New Roman"/>
              </w:rPr>
            </w:pPr>
            <w:r>
              <w:rPr>
                <w:rFonts w:ascii="Times New Roman"/>
              </w:rPr>
              <w:t>一种</w:t>
            </w:r>
          </w:p>
        </w:tc>
        <w:tc>
          <w:tcPr>
            <w:tcW w:w="2977" w:type="dxa"/>
            <w:shd w:val="clear" w:color="auto" w:fill="auto"/>
            <w:vAlign w:val="center"/>
          </w:tcPr>
          <w:p w14:paraId="31E81387">
            <w:pPr>
              <w:pStyle w:val="179"/>
              <w:rPr>
                <w:rFonts w:ascii="Times New Roman"/>
              </w:rPr>
            </w:pPr>
            <w:r>
              <w:rPr>
                <w:rFonts w:ascii="Times New Roman"/>
              </w:rPr>
              <w:t>生物碳含量≥5%</w:t>
            </w:r>
          </w:p>
        </w:tc>
        <w:tc>
          <w:tcPr>
            <w:tcW w:w="2823" w:type="dxa"/>
            <w:shd w:val="clear" w:color="auto" w:fill="auto"/>
            <w:vAlign w:val="center"/>
          </w:tcPr>
          <w:p w14:paraId="2F41FD75">
            <w:pPr>
              <w:pStyle w:val="179"/>
              <w:rPr>
                <w:rFonts w:ascii="Times New Roman"/>
              </w:rPr>
            </w:pPr>
            <w:r>
              <w:rPr>
                <w:rFonts w:ascii="Times New Roman"/>
              </w:rPr>
              <w:t>ASTMD 6866</w:t>
            </w:r>
          </w:p>
        </w:tc>
      </w:tr>
      <w:tr w14:paraId="625DC4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vMerge w:val="continue"/>
            <w:shd w:val="clear" w:color="auto" w:fill="auto"/>
            <w:vAlign w:val="center"/>
          </w:tcPr>
          <w:p w14:paraId="0AFDDB07">
            <w:pPr>
              <w:pStyle w:val="179"/>
              <w:rPr>
                <w:rFonts w:ascii="Times New Roman"/>
              </w:rPr>
            </w:pPr>
          </w:p>
        </w:tc>
        <w:tc>
          <w:tcPr>
            <w:tcW w:w="1985" w:type="dxa"/>
            <w:gridSpan w:val="2"/>
            <w:vMerge w:val="continue"/>
            <w:shd w:val="clear" w:color="auto" w:fill="auto"/>
            <w:vAlign w:val="center"/>
          </w:tcPr>
          <w:p w14:paraId="47C84B46">
            <w:pPr>
              <w:pStyle w:val="179"/>
              <w:rPr>
                <w:rFonts w:ascii="Times New Roman"/>
              </w:rPr>
            </w:pPr>
          </w:p>
        </w:tc>
        <w:tc>
          <w:tcPr>
            <w:tcW w:w="992" w:type="dxa"/>
            <w:vMerge w:val="continue"/>
            <w:shd w:val="clear" w:color="auto" w:fill="auto"/>
            <w:vAlign w:val="center"/>
          </w:tcPr>
          <w:p w14:paraId="69FC8AF4">
            <w:pPr>
              <w:pStyle w:val="179"/>
              <w:rPr>
                <w:rFonts w:ascii="Times New Roman"/>
              </w:rPr>
            </w:pPr>
          </w:p>
        </w:tc>
        <w:tc>
          <w:tcPr>
            <w:tcW w:w="2977" w:type="dxa"/>
            <w:shd w:val="clear" w:color="auto" w:fill="auto"/>
            <w:vAlign w:val="center"/>
          </w:tcPr>
          <w:p w14:paraId="186B9A45">
            <w:pPr>
              <w:pStyle w:val="179"/>
              <w:rPr>
                <w:rFonts w:ascii="Times New Roman"/>
              </w:rPr>
            </w:pPr>
            <w:r>
              <w:rPr>
                <w:rFonts w:ascii="Times New Roman"/>
              </w:rPr>
              <w:t>生物质平衡材料含量≥5%</w:t>
            </w:r>
          </w:p>
        </w:tc>
        <w:tc>
          <w:tcPr>
            <w:tcW w:w="2823" w:type="dxa"/>
            <w:shd w:val="clear" w:color="auto" w:fill="auto"/>
            <w:vAlign w:val="center"/>
          </w:tcPr>
          <w:p w14:paraId="730A048F">
            <w:pPr>
              <w:pStyle w:val="179"/>
              <w:rPr>
                <w:rFonts w:ascii="Times New Roman"/>
              </w:rPr>
            </w:pPr>
            <w:r>
              <w:rPr>
                <w:rFonts w:ascii="Times New Roman"/>
              </w:rPr>
              <w:t>提供检测报告或相关认证证书</w:t>
            </w:r>
          </w:p>
        </w:tc>
      </w:tr>
      <w:tr w14:paraId="7584A9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14:paraId="4241B763">
            <w:pPr>
              <w:pStyle w:val="179"/>
              <w:rPr>
                <w:rFonts w:ascii="Times New Roman"/>
              </w:rPr>
            </w:pPr>
            <w:r>
              <w:rPr>
                <w:rFonts w:ascii="Times New Roman"/>
              </w:rPr>
              <w:t>4</w:t>
            </w:r>
          </w:p>
        </w:tc>
        <w:tc>
          <w:tcPr>
            <w:tcW w:w="1985" w:type="dxa"/>
            <w:gridSpan w:val="2"/>
            <w:shd w:val="clear" w:color="auto" w:fill="auto"/>
            <w:vAlign w:val="center"/>
          </w:tcPr>
          <w:p w14:paraId="6E2527E1">
            <w:pPr>
              <w:pStyle w:val="179"/>
              <w:rPr>
                <w:rFonts w:ascii="Times New Roman"/>
              </w:rPr>
            </w:pPr>
            <w:r>
              <w:rPr>
                <w:rFonts w:ascii="Times New Roman"/>
              </w:rPr>
              <w:t>可生物降解材料</w:t>
            </w:r>
          </w:p>
        </w:tc>
        <w:tc>
          <w:tcPr>
            <w:tcW w:w="3969" w:type="dxa"/>
            <w:gridSpan w:val="2"/>
            <w:shd w:val="clear" w:color="auto" w:fill="auto"/>
            <w:vAlign w:val="center"/>
          </w:tcPr>
          <w:p w14:paraId="2277D78E">
            <w:pPr>
              <w:pStyle w:val="179"/>
              <w:rPr>
                <w:rFonts w:ascii="Times New Roman"/>
              </w:rPr>
            </w:pPr>
            <w:r>
              <w:rPr>
                <w:rFonts w:ascii="Times New Roman"/>
              </w:rPr>
              <w:t>绝对生物降解率≥10%</w:t>
            </w:r>
          </w:p>
        </w:tc>
        <w:tc>
          <w:tcPr>
            <w:tcW w:w="2823" w:type="dxa"/>
            <w:shd w:val="clear" w:color="auto" w:fill="auto"/>
            <w:vAlign w:val="center"/>
          </w:tcPr>
          <w:p w14:paraId="6A951CF4">
            <w:pPr>
              <w:pStyle w:val="179"/>
              <w:rPr>
                <w:rFonts w:ascii="Times New Roman"/>
              </w:rPr>
            </w:pPr>
            <w:r>
              <w:rPr>
                <w:rFonts w:ascii="Times New Roman"/>
              </w:rPr>
              <w:t>提供检测报告</w:t>
            </w:r>
          </w:p>
        </w:tc>
      </w:tr>
      <w:tr w14:paraId="19A70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14:paraId="7D6ABD60">
            <w:pPr>
              <w:pStyle w:val="179"/>
              <w:rPr>
                <w:rFonts w:ascii="Times New Roman"/>
              </w:rPr>
            </w:pPr>
            <w:r>
              <w:rPr>
                <w:rFonts w:ascii="Times New Roman"/>
              </w:rPr>
              <w:t>5</w:t>
            </w:r>
          </w:p>
        </w:tc>
        <w:tc>
          <w:tcPr>
            <w:tcW w:w="1985" w:type="dxa"/>
            <w:gridSpan w:val="2"/>
            <w:shd w:val="clear" w:color="auto" w:fill="auto"/>
            <w:vAlign w:val="center"/>
          </w:tcPr>
          <w:p w14:paraId="02EFFCA5">
            <w:pPr>
              <w:pStyle w:val="179"/>
              <w:rPr>
                <w:rFonts w:ascii="Times New Roman"/>
              </w:rPr>
            </w:pPr>
            <w:r>
              <w:rPr>
                <w:rFonts w:ascii="Times New Roman"/>
              </w:rPr>
              <w:t>碳中和材料</w:t>
            </w:r>
          </w:p>
        </w:tc>
        <w:tc>
          <w:tcPr>
            <w:tcW w:w="3969" w:type="dxa"/>
            <w:gridSpan w:val="2"/>
            <w:shd w:val="clear" w:color="auto" w:fill="auto"/>
            <w:vAlign w:val="center"/>
          </w:tcPr>
          <w:p w14:paraId="4BBC07A7">
            <w:pPr>
              <w:pStyle w:val="179"/>
              <w:rPr>
                <w:rFonts w:ascii="Times New Roman"/>
              </w:rPr>
            </w:pPr>
            <w:r>
              <w:rPr>
                <w:rFonts w:ascii="Times New Roman"/>
              </w:rPr>
              <w:t>对材料开展碳中和评价，碳足迹量≤0.1 kgCO</w:t>
            </w:r>
            <w:r>
              <w:rPr>
                <w:rFonts w:ascii="Times New Roman"/>
                <w:vertAlign w:val="subscript"/>
              </w:rPr>
              <w:t>2</w:t>
            </w:r>
            <w:r>
              <w:rPr>
                <w:rFonts w:ascii="Times New Roman"/>
              </w:rPr>
              <w:t>eq.，材料本身的碳足迹应持续改进</w:t>
            </w:r>
          </w:p>
        </w:tc>
        <w:tc>
          <w:tcPr>
            <w:tcW w:w="2823" w:type="dxa"/>
            <w:shd w:val="clear" w:color="auto" w:fill="auto"/>
            <w:vAlign w:val="center"/>
          </w:tcPr>
          <w:p w14:paraId="077E76FA">
            <w:pPr>
              <w:pStyle w:val="179"/>
              <w:rPr>
                <w:rFonts w:ascii="Times New Roman"/>
              </w:rPr>
            </w:pPr>
            <w:r>
              <w:rPr>
                <w:rFonts w:ascii="Times New Roman"/>
              </w:rPr>
              <w:t>ISO 14067、 ISO 14068-1、PAS 2050或相关标准</w:t>
            </w:r>
          </w:p>
        </w:tc>
      </w:tr>
      <w:bookmarkEnd w:id="74"/>
    </w:tbl>
    <w:p w14:paraId="38FBB183">
      <w:pPr>
        <w:pStyle w:val="95"/>
        <w:spacing w:before="360" w:beforeLines="150" w:after="120"/>
        <w:rPr>
          <w:rFonts w:ascii="Times New Roman"/>
        </w:rPr>
      </w:pPr>
      <w:r>
        <w:rPr>
          <w:rFonts w:ascii="Times New Roman"/>
        </w:rPr>
        <w:t>可选要求</w:t>
      </w:r>
    </w:p>
    <w:p w14:paraId="2AD5D099">
      <w:pPr>
        <w:pStyle w:val="57"/>
        <w:ind w:firstLine="420"/>
        <w:rPr>
          <w:rFonts w:ascii="Times New Roman"/>
        </w:rPr>
      </w:pPr>
      <w:r>
        <w:rPr>
          <w:rFonts w:ascii="Times New Roman"/>
        </w:rPr>
        <w:t>研磨丝杆可持续性产品的原材料宜满足以下要求：</w:t>
      </w:r>
    </w:p>
    <w:p w14:paraId="67B04789">
      <w:pPr>
        <w:pStyle w:val="133"/>
        <w:rPr>
          <w:rFonts w:ascii="Times New Roman"/>
        </w:rPr>
      </w:pPr>
      <w:r>
        <w:rPr>
          <w:rFonts w:ascii="Times New Roman"/>
        </w:rPr>
        <w:t>不使用列入《关于持久性有机污染物的斯德哥尔摩公约》的所有持久性有机污染物；</w:t>
      </w:r>
    </w:p>
    <w:p w14:paraId="70B53752">
      <w:pPr>
        <w:pStyle w:val="133"/>
        <w:rPr>
          <w:rFonts w:ascii="Times New Roman"/>
        </w:rPr>
      </w:pPr>
      <w:r>
        <w:rPr>
          <w:rFonts w:ascii="Times New Roman"/>
        </w:rPr>
        <w:t>研磨丝杆产品使用的原材料购自获评省级或国家级“绿色工厂”的企业。</w:t>
      </w:r>
    </w:p>
    <w:p w14:paraId="73183BD9">
      <w:pPr>
        <w:pStyle w:val="66"/>
        <w:spacing w:before="120" w:after="120"/>
        <w:rPr>
          <w:rFonts w:ascii="Times New Roman"/>
        </w:rPr>
      </w:pPr>
      <w:r>
        <w:rPr>
          <w:rFonts w:ascii="Times New Roman"/>
        </w:rPr>
        <w:t>生产工艺</w:t>
      </w:r>
    </w:p>
    <w:p w14:paraId="03BCE5CD">
      <w:pPr>
        <w:pStyle w:val="95"/>
        <w:spacing w:before="120" w:after="120"/>
        <w:rPr>
          <w:rFonts w:ascii="Times New Roman"/>
        </w:rPr>
      </w:pPr>
      <w:r>
        <w:rPr>
          <w:rFonts w:ascii="Times New Roman"/>
        </w:rPr>
        <w:t>必选要求</w:t>
      </w:r>
    </w:p>
    <w:p w14:paraId="00C8A798">
      <w:pPr>
        <w:pStyle w:val="57"/>
        <w:ind w:firstLine="420"/>
        <w:rPr>
          <w:rFonts w:ascii="Times New Roman"/>
        </w:rPr>
      </w:pPr>
      <w:r>
        <w:rPr>
          <w:rFonts w:ascii="Times New Roman"/>
        </w:rPr>
        <w:t>研磨丝杆可持续性产品的生产工艺应满足以下要求：</w:t>
      </w:r>
    </w:p>
    <w:p w14:paraId="2CD21596">
      <w:pPr>
        <w:pStyle w:val="133"/>
        <w:rPr>
          <w:rFonts w:ascii="Times New Roman"/>
        </w:rPr>
      </w:pPr>
      <w:r>
        <w:rPr>
          <w:rFonts w:ascii="Times New Roman"/>
        </w:rPr>
        <w:t>不使用《高耗能落后机电设备（产品）淘汰目录》《部分工业行业淘汰落后生产工艺装备和产品指导目录》等文件中已明令禁止使用的设备设施；</w:t>
      </w:r>
    </w:p>
    <w:p w14:paraId="1292EB25">
      <w:pPr>
        <w:pStyle w:val="133"/>
        <w:rPr>
          <w:rFonts w:ascii="Times New Roman"/>
        </w:rPr>
      </w:pPr>
      <w:r>
        <w:rPr>
          <w:rFonts w:ascii="Times New Roman"/>
        </w:rPr>
        <w:t>采用效率高、能耗低、碳排放低、水耗低、物耗低的生产设备及生产工艺。</w:t>
      </w:r>
    </w:p>
    <w:p w14:paraId="2953ACA4">
      <w:pPr>
        <w:pStyle w:val="95"/>
        <w:spacing w:before="120" w:after="120"/>
        <w:rPr>
          <w:rFonts w:ascii="Times New Roman"/>
        </w:rPr>
      </w:pPr>
      <w:r>
        <w:rPr>
          <w:rFonts w:ascii="Times New Roman"/>
        </w:rPr>
        <w:t>可选要求</w:t>
      </w:r>
    </w:p>
    <w:p w14:paraId="0A12E8A2">
      <w:pPr>
        <w:pStyle w:val="57"/>
        <w:ind w:firstLine="420"/>
        <w:rPr>
          <w:rFonts w:ascii="Times New Roman"/>
        </w:rPr>
      </w:pPr>
      <w:r>
        <w:rPr>
          <w:rFonts w:ascii="Times New Roman"/>
        </w:rPr>
        <w:t>研磨丝杆可持续性产品的生产工艺宜满足以下要求：</w:t>
      </w:r>
    </w:p>
    <w:p w14:paraId="127350E7">
      <w:pPr>
        <w:pStyle w:val="133"/>
        <w:rPr>
          <w:rFonts w:ascii="Times New Roman"/>
        </w:rPr>
      </w:pPr>
      <w:r>
        <w:rPr>
          <w:rFonts w:ascii="Times New Roman"/>
        </w:rPr>
        <w:t>生产工艺采用数字化、智能化、绿色化技术，如绿色前处理、数码喷墨等；</w:t>
      </w:r>
    </w:p>
    <w:p w14:paraId="6CF37908">
      <w:pPr>
        <w:pStyle w:val="133"/>
        <w:rPr>
          <w:rFonts w:ascii="Times New Roman"/>
        </w:rPr>
      </w:pPr>
      <w:r>
        <w:rPr>
          <w:rFonts w:ascii="Times New Roman"/>
        </w:rPr>
        <w:t>整合采用无氟防水、水性涂层等清洁化工艺；</w:t>
      </w:r>
    </w:p>
    <w:p w14:paraId="5377188F">
      <w:pPr>
        <w:pStyle w:val="133"/>
        <w:rPr>
          <w:rFonts w:ascii="Times New Roman"/>
        </w:rPr>
      </w:pPr>
      <w:r>
        <w:rPr>
          <w:rFonts w:ascii="Times New Roman"/>
        </w:rPr>
        <w:t>建立能耗、物耗以及废弃物排放的统计监测体系，根据监测结果持续改进提升。</w:t>
      </w:r>
    </w:p>
    <w:p w14:paraId="1AF616B8">
      <w:pPr>
        <w:pStyle w:val="66"/>
        <w:spacing w:before="120" w:after="120"/>
        <w:rPr>
          <w:rFonts w:ascii="Times New Roman"/>
        </w:rPr>
      </w:pPr>
      <w:r>
        <w:rPr>
          <w:rFonts w:ascii="Times New Roman"/>
        </w:rPr>
        <w:t>包装</w:t>
      </w:r>
    </w:p>
    <w:p w14:paraId="6DD2527A">
      <w:pPr>
        <w:pStyle w:val="95"/>
        <w:spacing w:before="120" w:after="120"/>
        <w:rPr>
          <w:rFonts w:ascii="Times New Roman"/>
        </w:rPr>
      </w:pPr>
      <w:r>
        <w:rPr>
          <w:rFonts w:ascii="Times New Roman"/>
        </w:rPr>
        <w:t>必选要求</w:t>
      </w:r>
    </w:p>
    <w:p w14:paraId="38B31705">
      <w:pPr>
        <w:pStyle w:val="57"/>
        <w:ind w:firstLine="420"/>
        <w:rPr>
          <w:rFonts w:ascii="Times New Roman"/>
        </w:rPr>
      </w:pPr>
      <w:r>
        <w:rPr>
          <w:rFonts w:ascii="Times New Roman"/>
        </w:rPr>
        <w:t>研磨丝杆可持续性产品的包装应满足以下要求：</w:t>
      </w:r>
    </w:p>
    <w:p w14:paraId="4986E8AB">
      <w:pPr>
        <w:pStyle w:val="133"/>
        <w:rPr>
          <w:rFonts w:ascii="Times New Roman"/>
        </w:rPr>
      </w:pPr>
      <w:r>
        <w:rPr>
          <w:rFonts w:ascii="Times New Roman"/>
        </w:rPr>
        <w:t>包装材料的选取，应注意包装废弃物对环境的影响，包装材料中铅、镉、汞和六价铬的总含量应满足GB/T 16716.1的相关要求；</w:t>
      </w:r>
    </w:p>
    <w:p w14:paraId="5798B765">
      <w:pPr>
        <w:pStyle w:val="133"/>
        <w:rPr>
          <w:rFonts w:ascii="Times New Roman"/>
        </w:rPr>
      </w:pPr>
      <w:r>
        <w:rPr>
          <w:rFonts w:ascii="Times New Roman"/>
        </w:rPr>
        <w:t>包装材料的选取，应本着节约、节俭的原则，使用常用的、经济的包装材料，部分常用包装材料见GB/T 31268的相关要求；</w:t>
      </w:r>
    </w:p>
    <w:p w14:paraId="18C07E47">
      <w:pPr>
        <w:pStyle w:val="133"/>
        <w:rPr>
          <w:rFonts w:ascii="Times New Roman"/>
        </w:rPr>
      </w:pPr>
      <w:r>
        <w:rPr>
          <w:rFonts w:ascii="Times New Roman"/>
        </w:rPr>
        <w:t>在满足正常的包装功能需求前提下，包装尺寸应与内装研磨丝杆产品的质量和规格相适应，应简化结构，减少包装层数（最多2层）、包装空隙率和包装体积，减少包装材料的用量。</w:t>
      </w:r>
    </w:p>
    <w:p w14:paraId="2BB92271">
      <w:pPr>
        <w:pStyle w:val="95"/>
        <w:spacing w:before="120" w:after="120"/>
        <w:rPr>
          <w:rFonts w:ascii="Times New Roman"/>
        </w:rPr>
      </w:pPr>
      <w:r>
        <w:rPr>
          <w:rFonts w:ascii="Times New Roman"/>
        </w:rPr>
        <w:t>可选要求</w:t>
      </w:r>
    </w:p>
    <w:p w14:paraId="786B08D0">
      <w:pPr>
        <w:pStyle w:val="57"/>
        <w:ind w:firstLine="420"/>
        <w:rPr>
          <w:rFonts w:ascii="Times New Roman"/>
        </w:rPr>
      </w:pPr>
      <w:r>
        <w:rPr>
          <w:rFonts w:ascii="Times New Roman"/>
        </w:rPr>
        <w:t>研磨丝杆可持续性产品的包装宜满足以下要求：</w:t>
      </w:r>
    </w:p>
    <w:p w14:paraId="3D3E0382">
      <w:pPr>
        <w:pStyle w:val="133"/>
        <w:jc w:val="both"/>
        <w:rPr>
          <w:rFonts w:ascii="Times New Roman"/>
        </w:rPr>
      </w:pPr>
      <w:r>
        <w:rPr>
          <w:rFonts w:ascii="Times New Roman"/>
        </w:rPr>
        <w:t>用于研磨丝杆产品最终包装的塑料材料和纸质材料使用的回收材料占比不低于50%，或用于研磨丝杆产品最终包装的塑料材料和纸质材料的可再生利用率不低于50%；</w:t>
      </w:r>
    </w:p>
    <w:p w14:paraId="0F195418">
      <w:pPr>
        <w:pStyle w:val="133"/>
        <w:jc w:val="both"/>
        <w:rPr>
          <w:rFonts w:ascii="Times New Roman"/>
        </w:rPr>
      </w:pPr>
      <w:r>
        <w:rPr>
          <w:rFonts w:ascii="Times New Roman"/>
        </w:rPr>
        <w:t>包装材料选用单一材质，或易于拆解或分离的两种及两种以上材料，按</w:t>
      </w:r>
      <w:bookmarkStart w:id="75" w:name="_Hlk179905897"/>
      <w:r>
        <w:rPr>
          <w:rFonts w:ascii="Times New Roman"/>
        </w:rPr>
        <w:t>GB/T 18455</w:t>
      </w:r>
      <w:bookmarkEnd w:id="75"/>
      <w:r>
        <w:rPr>
          <w:rFonts w:ascii="Times New Roman"/>
        </w:rPr>
        <w:t>标注回收标志；</w:t>
      </w:r>
    </w:p>
    <w:p w14:paraId="59BBC33B">
      <w:pPr>
        <w:pStyle w:val="133"/>
        <w:jc w:val="both"/>
        <w:rPr>
          <w:rFonts w:ascii="Times New Roman"/>
        </w:rPr>
      </w:pPr>
      <w:r>
        <w:rPr>
          <w:rFonts w:ascii="Times New Roman"/>
        </w:rPr>
        <w:t>包装材料采用环保印刷材料，减少印刷过程中油墨、溶剂等有害物质的排放；</w:t>
      </w:r>
    </w:p>
    <w:p w14:paraId="133D9636">
      <w:pPr>
        <w:pStyle w:val="133"/>
        <w:jc w:val="both"/>
        <w:rPr>
          <w:rFonts w:ascii="Times New Roman"/>
        </w:rPr>
      </w:pPr>
      <w:r>
        <w:rPr>
          <w:rFonts w:ascii="Times New Roman"/>
        </w:rPr>
        <w:t>纸质包装材料获得国际国内权威的森林认证。</w:t>
      </w:r>
    </w:p>
    <w:p w14:paraId="3CB85F0C">
      <w:pPr>
        <w:pStyle w:val="66"/>
        <w:spacing w:before="120" w:after="120"/>
        <w:rPr>
          <w:rFonts w:ascii="Times New Roman"/>
        </w:rPr>
      </w:pPr>
      <w:r>
        <w:rPr>
          <w:rFonts w:ascii="Times New Roman"/>
        </w:rPr>
        <w:t>产品可回收利用</w:t>
      </w:r>
    </w:p>
    <w:p w14:paraId="08232980">
      <w:pPr>
        <w:pStyle w:val="95"/>
        <w:spacing w:before="120" w:after="120"/>
        <w:rPr>
          <w:rFonts w:ascii="Times New Roman"/>
        </w:rPr>
      </w:pPr>
      <w:r>
        <w:rPr>
          <w:rFonts w:ascii="Times New Roman"/>
        </w:rPr>
        <w:t>必选要求</w:t>
      </w:r>
    </w:p>
    <w:p w14:paraId="47FBDAAF">
      <w:pPr>
        <w:pStyle w:val="57"/>
        <w:ind w:firstLine="420"/>
        <w:rPr>
          <w:rFonts w:ascii="Times New Roman"/>
        </w:rPr>
      </w:pPr>
      <w:r>
        <w:rPr>
          <w:rFonts w:ascii="Times New Roman"/>
        </w:rPr>
        <w:t>企业应关注研磨丝杆产品全生命周期内废弃物的资源再利用情况，建立产品可回收管理体系。</w:t>
      </w:r>
    </w:p>
    <w:p w14:paraId="2401347B">
      <w:pPr>
        <w:pStyle w:val="95"/>
        <w:spacing w:before="120" w:after="120"/>
        <w:rPr>
          <w:rFonts w:ascii="Times New Roman"/>
        </w:rPr>
      </w:pPr>
      <w:r>
        <w:rPr>
          <w:rFonts w:ascii="Times New Roman"/>
        </w:rPr>
        <w:t>可选要求</w:t>
      </w:r>
    </w:p>
    <w:p w14:paraId="5D472268">
      <w:pPr>
        <w:pStyle w:val="57"/>
        <w:ind w:firstLine="420"/>
        <w:rPr>
          <w:rFonts w:ascii="Times New Roman"/>
        </w:rPr>
      </w:pPr>
      <w:r>
        <w:rPr>
          <w:rFonts w:ascii="Times New Roman"/>
        </w:rPr>
        <w:t>产品可回收利用宜满足以下要求：</w:t>
      </w:r>
    </w:p>
    <w:p w14:paraId="0CFFD3D0">
      <w:pPr>
        <w:pStyle w:val="133"/>
        <w:jc w:val="both"/>
        <w:rPr>
          <w:rFonts w:ascii="Times New Roman"/>
        </w:rPr>
      </w:pPr>
      <w:r>
        <w:rPr>
          <w:rFonts w:ascii="Times New Roman"/>
        </w:rPr>
        <w:t>企业按照</w:t>
      </w:r>
      <w:bookmarkStart w:id="76" w:name="_Hlk179905916"/>
      <w:r>
        <w:rPr>
          <w:rFonts w:ascii="Times New Roman"/>
        </w:rPr>
        <w:t>GB/T 20862</w:t>
      </w:r>
      <w:bookmarkEnd w:id="76"/>
      <w:r>
        <w:rPr>
          <w:rFonts w:ascii="Times New Roman"/>
        </w:rPr>
        <w:t>的要求计算产品的可回收利用率，并利用计算结果对产品的可回收利用率进行改善；</w:t>
      </w:r>
    </w:p>
    <w:p w14:paraId="4D6D98D8">
      <w:pPr>
        <w:pStyle w:val="133"/>
        <w:jc w:val="both"/>
        <w:rPr>
          <w:rFonts w:ascii="Times New Roman"/>
        </w:rPr>
      </w:pPr>
      <w:r>
        <w:rPr>
          <w:rFonts w:ascii="Times New Roman"/>
        </w:rPr>
        <w:t>企业建立回收渠道，选择合适的回收处理方式，将产品进行再利用或材料回收；</w:t>
      </w:r>
    </w:p>
    <w:p w14:paraId="008D7ED9">
      <w:pPr>
        <w:pStyle w:val="133"/>
        <w:rPr>
          <w:rFonts w:ascii="Times New Roman"/>
        </w:rPr>
      </w:pPr>
      <w:r>
        <w:rPr>
          <w:rFonts w:ascii="Times New Roman"/>
        </w:rPr>
        <w:t>产品可再生利用率不小于50%，按公式（1）计算。</w:t>
      </w:r>
    </w:p>
    <w:p w14:paraId="4F47FF48">
      <w:pPr>
        <w:pStyle w:val="114"/>
        <w:spacing w:before="240" w:beforeLines="100" w:after="240" w:afterLines="100"/>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cyc</m:t>
            </m:r>
            <m:ctrlPr>
              <w:rPr>
                <w:rFonts w:ascii="Cambria Math" w:hAnsi="Cambria Math"/>
                <w:i/>
              </w:rPr>
            </m:ctrlPr>
          </m:sub>
        </m:sSub>
        <m:r>
          <m:rP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m:rPr/>
                  <w:rPr>
                    <w:rFonts w:ascii="Cambria Math" w:hAnsi="Cambria Math"/>
                  </w:rPr>
                  <m:t>i=1</m:t>
                </m:r>
                <m:ctrlPr>
                  <w:rPr>
                    <w:rFonts w:ascii="Cambria Math" w:hAnsi="Cambria Math"/>
                    <w:i/>
                  </w:rPr>
                </m:ctrlPr>
              </m:sub>
              <m:sup>
                <m:r>
                  <m:rPr/>
                  <w:rPr>
                    <w:rFonts w:ascii="Cambria Math" w:hAnsi="Cambria Math"/>
                  </w:rPr>
                  <m:t>n</m:t>
                </m:r>
                <m:ctrlPr>
                  <w:rPr>
                    <w:rFonts w:ascii="Cambria Math" w:hAnsi="Cambria Math"/>
                    <w:i/>
                  </w:rPr>
                </m:ctrlPr>
              </m:sup>
              <m:e>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cyci</m:t>
                    </m:r>
                    <m:ctrlPr>
                      <w:rPr>
                        <w:rFonts w:ascii="Cambria Math" w:hAnsi="Cambria Math"/>
                        <w:i/>
                      </w:rPr>
                    </m:ctrlPr>
                  </m:sub>
                </m:sSub>
                <m:ctrlPr>
                  <w:rPr>
                    <w:rFonts w:ascii="Cambria Math" w:hAnsi="Cambria Math"/>
                    <w:i/>
                  </w:rPr>
                </m:ctrlPr>
              </m:e>
            </m:nary>
            <m:ctrlPr>
              <w:rPr>
                <w:rFonts w:ascii="Cambria Math" w:hAnsi="Cambria Math"/>
                <w:i/>
              </w:rPr>
            </m:ctrlPr>
          </m:num>
          <m:den>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v</m:t>
                </m:r>
                <m:ctrlPr>
                  <w:rPr>
                    <w:rFonts w:ascii="Cambria Math" w:hAnsi="Cambria Math"/>
                    <w:i/>
                  </w:rPr>
                </m:ctrlPr>
              </m:sub>
            </m:sSub>
            <m:ctrlPr>
              <w:rPr>
                <w:rFonts w:ascii="Cambria Math" w:hAnsi="Cambria Math"/>
                <w:i/>
              </w:rPr>
            </m:ctrlPr>
          </m:den>
        </m:f>
        <m:r>
          <m:rPr/>
          <w:rPr>
            <w:rFonts w:ascii="Cambria Math" w:hAnsi="Cambria Math"/>
          </w:rPr>
          <m:t>×100%</m:t>
        </m:r>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18194CB2">
      <w:pPr>
        <w:pStyle w:val="56"/>
        <w:ind w:firstLine="420"/>
        <w:rPr>
          <w:rFonts w:ascii="Times New Roman" w:hAnsi="Times New Roman"/>
        </w:rPr>
      </w:pPr>
      <w:r>
        <w:rPr>
          <w:rFonts w:ascii="Times New Roman" w:hAnsi="Times New Roman"/>
        </w:rPr>
        <w:t>式中：</w:t>
      </w:r>
    </w:p>
    <w:p w14:paraId="1D9FF7F2">
      <w:pPr>
        <w:pStyle w:val="57"/>
        <w:ind w:firstLine="420"/>
        <w:rPr>
          <w:rFonts w:ascii="Times New Roman"/>
        </w:rPr>
      </w:pPr>
      <w:r>
        <w:rPr>
          <w:rFonts w:ascii="Times New Roman"/>
        </w:rPr>
        <w:t>R</w:t>
      </w:r>
      <w:r>
        <w:rPr>
          <w:rFonts w:ascii="Times New Roman"/>
          <w:vertAlign w:val="subscript"/>
        </w:rPr>
        <w:t xml:space="preserve">cyc   </w:t>
      </w:r>
      <w:r>
        <w:rPr>
          <w:rFonts w:ascii="Times New Roman"/>
        </w:rPr>
        <w:t>——产品或材料可再生利用率；</w:t>
      </w:r>
    </w:p>
    <w:p w14:paraId="1CF7C9FF">
      <w:pPr>
        <w:pStyle w:val="57"/>
        <w:ind w:firstLine="420"/>
        <w:rPr>
          <w:rFonts w:ascii="Times New Roman"/>
        </w:rPr>
      </w:pPr>
      <w:r>
        <w:rPr>
          <w:rFonts w:ascii="Times New Roman"/>
        </w:rPr>
        <w:t>m</w:t>
      </w:r>
      <w:r>
        <w:rPr>
          <w:rFonts w:ascii="Times New Roman"/>
          <w:vertAlign w:val="subscript"/>
        </w:rPr>
        <w:t xml:space="preserve">cyci  </w:t>
      </w:r>
      <w:r>
        <w:rPr>
          <w:rFonts w:ascii="Times New Roman"/>
        </w:rPr>
        <w:t>——第i种预期能够被再使用部分与再生利用部分的质量，单位为千克（kg） ；</w:t>
      </w:r>
    </w:p>
    <w:p w14:paraId="690CEF43">
      <w:pPr>
        <w:pStyle w:val="57"/>
        <w:ind w:firstLine="420"/>
        <w:rPr>
          <w:rFonts w:ascii="Times New Roman"/>
        </w:rPr>
      </w:pPr>
      <w:r>
        <w:rPr>
          <w:rFonts w:ascii="Times New Roman"/>
        </w:rPr>
        <w:t>m</w:t>
      </w:r>
      <w:r>
        <w:rPr>
          <w:rFonts w:ascii="Times New Roman"/>
          <w:vertAlign w:val="subscript"/>
        </w:rPr>
        <w:t xml:space="preserve">v    </w:t>
      </w:r>
      <w:r>
        <w:rPr>
          <w:rFonts w:ascii="Times New Roman"/>
        </w:rPr>
        <w:t>——产品或材料总质量，单位为千克（kg）；</w:t>
      </w:r>
    </w:p>
    <w:p w14:paraId="3043BCF3">
      <w:pPr>
        <w:pStyle w:val="57"/>
        <w:ind w:firstLine="420"/>
        <w:rPr>
          <w:rFonts w:ascii="Times New Roman"/>
        </w:rPr>
      </w:pPr>
      <w:r>
        <w:rPr>
          <w:rFonts w:ascii="Times New Roman"/>
        </w:rPr>
        <w:t>n    ——预期能够被再使用部分与再生利用部分的类别总数。</w:t>
      </w:r>
    </w:p>
    <w:p w14:paraId="31B4876D">
      <w:pPr>
        <w:pStyle w:val="66"/>
        <w:spacing w:before="120" w:after="120"/>
        <w:rPr>
          <w:rFonts w:ascii="Times New Roman"/>
        </w:rPr>
      </w:pPr>
      <w:r>
        <w:rPr>
          <w:rFonts w:ascii="Times New Roman"/>
        </w:rPr>
        <w:t>其他</w:t>
      </w:r>
    </w:p>
    <w:p w14:paraId="75BC2F92">
      <w:pPr>
        <w:pStyle w:val="95"/>
        <w:spacing w:before="120" w:after="120"/>
        <w:rPr>
          <w:rFonts w:ascii="Times New Roman"/>
        </w:rPr>
      </w:pPr>
      <w:r>
        <w:rPr>
          <w:rFonts w:ascii="Times New Roman"/>
        </w:rPr>
        <w:t>必选要求</w:t>
      </w:r>
    </w:p>
    <w:p w14:paraId="4F79DF1C">
      <w:pPr>
        <w:pStyle w:val="57"/>
        <w:ind w:firstLine="420"/>
        <w:rPr>
          <w:rFonts w:ascii="Times New Roman"/>
        </w:rPr>
      </w:pPr>
      <w:r>
        <w:rPr>
          <w:rFonts w:ascii="Times New Roman"/>
        </w:rPr>
        <w:t>研磨丝杆可持续性产品应满足的其他要求：</w:t>
      </w:r>
    </w:p>
    <w:p w14:paraId="117124BE">
      <w:pPr>
        <w:pStyle w:val="133"/>
        <w:jc w:val="both"/>
        <w:rPr>
          <w:rFonts w:ascii="Times New Roman"/>
        </w:rPr>
      </w:pPr>
      <w:r>
        <w:rPr>
          <w:rFonts w:ascii="Times New Roman"/>
        </w:rPr>
        <w:t>企业应从物料环保、污染预防、清洁生产、节能减排等方面对供应商进行选择和管理，构建绿色供应链；</w:t>
      </w:r>
    </w:p>
    <w:p w14:paraId="3C9B5242">
      <w:pPr>
        <w:pStyle w:val="133"/>
        <w:jc w:val="both"/>
        <w:rPr>
          <w:rFonts w:ascii="Times New Roman"/>
        </w:rPr>
      </w:pPr>
      <w:r>
        <w:rPr>
          <w:rFonts w:ascii="Times New Roman"/>
        </w:rPr>
        <w:t>企业定期为员工提供可持续发展相关教育和培训。</w:t>
      </w:r>
    </w:p>
    <w:p w14:paraId="2DAF8186">
      <w:pPr>
        <w:pStyle w:val="95"/>
        <w:spacing w:before="120" w:after="120"/>
        <w:rPr>
          <w:rFonts w:ascii="Times New Roman"/>
        </w:rPr>
      </w:pPr>
      <w:r>
        <w:rPr>
          <w:rFonts w:ascii="Times New Roman"/>
        </w:rPr>
        <w:t>可选要求</w:t>
      </w:r>
    </w:p>
    <w:p w14:paraId="4108B976">
      <w:pPr>
        <w:pStyle w:val="57"/>
        <w:ind w:firstLine="420"/>
        <w:rPr>
          <w:rFonts w:ascii="Times New Roman"/>
        </w:rPr>
      </w:pPr>
      <w:r>
        <w:rPr>
          <w:rFonts w:ascii="Times New Roman"/>
        </w:rPr>
        <w:t>研磨丝杆可持续性产品宜满足的其他要求：</w:t>
      </w:r>
    </w:p>
    <w:p w14:paraId="06BFBE29">
      <w:pPr>
        <w:pStyle w:val="133"/>
        <w:jc w:val="both"/>
        <w:rPr>
          <w:rFonts w:ascii="Times New Roman"/>
        </w:rPr>
      </w:pPr>
      <w:r>
        <w:rPr>
          <w:rFonts w:ascii="Times New Roman"/>
        </w:rPr>
        <w:t>企业及原材料生产供应商建立并运行质量管理体系、环境管理体系和职业健康安全管理体系，分别应满足GB/T 19001、GB/T 24001和GB/T 45001的要求；</w:t>
      </w:r>
    </w:p>
    <w:p w14:paraId="04EED9A7">
      <w:pPr>
        <w:pStyle w:val="133"/>
        <w:jc w:val="both"/>
        <w:rPr>
          <w:rFonts w:ascii="Times New Roman"/>
        </w:rPr>
      </w:pPr>
      <w:r>
        <w:rPr>
          <w:rFonts w:ascii="Times New Roman"/>
        </w:rPr>
        <w:t>按照相关国家标准、行业标准或政府采信的团体标准，对研磨丝杆产品开展绿色产品评价；</w:t>
      </w:r>
    </w:p>
    <w:p w14:paraId="5A209C54">
      <w:pPr>
        <w:pStyle w:val="133"/>
        <w:jc w:val="both"/>
        <w:rPr>
          <w:rFonts w:ascii="Times New Roman"/>
        </w:rPr>
      </w:pPr>
      <w:r>
        <w:rPr>
          <w:rFonts w:ascii="Times New Roman"/>
        </w:rPr>
        <w:t>按照相关国际标准、国家标准、行业标准或政府采信的团体标准，对产品的碳足迹进行核算或核查，利用核算或核查结果对产品的碳足迹进行改善；</w:t>
      </w:r>
    </w:p>
    <w:p w14:paraId="301A395A">
      <w:pPr>
        <w:pStyle w:val="133"/>
        <w:jc w:val="both"/>
        <w:rPr>
          <w:rFonts w:ascii="Times New Roman"/>
        </w:rPr>
      </w:pPr>
      <w:r>
        <w:rPr>
          <w:rFonts w:ascii="Times New Roman"/>
        </w:rPr>
        <w:t>企业提供环境、社会和治理（ESG）方面的报告。</w:t>
      </w:r>
    </w:p>
    <w:p w14:paraId="79170EAE">
      <w:pPr>
        <w:pStyle w:val="105"/>
        <w:spacing w:before="240" w:after="240"/>
        <w:rPr>
          <w:rFonts w:ascii="Times New Roman"/>
        </w:rPr>
      </w:pPr>
      <w:bookmarkStart w:id="77" w:name="_Toc179816571"/>
      <w:bookmarkStart w:id="78" w:name="_Toc179966958"/>
      <w:bookmarkStart w:id="79" w:name="_Toc179906351"/>
      <w:bookmarkStart w:id="80" w:name="_Toc192153885"/>
      <w:r>
        <w:rPr>
          <w:rFonts w:ascii="Times New Roman"/>
        </w:rPr>
        <w:t>评价方法</w:t>
      </w:r>
      <w:bookmarkEnd w:id="77"/>
      <w:bookmarkEnd w:id="78"/>
      <w:bookmarkEnd w:id="79"/>
      <w:bookmarkEnd w:id="80"/>
    </w:p>
    <w:p w14:paraId="049B1303">
      <w:pPr>
        <w:pStyle w:val="163"/>
        <w:rPr>
          <w:rFonts w:ascii="Times New Roman"/>
        </w:rPr>
      </w:pPr>
      <w:r>
        <w:rPr>
          <w:rFonts w:ascii="Times New Roman"/>
        </w:rPr>
        <w:t>实施评价方可通过查验报告文件、实地调查等形式收集评价证明材料。研磨丝杆可持续性产品评价指标证明材料见附录A。</w:t>
      </w:r>
    </w:p>
    <w:p w14:paraId="4C351FD9">
      <w:pPr>
        <w:pStyle w:val="163"/>
        <w:rPr>
          <w:rFonts w:ascii="Times New Roman"/>
        </w:rPr>
      </w:pPr>
      <w:r>
        <w:rPr>
          <w:rFonts w:ascii="Times New Roman"/>
        </w:rPr>
        <w:t>研磨丝杆可持续性产品评价等级按表2的规定划分。产品符合对应等级的要求可评价为符合本文件的X星级可持续性产品。</w:t>
      </w:r>
    </w:p>
    <w:p w14:paraId="2D13A5CB">
      <w:pPr>
        <w:pStyle w:val="113"/>
        <w:spacing w:before="120" w:after="120"/>
        <w:rPr>
          <w:rFonts w:ascii="Times New Roman"/>
        </w:rPr>
      </w:pPr>
      <w:r>
        <w:rPr>
          <w:rFonts w:ascii="Times New Roman"/>
        </w:rPr>
        <w:t>研磨丝杆可持续性产品评价等级划分表</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5812"/>
        <w:gridCol w:w="2681"/>
      </w:tblGrid>
      <w:tr w14:paraId="6B75C5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shd w:val="clear" w:color="auto" w:fill="auto"/>
            <w:vAlign w:val="center"/>
          </w:tcPr>
          <w:p w14:paraId="65CC2E0B">
            <w:pPr>
              <w:pStyle w:val="179"/>
              <w:rPr>
                <w:rFonts w:ascii="Times New Roman"/>
              </w:rPr>
            </w:pPr>
            <w:r>
              <w:rPr>
                <w:rFonts w:ascii="Times New Roman"/>
              </w:rPr>
              <w:t>序号</w:t>
            </w:r>
          </w:p>
        </w:tc>
        <w:tc>
          <w:tcPr>
            <w:tcW w:w="5812" w:type="dxa"/>
            <w:tcBorders>
              <w:top w:val="single" w:color="auto" w:sz="8" w:space="0"/>
              <w:bottom w:val="single" w:color="auto" w:sz="8" w:space="0"/>
            </w:tcBorders>
            <w:shd w:val="clear" w:color="auto" w:fill="auto"/>
            <w:vAlign w:val="center"/>
          </w:tcPr>
          <w:p w14:paraId="650F38E8">
            <w:pPr>
              <w:pStyle w:val="179"/>
              <w:rPr>
                <w:rFonts w:ascii="Times New Roman"/>
              </w:rPr>
            </w:pPr>
            <w:r>
              <w:rPr>
                <w:rFonts w:ascii="Times New Roman"/>
              </w:rPr>
              <w:t>项目符合情况</w:t>
            </w:r>
          </w:p>
        </w:tc>
        <w:tc>
          <w:tcPr>
            <w:tcW w:w="2681" w:type="dxa"/>
            <w:tcBorders>
              <w:top w:val="single" w:color="auto" w:sz="8" w:space="0"/>
              <w:bottom w:val="single" w:color="auto" w:sz="8" w:space="0"/>
            </w:tcBorders>
            <w:shd w:val="clear" w:color="auto" w:fill="auto"/>
            <w:vAlign w:val="center"/>
          </w:tcPr>
          <w:p w14:paraId="1406FF1D">
            <w:pPr>
              <w:pStyle w:val="179"/>
              <w:rPr>
                <w:rFonts w:ascii="Times New Roman"/>
              </w:rPr>
            </w:pPr>
            <w:r>
              <w:rPr>
                <w:rFonts w:ascii="Times New Roman"/>
              </w:rPr>
              <w:t>等级</w:t>
            </w:r>
          </w:p>
        </w:tc>
      </w:tr>
      <w:tr w14:paraId="0AD45A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8" w:space="0"/>
            </w:tcBorders>
            <w:shd w:val="clear" w:color="auto" w:fill="auto"/>
            <w:vAlign w:val="center"/>
          </w:tcPr>
          <w:p w14:paraId="20235118">
            <w:pPr>
              <w:pStyle w:val="179"/>
              <w:rPr>
                <w:rFonts w:ascii="Times New Roman"/>
              </w:rPr>
            </w:pPr>
            <w:r>
              <w:rPr>
                <w:rFonts w:ascii="Times New Roman"/>
              </w:rPr>
              <w:t>1</w:t>
            </w:r>
          </w:p>
        </w:tc>
        <w:tc>
          <w:tcPr>
            <w:tcW w:w="5812" w:type="dxa"/>
            <w:tcBorders>
              <w:top w:val="single" w:color="auto" w:sz="8" w:space="0"/>
            </w:tcBorders>
            <w:shd w:val="clear" w:color="auto" w:fill="auto"/>
            <w:vAlign w:val="center"/>
          </w:tcPr>
          <w:p w14:paraId="05EADA9E">
            <w:pPr>
              <w:pStyle w:val="179"/>
              <w:rPr>
                <w:rFonts w:ascii="Times New Roman"/>
              </w:rPr>
            </w:pPr>
            <w:r>
              <w:rPr>
                <w:rFonts w:ascii="Times New Roman"/>
              </w:rPr>
              <w:t>必选要求全部满足</w:t>
            </w:r>
          </w:p>
        </w:tc>
        <w:tc>
          <w:tcPr>
            <w:tcW w:w="2681" w:type="dxa"/>
            <w:tcBorders>
              <w:top w:val="single" w:color="auto" w:sz="8" w:space="0"/>
            </w:tcBorders>
            <w:shd w:val="clear" w:color="auto" w:fill="auto"/>
            <w:vAlign w:val="center"/>
          </w:tcPr>
          <w:p w14:paraId="1DD18B29">
            <w:pPr>
              <w:pStyle w:val="179"/>
              <w:rPr>
                <w:rFonts w:ascii="Times New Roman"/>
              </w:rPr>
            </w:pPr>
            <w:r>
              <w:rPr>
                <w:rFonts w:ascii="Segoe UI Symbol" w:hAnsi="Segoe UI Symbol" w:cs="Segoe UI Symbol"/>
              </w:rPr>
              <w:t>★</w:t>
            </w:r>
            <w:r>
              <w:rPr>
                <w:rFonts w:ascii="Times New Roman"/>
              </w:rPr>
              <w:t>（一星级）</w:t>
            </w:r>
          </w:p>
        </w:tc>
      </w:tr>
      <w:tr w14:paraId="735883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0F9BA404">
            <w:pPr>
              <w:pStyle w:val="179"/>
              <w:rPr>
                <w:rFonts w:ascii="Times New Roman"/>
              </w:rPr>
            </w:pPr>
            <w:r>
              <w:rPr>
                <w:rFonts w:ascii="Times New Roman"/>
              </w:rPr>
              <w:t>2</w:t>
            </w:r>
          </w:p>
        </w:tc>
        <w:tc>
          <w:tcPr>
            <w:tcW w:w="5812" w:type="dxa"/>
            <w:shd w:val="clear" w:color="auto" w:fill="auto"/>
            <w:vAlign w:val="center"/>
          </w:tcPr>
          <w:p w14:paraId="60EFD517">
            <w:pPr>
              <w:pStyle w:val="179"/>
              <w:rPr>
                <w:rFonts w:ascii="Times New Roman"/>
              </w:rPr>
            </w:pPr>
            <w:r>
              <w:rPr>
                <w:rFonts w:ascii="Times New Roman"/>
              </w:rPr>
              <w:t>必选要求全部满足，且所有可选要求三分之一或以上满足</w:t>
            </w:r>
          </w:p>
        </w:tc>
        <w:tc>
          <w:tcPr>
            <w:tcW w:w="2681" w:type="dxa"/>
            <w:shd w:val="clear" w:color="auto" w:fill="auto"/>
            <w:vAlign w:val="center"/>
          </w:tcPr>
          <w:p w14:paraId="6BCEB090">
            <w:pPr>
              <w:pStyle w:val="179"/>
              <w:rPr>
                <w:rFonts w:ascii="Times New Roman"/>
              </w:rPr>
            </w:pPr>
            <w:r>
              <w:rPr>
                <w:rFonts w:ascii="Segoe UI Symbol" w:hAnsi="Segoe UI Symbol" w:cs="Segoe UI Symbol"/>
              </w:rPr>
              <w:t>★★</w:t>
            </w:r>
            <w:r>
              <w:rPr>
                <w:rFonts w:ascii="Times New Roman"/>
              </w:rPr>
              <w:t>（二星级）</w:t>
            </w:r>
          </w:p>
        </w:tc>
      </w:tr>
      <w:tr w14:paraId="086B81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25A7104A">
            <w:pPr>
              <w:pStyle w:val="179"/>
              <w:rPr>
                <w:rFonts w:ascii="Times New Roman"/>
              </w:rPr>
            </w:pPr>
            <w:r>
              <w:rPr>
                <w:rFonts w:ascii="Times New Roman"/>
              </w:rPr>
              <w:t>3</w:t>
            </w:r>
          </w:p>
        </w:tc>
        <w:tc>
          <w:tcPr>
            <w:tcW w:w="5812" w:type="dxa"/>
            <w:shd w:val="clear" w:color="auto" w:fill="auto"/>
            <w:vAlign w:val="center"/>
          </w:tcPr>
          <w:p w14:paraId="1528A6A6">
            <w:pPr>
              <w:pStyle w:val="179"/>
              <w:rPr>
                <w:rFonts w:ascii="Times New Roman"/>
              </w:rPr>
            </w:pPr>
            <w:r>
              <w:rPr>
                <w:rFonts w:ascii="Times New Roman"/>
              </w:rPr>
              <w:t>必选要求全部满足，且所有可选要求三分之二或以上满足</w:t>
            </w:r>
          </w:p>
        </w:tc>
        <w:tc>
          <w:tcPr>
            <w:tcW w:w="2681" w:type="dxa"/>
            <w:shd w:val="clear" w:color="auto" w:fill="auto"/>
            <w:vAlign w:val="center"/>
          </w:tcPr>
          <w:p w14:paraId="538DF7E2">
            <w:pPr>
              <w:pStyle w:val="179"/>
              <w:rPr>
                <w:rFonts w:ascii="Times New Roman"/>
              </w:rPr>
            </w:pPr>
            <w:r>
              <w:rPr>
                <w:rFonts w:ascii="Segoe UI Symbol" w:hAnsi="Segoe UI Symbol" w:cs="Segoe UI Symbol"/>
              </w:rPr>
              <w:t>★★★</w:t>
            </w:r>
            <w:r>
              <w:rPr>
                <w:rFonts w:ascii="Times New Roman"/>
              </w:rPr>
              <w:t>（三星级）</w:t>
            </w:r>
          </w:p>
        </w:tc>
      </w:tr>
      <w:tr w14:paraId="151F50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shd w:val="clear" w:color="auto" w:fill="auto"/>
            <w:vAlign w:val="center"/>
          </w:tcPr>
          <w:p w14:paraId="1F4780A7">
            <w:pPr>
              <w:pStyle w:val="180"/>
              <w:rPr>
                <w:rFonts w:ascii="Times New Roman"/>
              </w:rPr>
            </w:pPr>
            <w:r>
              <w:rPr>
                <w:rFonts w:ascii="Times New Roman"/>
              </w:rPr>
              <w:t>统计可选要求满足情况时，对于被评价产品不涉及的可选要求项目，统计可选要求数量时应扣除。</w:t>
            </w:r>
          </w:p>
        </w:tc>
      </w:tr>
    </w:tbl>
    <w:p w14:paraId="6D5948D5">
      <w:pPr>
        <w:pStyle w:val="57"/>
        <w:ind w:firstLine="0" w:firstLineChars="0"/>
        <w:rPr>
          <w:rFonts w:ascii="Times New Roman"/>
        </w:rPr>
      </w:pPr>
    </w:p>
    <w:p w14:paraId="154BF490">
      <w:pPr>
        <w:pStyle w:val="57"/>
        <w:ind w:firstLine="0" w:firstLineChars="0"/>
        <w:rPr>
          <w:rFonts w:ascii="Times New Roman"/>
        </w:rPr>
      </w:pPr>
    </w:p>
    <w:p w14:paraId="1DF2026B">
      <w:pPr>
        <w:pStyle w:val="57"/>
        <w:ind w:firstLine="420"/>
        <w:rPr>
          <w:rFonts w:ascii="Times New Roman"/>
        </w:rPr>
      </w:pPr>
    </w:p>
    <w:p w14:paraId="68538EFF">
      <w:pPr>
        <w:pStyle w:val="57"/>
        <w:ind w:firstLine="420"/>
        <w:rPr>
          <w:rFonts w:ascii="Times New Roman"/>
        </w:rPr>
      </w:pPr>
    </w:p>
    <w:p w14:paraId="68A1BB74">
      <w:pPr>
        <w:pStyle w:val="57"/>
        <w:ind w:firstLine="420"/>
        <w:rPr>
          <w:rFonts w:ascii="Times New Roman"/>
        </w:rPr>
      </w:pPr>
    </w:p>
    <w:p w14:paraId="1FA143C9">
      <w:pPr>
        <w:pStyle w:val="57"/>
        <w:ind w:firstLine="420"/>
        <w:rPr>
          <w:rFonts w:ascii="Times New Roman"/>
        </w:rPr>
      </w:pPr>
    </w:p>
    <w:p w14:paraId="08B2260D">
      <w:pPr>
        <w:pStyle w:val="57"/>
        <w:ind w:firstLine="420"/>
        <w:rPr>
          <w:rFonts w:ascii="Times New Roman"/>
        </w:rPr>
      </w:pPr>
    </w:p>
    <w:p w14:paraId="356A84C2">
      <w:pPr>
        <w:pStyle w:val="57"/>
        <w:ind w:firstLine="420"/>
        <w:rPr>
          <w:rFonts w:ascii="Times New Roman"/>
        </w:rPr>
      </w:pPr>
    </w:p>
    <w:p w14:paraId="5273DD9E">
      <w:pPr>
        <w:pStyle w:val="57"/>
        <w:ind w:firstLine="420"/>
        <w:rPr>
          <w:rFonts w:ascii="Times New Roman"/>
        </w:rPr>
        <w:sectPr>
          <w:pgSz w:w="11906" w:h="16838"/>
          <w:pgMar w:top="1928" w:right="1134" w:bottom="1134" w:left="1134" w:header="1418" w:footer="1134" w:gutter="284"/>
          <w:pgNumType w:start="1"/>
          <w:cols w:space="425" w:num="1"/>
          <w:formProt w:val="0"/>
          <w:docGrid w:linePitch="312" w:charSpace="0"/>
        </w:sectPr>
      </w:pPr>
    </w:p>
    <w:bookmarkEnd w:id="27"/>
    <w:p w14:paraId="4209D9C1">
      <w:pPr>
        <w:pStyle w:val="199"/>
        <w:rPr>
          <w:rFonts w:ascii="Times New Roman" w:hAnsi="Times New Roman"/>
          <w:vanish w:val="0"/>
        </w:rPr>
      </w:pPr>
      <w:bookmarkStart w:id="81" w:name="BookMark5"/>
    </w:p>
    <w:p w14:paraId="0EF39569">
      <w:pPr>
        <w:pStyle w:val="200"/>
        <w:rPr>
          <w:rFonts w:ascii="Times New Roman"/>
          <w:vanish w:val="0"/>
        </w:rPr>
      </w:pPr>
    </w:p>
    <w:p w14:paraId="31B79DE2">
      <w:pPr>
        <w:pStyle w:val="77"/>
        <w:spacing w:after="120"/>
        <w:rPr>
          <w:rFonts w:ascii="Times New Roman"/>
        </w:rPr>
      </w:pPr>
      <w:r>
        <w:rPr>
          <w:rFonts w:ascii="Times New Roman"/>
        </w:rPr>
        <w:br w:type="textWrapping"/>
      </w:r>
      <w:bookmarkStart w:id="82" w:name="_Toc179816572"/>
      <w:bookmarkStart w:id="83" w:name="_Toc179906352"/>
      <w:bookmarkStart w:id="84" w:name="_Toc179966959"/>
      <w:bookmarkStart w:id="85" w:name="_Toc192153886"/>
      <w:r>
        <w:rPr>
          <w:rFonts w:ascii="Times New Roman"/>
        </w:rPr>
        <w:t>（资料性）</w:t>
      </w:r>
      <w:r>
        <w:rPr>
          <w:rFonts w:ascii="Times New Roman"/>
        </w:rPr>
        <w:br w:type="textWrapping"/>
      </w:r>
      <w:r>
        <w:rPr>
          <w:rFonts w:ascii="Times New Roman"/>
        </w:rPr>
        <w:t>可持续性产品评价指标证明材料</w:t>
      </w:r>
      <w:bookmarkEnd w:id="82"/>
      <w:bookmarkEnd w:id="83"/>
      <w:bookmarkEnd w:id="84"/>
      <w:bookmarkEnd w:id="85"/>
    </w:p>
    <w:p w14:paraId="6C30BE8A">
      <w:pPr>
        <w:pStyle w:val="79"/>
        <w:spacing w:before="120" w:after="120"/>
        <w:rPr>
          <w:rFonts w:ascii="Times New Roman"/>
        </w:rPr>
      </w:pPr>
      <w:r>
        <w:rPr>
          <w:rFonts w:ascii="Times New Roman"/>
        </w:rPr>
        <w:t>基本要求证明材料</w:t>
      </w:r>
    </w:p>
    <w:p w14:paraId="250AB35D">
      <w:pPr>
        <w:pStyle w:val="57"/>
        <w:ind w:firstLine="420"/>
        <w:rPr>
          <w:rFonts w:ascii="Times New Roman"/>
        </w:rPr>
      </w:pPr>
      <w:r>
        <w:rPr>
          <w:rFonts w:ascii="Times New Roman"/>
        </w:rPr>
        <w:t>基本要求证明材料见表A.1。</w:t>
      </w:r>
    </w:p>
    <w:p w14:paraId="268FBABF">
      <w:pPr>
        <w:pStyle w:val="78"/>
        <w:spacing w:before="120" w:after="120"/>
        <w:rPr>
          <w:rFonts w:ascii="Times New Roman"/>
        </w:rPr>
      </w:pPr>
      <w:r>
        <w:rPr>
          <w:rFonts w:ascii="Times New Roman"/>
        </w:rPr>
        <w:t>基本要求证明材料</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952"/>
        <w:gridCol w:w="850"/>
        <w:gridCol w:w="3532"/>
      </w:tblGrid>
      <w:tr w14:paraId="4D3B39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952" w:type="dxa"/>
            <w:tcBorders>
              <w:top w:val="single" w:color="auto" w:sz="8" w:space="0"/>
              <w:bottom w:val="single" w:color="auto" w:sz="8" w:space="0"/>
            </w:tcBorders>
            <w:shd w:val="clear" w:color="auto" w:fill="auto"/>
            <w:vAlign w:val="center"/>
          </w:tcPr>
          <w:p w14:paraId="72FC018F">
            <w:pPr>
              <w:pStyle w:val="179"/>
              <w:rPr>
                <w:rFonts w:ascii="Times New Roman"/>
              </w:rPr>
            </w:pPr>
            <w:r>
              <w:rPr>
                <w:rFonts w:ascii="Times New Roman"/>
              </w:rPr>
              <w:t>基本要求</w:t>
            </w:r>
          </w:p>
        </w:tc>
        <w:tc>
          <w:tcPr>
            <w:tcW w:w="850" w:type="dxa"/>
            <w:tcBorders>
              <w:top w:val="single" w:color="auto" w:sz="8" w:space="0"/>
              <w:bottom w:val="single" w:color="auto" w:sz="8" w:space="0"/>
            </w:tcBorders>
            <w:shd w:val="clear" w:color="auto" w:fill="auto"/>
            <w:vAlign w:val="center"/>
          </w:tcPr>
          <w:p w14:paraId="48D4B26D">
            <w:pPr>
              <w:pStyle w:val="179"/>
              <w:rPr>
                <w:rFonts w:ascii="Times New Roman"/>
              </w:rPr>
            </w:pPr>
            <w:r>
              <w:rPr>
                <w:rFonts w:ascii="Times New Roman"/>
              </w:rPr>
              <w:t>是否符合</w:t>
            </w:r>
          </w:p>
        </w:tc>
        <w:tc>
          <w:tcPr>
            <w:tcW w:w="3532" w:type="dxa"/>
            <w:tcBorders>
              <w:top w:val="single" w:color="auto" w:sz="8" w:space="0"/>
              <w:bottom w:val="single" w:color="auto" w:sz="8" w:space="0"/>
            </w:tcBorders>
            <w:shd w:val="clear" w:color="auto" w:fill="auto"/>
            <w:vAlign w:val="center"/>
          </w:tcPr>
          <w:p w14:paraId="22CDD398">
            <w:pPr>
              <w:pStyle w:val="179"/>
              <w:rPr>
                <w:rFonts w:ascii="Times New Roman"/>
              </w:rPr>
            </w:pPr>
            <w:r>
              <w:rPr>
                <w:rFonts w:ascii="Times New Roman"/>
              </w:rPr>
              <w:t>证明材料索引</w:t>
            </w:r>
          </w:p>
        </w:tc>
      </w:tr>
      <w:tr w14:paraId="66028B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952" w:type="dxa"/>
            <w:tcBorders>
              <w:top w:val="single" w:color="auto" w:sz="8" w:space="0"/>
            </w:tcBorders>
            <w:shd w:val="clear" w:color="auto" w:fill="auto"/>
            <w:vAlign w:val="center"/>
          </w:tcPr>
          <w:p w14:paraId="7417B256">
            <w:pPr>
              <w:pStyle w:val="179"/>
              <w:ind w:firstLine="360" w:firstLineChars="200"/>
              <w:jc w:val="both"/>
              <w:rPr>
                <w:rFonts w:ascii="Times New Roman"/>
              </w:rPr>
            </w:pPr>
            <w:r>
              <w:rPr>
                <w:rFonts w:ascii="Times New Roman"/>
              </w:rPr>
              <w:t>近三年，企业及原材料供应商应无环境、安全重大及以上事故</w:t>
            </w:r>
          </w:p>
        </w:tc>
        <w:tc>
          <w:tcPr>
            <w:tcW w:w="850" w:type="dxa"/>
            <w:tcBorders>
              <w:top w:val="single" w:color="auto" w:sz="8" w:space="0"/>
            </w:tcBorders>
            <w:shd w:val="clear" w:color="auto" w:fill="auto"/>
            <w:vAlign w:val="center"/>
          </w:tcPr>
          <w:p w14:paraId="4C218AF9">
            <w:pPr>
              <w:pStyle w:val="179"/>
              <w:ind w:firstLine="360" w:firstLineChars="200"/>
              <w:jc w:val="both"/>
              <w:rPr>
                <w:rFonts w:ascii="Times New Roman"/>
              </w:rPr>
            </w:pPr>
          </w:p>
        </w:tc>
        <w:tc>
          <w:tcPr>
            <w:tcW w:w="3532" w:type="dxa"/>
            <w:tcBorders>
              <w:top w:val="single" w:color="auto" w:sz="8" w:space="0"/>
            </w:tcBorders>
            <w:shd w:val="clear" w:color="auto" w:fill="auto"/>
            <w:vAlign w:val="center"/>
          </w:tcPr>
          <w:p w14:paraId="3DDD4481">
            <w:pPr>
              <w:pStyle w:val="179"/>
              <w:ind w:firstLine="360" w:firstLineChars="200"/>
              <w:jc w:val="both"/>
              <w:rPr>
                <w:rFonts w:ascii="Times New Roman"/>
              </w:rPr>
            </w:pPr>
            <w:r>
              <w:rPr>
                <w:rFonts w:ascii="Times New Roman"/>
              </w:rPr>
              <w:t>无环境、安全重大及以上事故的声明；</w:t>
            </w:r>
          </w:p>
          <w:p w14:paraId="6C99DEBB">
            <w:pPr>
              <w:pStyle w:val="179"/>
              <w:ind w:firstLine="360" w:firstLineChars="200"/>
              <w:jc w:val="both"/>
              <w:rPr>
                <w:rFonts w:ascii="Times New Roman"/>
              </w:rPr>
            </w:pPr>
            <w:r>
              <w:rPr>
                <w:rFonts w:ascii="Times New Roman"/>
              </w:rPr>
              <w:t>通过环境管理部门及应急管理部门官方渠道查询核实</w:t>
            </w:r>
          </w:p>
        </w:tc>
      </w:tr>
      <w:tr w14:paraId="3AC77B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952" w:type="dxa"/>
            <w:shd w:val="clear" w:color="auto" w:fill="auto"/>
            <w:vAlign w:val="center"/>
          </w:tcPr>
          <w:p w14:paraId="0ABE8413">
            <w:pPr>
              <w:pStyle w:val="179"/>
              <w:ind w:firstLine="360" w:firstLineChars="200"/>
              <w:jc w:val="both"/>
              <w:rPr>
                <w:rFonts w:ascii="Times New Roman"/>
              </w:rPr>
            </w:pPr>
            <w:r>
              <w:rPr>
                <w:rFonts w:ascii="Times New Roman"/>
              </w:rPr>
              <w:t>企业应无不良信誉记录</w:t>
            </w:r>
          </w:p>
        </w:tc>
        <w:tc>
          <w:tcPr>
            <w:tcW w:w="850" w:type="dxa"/>
            <w:shd w:val="clear" w:color="auto" w:fill="auto"/>
            <w:vAlign w:val="center"/>
          </w:tcPr>
          <w:p w14:paraId="49DD8E3D">
            <w:pPr>
              <w:pStyle w:val="179"/>
              <w:ind w:firstLine="360" w:firstLineChars="200"/>
              <w:jc w:val="both"/>
              <w:rPr>
                <w:rFonts w:ascii="Times New Roman"/>
              </w:rPr>
            </w:pPr>
          </w:p>
        </w:tc>
        <w:tc>
          <w:tcPr>
            <w:tcW w:w="3532" w:type="dxa"/>
            <w:shd w:val="clear" w:color="auto" w:fill="auto"/>
            <w:vAlign w:val="center"/>
          </w:tcPr>
          <w:p w14:paraId="53A6A2FC">
            <w:pPr>
              <w:pStyle w:val="179"/>
              <w:ind w:firstLine="360" w:firstLineChars="200"/>
              <w:jc w:val="both"/>
              <w:rPr>
                <w:rFonts w:ascii="Times New Roman"/>
              </w:rPr>
            </w:pPr>
            <w:r>
              <w:rPr>
                <w:rFonts w:ascii="Times New Roman"/>
              </w:rPr>
              <w:t>国家公共信用信息中心等查询结果</w:t>
            </w:r>
          </w:p>
        </w:tc>
      </w:tr>
      <w:tr w14:paraId="4B273E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952" w:type="dxa"/>
            <w:shd w:val="clear" w:color="auto" w:fill="auto"/>
            <w:vAlign w:val="center"/>
          </w:tcPr>
          <w:p w14:paraId="11E57B02">
            <w:pPr>
              <w:pStyle w:val="179"/>
              <w:ind w:firstLine="360" w:firstLineChars="200"/>
              <w:jc w:val="both"/>
              <w:rPr>
                <w:rFonts w:ascii="Times New Roman"/>
              </w:rPr>
            </w:pPr>
            <w:r>
              <w:rPr>
                <w:rFonts w:ascii="Times New Roman"/>
              </w:rPr>
              <w:t>企业应将可持续发展理念纳入发展战略规划，明确管理目标、计划和措施</w:t>
            </w:r>
          </w:p>
        </w:tc>
        <w:tc>
          <w:tcPr>
            <w:tcW w:w="850" w:type="dxa"/>
            <w:shd w:val="clear" w:color="auto" w:fill="auto"/>
            <w:vAlign w:val="center"/>
          </w:tcPr>
          <w:p w14:paraId="2BACC828">
            <w:pPr>
              <w:pStyle w:val="179"/>
              <w:ind w:firstLine="360" w:firstLineChars="200"/>
              <w:jc w:val="both"/>
              <w:rPr>
                <w:rFonts w:ascii="Times New Roman"/>
              </w:rPr>
            </w:pPr>
          </w:p>
        </w:tc>
        <w:tc>
          <w:tcPr>
            <w:tcW w:w="3532" w:type="dxa"/>
            <w:shd w:val="clear" w:color="auto" w:fill="auto"/>
            <w:vAlign w:val="center"/>
          </w:tcPr>
          <w:p w14:paraId="1E876480">
            <w:pPr>
              <w:pStyle w:val="179"/>
              <w:ind w:firstLine="360" w:firstLineChars="200"/>
              <w:jc w:val="both"/>
              <w:rPr>
                <w:rFonts w:ascii="Times New Roman"/>
              </w:rPr>
            </w:pPr>
            <w:r>
              <w:rPr>
                <w:rFonts w:ascii="Times New Roman"/>
              </w:rPr>
              <w:t>可持续发展建设规划方案</w:t>
            </w:r>
          </w:p>
        </w:tc>
      </w:tr>
      <w:tr w14:paraId="4E0C57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952" w:type="dxa"/>
            <w:shd w:val="clear" w:color="auto" w:fill="auto"/>
            <w:vAlign w:val="center"/>
          </w:tcPr>
          <w:p w14:paraId="3B8D9B23">
            <w:pPr>
              <w:pStyle w:val="179"/>
              <w:ind w:firstLine="360" w:firstLineChars="200"/>
              <w:jc w:val="both"/>
              <w:rPr>
                <w:rFonts w:ascii="Times New Roman"/>
              </w:rPr>
            </w:pPr>
            <w:r>
              <w:rPr>
                <w:rFonts w:ascii="Times New Roman"/>
              </w:rPr>
              <w:t>产品质量应符合标注的执行标准及对应的强制性国家标准要求</w:t>
            </w:r>
          </w:p>
        </w:tc>
        <w:tc>
          <w:tcPr>
            <w:tcW w:w="850" w:type="dxa"/>
            <w:shd w:val="clear" w:color="auto" w:fill="auto"/>
            <w:vAlign w:val="center"/>
          </w:tcPr>
          <w:p w14:paraId="42856A07">
            <w:pPr>
              <w:pStyle w:val="179"/>
              <w:ind w:firstLine="360" w:firstLineChars="200"/>
              <w:jc w:val="both"/>
              <w:rPr>
                <w:rFonts w:ascii="Times New Roman"/>
              </w:rPr>
            </w:pPr>
          </w:p>
        </w:tc>
        <w:tc>
          <w:tcPr>
            <w:tcW w:w="3532" w:type="dxa"/>
            <w:shd w:val="clear" w:color="auto" w:fill="auto"/>
            <w:vAlign w:val="center"/>
          </w:tcPr>
          <w:p w14:paraId="13415FFE">
            <w:pPr>
              <w:pStyle w:val="179"/>
              <w:ind w:firstLine="360" w:firstLineChars="200"/>
              <w:jc w:val="both"/>
              <w:rPr>
                <w:rFonts w:ascii="Times New Roman"/>
              </w:rPr>
            </w:pPr>
            <w:r>
              <w:rPr>
                <w:rFonts w:ascii="Times New Roman"/>
              </w:rPr>
              <w:t>产品质量信息及标准符合情况</w:t>
            </w:r>
          </w:p>
        </w:tc>
      </w:tr>
    </w:tbl>
    <w:p w14:paraId="4A8F8811">
      <w:pPr>
        <w:pStyle w:val="79"/>
        <w:spacing w:before="360" w:beforeLines="150" w:after="120"/>
        <w:rPr>
          <w:rFonts w:ascii="Times New Roman"/>
        </w:rPr>
      </w:pPr>
      <w:r>
        <w:rPr>
          <w:rFonts w:ascii="Times New Roman"/>
        </w:rPr>
        <w:t>评价指标要求证明材料</w:t>
      </w:r>
    </w:p>
    <w:p w14:paraId="7F63BECD">
      <w:pPr>
        <w:pStyle w:val="57"/>
        <w:ind w:firstLine="420"/>
        <w:rPr>
          <w:rFonts w:ascii="Times New Roman"/>
        </w:rPr>
      </w:pPr>
      <w:r>
        <w:rPr>
          <w:rFonts w:ascii="Times New Roman"/>
        </w:rPr>
        <w:t>评价指标要求证明材料见表A.2。</w:t>
      </w:r>
    </w:p>
    <w:p w14:paraId="309BBB61">
      <w:pPr>
        <w:pStyle w:val="78"/>
        <w:spacing w:before="120" w:after="120"/>
        <w:rPr>
          <w:rFonts w:ascii="Times New Roman"/>
        </w:rPr>
      </w:pPr>
      <w:r>
        <w:rPr>
          <w:rFonts w:ascii="Times New Roman"/>
        </w:rPr>
        <w:t>评价指标要求证明材料</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3"/>
        <w:gridCol w:w="425"/>
        <w:gridCol w:w="4108"/>
        <w:gridCol w:w="849"/>
        <w:gridCol w:w="3529"/>
      </w:tblGrid>
      <w:tr w14:paraId="0A25FF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16" w:type="dxa"/>
            <w:tcBorders>
              <w:top w:val="single" w:color="auto" w:sz="8" w:space="0"/>
              <w:bottom w:val="single" w:color="auto" w:sz="8" w:space="0"/>
            </w:tcBorders>
            <w:shd w:val="clear" w:color="auto" w:fill="auto"/>
            <w:vAlign w:val="center"/>
          </w:tcPr>
          <w:p w14:paraId="61704A48">
            <w:pPr>
              <w:pStyle w:val="200"/>
              <w:rPr>
                <w:rFonts w:ascii="Times New Roman"/>
              </w:rPr>
            </w:pPr>
            <w:r>
              <w:rPr>
                <w:rFonts w:ascii="Times New Roman"/>
              </w:rPr>
              <w:t>要求</w:t>
            </w:r>
          </w:p>
          <w:p w14:paraId="2BDEA864">
            <w:pPr>
              <w:pStyle w:val="200"/>
              <w:rPr>
                <w:rFonts w:ascii="Times New Roman"/>
              </w:rPr>
            </w:pPr>
            <w:r>
              <w:rPr>
                <w:rFonts w:ascii="Times New Roman"/>
              </w:rPr>
              <w:t>类型</w:t>
            </w:r>
          </w:p>
          <w:p w14:paraId="17EEBDF3">
            <w:pPr>
              <w:pStyle w:val="179"/>
              <w:rPr>
                <w:rFonts w:ascii="Times New Roman"/>
              </w:rPr>
            </w:pPr>
            <w:r>
              <w:rPr>
                <w:rFonts w:ascii="Times New Roman"/>
              </w:rPr>
              <w:t>指标要求</w:t>
            </w:r>
          </w:p>
          <w:p w14:paraId="3CF9E0E7">
            <w:pPr>
              <w:pStyle w:val="200"/>
              <w:rPr>
                <w:rFonts w:ascii="Times New Roman"/>
              </w:rPr>
            </w:pPr>
          </w:p>
        </w:tc>
        <w:tc>
          <w:tcPr>
            <w:tcW w:w="425" w:type="dxa"/>
            <w:tcBorders>
              <w:top w:val="single" w:color="auto" w:sz="8" w:space="0"/>
              <w:bottom w:val="single" w:color="auto" w:sz="8" w:space="0"/>
            </w:tcBorders>
            <w:shd w:val="clear" w:color="auto" w:fill="auto"/>
            <w:vAlign w:val="center"/>
          </w:tcPr>
          <w:p w14:paraId="5935DEA6">
            <w:pPr>
              <w:pStyle w:val="179"/>
              <w:rPr>
                <w:rFonts w:ascii="Times New Roman"/>
              </w:rPr>
            </w:pPr>
            <w:r>
              <w:rPr>
                <w:rFonts w:ascii="Times New Roman"/>
              </w:rPr>
              <w:t>要求类型</w:t>
            </w:r>
          </w:p>
        </w:tc>
        <w:tc>
          <w:tcPr>
            <w:tcW w:w="4111" w:type="dxa"/>
            <w:tcBorders>
              <w:top w:val="single" w:color="auto" w:sz="8" w:space="0"/>
              <w:bottom w:val="single" w:color="auto" w:sz="8" w:space="0"/>
            </w:tcBorders>
            <w:shd w:val="clear" w:color="auto" w:fill="auto"/>
            <w:vAlign w:val="center"/>
          </w:tcPr>
          <w:p w14:paraId="02AB7341">
            <w:pPr>
              <w:pStyle w:val="179"/>
              <w:rPr>
                <w:rFonts w:ascii="Times New Roman"/>
              </w:rPr>
            </w:pPr>
            <w:r>
              <w:rPr>
                <w:rFonts w:ascii="Times New Roman"/>
              </w:rPr>
              <w:t>评价要求</w:t>
            </w:r>
          </w:p>
        </w:tc>
        <w:tc>
          <w:tcPr>
            <w:tcW w:w="850" w:type="dxa"/>
            <w:tcBorders>
              <w:top w:val="single" w:color="auto" w:sz="8" w:space="0"/>
              <w:bottom w:val="single" w:color="auto" w:sz="8" w:space="0"/>
            </w:tcBorders>
            <w:shd w:val="clear" w:color="auto" w:fill="auto"/>
            <w:vAlign w:val="center"/>
          </w:tcPr>
          <w:p w14:paraId="06713C24">
            <w:pPr>
              <w:pStyle w:val="179"/>
              <w:rPr>
                <w:rFonts w:ascii="Times New Roman"/>
              </w:rPr>
            </w:pPr>
            <w:r>
              <w:rPr>
                <w:rFonts w:ascii="Times New Roman"/>
              </w:rPr>
              <w:t>是否符合</w:t>
            </w:r>
          </w:p>
        </w:tc>
        <w:tc>
          <w:tcPr>
            <w:tcW w:w="3532" w:type="dxa"/>
            <w:tcBorders>
              <w:top w:val="single" w:color="auto" w:sz="8" w:space="0"/>
              <w:bottom w:val="single" w:color="auto" w:sz="8" w:space="0"/>
            </w:tcBorders>
            <w:shd w:val="clear" w:color="auto" w:fill="auto"/>
            <w:vAlign w:val="center"/>
          </w:tcPr>
          <w:p w14:paraId="411CD50C">
            <w:pPr>
              <w:pStyle w:val="179"/>
              <w:rPr>
                <w:rFonts w:ascii="Times New Roman"/>
              </w:rPr>
            </w:pPr>
            <w:r>
              <w:rPr>
                <w:rFonts w:ascii="Times New Roman"/>
              </w:rPr>
              <w:t>证明材料索引</w:t>
            </w:r>
          </w:p>
        </w:tc>
      </w:tr>
      <w:tr w14:paraId="3E836A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tcBorders>
              <w:top w:val="single" w:color="auto" w:sz="8" w:space="0"/>
            </w:tcBorders>
            <w:shd w:val="clear" w:color="auto" w:fill="auto"/>
            <w:vAlign w:val="center"/>
          </w:tcPr>
          <w:p w14:paraId="6EB55348">
            <w:pPr>
              <w:pStyle w:val="179"/>
              <w:rPr>
                <w:rFonts w:ascii="Times New Roman"/>
              </w:rPr>
            </w:pPr>
            <w:r>
              <w:rPr>
                <w:rFonts w:ascii="Times New Roman"/>
              </w:rPr>
              <w:t>原材料</w:t>
            </w:r>
          </w:p>
        </w:tc>
        <w:tc>
          <w:tcPr>
            <w:tcW w:w="425" w:type="dxa"/>
            <w:vMerge w:val="restart"/>
            <w:tcBorders>
              <w:top w:val="single" w:color="auto" w:sz="8" w:space="0"/>
            </w:tcBorders>
            <w:shd w:val="clear" w:color="auto" w:fill="auto"/>
            <w:vAlign w:val="center"/>
          </w:tcPr>
          <w:p w14:paraId="3D48E3A6">
            <w:pPr>
              <w:pStyle w:val="179"/>
              <w:rPr>
                <w:rFonts w:ascii="Times New Roman"/>
              </w:rPr>
            </w:pPr>
            <w:r>
              <w:rPr>
                <w:rFonts w:ascii="Times New Roman"/>
              </w:rPr>
              <w:t>必选</w:t>
            </w:r>
          </w:p>
        </w:tc>
        <w:tc>
          <w:tcPr>
            <w:tcW w:w="4111" w:type="dxa"/>
            <w:tcBorders>
              <w:top w:val="single" w:color="auto" w:sz="8" w:space="0"/>
            </w:tcBorders>
            <w:shd w:val="clear" w:color="auto" w:fill="auto"/>
            <w:vAlign w:val="center"/>
          </w:tcPr>
          <w:p w14:paraId="30521FC3">
            <w:pPr>
              <w:pStyle w:val="179"/>
              <w:ind w:firstLine="360" w:firstLineChars="200"/>
              <w:jc w:val="both"/>
              <w:rPr>
                <w:rFonts w:ascii="Times New Roman"/>
              </w:rPr>
            </w:pPr>
            <w:r>
              <w:rPr>
                <w:rFonts w:ascii="Times New Roman"/>
              </w:rPr>
              <w:t>研磨丝杆产品使用的原材料应符合标注的执行标准及相应的强制性国家标准要求</w:t>
            </w:r>
          </w:p>
        </w:tc>
        <w:tc>
          <w:tcPr>
            <w:tcW w:w="850" w:type="dxa"/>
            <w:tcBorders>
              <w:top w:val="single" w:color="auto" w:sz="8" w:space="0"/>
            </w:tcBorders>
            <w:shd w:val="clear" w:color="auto" w:fill="auto"/>
            <w:vAlign w:val="center"/>
          </w:tcPr>
          <w:p w14:paraId="5999481E">
            <w:pPr>
              <w:pStyle w:val="179"/>
              <w:ind w:firstLine="360" w:firstLineChars="200"/>
              <w:jc w:val="both"/>
              <w:rPr>
                <w:rFonts w:ascii="Times New Roman"/>
              </w:rPr>
            </w:pPr>
          </w:p>
        </w:tc>
        <w:tc>
          <w:tcPr>
            <w:tcW w:w="3532" w:type="dxa"/>
            <w:tcBorders>
              <w:top w:val="single" w:color="auto" w:sz="8" w:space="0"/>
            </w:tcBorders>
            <w:shd w:val="clear" w:color="auto" w:fill="auto"/>
            <w:vAlign w:val="center"/>
          </w:tcPr>
          <w:p w14:paraId="68707D4A">
            <w:pPr>
              <w:pStyle w:val="179"/>
              <w:ind w:firstLine="360" w:firstLineChars="200"/>
              <w:jc w:val="both"/>
              <w:rPr>
                <w:rFonts w:ascii="Times New Roman"/>
              </w:rPr>
            </w:pPr>
            <w:r>
              <w:rPr>
                <w:rFonts w:ascii="Times New Roman"/>
              </w:rPr>
              <w:t>产品质量信息及标准符合情况，提供该款产品的型式检验报告</w:t>
            </w:r>
          </w:p>
        </w:tc>
      </w:tr>
      <w:tr w14:paraId="7CF981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5291234C">
            <w:pPr>
              <w:pStyle w:val="179"/>
              <w:rPr>
                <w:rFonts w:ascii="Times New Roman"/>
              </w:rPr>
            </w:pPr>
          </w:p>
        </w:tc>
        <w:tc>
          <w:tcPr>
            <w:tcW w:w="425" w:type="dxa"/>
            <w:vMerge w:val="continue"/>
            <w:shd w:val="clear" w:color="auto" w:fill="auto"/>
            <w:vAlign w:val="center"/>
          </w:tcPr>
          <w:p w14:paraId="2503FDF7">
            <w:pPr>
              <w:pStyle w:val="179"/>
              <w:rPr>
                <w:rFonts w:ascii="Times New Roman"/>
              </w:rPr>
            </w:pPr>
          </w:p>
        </w:tc>
        <w:tc>
          <w:tcPr>
            <w:tcW w:w="4111" w:type="dxa"/>
            <w:shd w:val="clear" w:color="auto" w:fill="auto"/>
            <w:vAlign w:val="center"/>
          </w:tcPr>
          <w:p w14:paraId="2532C107">
            <w:pPr>
              <w:pStyle w:val="179"/>
              <w:ind w:firstLine="360" w:firstLineChars="200"/>
              <w:jc w:val="both"/>
              <w:rPr>
                <w:rFonts w:ascii="Times New Roman"/>
              </w:rPr>
            </w:pPr>
            <w:r>
              <w:rPr>
                <w:rFonts w:ascii="Times New Roman"/>
              </w:rPr>
              <w:t>研磨丝杆产品应至少使用表1中所列5种原材料中的1种</w:t>
            </w:r>
          </w:p>
        </w:tc>
        <w:tc>
          <w:tcPr>
            <w:tcW w:w="850" w:type="dxa"/>
            <w:shd w:val="clear" w:color="auto" w:fill="auto"/>
            <w:vAlign w:val="center"/>
          </w:tcPr>
          <w:p w14:paraId="2723EA48">
            <w:pPr>
              <w:pStyle w:val="179"/>
              <w:ind w:firstLine="360" w:firstLineChars="200"/>
              <w:jc w:val="both"/>
              <w:rPr>
                <w:rFonts w:ascii="Times New Roman"/>
              </w:rPr>
            </w:pPr>
          </w:p>
        </w:tc>
        <w:tc>
          <w:tcPr>
            <w:tcW w:w="3532" w:type="dxa"/>
            <w:shd w:val="clear" w:color="auto" w:fill="auto"/>
            <w:vAlign w:val="center"/>
          </w:tcPr>
          <w:p w14:paraId="27DFA399">
            <w:pPr>
              <w:pStyle w:val="179"/>
              <w:ind w:firstLine="360" w:firstLineChars="200"/>
              <w:jc w:val="both"/>
              <w:rPr>
                <w:rFonts w:ascii="Times New Roman"/>
              </w:rPr>
            </w:pPr>
            <w:r>
              <w:rPr>
                <w:rFonts w:ascii="Times New Roman"/>
              </w:rPr>
              <w:t>原材料的使用清单；</w:t>
            </w:r>
          </w:p>
          <w:p w14:paraId="4993FD72">
            <w:pPr>
              <w:pStyle w:val="179"/>
              <w:ind w:firstLine="360" w:firstLineChars="200"/>
              <w:jc w:val="both"/>
              <w:rPr>
                <w:rFonts w:ascii="Times New Roman"/>
              </w:rPr>
            </w:pPr>
            <w:r>
              <w:rPr>
                <w:rFonts w:ascii="Times New Roman"/>
              </w:rPr>
              <w:t>原材料采购清单；</w:t>
            </w:r>
          </w:p>
          <w:p w14:paraId="4D6EE896">
            <w:pPr>
              <w:pStyle w:val="179"/>
              <w:ind w:firstLine="360" w:firstLineChars="200"/>
              <w:jc w:val="both"/>
              <w:rPr>
                <w:rFonts w:ascii="Times New Roman"/>
              </w:rPr>
            </w:pPr>
            <w:r>
              <w:rPr>
                <w:rFonts w:ascii="Times New Roman"/>
              </w:rPr>
              <w:t>相关材料的检验报告；</w:t>
            </w:r>
          </w:p>
          <w:p w14:paraId="32DDAB18">
            <w:pPr>
              <w:pStyle w:val="179"/>
              <w:ind w:firstLine="360" w:firstLineChars="200"/>
              <w:jc w:val="both"/>
              <w:rPr>
                <w:rFonts w:ascii="Times New Roman"/>
              </w:rPr>
            </w:pPr>
            <w:r>
              <w:rPr>
                <w:rFonts w:ascii="Times New Roman"/>
              </w:rPr>
              <w:t>相关材料认证证明材料</w:t>
            </w:r>
          </w:p>
        </w:tc>
      </w:tr>
      <w:tr w14:paraId="012DFB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0AD98914">
            <w:pPr>
              <w:pStyle w:val="179"/>
              <w:rPr>
                <w:rFonts w:ascii="Times New Roman"/>
              </w:rPr>
            </w:pPr>
          </w:p>
        </w:tc>
        <w:tc>
          <w:tcPr>
            <w:tcW w:w="425" w:type="dxa"/>
            <w:vMerge w:val="restart"/>
            <w:shd w:val="clear" w:color="auto" w:fill="auto"/>
            <w:vAlign w:val="center"/>
          </w:tcPr>
          <w:p w14:paraId="566C695B">
            <w:pPr>
              <w:pStyle w:val="179"/>
              <w:rPr>
                <w:rFonts w:ascii="Times New Roman"/>
              </w:rPr>
            </w:pPr>
            <w:r>
              <w:rPr>
                <w:rFonts w:ascii="Times New Roman"/>
              </w:rPr>
              <w:t>可选</w:t>
            </w:r>
          </w:p>
        </w:tc>
        <w:tc>
          <w:tcPr>
            <w:tcW w:w="4111" w:type="dxa"/>
            <w:shd w:val="clear" w:color="auto" w:fill="auto"/>
            <w:vAlign w:val="center"/>
          </w:tcPr>
          <w:p w14:paraId="18129E87">
            <w:pPr>
              <w:pStyle w:val="179"/>
              <w:ind w:firstLine="360" w:firstLineChars="200"/>
              <w:jc w:val="both"/>
              <w:rPr>
                <w:rFonts w:ascii="Times New Roman"/>
              </w:rPr>
            </w:pPr>
            <w:r>
              <w:rPr>
                <w:rFonts w:ascii="Times New Roman"/>
              </w:rPr>
              <w:t>不使用列入《关于持久性有机污染物的斯德哥尔摩公约》的所有持久性有机污染物</w:t>
            </w:r>
          </w:p>
        </w:tc>
        <w:tc>
          <w:tcPr>
            <w:tcW w:w="850" w:type="dxa"/>
            <w:shd w:val="clear" w:color="auto" w:fill="auto"/>
            <w:vAlign w:val="center"/>
          </w:tcPr>
          <w:p w14:paraId="1D586C0C">
            <w:pPr>
              <w:pStyle w:val="179"/>
              <w:ind w:firstLine="360" w:firstLineChars="200"/>
              <w:jc w:val="both"/>
              <w:rPr>
                <w:rFonts w:ascii="Times New Roman"/>
              </w:rPr>
            </w:pPr>
          </w:p>
        </w:tc>
        <w:tc>
          <w:tcPr>
            <w:tcW w:w="3532" w:type="dxa"/>
            <w:shd w:val="clear" w:color="auto" w:fill="auto"/>
            <w:vAlign w:val="center"/>
          </w:tcPr>
          <w:p w14:paraId="6435DB61">
            <w:pPr>
              <w:pStyle w:val="179"/>
              <w:ind w:firstLine="360" w:firstLineChars="200"/>
              <w:jc w:val="both"/>
              <w:rPr>
                <w:rFonts w:ascii="Times New Roman"/>
              </w:rPr>
            </w:pPr>
            <w:r>
              <w:rPr>
                <w:rFonts w:ascii="Times New Roman"/>
              </w:rPr>
              <w:t>原材料符合性的自我声明或检测报告</w:t>
            </w:r>
          </w:p>
        </w:tc>
      </w:tr>
      <w:tr w14:paraId="5A295D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5C2829DD">
            <w:pPr>
              <w:pStyle w:val="179"/>
              <w:rPr>
                <w:rFonts w:ascii="Times New Roman"/>
              </w:rPr>
            </w:pPr>
          </w:p>
        </w:tc>
        <w:tc>
          <w:tcPr>
            <w:tcW w:w="425" w:type="dxa"/>
            <w:vMerge w:val="continue"/>
            <w:shd w:val="clear" w:color="auto" w:fill="auto"/>
            <w:vAlign w:val="center"/>
          </w:tcPr>
          <w:p w14:paraId="0BDAFC26">
            <w:pPr>
              <w:pStyle w:val="179"/>
              <w:rPr>
                <w:rFonts w:ascii="Times New Roman"/>
              </w:rPr>
            </w:pPr>
          </w:p>
        </w:tc>
        <w:tc>
          <w:tcPr>
            <w:tcW w:w="4111" w:type="dxa"/>
            <w:shd w:val="clear" w:color="auto" w:fill="auto"/>
            <w:vAlign w:val="center"/>
          </w:tcPr>
          <w:p w14:paraId="6B07FC38">
            <w:pPr>
              <w:pStyle w:val="179"/>
              <w:ind w:firstLine="360" w:firstLineChars="200"/>
              <w:jc w:val="both"/>
              <w:rPr>
                <w:rFonts w:ascii="Times New Roman"/>
              </w:rPr>
            </w:pPr>
            <w:r>
              <w:rPr>
                <w:rFonts w:ascii="Times New Roman"/>
              </w:rPr>
              <w:t>研磨丝杆产品使用的原材料购自获评省级或国家级“绿色工厂”的企业</w:t>
            </w:r>
          </w:p>
        </w:tc>
        <w:tc>
          <w:tcPr>
            <w:tcW w:w="850" w:type="dxa"/>
            <w:shd w:val="clear" w:color="auto" w:fill="auto"/>
            <w:vAlign w:val="center"/>
          </w:tcPr>
          <w:p w14:paraId="2C63D5F3">
            <w:pPr>
              <w:pStyle w:val="179"/>
              <w:ind w:firstLine="360" w:firstLineChars="200"/>
              <w:jc w:val="both"/>
              <w:rPr>
                <w:rFonts w:ascii="Times New Roman"/>
              </w:rPr>
            </w:pPr>
          </w:p>
        </w:tc>
        <w:tc>
          <w:tcPr>
            <w:tcW w:w="3532" w:type="dxa"/>
            <w:shd w:val="clear" w:color="auto" w:fill="auto"/>
            <w:vAlign w:val="center"/>
          </w:tcPr>
          <w:p w14:paraId="0D138A72">
            <w:pPr>
              <w:pStyle w:val="179"/>
              <w:ind w:firstLine="360" w:firstLineChars="200"/>
              <w:jc w:val="both"/>
              <w:rPr>
                <w:rFonts w:ascii="Times New Roman"/>
              </w:rPr>
            </w:pPr>
            <w:r>
              <w:rPr>
                <w:rFonts w:ascii="Times New Roman"/>
              </w:rPr>
              <w:t>原材料的使用清单；</w:t>
            </w:r>
          </w:p>
          <w:p w14:paraId="41B2EF9C">
            <w:pPr>
              <w:pStyle w:val="179"/>
              <w:ind w:firstLine="360" w:firstLineChars="200"/>
              <w:jc w:val="both"/>
              <w:rPr>
                <w:rFonts w:ascii="Times New Roman"/>
              </w:rPr>
            </w:pPr>
            <w:r>
              <w:rPr>
                <w:rFonts w:ascii="Times New Roman"/>
              </w:rPr>
              <w:t>原材料采购清单；</w:t>
            </w:r>
          </w:p>
          <w:p w14:paraId="089F165B">
            <w:pPr>
              <w:pStyle w:val="179"/>
              <w:ind w:firstLine="360" w:firstLineChars="200"/>
              <w:jc w:val="both"/>
              <w:rPr>
                <w:rFonts w:ascii="Times New Roman"/>
              </w:rPr>
            </w:pPr>
            <w:r>
              <w:rPr>
                <w:rFonts w:ascii="Times New Roman"/>
              </w:rPr>
              <w:t>供应商标准符合性证明材料</w:t>
            </w:r>
          </w:p>
        </w:tc>
      </w:tr>
      <w:tr w14:paraId="007FCB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vAlign w:val="center"/>
          </w:tcPr>
          <w:p w14:paraId="7FE1AED3">
            <w:pPr>
              <w:pStyle w:val="179"/>
              <w:rPr>
                <w:rFonts w:ascii="Times New Roman"/>
              </w:rPr>
            </w:pPr>
            <w:r>
              <w:rPr>
                <w:rFonts w:ascii="Times New Roman"/>
              </w:rPr>
              <w:t>生产工艺</w:t>
            </w:r>
          </w:p>
        </w:tc>
        <w:tc>
          <w:tcPr>
            <w:tcW w:w="425" w:type="dxa"/>
            <w:vMerge w:val="restart"/>
            <w:shd w:val="clear" w:color="auto" w:fill="auto"/>
            <w:vAlign w:val="center"/>
          </w:tcPr>
          <w:p w14:paraId="0FFCCF17">
            <w:pPr>
              <w:pStyle w:val="179"/>
              <w:rPr>
                <w:rFonts w:ascii="Times New Roman"/>
              </w:rPr>
            </w:pPr>
            <w:r>
              <w:rPr>
                <w:rFonts w:ascii="Times New Roman"/>
              </w:rPr>
              <w:t>必选</w:t>
            </w:r>
          </w:p>
        </w:tc>
        <w:tc>
          <w:tcPr>
            <w:tcW w:w="4111" w:type="dxa"/>
            <w:shd w:val="clear" w:color="auto" w:fill="auto"/>
            <w:vAlign w:val="center"/>
          </w:tcPr>
          <w:p w14:paraId="70A15156">
            <w:pPr>
              <w:pStyle w:val="179"/>
              <w:ind w:firstLine="360" w:firstLineChars="200"/>
              <w:jc w:val="both"/>
              <w:rPr>
                <w:rFonts w:ascii="Times New Roman"/>
              </w:rPr>
            </w:pPr>
            <w:r>
              <w:rPr>
                <w:rFonts w:ascii="Times New Roman"/>
              </w:rPr>
              <w:t>不使用《高耗能落后机电设备（产品）淘汰目录》《部分工业行业淘汰落后生产工艺装备和产品指导目录》等文件中已明令禁止使用的设备设施</w:t>
            </w:r>
          </w:p>
        </w:tc>
        <w:tc>
          <w:tcPr>
            <w:tcW w:w="850" w:type="dxa"/>
            <w:shd w:val="clear" w:color="auto" w:fill="auto"/>
            <w:vAlign w:val="center"/>
          </w:tcPr>
          <w:p w14:paraId="77BA41FB">
            <w:pPr>
              <w:pStyle w:val="179"/>
              <w:ind w:firstLine="360" w:firstLineChars="200"/>
              <w:jc w:val="both"/>
              <w:rPr>
                <w:rFonts w:ascii="Times New Roman"/>
              </w:rPr>
            </w:pPr>
          </w:p>
        </w:tc>
        <w:tc>
          <w:tcPr>
            <w:tcW w:w="3532" w:type="dxa"/>
            <w:shd w:val="clear" w:color="auto" w:fill="auto"/>
            <w:vAlign w:val="center"/>
          </w:tcPr>
          <w:p w14:paraId="3F823032">
            <w:pPr>
              <w:pStyle w:val="179"/>
              <w:ind w:firstLine="360" w:firstLineChars="200"/>
              <w:jc w:val="both"/>
              <w:rPr>
                <w:rFonts w:ascii="Times New Roman"/>
              </w:rPr>
            </w:pPr>
            <w:r>
              <w:rPr>
                <w:rFonts w:ascii="Times New Roman"/>
              </w:rPr>
              <w:t>设施设备采购清单</w:t>
            </w:r>
          </w:p>
        </w:tc>
      </w:tr>
      <w:tr w14:paraId="5F8056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41A71A58">
            <w:pPr>
              <w:pStyle w:val="179"/>
              <w:rPr>
                <w:rFonts w:ascii="Times New Roman"/>
              </w:rPr>
            </w:pPr>
          </w:p>
        </w:tc>
        <w:tc>
          <w:tcPr>
            <w:tcW w:w="425" w:type="dxa"/>
            <w:vMerge w:val="continue"/>
            <w:shd w:val="clear" w:color="auto" w:fill="auto"/>
            <w:vAlign w:val="center"/>
          </w:tcPr>
          <w:p w14:paraId="42AA85D9">
            <w:pPr>
              <w:pStyle w:val="179"/>
              <w:rPr>
                <w:rFonts w:ascii="Times New Roman"/>
              </w:rPr>
            </w:pPr>
          </w:p>
        </w:tc>
        <w:tc>
          <w:tcPr>
            <w:tcW w:w="4111" w:type="dxa"/>
            <w:shd w:val="clear" w:color="auto" w:fill="auto"/>
            <w:vAlign w:val="center"/>
          </w:tcPr>
          <w:p w14:paraId="22DDC002">
            <w:pPr>
              <w:pStyle w:val="179"/>
              <w:ind w:firstLine="360" w:firstLineChars="200"/>
              <w:jc w:val="both"/>
              <w:rPr>
                <w:rFonts w:ascii="Times New Roman"/>
              </w:rPr>
            </w:pPr>
            <w:r>
              <w:rPr>
                <w:rFonts w:ascii="Times New Roman"/>
              </w:rPr>
              <w:t>采用效率高、能耗低、碳排放低、水耗低、物耗低的生产设备及生产工艺</w:t>
            </w:r>
          </w:p>
        </w:tc>
        <w:tc>
          <w:tcPr>
            <w:tcW w:w="850" w:type="dxa"/>
            <w:shd w:val="clear" w:color="auto" w:fill="auto"/>
            <w:vAlign w:val="center"/>
          </w:tcPr>
          <w:p w14:paraId="301BCEF7">
            <w:pPr>
              <w:pStyle w:val="179"/>
              <w:ind w:firstLine="360" w:firstLineChars="200"/>
              <w:jc w:val="both"/>
              <w:rPr>
                <w:rFonts w:ascii="Times New Roman"/>
              </w:rPr>
            </w:pPr>
          </w:p>
        </w:tc>
        <w:tc>
          <w:tcPr>
            <w:tcW w:w="3532" w:type="dxa"/>
            <w:shd w:val="clear" w:color="auto" w:fill="auto"/>
            <w:vAlign w:val="center"/>
          </w:tcPr>
          <w:p w14:paraId="35DFA316">
            <w:pPr>
              <w:pStyle w:val="179"/>
              <w:ind w:firstLine="360" w:firstLineChars="200"/>
              <w:jc w:val="both"/>
              <w:rPr>
                <w:rFonts w:ascii="Times New Roman"/>
              </w:rPr>
            </w:pPr>
            <w:r>
              <w:rPr>
                <w:rFonts w:ascii="Times New Roman"/>
              </w:rPr>
              <w:t>采用的先进工艺技术说明及相关证明材料</w:t>
            </w:r>
          </w:p>
        </w:tc>
      </w:tr>
      <w:tr w14:paraId="773B5B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416" w:type="dxa"/>
            <w:vMerge w:val="continue"/>
            <w:shd w:val="clear" w:color="auto" w:fill="auto"/>
            <w:vAlign w:val="center"/>
          </w:tcPr>
          <w:p w14:paraId="5976548F">
            <w:pPr>
              <w:pStyle w:val="179"/>
              <w:rPr>
                <w:rFonts w:ascii="Times New Roman"/>
              </w:rPr>
            </w:pPr>
          </w:p>
        </w:tc>
        <w:tc>
          <w:tcPr>
            <w:tcW w:w="425" w:type="dxa"/>
            <w:vMerge w:val="restart"/>
            <w:shd w:val="clear" w:color="auto" w:fill="auto"/>
            <w:vAlign w:val="center"/>
          </w:tcPr>
          <w:p w14:paraId="2B96E0D8">
            <w:pPr>
              <w:pStyle w:val="179"/>
              <w:rPr>
                <w:rFonts w:ascii="Times New Roman"/>
              </w:rPr>
            </w:pPr>
            <w:r>
              <w:rPr>
                <w:rFonts w:ascii="Times New Roman"/>
              </w:rPr>
              <w:t>可选</w:t>
            </w:r>
          </w:p>
        </w:tc>
        <w:tc>
          <w:tcPr>
            <w:tcW w:w="4111" w:type="dxa"/>
            <w:shd w:val="clear" w:color="auto" w:fill="auto"/>
            <w:vAlign w:val="center"/>
          </w:tcPr>
          <w:p w14:paraId="563C91B7">
            <w:pPr>
              <w:pStyle w:val="179"/>
              <w:ind w:firstLine="360" w:firstLineChars="200"/>
              <w:jc w:val="both"/>
              <w:rPr>
                <w:rFonts w:ascii="Times New Roman"/>
              </w:rPr>
            </w:pPr>
            <w:r>
              <w:rPr>
                <w:rFonts w:ascii="Times New Roman"/>
              </w:rPr>
              <w:t>生产工艺采用数字化、智能化、绿色化技术</w:t>
            </w:r>
          </w:p>
        </w:tc>
        <w:tc>
          <w:tcPr>
            <w:tcW w:w="850" w:type="dxa"/>
            <w:shd w:val="clear" w:color="auto" w:fill="auto"/>
            <w:vAlign w:val="center"/>
          </w:tcPr>
          <w:p w14:paraId="6CAEEBC0">
            <w:pPr>
              <w:pStyle w:val="179"/>
              <w:ind w:firstLine="360" w:firstLineChars="200"/>
              <w:jc w:val="both"/>
              <w:rPr>
                <w:rFonts w:ascii="Times New Roman"/>
              </w:rPr>
            </w:pPr>
          </w:p>
        </w:tc>
        <w:tc>
          <w:tcPr>
            <w:tcW w:w="3532" w:type="dxa"/>
            <w:shd w:val="clear" w:color="auto" w:fill="auto"/>
            <w:vAlign w:val="center"/>
          </w:tcPr>
          <w:p w14:paraId="0D970F87">
            <w:pPr>
              <w:pStyle w:val="179"/>
              <w:ind w:firstLine="360" w:firstLineChars="200"/>
              <w:jc w:val="both"/>
              <w:rPr>
                <w:rFonts w:ascii="Times New Roman"/>
              </w:rPr>
            </w:pPr>
            <w:r>
              <w:rPr>
                <w:rFonts w:ascii="Times New Roman"/>
              </w:rPr>
              <w:t>工艺技术信息说明</w:t>
            </w:r>
          </w:p>
        </w:tc>
      </w:tr>
      <w:tr w14:paraId="494F11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3B2D4798">
            <w:pPr>
              <w:pStyle w:val="179"/>
              <w:rPr>
                <w:rFonts w:ascii="Times New Roman"/>
              </w:rPr>
            </w:pPr>
          </w:p>
        </w:tc>
        <w:tc>
          <w:tcPr>
            <w:tcW w:w="425" w:type="dxa"/>
            <w:vMerge w:val="continue"/>
            <w:shd w:val="clear" w:color="auto" w:fill="auto"/>
            <w:vAlign w:val="center"/>
          </w:tcPr>
          <w:p w14:paraId="53206444">
            <w:pPr>
              <w:pStyle w:val="179"/>
              <w:rPr>
                <w:rFonts w:ascii="Times New Roman"/>
              </w:rPr>
            </w:pPr>
          </w:p>
        </w:tc>
        <w:tc>
          <w:tcPr>
            <w:tcW w:w="4111" w:type="dxa"/>
            <w:shd w:val="clear" w:color="auto" w:fill="auto"/>
            <w:vAlign w:val="center"/>
          </w:tcPr>
          <w:p w14:paraId="1CB35A93">
            <w:pPr>
              <w:pStyle w:val="179"/>
              <w:ind w:firstLine="360" w:firstLineChars="200"/>
              <w:jc w:val="both"/>
              <w:rPr>
                <w:rFonts w:ascii="Times New Roman"/>
              </w:rPr>
            </w:pPr>
            <w:r>
              <w:rPr>
                <w:rFonts w:ascii="Times New Roman"/>
              </w:rPr>
              <w:t>整合采用无氟防水、水性涂层等清洁化工艺</w:t>
            </w:r>
          </w:p>
        </w:tc>
        <w:tc>
          <w:tcPr>
            <w:tcW w:w="850" w:type="dxa"/>
            <w:shd w:val="clear" w:color="auto" w:fill="auto"/>
            <w:vAlign w:val="center"/>
          </w:tcPr>
          <w:p w14:paraId="27A67306">
            <w:pPr>
              <w:pStyle w:val="179"/>
              <w:ind w:firstLine="360" w:firstLineChars="200"/>
              <w:jc w:val="both"/>
              <w:rPr>
                <w:rFonts w:ascii="Times New Roman"/>
              </w:rPr>
            </w:pPr>
          </w:p>
        </w:tc>
        <w:tc>
          <w:tcPr>
            <w:tcW w:w="3532" w:type="dxa"/>
            <w:shd w:val="clear" w:color="auto" w:fill="auto"/>
            <w:vAlign w:val="center"/>
          </w:tcPr>
          <w:p w14:paraId="37977ACE">
            <w:pPr>
              <w:pStyle w:val="179"/>
              <w:ind w:firstLine="360" w:firstLineChars="200"/>
              <w:jc w:val="both"/>
              <w:rPr>
                <w:rFonts w:ascii="Times New Roman"/>
              </w:rPr>
            </w:pPr>
            <w:r>
              <w:rPr>
                <w:rFonts w:ascii="Times New Roman"/>
              </w:rPr>
              <w:t>工艺技术信息说明及相关证明材料，如无氟测试报告、水性涂层VOC测试报告等</w:t>
            </w:r>
          </w:p>
        </w:tc>
      </w:tr>
      <w:tr w14:paraId="424E7F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7961D49E">
            <w:pPr>
              <w:pStyle w:val="179"/>
              <w:rPr>
                <w:rFonts w:ascii="Times New Roman"/>
              </w:rPr>
            </w:pPr>
          </w:p>
        </w:tc>
        <w:tc>
          <w:tcPr>
            <w:tcW w:w="425" w:type="dxa"/>
            <w:vMerge w:val="continue"/>
            <w:shd w:val="clear" w:color="auto" w:fill="auto"/>
            <w:vAlign w:val="center"/>
          </w:tcPr>
          <w:p w14:paraId="3926B5A6">
            <w:pPr>
              <w:pStyle w:val="179"/>
              <w:rPr>
                <w:rFonts w:ascii="Times New Roman"/>
              </w:rPr>
            </w:pPr>
          </w:p>
        </w:tc>
        <w:tc>
          <w:tcPr>
            <w:tcW w:w="4111" w:type="dxa"/>
            <w:shd w:val="clear" w:color="auto" w:fill="auto"/>
            <w:vAlign w:val="center"/>
          </w:tcPr>
          <w:p w14:paraId="1D136BB6">
            <w:pPr>
              <w:pStyle w:val="179"/>
              <w:ind w:firstLine="360" w:firstLineChars="200"/>
              <w:jc w:val="both"/>
              <w:rPr>
                <w:rFonts w:ascii="Times New Roman"/>
              </w:rPr>
            </w:pPr>
            <w:r>
              <w:rPr>
                <w:rFonts w:ascii="Times New Roman"/>
              </w:rPr>
              <w:t>建立能耗、物耗以及废弃物排放统计监测体系，根据监测结果进行改善</w:t>
            </w:r>
          </w:p>
        </w:tc>
        <w:tc>
          <w:tcPr>
            <w:tcW w:w="850" w:type="dxa"/>
            <w:shd w:val="clear" w:color="auto" w:fill="auto"/>
            <w:vAlign w:val="center"/>
          </w:tcPr>
          <w:p w14:paraId="0D17E6C2">
            <w:pPr>
              <w:pStyle w:val="179"/>
              <w:ind w:firstLine="360" w:firstLineChars="200"/>
              <w:jc w:val="both"/>
              <w:rPr>
                <w:rFonts w:ascii="Times New Roman"/>
              </w:rPr>
            </w:pPr>
          </w:p>
        </w:tc>
        <w:tc>
          <w:tcPr>
            <w:tcW w:w="3532" w:type="dxa"/>
            <w:shd w:val="clear" w:color="auto" w:fill="auto"/>
            <w:vAlign w:val="center"/>
          </w:tcPr>
          <w:p w14:paraId="68FC5872">
            <w:pPr>
              <w:pStyle w:val="179"/>
              <w:ind w:firstLine="360" w:firstLineChars="200"/>
              <w:jc w:val="both"/>
              <w:rPr>
                <w:rFonts w:ascii="Times New Roman"/>
              </w:rPr>
            </w:pPr>
            <w:r>
              <w:rPr>
                <w:rFonts w:ascii="Times New Roman"/>
              </w:rPr>
              <w:t>能源的使用情况说明；</w:t>
            </w:r>
          </w:p>
          <w:p w14:paraId="33DA018E">
            <w:pPr>
              <w:pStyle w:val="179"/>
              <w:ind w:firstLine="360" w:firstLineChars="200"/>
              <w:jc w:val="both"/>
              <w:rPr>
                <w:rFonts w:ascii="Times New Roman"/>
              </w:rPr>
            </w:pPr>
            <w:r>
              <w:rPr>
                <w:rFonts w:ascii="Times New Roman"/>
              </w:rPr>
              <w:t>原材料的使用情况说明；</w:t>
            </w:r>
          </w:p>
          <w:p w14:paraId="4D7A6CE4">
            <w:pPr>
              <w:pStyle w:val="179"/>
              <w:ind w:firstLine="360" w:firstLineChars="200"/>
              <w:jc w:val="both"/>
              <w:rPr>
                <w:rFonts w:ascii="Times New Roman"/>
              </w:rPr>
            </w:pPr>
            <w:r>
              <w:rPr>
                <w:rFonts w:ascii="Times New Roman"/>
              </w:rPr>
              <w:t>废弃物的监测数据；</w:t>
            </w:r>
          </w:p>
          <w:p w14:paraId="6CB04B88">
            <w:pPr>
              <w:pStyle w:val="179"/>
              <w:ind w:firstLine="360" w:firstLineChars="200"/>
              <w:jc w:val="both"/>
              <w:rPr>
                <w:rFonts w:ascii="Times New Roman"/>
              </w:rPr>
            </w:pPr>
            <w:r>
              <w:rPr>
                <w:rFonts w:ascii="Times New Roman"/>
              </w:rPr>
              <w:t>改善情况的证明材料等</w:t>
            </w:r>
          </w:p>
        </w:tc>
      </w:tr>
      <w:tr w14:paraId="7799A0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shd w:val="clear" w:color="auto" w:fill="auto"/>
            <w:vAlign w:val="center"/>
          </w:tcPr>
          <w:p w14:paraId="586C8C5B">
            <w:pPr>
              <w:pStyle w:val="179"/>
              <w:rPr>
                <w:rFonts w:ascii="Times New Roman"/>
              </w:rPr>
            </w:pPr>
            <w:r>
              <w:rPr>
                <w:rFonts w:ascii="Times New Roman"/>
              </w:rPr>
              <w:t>包装</w:t>
            </w:r>
          </w:p>
        </w:tc>
        <w:tc>
          <w:tcPr>
            <w:tcW w:w="425" w:type="dxa"/>
            <w:shd w:val="clear" w:color="auto" w:fill="auto"/>
            <w:vAlign w:val="center"/>
          </w:tcPr>
          <w:p w14:paraId="57516436">
            <w:pPr>
              <w:pStyle w:val="179"/>
              <w:rPr>
                <w:rFonts w:ascii="Times New Roman"/>
              </w:rPr>
            </w:pPr>
            <w:r>
              <w:rPr>
                <w:rFonts w:ascii="Times New Roman"/>
              </w:rPr>
              <w:t>必选</w:t>
            </w:r>
          </w:p>
        </w:tc>
        <w:tc>
          <w:tcPr>
            <w:tcW w:w="4111" w:type="dxa"/>
            <w:shd w:val="clear" w:color="auto" w:fill="auto"/>
            <w:vAlign w:val="center"/>
          </w:tcPr>
          <w:p w14:paraId="687E4DB2">
            <w:pPr>
              <w:pStyle w:val="179"/>
              <w:ind w:firstLine="360" w:firstLineChars="200"/>
              <w:jc w:val="both"/>
              <w:rPr>
                <w:rFonts w:ascii="Times New Roman"/>
              </w:rPr>
            </w:pPr>
            <w:r>
              <w:rPr>
                <w:rFonts w:ascii="Times New Roman"/>
              </w:rPr>
              <w:t>包装材料的选取，应注意包装废弃物对环境的影响，包装材料中铅、镉、汞和六价铬的总含量应满足GB/T 16716.1的相关要求</w:t>
            </w:r>
          </w:p>
        </w:tc>
        <w:tc>
          <w:tcPr>
            <w:tcW w:w="850" w:type="dxa"/>
            <w:shd w:val="clear" w:color="auto" w:fill="auto"/>
            <w:vAlign w:val="center"/>
          </w:tcPr>
          <w:p w14:paraId="50779CF3">
            <w:pPr>
              <w:pStyle w:val="179"/>
              <w:ind w:firstLine="360" w:firstLineChars="200"/>
              <w:jc w:val="both"/>
              <w:rPr>
                <w:rFonts w:ascii="Times New Roman"/>
              </w:rPr>
            </w:pPr>
          </w:p>
        </w:tc>
        <w:tc>
          <w:tcPr>
            <w:tcW w:w="3532" w:type="dxa"/>
            <w:shd w:val="clear" w:color="auto" w:fill="auto"/>
            <w:vAlign w:val="center"/>
          </w:tcPr>
          <w:p w14:paraId="17CCF6B6">
            <w:pPr>
              <w:pStyle w:val="179"/>
              <w:ind w:firstLine="360" w:firstLineChars="200"/>
              <w:jc w:val="both"/>
              <w:rPr>
                <w:rFonts w:ascii="Times New Roman"/>
              </w:rPr>
            </w:pPr>
            <w:r>
              <w:rPr>
                <w:rFonts w:ascii="Times New Roman"/>
              </w:rPr>
              <w:t>产品包装信息；</w:t>
            </w:r>
          </w:p>
          <w:p w14:paraId="2D217531">
            <w:pPr>
              <w:pStyle w:val="179"/>
              <w:ind w:firstLine="360" w:firstLineChars="200"/>
              <w:jc w:val="both"/>
              <w:rPr>
                <w:rFonts w:ascii="Times New Roman"/>
              </w:rPr>
            </w:pPr>
            <w:r>
              <w:rPr>
                <w:rFonts w:ascii="Times New Roman"/>
              </w:rPr>
              <w:t>包装材料化学限量物质检测报告等证明材料</w:t>
            </w:r>
          </w:p>
        </w:tc>
      </w:tr>
      <w:bookmarkEnd w:id="81"/>
    </w:tbl>
    <w:p w14:paraId="5BBAEE07">
      <w:pPr>
        <w:pStyle w:val="78"/>
        <w:numPr>
          <w:ilvl w:val="0"/>
          <w:numId w:val="0"/>
        </w:numPr>
        <w:spacing w:before="120" w:after="120"/>
        <w:rPr>
          <w:rFonts w:ascii="Times New Roman"/>
        </w:rPr>
      </w:pPr>
      <w:bookmarkStart w:id="86" w:name="BookMark8"/>
      <w:r>
        <w:rPr>
          <w:rFonts w:ascii="Times New Roman"/>
        </w:rPr>
        <w:t>表A.2 （续）评价指标要求证明材料</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2"/>
        <w:gridCol w:w="425"/>
        <w:gridCol w:w="4108"/>
        <w:gridCol w:w="849"/>
        <w:gridCol w:w="3530"/>
      </w:tblGrid>
      <w:tr w14:paraId="2AE27C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16" w:type="dxa"/>
            <w:tcBorders>
              <w:top w:val="single" w:color="auto" w:sz="8" w:space="0"/>
              <w:bottom w:val="single" w:color="auto" w:sz="8" w:space="0"/>
            </w:tcBorders>
            <w:shd w:val="clear" w:color="auto" w:fill="auto"/>
            <w:vAlign w:val="center"/>
          </w:tcPr>
          <w:p w14:paraId="2D4A71AA">
            <w:pPr>
              <w:pStyle w:val="200"/>
              <w:rPr>
                <w:rFonts w:ascii="Times New Roman"/>
              </w:rPr>
            </w:pPr>
            <w:r>
              <w:rPr>
                <w:rFonts w:ascii="Times New Roman"/>
              </w:rPr>
              <w:t>要求</w:t>
            </w:r>
          </w:p>
          <w:p w14:paraId="1BF7488C">
            <w:pPr>
              <w:pStyle w:val="200"/>
              <w:rPr>
                <w:rFonts w:ascii="Times New Roman"/>
              </w:rPr>
            </w:pPr>
            <w:r>
              <w:rPr>
                <w:rFonts w:ascii="Times New Roman"/>
              </w:rPr>
              <w:t>类型</w:t>
            </w:r>
          </w:p>
          <w:p w14:paraId="78A6E8C4">
            <w:pPr>
              <w:pStyle w:val="179"/>
              <w:rPr>
                <w:rFonts w:ascii="Times New Roman"/>
              </w:rPr>
            </w:pPr>
            <w:r>
              <w:rPr>
                <w:rFonts w:ascii="Times New Roman"/>
              </w:rPr>
              <w:t>指标要求</w:t>
            </w:r>
          </w:p>
          <w:p w14:paraId="363C931A">
            <w:pPr>
              <w:pStyle w:val="200"/>
              <w:rPr>
                <w:rFonts w:ascii="Times New Roman"/>
              </w:rPr>
            </w:pPr>
          </w:p>
        </w:tc>
        <w:tc>
          <w:tcPr>
            <w:tcW w:w="425" w:type="dxa"/>
            <w:tcBorders>
              <w:top w:val="single" w:color="auto" w:sz="8" w:space="0"/>
              <w:bottom w:val="single" w:color="auto" w:sz="8" w:space="0"/>
            </w:tcBorders>
            <w:shd w:val="clear" w:color="auto" w:fill="auto"/>
            <w:vAlign w:val="center"/>
          </w:tcPr>
          <w:p w14:paraId="4CE41580">
            <w:pPr>
              <w:pStyle w:val="179"/>
              <w:rPr>
                <w:rFonts w:ascii="Times New Roman"/>
              </w:rPr>
            </w:pPr>
            <w:r>
              <w:rPr>
                <w:rFonts w:ascii="Times New Roman"/>
              </w:rPr>
              <w:t>要求类型</w:t>
            </w:r>
          </w:p>
        </w:tc>
        <w:tc>
          <w:tcPr>
            <w:tcW w:w="4111" w:type="dxa"/>
            <w:tcBorders>
              <w:top w:val="single" w:color="auto" w:sz="8" w:space="0"/>
              <w:bottom w:val="single" w:color="auto" w:sz="8" w:space="0"/>
            </w:tcBorders>
            <w:shd w:val="clear" w:color="auto" w:fill="auto"/>
            <w:vAlign w:val="center"/>
          </w:tcPr>
          <w:p w14:paraId="6519AD29">
            <w:pPr>
              <w:pStyle w:val="179"/>
              <w:rPr>
                <w:rFonts w:ascii="Times New Roman"/>
              </w:rPr>
            </w:pPr>
            <w:r>
              <w:rPr>
                <w:rFonts w:ascii="Times New Roman"/>
              </w:rPr>
              <w:t>评价要求</w:t>
            </w:r>
          </w:p>
        </w:tc>
        <w:tc>
          <w:tcPr>
            <w:tcW w:w="850" w:type="dxa"/>
            <w:tcBorders>
              <w:top w:val="single" w:color="auto" w:sz="8" w:space="0"/>
              <w:bottom w:val="single" w:color="auto" w:sz="8" w:space="0"/>
            </w:tcBorders>
            <w:shd w:val="clear" w:color="auto" w:fill="auto"/>
            <w:vAlign w:val="center"/>
          </w:tcPr>
          <w:p w14:paraId="2514D9AF">
            <w:pPr>
              <w:pStyle w:val="179"/>
              <w:rPr>
                <w:rFonts w:ascii="Times New Roman"/>
              </w:rPr>
            </w:pPr>
            <w:r>
              <w:rPr>
                <w:rFonts w:ascii="Times New Roman"/>
              </w:rPr>
              <w:t>是否符合</w:t>
            </w:r>
          </w:p>
        </w:tc>
        <w:tc>
          <w:tcPr>
            <w:tcW w:w="3532" w:type="dxa"/>
            <w:tcBorders>
              <w:top w:val="single" w:color="auto" w:sz="8" w:space="0"/>
              <w:bottom w:val="single" w:color="auto" w:sz="8" w:space="0"/>
            </w:tcBorders>
            <w:shd w:val="clear" w:color="auto" w:fill="auto"/>
            <w:vAlign w:val="center"/>
          </w:tcPr>
          <w:p w14:paraId="2BEFD59C">
            <w:pPr>
              <w:pStyle w:val="179"/>
              <w:rPr>
                <w:rFonts w:ascii="Times New Roman"/>
              </w:rPr>
            </w:pPr>
            <w:r>
              <w:rPr>
                <w:rFonts w:ascii="Times New Roman"/>
              </w:rPr>
              <w:t>证明材料索引</w:t>
            </w:r>
          </w:p>
        </w:tc>
      </w:tr>
      <w:tr w14:paraId="13F868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vAlign w:val="center"/>
          </w:tcPr>
          <w:p w14:paraId="4DD4778B">
            <w:pPr>
              <w:pStyle w:val="179"/>
              <w:rPr>
                <w:rFonts w:ascii="Times New Roman"/>
              </w:rPr>
            </w:pPr>
          </w:p>
        </w:tc>
        <w:tc>
          <w:tcPr>
            <w:tcW w:w="425" w:type="dxa"/>
            <w:vMerge w:val="restart"/>
            <w:shd w:val="clear" w:color="auto" w:fill="auto"/>
            <w:vAlign w:val="center"/>
          </w:tcPr>
          <w:p w14:paraId="6AFAF2C6">
            <w:pPr>
              <w:pStyle w:val="179"/>
              <w:rPr>
                <w:rFonts w:ascii="Times New Roman"/>
              </w:rPr>
            </w:pPr>
          </w:p>
        </w:tc>
        <w:tc>
          <w:tcPr>
            <w:tcW w:w="4111" w:type="dxa"/>
            <w:shd w:val="clear" w:color="auto" w:fill="auto"/>
            <w:vAlign w:val="center"/>
          </w:tcPr>
          <w:p w14:paraId="3840899F">
            <w:pPr>
              <w:pStyle w:val="179"/>
              <w:ind w:firstLine="360" w:firstLineChars="200"/>
              <w:jc w:val="both"/>
              <w:rPr>
                <w:rFonts w:ascii="Times New Roman"/>
              </w:rPr>
            </w:pPr>
            <w:r>
              <w:rPr>
                <w:rFonts w:ascii="Times New Roman"/>
              </w:rPr>
              <w:t>包装材料的选取，应本着节约、节俭的原则，使用常用的、经济的包装材料</w:t>
            </w:r>
          </w:p>
        </w:tc>
        <w:tc>
          <w:tcPr>
            <w:tcW w:w="850" w:type="dxa"/>
            <w:shd w:val="clear" w:color="auto" w:fill="auto"/>
            <w:vAlign w:val="center"/>
          </w:tcPr>
          <w:p w14:paraId="1EEC5DA0">
            <w:pPr>
              <w:pStyle w:val="179"/>
              <w:ind w:firstLine="360" w:firstLineChars="200"/>
              <w:jc w:val="both"/>
              <w:rPr>
                <w:rFonts w:ascii="Times New Roman"/>
              </w:rPr>
            </w:pPr>
          </w:p>
        </w:tc>
        <w:tc>
          <w:tcPr>
            <w:tcW w:w="3532" w:type="dxa"/>
            <w:shd w:val="clear" w:color="auto" w:fill="auto"/>
            <w:vAlign w:val="center"/>
          </w:tcPr>
          <w:p w14:paraId="6CD073D3">
            <w:pPr>
              <w:pStyle w:val="179"/>
              <w:ind w:firstLine="360" w:firstLineChars="200"/>
              <w:jc w:val="both"/>
              <w:rPr>
                <w:rFonts w:ascii="Times New Roman"/>
              </w:rPr>
            </w:pPr>
            <w:r>
              <w:rPr>
                <w:rFonts w:ascii="Times New Roman"/>
              </w:rPr>
              <w:t>产品包装信息</w:t>
            </w:r>
          </w:p>
        </w:tc>
      </w:tr>
      <w:tr w14:paraId="186BB4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3BCA0FE9">
            <w:pPr>
              <w:pStyle w:val="179"/>
              <w:rPr>
                <w:rFonts w:ascii="Times New Roman"/>
              </w:rPr>
            </w:pPr>
          </w:p>
        </w:tc>
        <w:tc>
          <w:tcPr>
            <w:tcW w:w="425" w:type="dxa"/>
            <w:vMerge w:val="continue"/>
            <w:shd w:val="clear" w:color="auto" w:fill="auto"/>
            <w:vAlign w:val="center"/>
          </w:tcPr>
          <w:p w14:paraId="51D124FA">
            <w:pPr>
              <w:pStyle w:val="179"/>
              <w:rPr>
                <w:rFonts w:ascii="Times New Roman"/>
              </w:rPr>
            </w:pPr>
          </w:p>
        </w:tc>
        <w:tc>
          <w:tcPr>
            <w:tcW w:w="4111" w:type="dxa"/>
            <w:shd w:val="clear" w:color="auto" w:fill="auto"/>
            <w:vAlign w:val="center"/>
          </w:tcPr>
          <w:p w14:paraId="5F8461A9">
            <w:pPr>
              <w:pStyle w:val="179"/>
              <w:ind w:firstLine="360" w:firstLineChars="200"/>
              <w:jc w:val="both"/>
              <w:rPr>
                <w:rFonts w:ascii="Times New Roman"/>
              </w:rPr>
            </w:pPr>
            <w:r>
              <w:rPr>
                <w:rFonts w:ascii="Times New Roman"/>
              </w:rPr>
              <w:t>在满足正常的包装功能需求前提下，包装尺寸应与内装研磨丝杆产品的质量和规格相适应，应简化结构，减少包装层数（最多2层）、包装空隙率和包装体积，减少包装材料的用量</w:t>
            </w:r>
          </w:p>
        </w:tc>
        <w:tc>
          <w:tcPr>
            <w:tcW w:w="850" w:type="dxa"/>
            <w:shd w:val="clear" w:color="auto" w:fill="auto"/>
            <w:vAlign w:val="center"/>
          </w:tcPr>
          <w:p w14:paraId="74A37E3D">
            <w:pPr>
              <w:pStyle w:val="179"/>
              <w:ind w:firstLine="360" w:firstLineChars="200"/>
              <w:jc w:val="both"/>
              <w:rPr>
                <w:rFonts w:ascii="Times New Roman"/>
              </w:rPr>
            </w:pPr>
          </w:p>
        </w:tc>
        <w:tc>
          <w:tcPr>
            <w:tcW w:w="3532" w:type="dxa"/>
            <w:shd w:val="clear" w:color="auto" w:fill="auto"/>
            <w:vAlign w:val="center"/>
          </w:tcPr>
          <w:p w14:paraId="3F2ECEF0">
            <w:pPr>
              <w:pStyle w:val="179"/>
              <w:ind w:firstLine="360" w:firstLineChars="200"/>
              <w:jc w:val="both"/>
              <w:rPr>
                <w:rFonts w:ascii="Times New Roman"/>
              </w:rPr>
            </w:pPr>
            <w:r>
              <w:rPr>
                <w:rFonts w:ascii="Times New Roman"/>
              </w:rPr>
              <w:t>产品包装信息；</w:t>
            </w:r>
          </w:p>
          <w:p w14:paraId="01C5B2DF">
            <w:pPr>
              <w:pStyle w:val="179"/>
              <w:ind w:firstLine="360" w:firstLineChars="200"/>
              <w:jc w:val="both"/>
              <w:rPr>
                <w:rFonts w:ascii="Times New Roman"/>
              </w:rPr>
            </w:pPr>
            <w:r>
              <w:rPr>
                <w:rFonts w:ascii="Times New Roman"/>
              </w:rPr>
              <w:t>包装尺寸设计的说明</w:t>
            </w:r>
          </w:p>
        </w:tc>
      </w:tr>
      <w:tr w14:paraId="6C4AF0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77033718">
            <w:pPr>
              <w:pStyle w:val="179"/>
              <w:rPr>
                <w:rFonts w:ascii="Times New Roman"/>
              </w:rPr>
            </w:pPr>
          </w:p>
        </w:tc>
        <w:tc>
          <w:tcPr>
            <w:tcW w:w="425" w:type="dxa"/>
            <w:vMerge w:val="restart"/>
            <w:shd w:val="clear" w:color="auto" w:fill="auto"/>
            <w:vAlign w:val="center"/>
          </w:tcPr>
          <w:p w14:paraId="51658DC7">
            <w:pPr>
              <w:pStyle w:val="179"/>
              <w:rPr>
                <w:rFonts w:ascii="Times New Roman"/>
              </w:rPr>
            </w:pPr>
            <w:r>
              <w:rPr>
                <w:rFonts w:ascii="Times New Roman"/>
              </w:rPr>
              <w:t>可选</w:t>
            </w:r>
          </w:p>
        </w:tc>
        <w:tc>
          <w:tcPr>
            <w:tcW w:w="4111" w:type="dxa"/>
            <w:shd w:val="clear" w:color="auto" w:fill="auto"/>
            <w:vAlign w:val="center"/>
          </w:tcPr>
          <w:p w14:paraId="3FFCE116">
            <w:pPr>
              <w:pStyle w:val="179"/>
              <w:ind w:firstLine="360" w:firstLineChars="200"/>
              <w:jc w:val="both"/>
              <w:rPr>
                <w:rFonts w:ascii="Times New Roman"/>
              </w:rPr>
            </w:pPr>
            <w:r>
              <w:rPr>
                <w:rFonts w:ascii="Times New Roman"/>
              </w:rPr>
              <w:t>用于研磨丝杆产品最终包装的塑料材料和纸质材料使用的回收材料占比不低于50%，或用于研磨丝杆产品最终包装的塑料材料和纸质材料的可再生利用率不低于50%</w:t>
            </w:r>
          </w:p>
        </w:tc>
        <w:tc>
          <w:tcPr>
            <w:tcW w:w="850" w:type="dxa"/>
            <w:shd w:val="clear" w:color="auto" w:fill="auto"/>
            <w:vAlign w:val="center"/>
          </w:tcPr>
          <w:p w14:paraId="6353E201">
            <w:pPr>
              <w:pStyle w:val="179"/>
              <w:ind w:firstLine="360" w:firstLineChars="200"/>
              <w:jc w:val="both"/>
              <w:rPr>
                <w:rFonts w:ascii="Times New Roman"/>
              </w:rPr>
            </w:pPr>
          </w:p>
        </w:tc>
        <w:tc>
          <w:tcPr>
            <w:tcW w:w="3532" w:type="dxa"/>
            <w:shd w:val="clear" w:color="auto" w:fill="auto"/>
            <w:vAlign w:val="center"/>
          </w:tcPr>
          <w:p w14:paraId="2412387A">
            <w:pPr>
              <w:pStyle w:val="179"/>
              <w:ind w:firstLine="360" w:firstLineChars="200"/>
              <w:jc w:val="both"/>
              <w:rPr>
                <w:rFonts w:ascii="Times New Roman"/>
              </w:rPr>
            </w:pPr>
            <w:r>
              <w:rPr>
                <w:rFonts w:ascii="Times New Roman"/>
              </w:rPr>
              <w:t>产品包装信息；</w:t>
            </w:r>
          </w:p>
          <w:p w14:paraId="6A0D5A50">
            <w:pPr>
              <w:pStyle w:val="179"/>
              <w:ind w:firstLine="360" w:firstLineChars="200"/>
              <w:jc w:val="both"/>
              <w:rPr>
                <w:rFonts w:ascii="Times New Roman"/>
              </w:rPr>
            </w:pPr>
            <w:r>
              <w:rPr>
                <w:rFonts w:ascii="Times New Roman"/>
              </w:rPr>
              <w:t>包装材料（塑料、纸质）回收材料占比证明材料；</w:t>
            </w:r>
          </w:p>
          <w:p w14:paraId="1D4E9F88">
            <w:pPr>
              <w:pStyle w:val="179"/>
              <w:ind w:firstLine="360" w:firstLineChars="200"/>
              <w:jc w:val="both"/>
              <w:rPr>
                <w:rFonts w:ascii="Times New Roman"/>
              </w:rPr>
            </w:pPr>
            <w:r>
              <w:rPr>
                <w:rFonts w:ascii="Times New Roman"/>
              </w:rPr>
              <w:t>包装材料（塑料、纸质）可再生利用率的数据</w:t>
            </w:r>
          </w:p>
        </w:tc>
      </w:tr>
      <w:tr w14:paraId="373E1F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11FA803A">
            <w:pPr>
              <w:pStyle w:val="179"/>
              <w:rPr>
                <w:rFonts w:ascii="Times New Roman"/>
              </w:rPr>
            </w:pPr>
          </w:p>
        </w:tc>
        <w:tc>
          <w:tcPr>
            <w:tcW w:w="425" w:type="dxa"/>
            <w:vMerge w:val="continue"/>
            <w:shd w:val="clear" w:color="auto" w:fill="auto"/>
            <w:vAlign w:val="center"/>
          </w:tcPr>
          <w:p w14:paraId="5215FD6C">
            <w:pPr>
              <w:pStyle w:val="179"/>
              <w:rPr>
                <w:rFonts w:ascii="Times New Roman"/>
              </w:rPr>
            </w:pPr>
          </w:p>
        </w:tc>
        <w:tc>
          <w:tcPr>
            <w:tcW w:w="4111" w:type="dxa"/>
            <w:shd w:val="clear" w:color="auto" w:fill="auto"/>
            <w:vAlign w:val="center"/>
          </w:tcPr>
          <w:p w14:paraId="30A7F599">
            <w:pPr>
              <w:pStyle w:val="179"/>
              <w:ind w:firstLine="360" w:firstLineChars="200"/>
              <w:jc w:val="both"/>
              <w:rPr>
                <w:rFonts w:ascii="Times New Roman"/>
              </w:rPr>
            </w:pPr>
            <w:r>
              <w:rPr>
                <w:rFonts w:ascii="Times New Roman"/>
              </w:rPr>
              <w:t>包装材料选用单一材质，或易于拆解或分离的两种及两种以上材料，按GB/T 18455标注回收标志</w:t>
            </w:r>
          </w:p>
        </w:tc>
        <w:tc>
          <w:tcPr>
            <w:tcW w:w="850" w:type="dxa"/>
            <w:shd w:val="clear" w:color="auto" w:fill="auto"/>
            <w:vAlign w:val="center"/>
          </w:tcPr>
          <w:p w14:paraId="3685AE7F">
            <w:pPr>
              <w:pStyle w:val="179"/>
              <w:ind w:firstLine="360" w:firstLineChars="200"/>
              <w:jc w:val="both"/>
              <w:rPr>
                <w:rFonts w:ascii="Times New Roman"/>
              </w:rPr>
            </w:pPr>
          </w:p>
        </w:tc>
        <w:tc>
          <w:tcPr>
            <w:tcW w:w="3532" w:type="dxa"/>
            <w:shd w:val="clear" w:color="auto" w:fill="auto"/>
            <w:vAlign w:val="center"/>
          </w:tcPr>
          <w:p w14:paraId="418415A7">
            <w:pPr>
              <w:pStyle w:val="179"/>
              <w:ind w:firstLine="360" w:firstLineChars="200"/>
              <w:jc w:val="both"/>
              <w:rPr>
                <w:rFonts w:ascii="Times New Roman"/>
              </w:rPr>
            </w:pPr>
            <w:r>
              <w:rPr>
                <w:rFonts w:ascii="Times New Roman"/>
              </w:rPr>
              <w:t>产品包装信息；</w:t>
            </w:r>
          </w:p>
          <w:p w14:paraId="033F8781">
            <w:pPr>
              <w:pStyle w:val="179"/>
              <w:ind w:firstLine="360" w:firstLineChars="200"/>
              <w:jc w:val="both"/>
              <w:rPr>
                <w:rFonts w:ascii="Times New Roman"/>
              </w:rPr>
            </w:pPr>
            <w:r>
              <w:rPr>
                <w:rFonts w:ascii="Times New Roman"/>
              </w:rPr>
              <w:t>标准符合性证明材料</w:t>
            </w:r>
          </w:p>
        </w:tc>
      </w:tr>
      <w:tr w14:paraId="421CF3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654D4D33">
            <w:pPr>
              <w:pStyle w:val="179"/>
              <w:rPr>
                <w:rFonts w:ascii="Times New Roman"/>
              </w:rPr>
            </w:pPr>
          </w:p>
        </w:tc>
        <w:tc>
          <w:tcPr>
            <w:tcW w:w="425" w:type="dxa"/>
            <w:vMerge w:val="continue"/>
            <w:shd w:val="clear" w:color="auto" w:fill="auto"/>
            <w:vAlign w:val="center"/>
          </w:tcPr>
          <w:p w14:paraId="61977A5D">
            <w:pPr>
              <w:pStyle w:val="179"/>
              <w:rPr>
                <w:rFonts w:ascii="Times New Roman"/>
              </w:rPr>
            </w:pPr>
          </w:p>
        </w:tc>
        <w:tc>
          <w:tcPr>
            <w:tcW w:w="4111" w:type="dxa"/>
            <w:shd w:val="clear" w:color="auto" w:fill="auto"/>
            <w:vAlign w:val="center"/>
          </w:tcPr>
          <w:p w14:paraId="0B3E1DA7">
            <w:pPr>
              <w:pStyle w:val="179"/>
              <w:ind w:firstLine="360" w:firstLineChars="200"/>
              <w:jc w:val="both"/>
              <w:rPr>
                <w:rFonts w:ascii="Times New Roman"/>
              </w:rPr>
            </w:pPr>
            <w:r>
              <w:rPr>
                <w:rFonts w:ascii="Times New Roman"/>
              </w:rPr>
              <w:t>包装材料采用环保印刷材料，减少印刷过程中油墨、溶剂等有害物质的排放</w:t>
            </w:r>
          </w:p>
        </w:tc>
        <w:tc>
          <w:tcPr>
            <w:tcW w:w="850" w:type="dxa"/>
            <w:shd w:val="clear" w:color="auto" w:fill="auto"/>
            <w:vAlign w:val="center"/>
          </w:tcPr>
          <w:p w14:paraId="6904374E">
            <w:pPr>
              <w:pStyle w:val="179"/>
              <w:ind w:firstLine="360" w:firstLineChars="200"/>
              <w:jc w:val="both"/>
              <w:rPr>
                <w:rFonts w:ascii="Times New Roman"/>
              </w:rPr>
            </w:pPr>
          </w:p>
        </w:tc>
        <w:tc>
          <w:tcPr>
            <w:tcW w:w="3532" w:type="dxa"/>
            <w:shd w:val="clear" w:color="auto" w:fill="auto"/>
            <w:vAlign w:val="center"/>
          </w:tcPr>
          <w:p w14:paraId="61CA888C">
            <w:pPr>
              <w:pStyle w:val="179"/>
              <w:ind w:firstLine="360" w:firstLineChars="200"/>
              <w:jc w:val="both"/>
              <w:rPr>
                <w:rFonts w:ascii="Times New Roman"/>
              </w:rPr>
            </w:pPr>
            <w:r>
              <w:rPr>
                <w:rFonts w:ascii="Times New Roman"/>
              </w:rPr>
              <w:t>产品包装信息；</w:t>
            </w:r>
          </w:p>
          <w:p w14:paraId="31E53B33">
            <w:pPr>
              <w:pStyle w:val="179"/>
              <w:ind w:firstLine="360" w:firstLineChars="200"/>
              <w:jc w:val="both"/>
              <w:rPr>
                <w:rFonts w:ascii="Times New Roman"/>
              </w:rPr>
            </w:pPr>
            <w:r>
              <w:rPr>
                <w:rFonts w:ascii="Times New Roman"/>
              </w:rPr>
              <w:t>包装材料环保印刷材料使用清单及印刷过程有害物质排放监测数据等证明材料</w:t>
            </w:r>
          </w:p>
        </w:tc>
      </w:tr>
      <w:tr w14:paraId="1A68E4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6BAE169A">
            <w:pPr>
              <w:pStyle w:val="179"/>
              <w:rPr>
                <w:rFonts w:ascii="Times New Roman"/>
              </w:rPr>
            </w:pPr>
          </w:p>
        </w:tc>
        <w:tc>
          <w:tcPr>
            <w:tcW w:w="425" w:type="dxa"/>
            <w:vMerge w:val="continue"/>
            <w:shd w:val="clear" w:color="auto" w:fill="auto"/>
            <w:vAlign w:val="center"/>
          </w:tcPr>
          <w:p w14:paraId="10A5FF0B">
            <w:pPr>
              <w:pStyle w:val="179"/>
              <w:rPr>
                <w:rFonts w:ascii="Times New Roman"/>
              </w:rPr>
            </w:pPr>
          </w:p>
        </w:tc>
        <w:tc>
          <w:tcPr>
            <w:tcW w:w="4111" w:type="dxa"/>
            <w:shd w:val="clear" w:color="auto" w:fill="auto"/>
            <w:vAlign w:val="center"/>
          </w:tcPr>
          <w:p w14:paraId="4B360E74">
            <w:pPr>
              <w:pStyle w:val="179"/>
              <w:ind w:firstLine="360" w:firstLineChars="200"/>
              <w:jc w:val="both"/>
              <w:rPr>
                <w:rFonts w:ascii="Times New Roman"/>
              </w:rPr>
            </w:pPr>
            <w:r>
              <w:rPr>
                <w:rFonts w:ascii="Times New Roman"/>
              </w:rPr>
              <w:t>纸质包装材料获得国际国内权威的森林认证</w:t>
            </w:r>
          </w:p>
        </w:tc>
        <w:tc>
          <w:tcPr>
            <w:tcW w:w="850" w:type="dxa"/>
            <w:shd w:val="clear" w:color="auto" w:fill="auto"/>
            <w:vAlign w:val="center"/>
          </w:tcPr>
          <w:p w14:paraId="73D56096">
            <w:pPr>
              <w:pStyle w:val="179"/>
              <w:ind w:firstLine="360" w:firstLineChars="200"/>
              <w:jc w:val="both"/>
              <w:rPr>
                <w:rFonts w:ascii="Times New Roman"/>
              </w:rPr>
            </w:pPr>
          </w:p>
        </w:tc>
        <w:tc>
          <w:tcPr>
            <w:tcW w:w="3532" w:type="dxa"/>
            <w:shd w:val="clear" w:color="auto" w:fill="auto"/>
            <w:vAlign w:val="center"/>
          </w:tcPr>
          <w:p w14:paraId="5BE762A3">
            <w:pPr>
              <w:pStyle w:val="179"/>
              <w:ind w:firstLine="360" w:firstLineChars="200"/>
              <w:jc w:val="both"/>
              <w:rPr>
                <w:rFonts w:ascii="Times New Roman"/>
              </w:rPr>
            </w:pPr>
            <w:r>
              <w:rPr>
                <w:rFonts w:ascii="Times New Roman"/>
              </w:rPr>
              <w:t>产品包装信息；</w:t>
            </w:r>
          </w:p>
          <w:p w14:paraId="56BFE2B4">
            <w:pPr>
              <w:pStyle w:val="179"/>
              <w:ind w:firstLine="360" w:firstLineChars="200"/>
              <w:jc w:val="both"/>
              <w:rPr>
                <w:rFonts w:ascii="Times New Roman"/>
              </w:rPr>
            </w:pPr>
            <w:r>
              <w:rPr>
                <w:rFonts w:ascii="Times New Roman"/>
              </w:rPr>
              <w:t>认证证书等证明材料</w:t>
            </w:r>
          </w:p>
        </w:tc>
      </w:tr>
      <w:tr w14:paraId="14B089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vAlign w:val="center"/>
          </w:tcPr>
          <w:p w14:paraId="4522B076">
            <w:pPr>
              <w:pStyle w:val="179"/>
              <w:rPr>
                <w:rFonts w:ascii="Times New Roman"/>
              </w:rPr>
            </w:pPr>
            <w:r>
              <w:rPr>
                <w:rFonts w:ascii="Times New Roman"/>
              </w:rPr>
              <w:t>产品</w:t>
            </w:r>
          </w:p>
          <w:p w14:paraId="5ED87555">
            <w:pPr>
              <w:pStyle w:val="179"/>
              <w:rPr>
                <w:rFonts w:ascii="Times New Roman"/>
              </w:rPr>
            </w:pPr>
            <w:r>
              <w:rPr>
                <w:rFonts w:ascii="Times New Roman"/>
              </w:rPr>
              <w:t>可回</w:t>
            </w:r>
          </w:p>
          <w:p w14:paraId="311A2F3F">
            <w:pPr>
              <w:pStyle w:val="179"/>
              <w:rPr>
                <w:rFonts w:ascii="Times New Roman"/>
              </w:rPr>
            </w:pPr>
            <w:r>
              <w:rPr>
                <w:rFonts w:ascii="Times New Roman"/>
              </w:rPr>
              <w:t>收利</w:t>
            </w:r>
          </w:p>
          <w:p w14:paraId="549356E8">
            <w:pPr>
              <w:pStyle w:val="179"/>
              <w:rPr>
                <w:rFonts w:ascii="Times New Roman"/>
              </w:rPr>
            </w:pPr>
            <w:r>
              <w:rPr>
                <w:rFonts w:ascii="Times New Roman"/>
              </w:rPr>
              <w:t>用</w:t>
            </w:r>
          </w:p>
        </w:tc>
        <w:tc>
          <w:tcPr>
            <w:tcW w:w="425" w:type="dxa"/>
            <w:shd w:val="clear" w:color="auto" w:fill="auto"/>
            <w:vAlign w:val="center"/>
          </w:tcPr>
          <w:p w14:paraId="3379E603">
            <w:pPr>
              <w:pStyle w:val="179"/>
              <w:rPr>
                <w:rFonts w:ascii="Times New Roman"/>
              </w:rPr>
            </w:pPr>
            <w:r>
              <w:rPr>
                <w:rFonts w:ascii="Times New Roman"/>
              </w:rPr>
              <w:t>必选</w:t>
            </w:r>
          </w:p>
        </w:tc>
        <w:tc>
          <w:tcPr>
            <w:tcW w:w="4111" w:type="dxa"/>
            <w:shd w:val="clear" w:color="auto" w:fill="auto"/>
            <w:vAlign w:val="center"/>
          </w:tcPr>
          <w:p w14:paraId="6679D1DC">
            <w:pPr>
              <w:pStyle w:val="179"/>
              <w:ind w:firstLine="360" w:firstLineChars="200"/>
              <w:jc w:val="both"/>
              <w:rPr>
                <w:rFonts w:ascii="Times New Roman"/>
              </w:rPr>
            </w:pPr>
            <w:r>
              <w:rPr>
                <w:rFonts w:ascii="Times New Roman"/>
              </w:rPr>
              <w:t>企业关注研磨丝杆产品全生命周期内废弃物的资源再利用情况，建立产品可回收管理体系</w:t>
            </w:r>
          </w:p>
        </w:tc>
        <w:tc>
          <w:tcPr>
            <w:tcW w:w="850" w:type="dxa"/>
            <w:shd w:val="clear" w:color="auto" w:fill="auto"/>
            <w:vAlign w:val="center"/>
          </w:tcPr>
          <w:p w14:paraId="6A74DDC7">
            <w:pPr>
              <w:pStyle w:val="179"/>
              <w:ind w:firstLine="360" w:firstLineChars="200"/>
              <w:jc w:val="both"/>
              <w:rPr>
                <w:rFonts w:ascii="Times New Roman"/>
              </w:rPr>
            </w:pPr>
          </w:p>
        </w:tc>
        <w:tc>
          <w:tcPr>
            <w:tcW w:w="3532" w:type="dxa"/>
            <w:shd w:val="clear" w:color="auto" w:fill="auto"/>
            <w:vAlign w:val="center"/>
          </w:tcPr>
          <w:p w14:paraId="206D1AF9">
            <w:pPr>
              <w:pStyle w:val="179"/>
              <w:ind w:firstLine="360" w:firstLineChars="200"/>
              <w:jc w:val="both"/>
              <w:rPr>
                <w:rFonts w:ascii="Times New Roman"/>
              </w:rPr>
            </w:pPr>
            <w:r>
              <w:rPr>
                <w:rFonts w:ascii="Times New Roman"/>
              </w:rPr>
              <w:t>可回收管理体系文件等证明材料</w:t>
            </w:r>
          </w:p>
        </w:tc>
      </w:tr>
      <w:tr w14:paraId="277EA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53A0015A">
            <w:pPr>
              <w:pStyle w:val="179"/>
              <w:rPr>
                <w:rFonts w:ascii="Times New Roman"/>
              </w:rPr>
            </w:pPr>
          </w:p>
        </w:tc>
        <w:tc>
          <w:tcPr>
            <w:tcW w:w="425" w:type="dxa"/>
            <w:vMerge w:val="restart"/>
            <w:shd w:val="clear" w:color="auto" w:fill="auto"/>
            <w:vAlign w:val="center"/>
          </w:tcPr>
          <w:p w14:paraId="3C60CBA9">
            <w:pPr>
              <w:pStyle w:val="179"/>
              <w:rPr>
                <w:rFonts w:ascii="Times New Roman"/>
              </w:rPr>
            </w:pPr>
            <w:r>
              <w:rPr>
                <w:rFonts w:ascii="Times New Roman"/>
              </w:rPr>
              <w:t>可选</w:t>
            </w:r>
          </w:p>
        </w:tc>
        <w:tc>
          <w:tcPr>
            <w:tcW w:w="4111" w:type="dxa"/>
            <w:shd w:val="clear" w:color="auto" w:fill="auto"/>
            <w:vAlign w:val="center"/>
          </w:tcPr>
          <w:p w14:paraId="6871F6CC">
            <w:pPr>
              <w:pStyle w:val="179"/>
              <w:ind w:firstLine="360" w:firstLineChars="200"/>
              <w:jc w:val="both"/>
              <w:rPr>
                <w:rFonts w:ascii="Times New Roman"/>
              </w:rPr>
            </w:pPr>
            <w:r>
              <w:rPr>
                <w:rFonts w:ascii="Times New Roman"/>
              </w:rPr>
              <w:t>企业按照GB/T 20862的要求计算产品的可回收利用率，并利用计算结果对产品的可回收利用率进行改善</w:t>
            </w:r>
          </w:p>
        </w:tc>
        <w:tc>
          <w:tcPr>
            <w:tcW w:w="850" w:type="dxa"/>
            <w:shd w:val="clear" w:color="auto" w:fill="auto"/>
            <w:vAlign w:val="center"/>
          </w:tcPr>
          <w:p w14:paraId="7715D93B">
            <w:pPr>
              <w:pStyle w:val="179"/>
              <w:ind w:firstLine="360" w:firstLineChars="200"/>
              <w:jc w:val="both"/>
              <w:rPr>
                <w:rFonts w:ascii="Times New Roman"/>
              </w:rPr>
            </w:pPr>
          </w:p>
        </w:tc>
        <w:tc>
          <w:tcPr>
            <w:tcW w:w="3532" w:type="dxa"/>
            <w:shd w:val="clear" w:color="auto" w:fill="auto"/>
            <w:vAlign w:val="center"/>
          </w:tcPr>
          <w:p w14:paraId="1C3BA692">
            <w:pPr>
              <w:pStyle w:val="179"/>
              <w:ind w:firstLine="360" w:firstLineChars="200"/>
              <w:jc w:val="both"/>
              <w:rPr>
                <w:rFonts w:ascii="Times New Roman"/>
              </w:rPr>
            </w:pPr>
            <w:r>
              <w:rPr>
                <w:rFonts w:ascii="Times New Roman"/>
              </w:rPr>
              <w:t>可回收利用率计算；</w:t>
            </w:r>
          </w:p>
          <w:p w14:paraId="3771E583">
            <w:pPr>
              <w:pStyle w:val="179"/>
              <w:ind w:firstLine="360" w:firstLineChars="200"/>
              <w:jc w:val="both"/>
              <w:rPr>
                <w:rFonts w:ascii="Times New Roman"/>
              </w:rPr>
            </w:pPr>
            <w:r>
              <w:rPr>
                <w:rFonts w:ascii="Times New Roman"/>
              </w:rPr>
              <w:t>基于可回收利用率计算结果的产品改进方案</w:t>
            </w:r>
          </w:p>
        </w:tc>
      </w:tr>
      <w:tr w14:paraId="2BA183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41F76624">
            <w:pPr>
              <w:pStyle w:val="179"/>
              <w:rPr>
                <w:rFonts w:ascii="Times New Roman"/>
              </w:rPr>
            </w:pPr>
          </w:p>
        </w:tc>
        <w:tc>
          <w:tcPr>
            <w:tcW w:w="425" w:type="dxa"/>
            <w:vMerge w:val="continue"/>
            <w:shd w:val="clear" w:color="auto" w:fill="auto"/>
            <w:vAlign w:val="center"/>
          </w:tcPr>
          <w:p w14:paraId="4B16504A">
            <w:pPr>
              <w:pStyle w:val="179"/>
              <w:rPr>
                <w:rFonts w:ascii="Times New Roman"/>
              </w:rPr>
            </w:pPr>
          </w:p>
        </w:tc>
        <w:tc>
          <w:tcPr>
            <w:tcW w:w="4111" w:type="dxa"/>
            <w:shd w:val="clear" w:color="auto" w:fill="auto"/>
            <w:vAlign w:val="center"/>
          </w:tcPr>
          <w:p w14:paraId="3212FF39">
            <w:pPr>
              <w:pStyle w:val="179"/>
              <w:ind w:firstLine="360" w:firstLineChars="200"/>
              <w:jc w:val="both"/>
              <w:rPr>
                <w:rFonts w:ascii="Times New Roman"/>
              </w:rPr>
            </w:pPr>
            <w:r>
              <w:rPr>
                <w:rFonts w:ascii="Times New Roman"/>
              </w:rPr>
              <w:t>产品可再生利用率不小于50%</w:t>
            </w:r>
          </w:p>
        </w:tc>
        <w:tc>
          <w:tcPr>
            <w:tcW w:w="850" w:type="dxa"/>
            <w:shd w:val="clear" w:color="auto" w:fill="auto"/>
            <w:vAlign w:val="center"/>
          </w:tcPr>
          <w:p w14:paraId="1DD60D78">
            <w:pPr>
              <w:pStyle w:val="179"/>
              <w:ind w:firstLine="360" w:firstLineChars="200"/>
              <w:jc w:val="both"/>
              <w:rPr>
                <w:rFonts w:ascii="Times New Roman"/>
              </w:rPr>
            </w:pPr>
          </w:p>
        </w:tc>
        <w:tc>
          <w:tcPr>
            <w:tcW w:w="3532" w:type="dxa"/>
            <w:shd w:val="clear" w:color="auto" w:fill="auto"/>
            <w:vAlign w:val="center"/>
          </w:tcPr>
          <w:p w14:paraId="37CF6D51">
            <w:pPr>
              <w:pStyle w:val="179"/>
              <w:ind w:firstLine="360" w:firstLineChars="200"/>
              <w:jc w:val="both"/>
              <w:rPr>
                <w:rFonts w:ascii="Times New Roman"/>
              </w:rPr>
            </w:pPr>
            <w:r>
              <w:rPr>
                <w:rFonts w:ascii="Times New Roman"/>
              </w:rPr>
              <w:t>可再生利用率的计算</w:t>
            </w:r>
          </w:p>
        </w:tc>
      </w:tr>
      <w:tr w14:paraId="553997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6E31815A">
            <w:pPr>
              <w:pStyle w:val="179"/>
              <w:rPr>
                <w:rFonts w:ascii="Times New Roman"/>
              </w:rPr>
            </w:pPr>
          </w:p>
        </w:tc>
        <w:tc>
          <w:tcPr>
            <w:tcW w:w="425" w:type="dxa"/>
            <w:vMerge w:val="continue"/>
            <w:shd w:val="clear" w:color="auto" w:fill="auto"/>
            <w:vAlign w:val="center"/>
          </w:tcPr>
          <w:p w14:paraId="7C3C4224">
            <w:pPr>
              <w:pStyle w:val="179"/>
              <w:rPr>
                <w:rFonts w:ascii="Times New Roman"/>
              </w:rPr>
            </w:pPr>
          </w:p>
        </w:tc>
        <w:tc>
          <w:tcPr>
            <w:tcW w:w="4111" w:type="dxa"/>
            <w:shd w:val="clear" w:color="auto" w:fill="auto"/>
            <w:vAlign w:val="center"/>
          </w:tcPr>
          <w:p w14:paraId="2EC26760">
            <w:pPr>
              <w:pStyle w:val="179"/>
              <w:ind w:firstLine="360" w:firstLineChars="200"/>
              <w:jc w:val="both"/>
              <w:rPr>
                <w:rFonts w:ascii="Times New Roman"/>
              </w:rPr>
            </w:pPr>
            <w:r>
              <w:rPr>
                <w:rFonts w:ascii="Times New Roman"/>
              </w:rPr>
              <w:t>企业建立回收渠道，选择合适的回收处理方式，将产品进行再利用或材料回收</w:t>
            </w:r>
          </w:p>
        </w:tc>
        <w:tc>
          <w:tcPr>
            <w:tcW w:w="850" w:type="dxa"/>
            <w:shd w:val="clear" w:color="auto" w:fill="auto"/>
            <w:vAlign w:val="center"/>
          </w:tcPr>
          <w:p w14:paraId="730490EF">
            <w:pPr>
              <w:pStyle w:val="179"/>
              <w:ind w:firstLine="360" w:firstLineChars="200"/>
              <w:jc w:val="both"/>
              <w:rPr>
                <w:rFonts w:ascii="Times New Roman"/>
              </w:rPr>
            </w:pPr>
          </w:p>
        </w:tc>
        <w:tc>
          <w:tcPr>
            <w:tcW w:w="3532" w:type="dxa"/>
            <w:shd w:val="clear" w:color="auto" w:fill="auto"/>
            <w:vAlign w:val="center"/>
          </w:tcPr>
          <w:p w14:paraId="11391078">
            <w:pPr>
              <w:pStyle w:val="179"/>
              <w:ind w:firstLine="360" w:firstLineChars="200"/>
              <w:jc w:val="both"/>
              <w:rPr>
                <w:rFonts w:ascii="Times New Roman"/>
              </w:rPr>
            </w:pPr>
            <w:r>
              <w:rPr>
                <w:rFonts w:ascii="Times New Roman"/>
              </w:rPr>
              <w:t>回收处理的管理文件及相关证明材料</w:t>
            </w:r>
          </w:p>
        </w:tc>
      </w:tr>
      <w:tr w14:paraId="59326A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vAlign w:val="center"/>
          </w:tcPr>
          <w:p w14:paraId="1D86FC47">
            <w:pPr>
              <w:pStyle w:val="179"/>
              <w:rPr>
                <w:rFonts w:ascii="Times New Roman"/>
              </w:rPr>
            </w:pPr>
            <w:r>
              <w:rPr>
                <w:rFonts w:ascii="Times New Roman"/>
              </w:rPr>
              <w:t>其他</w:t>
            </w:r>
          </w:p>
        </w:tc>
        <w:tc>
          <w:tcPr>
            <w:tcW w:w="425" w:type="dxa"/>
            <w:vMerge w:val="restart"/>
            <w:shd w:val="clear" w:color="auto" w:fill="auto"/>
            <w:vAlign w:val="center"/>
          </w:tcPr>
          <w:p w14:paraId="5E88EFB5">
            <w:pPr>
              <w:pStyle w:val="179"/>
              <w:rPr>
                <w:rFonts w:ascii="Times New Roman"/>
              </w:rPr>
            </w:pPr>
            <w:r>
              <w:rPr>
                <w:rFonts w:ascii="Times New Roman"/>
              </w:rPr>
              <w:t>必选</w:t>
            </w:r>
          </w:p>
        </w:tc>
        <w:tc>
          <w:tcPr>
            <w:tcW w:w="4111" w:type="dxa"/>
            <w:shd w:val="clear" w:color="auto" w:fill="auto"/>
            <w:vAlign w:val="center"/>
          </w:tcPr>
          <w:p w14:paraId="4660CA45">
            <w:pPr>
              <w:pStyle w:val="179"/>
              <w:ind w:firstLine="360" w:firstLineChars="200"/>
              <w:jc w:val="both"/>
              <w:rPr>
                <w:rFonts w:ascii="Times New Roman"/>
              </w:rPr>
            </w:pPr>
            <w:r>
              <w:rPr>
                <w:rFonts w:ascii="Times New Roman"/>
              </w:rPr>
              <w:t>企业应从物料环保、污染预防、清洁生产、节能减排等方面对供应商进行选择和管理，构建绿色供应链</w:t>
            </w:r>
          </w:p>
        </w:tc>
        <w:tc>
          <w:tcPr>
            <w:tcW w:w="850" w:type="dxa"/>
            <w:shd w:val="clear" w:color="auto" w:fill="auto"/>
            <w:vAlign w:val="center"/>
          </w:tcPr>
          <w:p w14:paraId="0A3C98E7">
            <w:pPr>
              <w:pStyle w:val="179"/>
              <w:ind w:firstLine="360" w:firstLineChars="200"/>
              <w:jc w:val="both"/>
              <w:rPr>
                <w:rFonts w:ascii="Times New Roman"/>
              </w:rPr>
            </w:pPr>
          </w:p>
        </w:tc>
        <w:tc>
          <w:tcPr>
            <w:tcW w:w="3532" w:type="dxa"/>
            <w:shd w:val="clear" w:color="auto" w:fill="auto"/>
            <w:vAlign w:val="center"/>
          </w:tcPr>
          <w:p w14:paraId="51C2959B">
            <w:pPr>
              <w:pStyle w:val="179"/>
              <w:ind w:firstLine="360" w:firstLineChars="200"/>
              <w:jc w:val="both"/>
              <w:rPr>
                <w:rFonts w:ascii="Times New Roman"/>
              </w:rPr>
            </w:pPr>
            <w:r>
              <w:rPr>
                <w:rFonts w:ascii="Times New Roman"/>
              </w:rPr>
              <w:t>供应商管理文件、过程文件及记录；</w:t>
            </w:r>
          </w:p>
          <w:p w14:paraId="30F24449">
            <w:pPr>
              <w:pStyle w:val="179"/>
              <w:ind w:firstLine="360" w:firstLineChars="200"/>
              <w:jc w:val="both"/>
              <w:rPr>
                <w:rFonts w:ascii="Times New Roman"/>
              </w:rPr>
            </w:pPr>
            <w:r>
              <w:rPr>
                <w:rFonts w:ascii="Times New Roman"/>
              </w:rPr>
              <w:t>供应商名录</w:t>
            </w:r>
          </w:p>
        </w:tc>
      </w:tr>
      <w:tr w14:paraId="062C56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7E26E39F">
            <w:pPr>
              <w:pStyle w:val="179"/>
              <w:rPr>
                <w:rFonts w:ascii="Times New Roman"/>
              </w:rPr>
            </w:pPr>
          </w:p>
        </w:tc>
        <w:tc>
          <w:tcPr>
            <w:tcW w:w="425" w:type="dxa"/>
            <w:vMerge w:val="continue"/>
            <w:shd w:val="clear" w:color="auto" w:fill="auto"/>
            <w:vAlign w:val="center"/>
          </w:tcPr>
          <w:p w14:paraId="34F73E4D">
            <w:pPr>
              <w:pStyle w:val="179"/>
              <w:rPr>
                <w:rFonts w:ascii="Times New Roman"/>
              </w:rPr>
            </w:pPr>
          </w:p>
        </w:tc>
        <w:tc>
          <w:tcPr>
            <w:tcW w:w="4111" w:type="dxa"/>
            <w:shd w:val="clear" w:color="auto" w:fill="auto"/>
            <w:vAlign w:val="center"/>
          </w:tcPr>
          <w:p w14:paraId="0C1DED69">
            <w:pPr>
              <w:pStyle w:val="179"/>
              <w:ind w:firstLine="360" w:firstLineChars="200"/>
              <w:jc w:val="both"/>
              <w:rPr>
                <w:rFonts w:ascii="Times New Roman"/>
              </w:rPr>
            </w:pPr>
            <w:r>
              <w:rPr>
                <w:rFonts w:ascii="Times New Roman"/>
              </w:rPr>
              <w:t>企业定期为员工提供可持续发展相关教育和培训</w:t>
            </w:r>
          </w:p>
        </w:tc>
        <w:tc>
          <w:tcPr>
            <w:tcW w:w="850" w:type="dxa"/>
            <w:shd w:val="clear" w:color="auto" w:fill="auto"/>
            <w:vAlign w:val="center"/>
          </w:tcPr>
          <w:p w14:paraId="73299C06">
            <w:pPr>
              <w:pStyle w:val="179"/>
              <w:ind w:firstLine="360" w:firstLineChars="200"/>
              <w:jc w:val="both"/>
              <w:rPr>
                <w:rFonts w:ascii="Times New Roman"/>
              </w:rPr>
            </w:pPr>
          </w:p>
        </w:tc>
        <w:tc>
          <w:tcPr>
            <w:tcW w:w="3532" w:type="dxa"/>
            <w:shd w:val="clear" w:color="auto" w:fill="auto"/>
            <w:vAlign w:val="center"/>
          </w:tcPr>
          <w:p w14:paraId="1E538BF1">
            <w:pPr>
              <w:pStyle w:val="179"/>
              <w:ind w:firstLine="360" w:firstLineChars="200"/>
              <w:jc w:val="both"/>
              <w:rPr>
                <w:rFonts w:ascii="Times New Roman"/>
              </w:rPr>
            </w:pPr>
            <w:r>
              <w:rPr>
                <w:rFonts w:ascii="Times New Roman"/>
              </w:rPr>
              <w:t>相关教育和培训资料</w:t>
            </w:r>
          </w:p>
        </w:tc>
      </w:tr>
      <w:tr w14:paraId="4B1A26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6DFE2317">
            <w:pPr>
              <w:pStyle w:val="179"/>
              <w:rPr>
                <w:rFonts w:ascii="Times New Roman"/>
              </w:rPr>
            </w:pPr>
          </w:p>
        </w:tc>
        <w:tc>
          <w:tcPr>
            <w:tcW w:w="425" w:type="dxa"/>
            <w:vMerge w:val="restart"/>
            <w:shd w:val="clear" w:color="auto" w:fill="auto"/>
            <w:vAlign w:val="center"/>
          </w:tcPr>
          <w:p w14:paraId="49951FF7">
            <w:pPr>
              <w:pStyle w:val="179"/>
              <w:rPr>
                <w:rFonts w:ascii="Times New Roman"/>
              </w:rPr>
            </w:pPr>
            <w:r>
              <w:rPr>
                <w:rFonts w:ascii="Times New Roman"/>
              </w:rPr>
              <w:t>可选</w:t>
            </w:r>
          </w:p>
        </w:tc>
        <w:tc>
          <w:tcPr>
            <w:tcW w:w="4111" w:type="dxa"/>
            <w:shd w:val="clear" w:color="auto" w:fill="auto"/>
            <w:vAlign w:val="center"/>
          </w:tcPr>
          <w:p w14:paraId="78F8353F">
            <w:pPr>
              <w:pStyle w:val="179"/>
              <w:ind w:firstLine="360" w:firstLineChars="200"/>
              <w:jc w:val="both"/>
              <w:rPr>
                <w:rFonts w:ascii="Times New Roman"/>
              </w:rPr>
            </w:pPr>
            <w:r>
              <w:rPr>
                <w:rFonts w:ascii="Times New Roman"/>
              </w:rPr>
              <w:t>企业及原材料生产供应商建立并运行质量管理体系、环境管理体系和职业健康安全管理体系，分别应满足GB/T 19001、GB/T 24001和GB/T 45001的要求</w:t>
            </w:r>
          </w:p>
        </w:tc>
        <w:tc>
          <w:tcPr>
            <w:tcW w:w="850" w:type="dxa"/>
            <w:shd w:val="clear" w:color="auto" w:fill="auto"/>
            <w:vAlign w:val="center"/>
          </w:tcPr>
          <w:p w14:paraId="651FAF04">
            <w:pPr>
              <w:pStyle w:val="179"/>
              <w:ind w:firstLine="360" w:firstLineChars="200"/>
              <w:jc w:val="both"/>
              <w:rPr>
                <w:rFonts w:ascii="Times New Roman"/>
              </w:rPr>
            </w:pPr>
          </w:p>
        </w:tc>
        <w:tc>
          <w:tcPr>
            <w:tcW w:w="3532" w:type="dxa"/>
            <w:shd w:val="clear" w:color="auto" w:fill="auto"/>
            <w:vAlign w:val="center"/>
          </w:tcPr>
          <w:p w14:paraId="0B8A137C">
            <w:pPr>
              <w:pStyle w:val="179"/>
              <w:ind w:firstLine="360" w:firstLineChars="200"/>
              <w:jc w:val="both"/>
              <w:rPr>
                <w:rFonts w:ascii="Times New Roman"/>
              </w:rPr>
            </w:pPr>
            <w:r>
              <w:rPr>
                <w:rFonts w:ascii="Times New Roman"/>
              </w:rPr>
              <w:t>管理体系相关文件</w:t>
            </w:r>
          </w:p>
        </w:tc>
      </w:tr>
      <w:tr w14:paraId="277AB9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4536A984">
            <w:pPr>
              <w:pStyle w:val="179"/>
              <w:rPr>
                <w:rFonts w:ascii="Times New Roman"/>
              </w:rPr>
            </w:pPr>
          </w:p>
        </w:tc>
        <w:tc>
          <w:tcPr>
            <w:tcW w:w="425" w:type="dxa"/>
            <w:vMerge w:val="continue"/>
            <w:shd w:val="clear" w:color="auto" w:fill="auto"/>
            <w:vAlign w:val="center"/>
          </w:tcPr>
          <w:p w14:paraId="5D1216C0">
            <w:pPr>
              <w:pStyle w:val="179"/>
              <w:rPr>
                <w:rFonts w:ascii="Times New Roman"/>
              </w:rPr>
            </w:pPr>
          </w:p>
        </w:tc>
        <w:tc>
          <w:tcPr>
            <w:tcW w:w="4111" w:type="dxa"/>
            <w:shd w:val="clear" w:color="auto" w:fill="auto"/>
            <w:vAlign w:val="center"/>
          </w:tcPr>
          <w:p w14:paraId="19FFAFE0">
            <w:pPr>
              <w:pStyle w:val="179"/>
              <w:ind w:firstLine="360" w:firstLineChars="200"/>
              <w:jc w:val="both"/>
              <w:rPr>
                <w:rFonts w:ascii="Times New Roman"/>
              </w:rPr>
            </w:pPr>
            <w:r>
              <w:rPr>
                <w:rFonts w:ascii="Times New Roman"/>
              </w:rPr>
              <w:t>按照相关国家标准、行业标准或政府采信的团体标准，对研磨丝杆产品开展绿色产品评价</w:t>
            </w:r>
          </w:p>
        </w:tc>
        <w:tc>
          <w:tcPr>
            <w:tcW w:w="850" w:type="dxa"/>
            <w:shd w:val="clear" w:color="auto" w:fill="auto"/>
            <w:vAlign w:val="center"/>
          </w:tcPr>
          <w:p w14:paraId="010ADBFA">
            <w:pPr>
              <w:pStyle w:val="179"/>
              <w:ind w:firstLine="360" w:firstLineChars="200"/>
              <w:jc w:val="both"/>
              <w:rPr>
                <w:rFonts w:ascii="Times New Roman"/>
              </w:rPr>
            </w:pPr>
          </w:p>
        </w:tc>
        <w:tc>
          <w:tcPr>
            <w:tcW w:w="3532" w:type="dxa"/>
            <w:shd w:val="clear" w:color="auto" w:fill="auto"/>
            <w:vAlign w:val="center"/>
          </w:tcPr>
          <w:p w14:paraId="18A5B0C2">
            <w:pPr>
              <w:pStyle w:val="179"/>
              <w:ind w:firstLine="360" w:firstLineChars="200"/>
              <w:jc w:val="both"/>
              <w:rPr>
                <w:rFonts w:ascii="Times New Roman"/>
              </w:rPr>
            </w:pPr>
            <w:r>
              <w:rPr>
                <w:rFonts w:ascii="Times New Roman"/>
              </w:rPr>
              <w:t>绿色产品证书</w:t>
            </w:r>
          </w:p>
        </w:tc>
      </w:tr>
      <w:tr w14:paraId="559B4F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 w:hRule="atLeast"/>
          <w:jc w:val="center"/>
        </w:trPr>
        <w:tc>
          <w:tcPr>
            <w:tcW w:w="416" w:type="dxa"/>
            <w:vMerge w:val="continue"/>
            <w:shd w:val="clear" w:color="auto" w:fill="auto"/>
            <w:vAlign w:val="center"/>
          </w:tcPr>
          <w:p w14:paraId="2A190983">
            <w:pPr>
              <w:pStyle w:val="179"/>
              <w:rPr>
                <w:rFonts w:ascii="Times New Roman"/>
              </w:rPr>
            </w:pPr>
          </w:p>
        </w:tc>
        <w:tc>
          <w:tcPr>
            <w:tcW w:w="425" w:type="dxa"/>
            <w:vMerge w:val="continue"/>
            <w:shd w:val="clear" w:color="auto" w:fill="auto"/>
            <w:vAlign w:val="center"/>
          </w:tcPr>
          <w:p w14:paraId="1D8EBF1F">
            <w:pPr>
              <w:pStyle w:val="179"/>
              <w:rPr>
                <w:rFonts w:ascii="Times New Roman"/>
              </w:rPr>
            </w:pPr>
          </w:p>
        </w:tc>
        <w:tc>
          <w:tcPr>
            <w:tcW w:w="4111" w:type="dxa"/>
            <w:shd w:val="clear" w:color="auto" w:fill="auto"/>
            <w:vAlign w:val="center"/>
          </w:tcPr>
          <w:p w14:paraId="0846BFE6">
            <w:pPr>
              <w:pStyle w:val="179"/>
              <w:ind w:firstLine="360" w:firstLineChars="200"/>
              <w:jc w:val="both"/>
              <w:rPr>
                <w:rFonts w:ascii="Times New Roman"/>
              </w:rPr>
            </w:pPr>
            <w:r>
              <w:rPr>
                <w:rFonts w:ascii="Times New Roman"/>
              </w:rPr>
              <w:t>按照相关国际标准、国家标准、行业标准或政府采信的团体标准，对产品的碳足迹进行核算或核查，利用核算或核查结果对产品的碳足迹进行改善</w:t>
            </w:r>
          </w:p>
        </w:tc>
        <w:tc>
          <w:tcPr>
            <w:tcW w:w="850" w:type="dxa"/>
            <w:shd w:val="clear" w:color="auto" w:fill="auto"/>
            <w:vAlign w:val="center"/>
          </w:tcPr>
          <w:p w14:paraId="1D3C9C28">
            <w:pPr>
              <w:pStyle w:val="179"/>
              <w:ind w:firstLine="360" w:firstLineChars="200"/>
              <w:jc w:val="both"/>
              <w:rPr>
                <w:rFonts w:ascii="Times New Roman"/>
              </w:rPr>
            </w:pPr>
          </w:p>
        </w:tc>
        <w:tc>
          <w:tcPr>
            <w:tcW w:w="3532" w:type="dxa"/>
            <w:shd w:val="clear" w:color="auto" w:fill="auto"/>
            <w:vAlign w:val="center"/>
          </w:tcPr>
          <w:p w14:paraId="393F7233">
            <w:pPr>
              <w:pStyle w:val="179"/>
              <w:ind w:firstLine="360" w:firstLineChars="200"/>
              <w:jc w:val="both"/>
              <w:rPr>
                <w:rFonts w:ascii="Times New Roman"/>
              </w:rPr>
            </w:pPr>
            <w:r>
              <w:rPr>
                <w:rFonts w:ascii="Times New Roman"/>
              </w:rPr>
              <w:t>碳足迹核算或核查报告；</w:t>
            </w:r>
          </w:p>
          <w:p w14:paraId="520CF18B">
            <w:pPr>
              <w:pStyle w:val="179"/>
              <w:ind w:firstLine="360" w:firstLineChars="200"/>
              <w:jc w:val="both"/>
              <w:rPr>
                <w:rFonts w:ascii="Times New Roman"/>
              </w:rPr>
            </w:pPr>
            <w:r>
              <w:rPr>
                <w:rFonts w:ascii="Times New Roman"/>
              </w:rPr>
              <w:t>碳足迹改善情况说明</w:t>
            </w:r>
          </w:p>
        </w:tc>
      </w:tr>
      <w:tr w14:paraId="3B2A1E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4256A059">
            <w:pPr>
              <w:pStyle w:val="179"/>
              <w:rPr>
                <w:rFonts w:ascii="Times New Roman"/>
              </w:rPr>
            </w:pPr>
          </w:p>
        </w:tc>
        <w:tc>
          <w:tcPr>
            <w:tcW w:w="425" w:type="dxa"/>
            <w:vMerge w:val="continue"/>
            <w:shd w:val="clear" w:color="auto" w:fill="auto"/>
            <w:vAlign w:val="center"/>
          </w:tcPr>
          <w:p w14:paraId="10526155">
            <w:pPr>
              <w:pStyle w:val="179"/>
              <w:rPr>
                <w:rFonts w:ascii="Times New Roman"/>
              </w:rPr>
            </w:pPr>
          </w:p>
        </w:tc>
        <w:tc>
          <w:tcPr>
            <w:tcW w:w="4111" w:type="dxa"/>
            <w:shd w:val="clear" w:color="auto" w:fill="auto"/>
            <w:vAlign w:val="center"/>
          </w:tcPr>
          <w:p w14:paraId="436CBC0A">
            <w:pPr>
              <w:pStyle w:val="179"/>
              <w:ind w:firstLine="360" w:firstLineChars="200"/>
              <w:jc w:val="both"/>
              <w:rPr>
                <w:rFonts w:ascii="Times New Roman"/>
              </w:rPr>
            </w:pPr>
            <w:r>
              <w:rPr>
                <w:rFonts w:ascii="Times New Roman"/>
              </w:rPr>
              <w:t>企业提供环境、社会和治理（ESG）方面的报告</w:t>
            </w:r>
          </w:p>
        </w:tc>
        <w:tc>
          <w:tcPr>
            <w:tcW w:w="850" w:type="dxa"/>
            <w:shd w:val="clear" w:color="auto" w:fill="auto"/>
            <w:vAlign w:val="center"/>
          </w:tcPr>
          <w:p w14:paraId="3D76B462">
            <w:pPr>
              <w:pStyle w:val="179"/>
              <w:ind w:firstLine="360" w:firstLineChars="200"/>
              <w:jc w:val="both"/>
              <w:rPr>
                <w:rFonts w:ascii="Times New Roman"/>
              </w:rPr>
            </w:pPr>
          </w:p>
        </w:tc>
        <w:tc>
          <w:tcPr>
            <w:tcW w:w="3532" w:type="dxa"/>
            <w:shd w:val="clear" w:color="auto" w:fill="auto"/>
            <w:vAlign w:val="center"/>
          </w:tcPr>
          <w:p w14:paraId="0DF2EAE5">
            <w:pPr>
              <w:pStyle w:val="179"/>
              <w:ind w:firstLine="360" w:firstLineChars="200"/>
              <w:jc w:val="both"/>
              <w:rPr>
                <w:rFonts w:ascii="Times New Roman"/>
              </w:rPr>
            </w:pPr>
            <w:r>
              <w:rPr>
                <w:rFonts w:ascii="Times New Roman"/>
              </w:rPr>
              <w:t>ESG报告</w:t>
            </w:r>
          </w:p>
        </w:tc>
      </w:tr>
    </w:tbl>
    <w:p w14:paraId="59D25750">
      <w:pPr>
        <w:pStyle w:val="57"/>
        <w:ind w:firstLine="0" w:firstLineChars="0"/>
        <w:jc w:val="center"/>
        <w:rPr>
          <w:rFonts w:ascii="Times New Roman"/>
        </w:rPr>
      </w:pPr>
      <w:r>
        <w:rPr>
          <w:rFonts w:ascii="Times New Roman"/>
        </w:rPr>
        <w:drawing>
          <wp:inline distT="0" distB="0" distL="0" distR="0">
            <wp:extent cx="1485900" cy="317500"/>
            <wp:effectExtent l="0" t="0" r="0" b="6350"/>
            <wp:docPr id="406582871" name="图片 1"/>
            <wp:cNvGraphicFramePr/>
            <a:graphic xmlns:a="http://schemas.openxmlformats.org/drawingml/2006/main">
              <a:graphicData uri="http://schemas.openxmlformats.org/drawingml/2006/picture">
                <pic:pic xmlns:pic="http://schemas.openxmlformats.org/drawingml/2006/picture">
                  <pic:nvPicPr>
                    <pic:cNvPr id="406582871"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6"/>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3F69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DF98A">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535D0">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9E4F2">
    <w:pPr>
      <w:pStyle w:val="53"/>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3C560">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BE5D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3A4FF">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201A8">
    <w:pPr>
      <w:pStyle w:val="62"/>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037C6">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Tbc7v0vW5mP1tcqWLcJM2liW061N2SwVTdV3muwZ9eUyiMRvsWDlRHLdRbc+ApykbUDGv2CMFpWJwz8ZRmQJaw==" w:salt="yP0OPswrbHEv4T0kSrokn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4BC"/>
    <w:rsid w:val="0000040A"/>
    <w:rsid w:val="00000A94"/>
    <w:rsid w:val="00001972"/>
    <w:rsid w:val="00001D9A"/>
    <w:rsid w:val="00007B3A"/>
    <w:rsid w:val="000107E0"/>
    <w:rsid w:val="00011FDE"/>
    <w:rsid w:val="00012FFD"/>
    <w:rsid w:val="00014162"/>
    <w:rsid w:val="00014340"/>
    <w:rsid w:val="00016A9C"/>
    <w:rsid w:val="00017C47"/>
    <w:rsid w:val="00022184"/>
    <w:rsid w:val="00022762"/>
    <w:rsid w:val="000238E0"/>
    <w:rsid w:val="000249DB"/>
    <w:rsid w:val="0002595E"/>
    <w:rsid w:val="000303C3"/>
    <w:rsid w:val="00030AC0"/>
    <w:rsid w:val="000331D3"/>
    <w:rsid w:val="000346A5"/>
    <w:rsid w:val="000359C3"/>
    <w:rsid w:val="00035A7D"/>
    <w:rsid w:val="000365ED"/>
    <w:rsid w:val="00040BA0"/>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1F4"/>
    <w:rsid w:val="000619E9"/>
    <w:rsid w:val="000622D4"/>
    <w:rsid w:val="0006357D"/>
    <w:rsid w:val="00067F1E"/>
    <w:rsid w:val="00070878"/>
    <w:rsid w:val="00071CC0"/>
    <w:rsid w:val="00071CFC"/>
    <w:rsid w:val="00073C8C"/>
    <w:rsid w:val="00075CAF"/>
    <w:rsid w:val="00077B64"/>
    <w:rsid w:val="00080A1C"/>
    <w:rsid w:val="00082317"/>
    <w:rsid w:val="00082436"/>
    <w:rsid w:val="000839A2"/>
    <w:rsid w:val="00083D2C"/>
    <w:rsid w:val="00086AA1"/>
    <w:rsid w:val="00087A77"/>
    <w:rsid w:val="00090CA6"/>
    <w:rsid w:val="00090D29"/>
    <w:rsid w:val="00092B8A"/>
    <w:rsid w:val="00092FB0"/>
    <w:rsid w:val="000934C5"/>
    <w:rsid w:val="00093D25"/>
    <w:rsid w:val="00093DAB"/>
    <w:rsid w:val="00094D73"/>
    <w:rsid w:val="00096D63"/>
    <w:rsid w:val="000A0504"/>
    <w:rsid w:val="000A0B60"/>
    <w:rsid w:val="000A0EB8"/>
    <w:rsid w:val="000A19FC"/>
    <w:rsid w:val="000A296B"/>
    <w:rsid w:val="000A3968"/>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1FCC"/>
    <w:rsid w:val="00104926"/>
    <w:rsid w:val="00113B1E"/>
    <w:rsid w:val="001150F1"/>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4D"/>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3A0"/>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04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17943"/>
    <w:rsid w:val="002204BB"/>
    <w:rsid w:val="0022184A"/>
    <w:rsid w:val="00221B79"/>
    <w:rsid w:val="00221C6B"/>
    <w:rsid w:val="002253A1"/>
    <w:rsid w:val="00225CF8"/>
    <w:rsid w:val="0022794E"/>
    <w:rsid w:val="00233D64"/>
    <w:rsid w:val="0023482A"/>
    <w:rsid w:val="002359CB"/>
    <w:rsid w:val="00236C7D"/>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353B"/>
    <w:rsid w:val="00277E55"/>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1983"/>
    <w:rsid w:val="002A25DC"/>
    <w:rsid w:val="002A3AAB"/>
    <w:rsid w:val="002A44E0"/>
    <w:rsid w:val="002A4CEA"/>
    <w:rsid w:val="002A5977"/>
    <w:rsid w:val="002A5A13"/>
    <w:rsid w:val="002A757F"/>
    <w:rsid w:val="002A7F44"/>
    <w:rsid w:val="002B0C40"/>
    <w:rsid w:val="002B1966"/>
    <w:rsid w:val="002B4508"/>
    <w:rsid w:val="002B5779"/>
    <w:rsid w:val="002B7332"/>
    <w:rsid w:val="002B7F51"/>
    <w:rsid w:val="002C09E7"/>
    <w:rsid w:val="002C1E06"/>
    <w:rsid w:val="002C32A0"/>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01DB"/>
    <w:rsid w:val="00313B85"/>
    <w:rsid w:val="00317988"/>
    <w:rsid w:val="003221B4"/>
    <w:rsid w:val="00322572"/>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09F2"/>
    <w:rsid w:val="003B1F18"/>
    <w:rsid w:val="003B5BF0"/>
    <w:rsid w:val="003B60BF"/>
    <w:rsid w:val="003B6BE3"/>
    <w:rsid w:val="003C010C"/>
    <w:rsid w:val="003C032B"/>
    <w:rsid w:val="003C0A6C"/>
    <w:rsid w:val="003C14F8"/>
    <w:rsid w:val="003C4D2A"/>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63E"/>
    <w:rsid w:val="003F3F08"/>
    <w:rsid w:val="003F49F1"/>
    <w:rsid w:val="003F6272"/>
    <w:rsid w:val="003F7241"/>
    <w:rsid w:val="00400E72"/>
    <w:rsid w:val="00401400"/>
    <w:rsid w:val="00404869"/>
    <w:rsid w:val="00405884"/>
    <w:rsid w:val="00405EBC"/>
    <w:rsid w:val="00406E39"/>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670E"/>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3F3"/>
    <w:rsid w:val="00504A3D"/>
    <w:rsid w:val="00505767"/>
    <w:rsid w:val="005073F0"/>
    <w:rsid w:val="00510A7B"/>
    <w:rsid w:val="00512F6E"/>
    <w:rsid w:val="00513038"/>
    <w:rsid w:val="00514174"/>
    <w:rsid w:val="00516088"/>
    <w:rsid w:val="00516B0B"/>
    <w:rsid w:val="005220EC"/>
    <w:rsid w:val="00523F95"/>
    <w:rsid w:val="00524D65"/>
    <w:rsid w:val="00525B16"/>
    <w:rsid w:val="005318CD"/>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1988"/>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555"/>
    <w:rsid w:val="005B6CF6"/>
    <w:rsid w:val="005B7422"/>
    <w:rsid w:val="005B786D"/>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58CA"/>
    <w:rsid w:val="005F734A"/>
    <w:rsid w:val="006004BC"/>
    <w:rsid w:val="006015CE"/>
    <w:rsid w:val="006018F5"/>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389E"/>
    <w:rsid w:val="006770F4"/>
    <w:rsid w:val="00677A84"/>
    <w:rsid w:val="0068026D"/>
    <w:rsid w:val="00680A27"/>
    <w:rsid w:val="006816A4"/>
    <w:rsid w:val="006819B8"/>
    <w:rsid w:val="006840A6"/>
    <w:rsid w:val="006850CD"/>
    <w:rsid w:val="00685AAB"/>
    <w:rsid w:val="00695FA4"/>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37C2"/>
    <w:rsid w:val="006F6284"/>
    <w:rsid w:val="007002C5"/>
    <w:rsid w:val="00704387"/>
    <w:rsid w:val="00707186"/>
    <w:rsid w:val="00707669"/>
    <w:rsid w:val="00711CBA"/>
    <w:rsid w:val="00711FB5"/>
    <w:rsid w:val="00712A01"/>
    <w:rsid w:val="00714F58"/>
    <w:rsid w:val="00722267"/>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3676"/>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443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2B36"/>
    <w:rsid w:val="008568AB"/>
    <w:rsid w:val="008603CE"/>
    <w:rsid w:val="008620FC"/>
    <w:rsid w:val="008627A5"/>
    <w:rsid w:val="00863E05"/>
    <w:rsid w:val="00865ACA"/>
    <w:rsid w:val="00865D28"/>
    <w:rsid w:val="00865F85"/>
    <w:rsid w:val="00867B10"/>
    <w:rsid w:val="00867C10"/>
    <w:rsid w:val="00870439"/>
    <w:rsid w:val="00870DA1"/>
    <w:rsid w:val="008839B9"/>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115"/>
    <w:rsid w:val="008D2D1D"/>
    <w:rsid w:val="008D453D"/>
    <w:rsid w:val="008D53AD"/>
    <w:rsid w:val="008D562B"/>
    <w:rsid w:val="008D5733"/>
    <w:rsid w:val="008D622B"/>
    <w:rsid w:val="008D666C"/>
    <w:rsid w:val="008D7B54"/>
    <w:rsid w:val="008E0C9D"/>
    <w:rsid w:val="008E1648"/>
    <w:rsid w:val="008E1B3E"/>
    <w:rsid w:val="008E2319"/>
    <w:rsid w:val="008E35E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3C40"/>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2B50"/>
    <w:rsid w:val="0098364B"/>
    <w:rsid w:val="009908A3"/>
    <w:rsid w:val="009911AF"/>
    <w:rsid w:val="00991875"/>
    <w:rsid w:val="00991F92"/>
    <w:rsid w:val="00992985"/>
    <w:rsid w:val="00993889"/>
    <w:rsid w:val="0099551B"/>
    <w:rsid w:val="00996BD2"/>
    <w:rsid w:val="00997BF1"/>
    <w:rsid w:val="009A089C"/>
    <w:rsid w:val="009A092D"/>
    <w:rsid w:val="009A118E"/>
    <w:rsid w:val="009A21CD"/>
    <w:rsid w:val="009A278C"/>
    <w:rsid w:val="009A2BC2"/>
    <w:rsid w:val="009A42C1"/>
    <w:rsid w:val="009A5429"/>
    <w:rsid w:val="009A72AD"/>
    <w:rsid w:val="009B09E0"/>
    <w:rsid w:val="009B0BC5"/>
    <w:rsid w:val="009B1247"/>
    <w:rsid w:val="009B6029"/>
    <w:rsid w:val="009B6971"/>
    <w:rsid w:val="009C135C"/>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0AC4"/>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2354"/>
    <w:rsid w:val="00AB3272"/>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0B96"/>
    <w:rsid w:val="00AE101C"/>
    <w:rsid w:val="00AE2A69"/>
    <w:rsid w:val="00AE37E5"/>
    <w:rsid w:val="00AE5EB4"/>
    <w:rsid w:val="00AF0C18"/>
    <w:rsid w:val="00AF47C5"/>
    <w:rsid w:val="00AF5398"/>
    <w:rsid w:val="00AF7351"/>
    <w:rsid w:val="00B049AF"/>
    <w:rsid w:val="00B07242"/>
    <w:rsid w:val="00B10534"/>
    <w:rsid w:val="00B113DB"/>
    <w:rsid w:val="00B11D8A"/>
    <w:rsid w:val="00B12981"/>
    <w:rsid w:val="00B147DD"/>
    <w:rsid w:val="00B156FD"/>
    <w:rsid w:val="00B21F61"/>
    <w:rsid w:val="00B2368D"/>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0E9B"/>
    <w:rsid w:val="00B72880"/>
    <w:rsid w:val="00B758BF"/>
    <w:rsid w:val="00B77D2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54"/>
    <w:rsid w:val="00BE7B8D"/>
    <w:rsid w:val="00BF0993"/>
    <w:rsid w:val="00BF10A9"/>
    <w:rsid w:val="00BF1703"/>
    <w:rsid w:val="00BF231C"/>
    <w:rsid w:val="00BF51E5"/>
    <w:rsid w:val="00BF74A6"/>
    <w:rsid w:val="00C013AD"/>
    <w:rsid w:val="00C037AB"/>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68B"/>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37015"/>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355"/>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D6C17"/>
    <w:rsid w:val="00DE0A4B"/>
    <w:rsid w:val="00DE2410"/>
    <w:rsid w:val="00DE2939"/>
    <w:rsid w:val="00DE6E81"/>
    <w:rsid w:val="00DE703F"/>
    <w:rsid w:val="00DE7595"/>
    <w:rsid w:val="00DF1961"/>
    <w:rsid w:val="00DF44DE"/>
    <w:rsid w:val="00DF6190"/>
    <w:rsid w:val="00E01138"/>
    <w:rsid w:val="00E018AB"/>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2D4C"/>
    <w:rsid w:val="00EC5359"/>
    <w:rsid w:val="00EC562A"/>
    <w:rsid w:val="00ED067A"/>
    <w:rsid w:val="00ED2B50"/>
    <w:rsid w:val="00EE0350"/>
    <w:rsid w:val="00EE0719"/>
    <w:rsid w:val="00EE0E80"/>
    <w:rsid w:val="00EE16E0"/>
    <w:rsid w:val="00EE613F"/>
    <w:rsid w:val="00EE7295"/>
    <w:rsid w:val="00EE7869"/>
    <w:rsid w:val="00EF054A"/>
    <w:rsid w:val="00EF3235"/>
    <w:rsid w:val="00EF7E72"/>
    <w:rsid w:val="00F025E8"/>
    <w:rsid w:val="00F06069"/>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1E5D"/>
    <w:rsid w:val="00FA662D"/>
    <w:rsid w:val="00FA73B1"/>
    <w:rsid w:val="00FB0CB9"/>
    <w:rsid w:val="00FB231D"/>
    <w:rsid w:val="00FB45F1"/>
    <w:rsid w:val="00FB4A72"/>
    <w:rsid w:val="00FB4FB3"/>
    <w:rsid w:val="00FB54E8"/>
    <w:rsid w:val="00FB7054"/>
    <w:rsid w:val="00FC17B7"/>
    <w:rsid w:val="00FC2CB7"/>
    <w:rsid w:val="00FC4090"/>
    <w:rsid w:val="00FC4CD2"/>
    <w:rsid w:val="00FC55B4"/>
    <w:rsid w:val="00FD00E6"/>
    <w:rsid w:val="00FD09A1"/>
    <w:rsid w:val="00FD1B16"/>
    <w:rsid w:val="00FD2A7C"/>
    <w:rsid w:val="00FD55ED"/>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E64A48"/>
    <w:rsid w:val="03BC5B32"/>
    <w:rsid w:val="2C5F3E3D"/>
    <w:rsid w:val="2DE50EC3"/>
    <w:rsid w:val="43EF0FE2"/>
    <w:rsid w:val="54BD1793"/>
    <w:rsid w:val="78C50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rPr>
      <w:sz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frame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247599FA82E4DC5BEFA56813CE9E4E9"/>
        <w:style w:val=""/>
        <w:category>
          <w:name w:val="常规"/>
          <w:gallery w:val="placeholder"/>
        </w:category>
        <w:types>
          <w:type w:val="bbPlcHdr"/>
        </w:types>
        <w:behaviors>
          <w:behavior w:val="content"/>
        </w:behaviors>
        <w:description w:val=""/>
        <w:guid w:val="{2B04D37F-CDBE-4976-AFC6-4B282B90577C}"/>
      </w:docPartPr>
      <w:docPartBody>
        <w:p w14:paraId="00F13004">
          <w:pPr>
            <w:pStyle w:val="5"/>
            <w:rPr>
              <w:rFonts w:hint="eastAsia"/>
            </w:rPr>
          </w:pPr>
          <w:r>
            <w:rPr>
              <w:rStyle w:val="4"/>
              <w:rFonts w:hint="eastAsia"/>
            </w:rPr>
            <w:t>单击或点击此处输入文字。</w:t>
          </w:r>
        </w:p>
      </w:docPartBody>
    </w:docPart>
    <w:docPart>
      <w:docPartPr>
        <w:name w:val="FBDF20C48D9544D798F431329C448368"/>
        <w:style w:val=""/>
        <w:category>
          <w:name w:val="常规"/>
          <w:gallery w:val="placeholder"/>
        </w:category>
        <w:types>
          <w:type w:val="bbPlcHdr"/>
        </w:types>
        <w:behaviors>
          <w:behavior w:val="content"/>
        </w:behaviors>
        <w:description w:val=""/>
        <w:guid w:val="{59C6BB98-4188-46AD-93E9-1614AD2D8F0F}"/>
      </w:docPartPr>
      <w:docPartBody>
        <w:p w14:paraId="0F2E939F">
          <w:pPr>
            <w:pStyle w:val="6"/>
            <w:rPr>
              <w:rFonts w:hint="eastAsia"/>
            </w:rPr>
          </w:pPr>
          <w:r>
            <w:rPr>
              <w:rStyle w:val="4"/>
              <w:rFonts w:hint="eastAsia"/>
            </w:rPr>
            <w:t>选择一项。</w:t>
          </w:r>
        </w:p>
      </w:docPartBody>
    </w:docPart>
    <w:docPart>
      <w:docPartPr>
        <w:name w:val="3E33C3C4925C45369A38629FABD259D2"/>
        <w:style w:val=""/>
        <w:category>
          <w:name w:val="常规"/>
          <w:gallery w:val="placeholder"/>
        </w:category>
        <w:types>
          <w:type w:val="bbPlcHdr"/>
        </w:types>
        <w:behaviors>
          <w:behavior w:val="content"/>
        </w:behaviors>
        <w:description w:val=""/>
        <w:guid w:val="{8957E923-7136-4727-9ACC-0E62529F5660}"/>
      </w:docPartPr>
      <w:docPartBody>
        <w:p w14:paraId="793AFF33">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41"/>
    <w:rsid w:val="00040BA0"/>
    <w:rsid w:val="00082436"/>
    <w:rsid w:val="00090D29"/>
    <w:rsid w:val="001335BE"/>
    <w:rsid w:val="001C33AB"/>
    <w:rsid w:val="001C47D3"/>
    <w:rsid w:val="00217114"/>
    <w:rsid w:val="00236C7D"/>
    <w:rsid w:val="003101DB"/>
    <w:rsid w:val="00341C55"/>
    <w:rsid w:val="003C6341"/>
    <w:rsid w:val="003F25BF"/>
    <w:rsid w:val="00416CA4"/>
    <w:rsid w:val="005043F3"/>
    <w:rsid w:val="0051792E"/>
    <w:rsid w:val="00561988"/>
    <w:rsid w:val="00571B38"/>
    <w:rsid w:val="005F58CA"/>
    <w:rsid w:val="00644C1D"/>
    <w:rsid w:val="00687DA8"/>
    <w:rsid w:val="0070382F"/>
    <w:rsid w:val="00756870"/>
    <w:rsid w:val="00852B36"/>
    <w:rsid w:val="008553EA"/>
    <w:rsid w:val="00933C40"/>
    <w:rsid w:val="00AB2354"/>
    <w:rsid w:val="00AB7668"/>
    <w:rsid w:val="00B2368D"/>
    <w:rsid w:val="00B278F1"/>
    <w:rsid w:val="00B77D20"/>
    <w:rsid w:val="00B80788"/>
    <w:rsid w:val="00BB0995"/>
    <w:rsid w:val="00BC1032"/>
    <w:rsid w:val="00C83C20"/>
    <w:rsid w:val="00CB3D41"/>
    <w:rsid w:val="00CE2333"/>
    <w:rsid w:val="00F06069"/>
    <w:rsid w:val="00F132DF"/>
    <w:rsid w:val="00F6567F"/>
    <w:rsid w:val="00F71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247599FA82E4DC5BEFA56813CE9E4E9"/>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FBDF20C48D9544D798F431329C44836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3E33C3C4925C45369A38629FABD259D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10</Pages>
  <Words>1803</Words>
  <Characters>2359</Characters>
  <Lines>713</Lines>
  <Paragraphs>642</Paragraphs>
  <TotalTime>118</TotalTime>
  <ScaleCrop>false</ScaleCrop>
  <LinksUpToDate>false</LinksUpToDate>
  <CharactersWithSpaces>2499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2024-12-16T09:35:00Z</dcterms:created>
  <dc:creator>1</dc:creator>
  <dc:description>&lt;config cover="true" show_menu="true" version="1.0.0" doctype="SDKXY"&gt;_x000d_
&lt;/config&gt;</dc:description>
  <cp:lastModifiedBy>Shimmer</cp:lastModifiedBy>
  <cp:lastPrinted>2021-02-02T08:22:00Z</cp:lastPrinted>
  <dcterms:modified xsi:type="dcterms:W3CDTF">2025-03-25T08:58:40Z</dcterms:modified>
  <dc:title>团体标准</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2052-12.1.0.20305</vt:lpwstr>
  </property>
  <property fmtid="{D5CDD505-2E9C-101B-9397-08002B2CF9AE}" pid="15" name="ICV">
    <vt:lpwstr>5AB5319CF75D4D3B9B036D90C68350F8_13</vt:lpwstr>
  </property>
  <property fmtid="{D5CDD505-2E9C-101B-9397-08002B2CF9AE}" pid="16" name="KSOTemplateDocerSaveRecord">
    <vt:lpwstr>eyJoZGlkIjoiNWM1ZWJkMDNjYTg1YjI2NDAwOWJhMDU5YTVlYzY4MGYiLCJ1c2VySWQiOiIxNjEyNTI2NzM3In0=</vt:lpwstr>
  </property>
</Properties>
</file>