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4F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F3CCE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3D6375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p>
        </w:tc>
      </w:tr>
      <w:tr w14:paraId="6825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233F2A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74F02E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14:paraId="08A478A9">
      <w:pPr>
        <w:pStyle w:val="50"/>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6243E21A">
      <w:pPr>
        <w:pStyle w:val="195"/>
      </w:pPr>
      <w:r>
        <w:t>T/CASMES XXX3—2024</w:t>
      </w:r>
    </w:p>
    <w:p w14:paraId="09AF4383">
      <w:pPr>
        <w:pStyle w:val="196"/>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5D34115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24CDE7B">
      <w:pPr>
        <w:pStyle w:val="50"/>
        <w:framePr w:w="9639" w:h="6976" w:hRule="exact" w:hSpace="0" w:vSpace="0" w:wrap="around" w:hAnchor="page" w:y="6408"/>
        <w:jc w:val="center"/>
        <w:rPr>
          <w:rFonts w:ascii="黑体" w:hAnsi="黑体" w:eastAsia="黑体"/>
          <w:b w:val="0"/>
          <w:bCs w:val="0"/>
          <w:w w:val="100"/>
        </w:rPr>
      </w:pPr>
    </w:p>
    <w:p w14:paraId="6C9503C6">
      <w:pPr>
        <w:pStyle w:val="197"/>
        <w:framePr w:h="6974" w:hRule="exact" w:wrap="around" w:x="1419" w:anchorLock="1"/>
        <w:rPr>
          <w:rFonts w:hint="eastAsia"/>
        </w:rPr>
      </w:pPr>
      <w:r>
        <w:rPr>
          <w:rFonts w:hint="eastAsia"/>
        </w:rPr>
        <w:t>用人单位工伤预防培训指南</w:t>
      </w:r>
    </w:p>
    <w:p w14:paraId="624DC77F">
      <w:pPr>
        <w:pStyle w:val="197"/>
        <w:framePr w:h="6974" w:hRule="exact" w:wrap="around" w:x="1419" w:anchorLock="1"/>
      </w:pPr>
      <w:r>
        <w:rPr>
          <w:rFonts w:hint="eastAsia"/>
        </w:rPr>
        <w:t>第3部分：岗位职工</w:t>
      </w:r>
    </w:p>
    <w:p w14:paraId="484ECC9E">
      <w:pPr>
        <w:framePr w:w="9639" w:h="6974" w:hRule="exact" w:wrap="around" w:vAnchor="page" w:hAnchor="page" w:x="1419" w:y="6408" w:anchorLock="1"/>
        <w:ind w:left="-1418"/>
      </w:pPr>
    </w:p>
    <w:p w14:paraId="4426C513">
      <w:pPr>
        <w:pStyle w:val="125"/>
        <w:framePr w:w="9639" w:h="6974" w:hRule="exact" w:wrap="around" w:vAnchor="page" w:hAnchor="page" w:x="1419" w:y="6408" w:anchorLock="1"/>
        <w:textAlignment w:val="bottom"/>
        <w:rPr>
          <w:rFonts w:eastAsia="黑体"/>
          <w:szCs w:val="28"/>
        </w:rPr>
      </w:pPr>
      <w:r>
        <w:rPr>
          <w:rFonts w:eastAsia="黑体"/>
          <w:szCs w:val="28"/>
        </w:rPr>
        <w:t>Employers' industrial injury prevention training guide</w:t>
      </w:r>
    </w:p>
    <w:p w14:paraId="08C65161">
      <w:pPr>
        <w:pStyle w:val="125"/>
        <w:framePr w:w="9639" w:h="6974" w:hRule="exact" w:wrap="around" w:vAnchor="page" w:hAnchor="page" w:x="1419" w:y="6408" w:anchorLock="1"/>
        <w:textAlignment w:val="bottom"/>
        <w:rPr>
          <w:rFonts w:eastAsia="黑体"/>
          <w:szCs w:val="28"/>
        </w:rPr>
      </w:pPr>
      <w:r>
        <w:rPr>
          <w:rFonts w:eastAsia="黑体"/>
          <w:szCs w:val="28"/>
        </w:rPr>
        <w:t>Part 3: Post staff</w:t>
      </w:r>
    </w:p>
    <w:p w14:paraId="68E5B372">
      <w:pPr>
        <w:framePr w:w="9639" w:h="6974" w:hRule="exact" w:wrap="around" w:vAnchor="page" w:hAnchor="page" w:x="1419" w:y="6408" w:anchorLock="1"/>
        <w:spacing w:line="760" w:lineRule="exact"/>
        <w:ind w:left="-1418"/>
      </w:pPr>
    </w:p>
    <w:p w14:paraId="4A864674">
      <w:pPr>
        <w:pStyle w:val="125"/>
        <w:framePr w:w="9639" w:h="6974" w:hRule="exact" w:wrap="around" w:vAnchor="page" w:hAnchor="page" w:x="1419" w:y="6408" w:anchorLock="1"/>
        <w:textAlignment w:val="bottom"/>
        <w:rPr>
          <w:rFonts w:eastAsia="黑体"/>
          <w:szCs w:val="28"/>
        </w:rPr>
      </w:pPr>
    </w:p>
    <w:p w14:paraId="57A4296F">
      <w:pPr>
        <w:pStyle w:val="125"/>
        <w:framePr w:w="9639" w:h="6974" w:hRule="exact" w:wrap="around" w:vAnchor="page" w:hAnchor="page" w:x="1419" w:y="6408" w:anchorLock="1"/>
        <w:spacing w:before="440" w:after="160"/>
        <w:textAlignment w:val="bottom"/>
        <w:rPr>
          <w:sz w:val="24"/>
          <w:szCs w:val="28"/>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24E056E7">
      <w:pPr>
        <w:pStyle w:val="125"/>
        <w:framePr w:w="9639" w:h="6974" w:hRule="exact" w:wrap="around" w:vAnchor="page" w:hAnchor="page" w:x="1419" w:y="6408" w:anchorLock="1"/>
        <w:spacing w:before="180" w:line="240" w:lineRule="atLeast"/>
        <w:textAlignment w:val="bottom"/>
        <w:rPr>
          <w:sz w:val="21"/>
          <w:szCs w:val="28"/>
        </w:rPr>
      </w:pPr>
    </w:p>
    <w:p w14:paraId="5C7EC525">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0A58D634">
      <w:pPr>
        <w:pStyle w:val="193"/>
        <w:framePr w:wrap="around" w:y="14176"/>
      </w:pPr>
      <w:r>
        <w:rPr>
          <w:rFonts w:hint="eastAsia" w:ascii="黑体"/>
        </w:rPr>
        <w:t>xx</w:t>
      </w:r>
      <w:r>
        <w:rPr>
          <w:rFonts w:ascii="黑体"/>
        </w:rPr>
        <w:t>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55BD3107">
      <w:pPr>
        <w:pStyle w:val="194"/>
        <w:framePr w:wrap="around" w:y="14176"/>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728CF4E">
      <w:pPr>
        <w:pStyle w:val="151"/>
        <w:framePr w:h="584" w:hRule="exact" w:hSpace="181" w:vSpace="181" w:wrap="around" w:y="14800"/>
        <w:rPr>
          <w:rFonts w:hAnsi="黑体"/>
        </w:rPr>
      </w:pPr>
      <w:r>
        <w:rPr>
          <w:rFonts w:hint="eastAsia" w:hAnsi="黑体"/>
          <w:w w:val="100"/>
          <w:sz w:val="28"/>
        </w:rPr>
        <w:t>中国中小企业协会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11A8977">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DB5759C">
      <w:pPr>
        <w:pStyle w:val="91"/>
        <w:spacing w:after="360"/>
        <w:rPr>
          <w:rFonts w:ascii="宋体" w:hAnsi="宋体" w:eastAsia="宋体" w:cs="宋体"/>
          <w:sz w:val="21"/>
        </w:rPr>
      </w:pPr>
      <w:bookmarkStart w:id="2" w:name="BookMark1"/>
      <w:bookmarkStart w:id="3" w:name="_Toc150014764"/>
      <w:r>
        <w:rPr>
          <w:rFonts w:hint="eastAsia"/>
          <w:spacing w:val="320"/>
        </w:rPr>
        <w:t>目</w:t>
      </w:r>
      <w:r>
        <w:rPr>
          <w:rFonts w:hint="eastAsia"/>
        </w:rPr>
        <w:t>次</w:t>
      </w:r>
      <w:r>
        <w:rPr>
          <w:rFonts w:hint="eastAsia" w:ascii="宋体" w:hAnsi="宋体" w:eastAsia="宋体" w:cs="宋体"/>
          <w:sz w:val="21"/>
        </w:rPr>
        <w:fldChar w:fldCharType="begin"/>
      </w:r>
      <w:r>
        <w:rPr>
          <w:rFonts w:hint="eastAsia" w:ascii="宋体" w:hAnsi="宋体" w:eastAsia="宋体" w:cs="宋体"/>
          <w:sz w:val="21"/>
        </w:rPr>
        <w:instrText xml:space="preserve"> TOC \o "1-1" \h \t "标准文件_一级条标题,2,标准文件_附录一级条标题,2," </w:instrText>
      </w:r>
      <w:r>
        <w:rPr>
          <w:rFonts w:hint="eastAsia" w:ascii="宋体" w:hAnsi="宋体" w:eastAsia="宋体" w:cs="宋体"/>
          <w:sz w:val="21"/>
        </w:rPr>
        <w:fldChar w:fldCharType="separate"/>
      </w:r>
    </w:p>
    <w:p w14:paraId="73A2217B">
      <w:pPr>
        <w:pStyle w:val="19"/>
        <w:tabs>
          <w:tab w:val="right" w:leader="dot" w:pos="9354"/>
        </w:tabs>
      </w:pPr>
      <w:r>
        <w:rPr>
          <w:rFonts w:hint="eastAsia" w:hAnsi="宋体"/>
        </w:rPr>
        <w:t>前言</w:t>
      </w:r>
      <w:r>
        <w:rPr>
          <w:rFonts w:hint="eastAsia" w:hAnsi="宋体" w:cs="宋体"/>
        </w:rPr>
        <w:fldChar w:fldCharType="begin"/>
      </w:r>
      <w:r>
        <w:rPr>
          <w:rFonts w:hint="eastAsia" w:hAnsi="宋体" w:cs="宋体"/>
        </w:rPr>
        <w:instrText xml:space="preserve"> HYPERLINK \l _Toc23582 </w:instrText>
      </w:r>
      <w:r>
        <w:rPr>
          <w:rFonts w:hint="eastAsia" w:hAnsi="宋体" w:cs="宋体"/>
        </w:rPr>
        <w:fldChar w:fldCharType="separate"/>
      </w:r>
      <w:r>
        <w:tab/>
      </w:r>
      <w:r>
        <w:fldChar w:fldCharType="begin"/>
      </w:r>
      <w:r>
        <w:instrText xml:space="preserve"> PAGEREF _Toc23582 \h </w:instrText>
      </w:r>
      <w:r>
        <w:fldChar w:fldCharType="separate"/>
      </w:r>
      <w:r>
        <w:t>II</w:t>
      </w:r>
      <w:r>
        <w:fldChar w:fldCharType="end"/>
      </w:r>
      <w:r>
        <w:rPr>
          <w:rFonts w:hint="eastAsia" w:hAnsi="宋体" w:cs="宋体"/>
        </w:rPr>
        <w:fldChar w:fldCharType="end"/>
      </w:r>
    </w:p>
    <w:p w14:paraId="12A4FA7A">
      <w:pPr>
        <w:pStyle w:val="19"/>
        <w:tabs>
          <w:tab w:val="right" w:leader="dot" w:pos="9354"/>
        </w:tabs>
      </w:pPr>
      <w:r>
        <w:fldChar w:fldCharType="begin"/>
      </w:r>
      <w:r>
        <w:instrText xml:space="preserve"> HYPERLINK \l "_Toc30181" </w:instrText>
      </w:r>
      <w:r>
        <w:fldChar w:fldCharType="separate"/>
      </w:r>
      <w:r>
        <w:rPr>
          <w:rFonts w:hint="eastAsia" w:ascii="黑体" w:eastAsia="黑体"/>
        </w:rPr>
        <w:t xml:space="preserve">1 </w:t>
      </w:r>
      <w:r>
        <w:rPr>
          <w:rFonts w:hint="eastAsia"/>
        </w:rPr>
        <w:t>范围</w:t>
      </w:r>
      <w:r>
        <w:tab/>
      </w:r>
      <w:r>
        <w:fldChar w:fldCharType="begin"/>
      </w:r>
      <w:r>
        <w:instrText xml:space="preserve"> PAGEREF _Toc30181 \h </w:instrText>
      </w:r>
      <w:r>
        <w:fldChar w:fldCharType="separate"/>
      </w:r>
      <w:r>
        <w:t>3</w:t>
      </w:r>
      <w:r>
        <w:fldChar w:fldCharType="end"/>
      </w:r>
      <w:r>
        <w:fldChar w:fldCharType="end"/>
      </w:r>
    </w:p>
    <w:p w14:paraId="633E0C04">
      <w:pPr>
        <w:pStyle w:val="19"/>
        <w:tabs>
          <w:tab w:val="right" w:leader="dot" w:pos="9354"/>
        </w:tabs>
      </w:pPr>
      <w:r>
        <w:fldChar w:fldCharType="begin"/>
      </w:r>
      <w:r>
        <w:instrText xml:space="preserve"> HYPERLINK \l "_Toc27759"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_Toc27759 \h </w:instrText>
      </w:r>
      <w:r>
        <w:fldChar w:fldCharType="separate"/>
      </w:r>
      <w:r>
        <w:t>3</w:t>
      </w:r>
      <w:r>
        <w:fldChar w:fldCharType="end"/>
      </w:r>
      <w:r>
        <w:fldChar w:fldCharType="end"/>
      </w:r>
    </w:p>
    <w:p w14:paraId="51A0C716">
      <w:pPr>
        <w:pStyle w:val="19"/>
        <w:tabs>
          <w:tab w:val="right" w:leader="dot" w:pos="9354"/>
        </w:tabs>
      </w:pPr>
      <w:r>
        <w:fldChar w:fldCharType="begin"/>
      </w:r>
      <w:r>
        <w:instrText xml:space="preserve"> HYPERLINK \l "_Toc12320"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_Toc12320 \h </w:instrText>
      </w:r>
      <w:r>
        <w:fldChar w:fldCharType="separate"/>
      </w:r>
      <w:r>
        <w:t>3</w:t>
      </w:r>
      <w:r>
        <w:fldChar w:fldCharType="end"/>
      </w:r>
      <w:r>
        <w:fldChar w:fldCharType="end"/>
      </w:r>
    </w:p>
    <w:p w14:paraId="59D3C3DA">
      <w:pPr>
        <w:pStyle w:val="19"/>
        <w:tabs>
          <w:tab w:val="right" w:leader="dot" w:pos="9354"/>
        </w:tabs>
      </w:pPr>
      <w:r>
        <w:fldChar w:fldCharType="begin"/>
      </w:r>
      <w:r>
        <w:instrText xml:space="preserve"> HYPERLINK \l "_Toc22095" </w:instrText>
      </w:r>
      <w:r>
        <w:fldChar w:fldCharType="separate"/>
      </w:r>
      <w:r>
        <w:rPr>
          <w:rFonts w:hint="eastAsia" w:ascii="黑体" w:eastAsia="黑体"/>
        </w:rPr>
        <w:t xml:space="preserve">4 </w:t>
      </w:r>
      <w:r>
        <w:rPr>
          <w:rFonts w:hint="eastAsia"/>
        </w:rPr>
        <w:t>培训目的与要求</w:t>
      </w:r>
      <w:r>
        <w:tab/>
      </w:r>
      <w:r>
        <w:fldChar w:fldCharType="begin"/>
      </w:r>
      <w:r>
        <w:instrText xml:space="preserve"> PAGEREF _Toc22095 \h </w:instrText>
      </w:r>
      <w:r>
        <w:fldChar w:fldCharType="separate"/>
      </w:r>
      <w:r>
        <w:t>3</w:t>
      </w:r>
      <w:r>
        <w:fldChar w:fldCharType="end"/>
      </w:r>
      <w:r>
        <w:fldChar w:fldCharType="end"/>
      </w:r>
    </w:p>
    <w:p w14:paraId="2C3A9428">
      <w:pPr>
        <w:pStyle w:val="24"/>
        <w:tabs>
          <w:tab w:val="right" w:leader="dot" w:pos="9354"/>
          <w:tab w:val="clear" w:pos="9344"/>
        </w:tabs>
      </w:pPr>
      <w:r>
        <w:fldChar w:fldCharType="begin"/>
      </w:r>
      <w:r>
        <w:instrText xml:space="preserve"> HYPERLINK \l "_Toc6770" </w:instrText>
      </w:r>
      <w:r>
        <w:fldChar w:fldCharType="separate"/>
      </w:r>
      <w:r>
        <w:rPr>
          <w:rFonts w:hint="eastAsia" w:ascii="黑体" w:hAnsi="Times New Roman" w:eastAsia="黑体"/>
          <w:kern w:val="0"/>
          <w14:scene3d>
            <w14:lightRig w14:rig="threePt" w14:dir="t">
              <w14:rot w14:lat="0" w14:lon="0" w14:rev="0"/>
            </w14:lightRig>
          </w14:scene3d>
        </w:rPr>
        <w:t xml:space="preserve">4.1 </w:t>
      </w:r>
      <w:r>
        <w:rPr>
          <w:rFonts w:hint="eastAsia"/>
        </w:rPr>
        <w:t>培训目的</w:t>
      </w:r>
      <w:r>
        <w:tab/>
      </w:r>
      <w:r>
        <w:fldChar w:fldCharType="begin"/>
      </w:r>
      <w:r>
        <w:instrText xml:space="preserve"> PAGEREF _Toc6770 \h </w:instrText>
      </w:r>
      <w:r>
        <w:fldChar w:fldCharType="separate"/>
      </w:r>
      <w:r>
        <w:t>3</w:t>
      </w:r>
      <w:r>
        <w:fldChar w:fldCharType="end"/>
      </w:r>
      <w:r>
        <w:fldChar w:fldCharType="end"/>
      </w:r>
    </w:p>
    <w:p w14:paraId="7984CB5C">
      <w:pPr>
        <w:pStyle w:val="24"/>
        <w:tabs>
          <w:tab w:val="right" w:leader="dot" w:pos="9354"/>
          <w:tab w:val="clear" w:pos="9344"/>
        </w:tabs>
      </w:pPr>
      <w:r>
        <w:fldChar w:fldCharType="begin"/>
      </w:r>
      <w:r>
        <w:instrText xml:space="preserve"> HYPERLINK \l "_Toc19112" </w:instrText>
      </w:r>
      <w:r>
        <w:fldChar w:fldCharType="separate"/>
      </w:r>
      <w:r>
        <w:rPr>
          <w:rFonts w:hint="eastAsia" w:ascii="黑体" w:hAnsi="Times New Roman" w:eastAsia="黑体"/>
          <w:kern w:val="0"/>
          <w14:scene3d>
            <w14:lightRig w14:rig="threePt" w14:dir="t">
              <w14:rot w14:lat="0" w14:lon="0" w14:rev="0"/>
            </w14:lightRig>
          </w14:scene3d>
        </w:rPr>
        <w:t xml:space="preserve">4.2 </w:t>
      </w:r>
      <w:r>
        <w:rPr>
          <w:rFonts w:hint="eastAsia"/>
        </w:rPr>
        <w:t>培训要求</w:t>
      </w:r>
      <w:r>
        <w:tab/>
      </w:r>
      <w:r>
        <w:fldChar w:fldCharType="begin"/>
      </w:r>
      <w:r>
        <w:instrText xml:space="preserve"> PAGEREF _Toc19112 \h </w:instrText>
      </w:r>
      <w:r>
        <w:fldChar w:fldCharType="separate"/>
      </w:r>
      <w:r>
        <w:t>3</w:t>
      </w:r>
      <w:r>
        <w:fldChar w:fldCharType="end"/>
      </w:r>
      <w:r>
        <w:fldChar w:fldCharType="end"/>
      </w:r>
    </w:p>
    <w:p w14:paraId="70F832DC">
      <w:pPr>
        <w:pStyle w:val="19"/>
        <w:tabs>
          <w:tab w:val="right" w:leader="dot" w:pos="9354"/>
        </w:tabs>
      </w:pPr>
      <w:r>
        <w:fldChar w:fldCharType="begin"/>
      </w:r>
      <w:r>
        <w:instrText xml:space="preserve"> HYPERLINK \l "_Toc8728" </w:instrText>
      </w:r>
      <w:r>
        <w:fldChar w:fldCharType="separate"/>
      </w:r>
      <w:r>
        <w:rPr>
          <w:rFonts w:hint="eastAsia" w:ascii="黑体" w:eastAsia="黑体"/>
        </w:rPr>
        <w:t xml:space="preserve">5 </w:t>
      </w:r>
      <w:r>
        <w:rPr>
          <w:rFonts w:hint="eastAsia"/>
        </w:rPr>
        <w:t>培训阶段</w:t>
      </w:r>
      <w:r>
        <w:tab/>
      </w:r>
      <w:r>
        <w:fldChar w:fldCharType="begin"/>
      </w:r>
      <w:r>
        <w:instrText xml:space="preserve"> PAGEREF _Toc8728 \h </w:instrText>
      </w:r>
      <w:r>
        <w:fldChar w:fldCharType="separate"/>
      </w:r>
      <w:r>
        <w:t>4</w:t>
      </w:r>
      <w:r>
        <w:fldChar w:fldCharType="end"/>
      </w:r>
      <w:r>
        <w:fldChar w:fldCharType="end"/>
      </w:r>
    </w:p>
    <w:p w14:paraId="43E10C23">
      <w:pPr>
        <w:pStyle w:val="24"/>
        <w:tabs>
          <w:tab w:val="right" w:leader="dot" w:pos="9354"/>
          <w:tab w:val="clear" w:pos="9344"/>
        </w:tabs>
      </w:pPr>
      <w:r>
        <w:fldChar w:fldCharType="begin"/>
      </w:r>
      <w:r>
        <w:instrText xml:space="preserve"> HYPERLINK \l "_Toc2492" </w:instrText>
      </w:r>
      <w:r>
        <w:fldChar w:fldCharType="separate"/>
      </w:r>
      <w:r>
        <w:rPr>
          <w:rFonts w:hint="eastAsia" w:ascii="黑体" w:hAnsi="Times New Roman" w:eastAsia="黑体"/>
          <w:kern w:val="0"/>
          <w14:scene3d>
            <w14:lightRig w14:rig="threePt" w14:dir="t">
              <w14:rot w14:lat="0" w14:lon="0" w14:rev="0"/>
            </w14:lightRig>
          </w14:scene3d>
        </w:rPr>
        <w:t xml:space="preserve">5.2 </w:t>
      </w:r>
      <w:r>
        <w:rPr>
          <w:rFonts w:hint="eastAsia"/>
        </w:rPr>
        <w:t>第一阶段 基础知识培训</w:t>
      </w:r>
      <w:r>
        <w:tab/>
      </w:r>
      <w:r>
        <w:fldChar w:fldCharType="begin"/>
      </w:r>
      <w:r>
        <w:instrText xml:space="preserve"> PAGEREF _Toc2492 \h </w:instrText>
      </w:r>
      <w:r>
        <w:fldChar w:fldCharType="separate"/>
      </w:r>
      <w:r>
        <w:t>4</w:t>
      </w:r>
      <w:r>
        <w:fldChar w:fldCharType="end"/>
      </w:r>
      <w:r>
        <w:fldChar w:fldCharType="end"/>
      </w:r>
    </w:p>
    <w:p w14:paraId="591C45EB">
      <w:pPr>
        <w:pStyle w:val="24"/>
        <w:tabs>
          <w:tab w:val="right" w:leader="dot" w:pos="9354"/>
          <w:tab w:val="clear" w:pos="9344"/>
        </w:tabs>
      </w:pPr>
      <w:r>
        <w:fldChar w:fldCharType="begin"/>
      </w:r>
      <w:r>
        <w:instrText xml:space="preserve"> HYPERLINK \l "_Toc22116" </w:instrText>
      </w:r>
      <w:r>
        <w:fldChar w:fldCharType="separate"/>
      </w:r>
      <w:r>
        <w:rPr>
          <w:rFonts w:hint="eastAsia" w:ascii="黑体" w:hAnsi="Times New Roman" w:eastAsia="黑体"/>
          <w:kern w:val="0"/>
          <w14:scene3d>
            <w14:lightRig w14:rig="threePt" w14:dir="t">
              <w14:rot w14:lat="0" w14:lon="0" w14:rev="0"/>
            </w14:lightRig>
          </w14:scene3d>
        </w:rPr>
        <w:t xml:space="preserve">5.3 </w:t>
      </w:r>
      <w:r>
        <w:rPr>
          <w:rFonts w:hint="eastAsia"/>
        </w:rPr>
        <w:t>第二阶段 能力提高培训</w:t>
      </w:r>
      <w:r>
        <w:tab/>
      </w:r>
      <w:r>
        <w:fldChar w:fldCharType="begin"/>
      </w:r>
      <w:r>
        <w:instrText xml:space="preserve"> PAGEREF _Toc22116 \h </w:instrText>
      </w:r>
      <w:r>
        <w:fldChar w:fldCharType="separate"/>
      </w:r>
      <w:r>
        <w:t>4</w:t>
      </w:r>
      <w:r>
        <w:fldChar w:fldCharType="end"/>
      </w:r>
      <w:r>
        <w:fldChar w:fldCharType="end"/>
      </w:r>
    </w:p>
    <w:p w14:paraId="583C59AD">
      <w:pPr>
        <w:pStyle w:val="24"/>
        <w:tabs>
          <w:tab w:val="right" w:leader="dot" w:pos="9354"/>
          <w:tab w:val="clear" w:pos="9344"/>
        </w:tabs>
      </w:pPr>
      <w:r>
        <w:fldChar w:fldCharType="begin"/>
      </w:r>
      <w:r>
        <w:instrText xml:space="preserve"> HYPERLINK \l "_Toc15718" </w:instrText>
      </w:r>
      <w:r>
        <w:fldChar w:fldCharType="separate"/>
      </w:r>
      <w:r>
        <w:rPr>
          <w:rFonts w:hint="eastAsia" w:ascii="黑体" w:hAnsi="Times New Roman" w:eastAsia="黑体"/>
          <w:kern w:val="0"/>
          <w14:scene3d>
            <w14:lightRig w14:rig="threePt" w14:dir="t">
              <w14:rot w14:lat="0" w14:lon="0" w14:rev="0"/>
            </w14:lightRig>
          </w14:scene3d>
        </w:rPr>
        <w:t xml:space="preserve">5.4 </w:t>
      </w:r>
      <w:r>
        <w:rPr>
          <w:rFonts w:hint="eastAsia"/>
        </w:rPr>
        <w:t>第三阶段 互动实践培训</w:t>
      </w:r>
      <w:r>
        <w:tab/>
      </w:r>
      <w:r>
        <w:fldChar w:fldCharType="begin"/>
      </w:r>
      <w:r>
        <w:instrText xml:space="preserve"> PAGEREF _Toc15718 \h </w:instrText>
      </w:r>
      <w:r>
        <w:fldChar w:fldCharType="separate"/>
      </w:r>
      <w:r>
        <w:t>4</w:t>
      </w:r>
      <w:r>
        <w:fldChar w:fldCharType="end"/>
      </w:r>
      <w:r>
        <w:fldChar w:fldCharType="end"/>
      </w:r>
    </w:p>
    <w:p w14:paraId="72AC9476">
      <w:pPr>
        <w:pStyle w:val="19"/>
        <w:tabs>
          <w:tab w:val="right" w:leader="dot" w:pos="9354"/>
        </w:tabs>
      </w:pPr>
      <w:r>
        <w:fldChar w:fldCharType="begin"/>
      </w:r>
      <w:r>
        <w:instrText xml:space="preserve"> HYPERLINK \l "_Toc23138" </w:instrText>
      </w:r>
      <w:r>
        <w:fldChar w:fldCharType="separate"/>
      </w:r>
      <w:r>
        <w:rPr>
          <w:rFonts w:hint="eastAsia" w:ascii="黑体" w:eastAsia="黑体"/>
        </w:rPr>
        <w:t xml:space="preserve">6 </w:t>
      </w:r>
      <w:r>
        <w:rPr>
          <w:rFonts w:hint="eastAsia"/>
        </w:rPr>
        <w:t>培训方式</w:t>
      </w:r>
      <w:r>
        <w:tab/>
      </w:r>
      <w:r>
        <w:fldChar w:fldCharType="begin"/>
      </w:r>
      <w:r>
        <w:instrText xml:space="preserve"> PAGEREF _Toc23138 \h </w:instrText>
      </w:r>
      <w:r>
        <w:fldChar w:fldCharType="separate"/>
      </w:r>
      <w:r>
        <w:t>4</w:t>
      </w:r>
      <w:r>
        <w:fldChar w:fldCharType="end"/>
      </w:r>
      <w:r>
        <w:fldChar w:fldCharType="end"/>
      </w:r>
    </w:p>
    <w:p w14:paraId="14E4F510">
      <w:pPr>
        <w:pStyle w:val="24"/>
        <w:tabs>
          <w:tab w:val="right" w:leader="dot" w:pos="9354"/>
          <w:tab w:val="clear" w:pos="9344"/>
        </w:tabs>
      </w:pPr>
      <w:r>
        <w:fldChar w:fldCharType="begin"/>
      </w:r>
      <w:r>
        <w:instrText xml:space="preserve"> HYPERLINK \l "_Toc8853"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hint="eastAsia"/>
        </w:rPr>
        <w:t>线下集中授课培训</w:t>
      </w:r>
      <w:r>
        <w:tab/>
      </w:r>
      <w:r>
        <w:fldChar w:fldCharType="begin"/>
      </w:r>
      <w:r>
        <w:instrText xml:space="preserve"> PAGEREF _Toc8853 \h </w:instrText>
      </w:r>
      <w:r>
        <w:fldChar w:fldCharType="separate"/>
      </w:r>
      <w:r>
        <w:t>4</w:t>
      </w:r>
      <w:r>
        <w:fldChar w:fldCharType="end"/>
      </w:r>
      <w:r>
        <w:fldChar w:fldCharType="end"/>
      </w:r>
    </w:p>
    <w:p w14:paraId="6E8596F5">
      <w:pPr>
        <w:pStyle w:val="24"/>
        <w:tabs>
          <w:tab w:val="right" w:leader="dot" w:pos="9354"/>
          <w:tab w:val="clear" w:pos="9344"/>
        </w:tabs>
      </w:pPr>
      <w:r>
        <w:fldChar w:fldCharType="begin"/>
      </w:r>
      <w:r>
        <w:instrText xml:space="preserve"> HYPERLINK \l "_Toc27900"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hint="eastAsia"/>
        </w:rPr>
        <w:t>互动式培训</w:t>
      </w:r>
      <w:r>
        <w:tab/>
      </w:r>
      <w:r>
        <w:fldChar w:fldCharType="begin"/>
      </w:r>
      <w:r>
        <w:instrText xml:space="preserve"> PAGEREF _Toc27900 \h </w:instrText>
      </w:r>
      <w:r>
        <w:fldChar w:fldCharType="separate"/>
      </w:r>
      <w:r>
        <w:t>4</w:t>
      </w:r>
      <w:r>
        <w:fldChar w:fldCharType="end"/>
      </w:r>
      <w:r>
        <w:fldChar w:fldCharType="end"/>
      </w:r>
    </w:p>
    <w:p w14:paraId="23316930">
      <w:pPr>
        <w:pStyle w:val="24"/>
        <w:tabs>
          <w:tab w:val="right" w:leader="dot" w:pos="9354"/>
          <w:tab w:val="clear" w:pos="9344"/>
        </w:tabs>
      </w:pPr>
      <w:r>
        <w:fldChar w:fldCharType="begin"/>
      </w:r>
      <w:r>
        <w:instrText xml:space="preserve"> HYPERLINK \l "_Toc25463" </w:instrText>
      </w:r>
      <w:r>
        <w:fldChar w:fldCharType="separate"/>
      </w:r>
      <w:r>
        <w:rPr>
          <w:rFonts w:hint="eastAsia" w:ascii="黑体" w:hAnsi="Times New Roman" w:eastAsia="黑体"/>
          <w:kern w:val="0"/>
          <w14:scene3d>
            <w14:lightRig w14:rig="threePt" w14:dir="t">
              <w14:rot w14:lat="0" w14:lon="0" w14:rev="0"/>
            </w14:lightRig>
          </w14:scene3d>
        </w:rPr>
        <w:t xml:space="preserve">6.3 </w:t>
      </w:r>
      <w:r>
        <w:rPr>
          <w:rFonts w:hint="eastAsia"/>
        </w:rPr>
        <w:t>网络视频培训</w:t>
      </w:r>
      <w:r>
        <w:tab/>
      </w:r>
      <w:r>
        <w:fldChar w:fldCharType="begin"/>
      </w:r>
      <w:r>
        <w:instrText xml:space="preserve"> PAGEREF _Toc25463 \h </w:instrText>
      </w:r>
      <w:r>
        <w:fldChar w:fldCharType="separate"/>
      </w:r>
      <w:r>
        <w:t>4</w:t>
      </w:r>
      <w:r>
        <w:fldChar w:fldCharType="end"/>
      </w:r>
      <w:r>
        <w:fldChar w:fldCharType="end"/>
      </w:r>
    </w:p>
    <w:p w14:paraId="6F240ED8">
      <w:pPr>
        <w:pStyle w:val="24"/>
        <w:tabs>
          <w:tab w:val="right" w:leader="dot" w:pos="9354"/>
          <w:tab w:val="clear" w:pos="9344"/>
        </w:tabs>
      </w:pPr>
      <w:r>
        <w:fldChar w:fldCharType="begin"/>
      </w:r>
      <w:r>
        <w:instrText xml:space="preserve"> HYPERLINK \l "_Toc739" </w:instrText>
      </w:r>
      <w:r>
        <w:fldChar w:fldCharType="separate"/>
      </w:r>
      <w:r>
        <w:rPr>
          <w:rFonts w:hint="eastAsia" w:ascii="黑体" w:hAnsi="Times New Roman" w:eastAsia="黑体"/>
          <w:kern w:val="0"/>
          <w14:scene3d>
            <w14:lightRig w14:rig="threePt" w14:dir="t">
              <w14:rot w14:lat="0" w14:lon="0" w14:rev="0"/>
            </w14:lightRig>
          </w14:scene3d>
        </w:rPr>
        <w:t xml:space="preserve">6.4 </w:t>
      </w:r>
      <w:r>
        <w:rPr>
          <w:rFonts w:hint="eastAsia"/>
        </w:rPr>
        <w:t>自学</w:t>
      </w:r>
      <w:r>
        <w:tab/>
      </w:r>
      <w:r>
        <w:fldChar w:fldCharType="begin"/>
      </w:r>
      <w:r>
        <w:instrText xml:space="preserve"> PAGEREF _Toc739 \h </w:instrText>
      </w:r>
      <w:r>
        <w:fldChar w:fldCharType="separate"/>
      </w:r>
      <w:r>
        <w:t>4</w:t>
      </w:r>
      <w:r>
        <w:fldChar w:fldCharType="end"/>
      </w:r>
      <w:r>
        <w:fldChar w:fldCharType="end"/>
      </w:r>
    </w:p>
    <w:p w14:paraId="3A9CE8F4">
      <w:pPr>
        <w:pStyle w:val="19"/>
        <w:tabs>
          <w:tab w:val="right" w:leader="dot" w:pos="9354"/>
        </w:tabs>
      </w:pPr>
      <w:r>
        <w:fldChar w:fldCharType="begin"/>
      </w:r>
      <w:r>
        <w:instrText xml:space="preserve"> HYPERLINK \l "_Toc20529" </w:instrText>
      </w:r>
      <w:r>
        <w:fldChar w:fldCharType="separate"/>
      </w:r>
      <w:r>
        <w:rPr>
          <w:rFonts w:hint="eastAsia" w:ascii="黑体" w:eastAsia="黑体"/>
        </w:rPr>
        <w:t xml:space="preserve">7 </w:t>
      </w:r>
      <w:r>
        <w:rPr>
          <w:rFonts w:hint="eastAsia"/>
        </w:rPr>
        <w:t>培训内容、教材及计划</w:t>
      </w:r>
      <w:r>
        <w:tab/>
      </w:r>
      <w:r>
        <w:fldChar w:fldCharType="begin"/>
      </w:r>
      <w:r>
        <w:instrText xml:space="preserve"> PAGEREF _Toc20529 \h </w:instrText>
      </w:r>
      <w:r>
        <w:fldChar w:fldCharType="separate"/>
      </w:r>
      <w:r>
        <w:t>4</w:t>
      </w:r>
      <w:r>
        <w:fldChar w:fldCharType="end"/>
      </w:r>
      <w:r>
        <w:fldChar w:fldCharType="end"/>
      </w:r>
    </w:p>
    <w:p w14:paraId="45B184ED">
      <w:pPr>
        <w:pStyle w:val="24"/>
        <w:tabs>
          <w:tab w:val="right" w:leader="dot" w:pos="9354"/>
          <w:tab w:val="clear" w:pos="9344"/>
        </w:tabs>
      </w:pPr>
      <w:r>
        <w:fldChar w:fldCharType="begin"/>
      </w:r>
      <w:r>
        <w:instrText xml:space="preserve"> HYPERLINK \l "_Toc2306" </w:instrText>
      </w:r>
      <w:r>
        <w:fldChar w:fldCharType="separate"/>
      </w:r>
      <w:r>
        <w:rPr>
          <w:rFonts w:hint="eastAsia" w:ascii="黑体" w:hAnsi="Times New Roman" w:eastAsia="黑体"/>
          <w:kern w:val="0"/>
          <w14:scene3d>
            <w14:lightRig w14:rig="threePt" w14:dir="t">
              <w14:rot w14:lat="0" w14:lon="0" w14:rev="0"/>
            </w14:lightRig>
          </w14:scene3d>
        </w:rPr>
        <w:t xml:space="preserve">7.1 </w:t>
      </w:r>
      <w:r>
        <w:rPr>
          <w:rFonts w:hint="eastAsia"/>
        </w:rPr>
        <w:t>培训内容及教材</w:t>
      </w:r>
      <w:r>
        <w:tab/>
      </w:r>
      <w:r>
        <w:fldChar w:fldCharType="begin"/>
      </w:r>
      <w:r>
        <w:instrText xml:space="preserve"> PAGEREF _Toc2306 \h </w:instrText>
      </w:r>
      <w:r>
        <w:fldChar w:fldCharType="separate"/>
      </w:r>
      <w:r>
        <w:t>4</w:t>
      </w:r>
      <w:r>
        <w:fldChar w:fldCharType="end"/>
      </w:r>
      <w:r>
        <w:fldChar w:fldCharType="end"/>
      </w:r>
    </w:p>
    <w:p w14:paraId="1B03923F">
      <w:pPr>
        <w:pStyle w:val="24"/>
        <w:tabs>
          <w:tab w:val="right" w:leader="dot" w:pos="9354"/>
          <w:tab w:val="clear" w:pos="9344"/>
        </w:tabs>
      </w:pPr>
      <w:r>
        <w:fldChar w:fldCharType="begin"/>
      </w:r>
      <w:r>
        <w:instrText xml:space="preserve"> HYPERLINK \l "_Toc21011" </w:instrText>
      </w:r>
      <w:r>
        <w:fldChar w:fldCharType="separate"/>
      </w:r>
      <w:r>
        <w:rPr>
          <w:rFonts w:hint="eastAsia" w:ascii="黑体" w:hAnsi="Times New Roman" w:eastAsia="黑体"/>
          <w:kern w:val="0"/>
          <w14:scene3d>
            <w14:lightRig w14:rig="threePt" w14:dir="t">
              <w14:rot w14:lat="0" w14:lon="0" w14:rev="0"/>
            </w14:lightRig>
          </w14:scene3d>
        </w:rPr>
        <w:t xml:space="preserve">7.2 </w:t>
      </w:r>
      <w:r>
        <w:rPr>
          <w:rFonts w:hint="eastAsia"/>
        </w:rPr>
        <w:t>培训计划</w:t>
      </w:r>
      <w:r>
        <w:tab/>
      </w:r>
      <w:r>
        <w:fldChar w:fldCharType="begin"/>
      </w:r>
      <w:r>
        <w:instrText xml:space="preserve"> PAGEREF _Toc21011 \h </w:instrText>
      </w:r>
      <w:r>
        <w:fldChar w:fldCharType="separate"/>
      </w:r>
      <w:r>
        <w:t>4</w:t>
      </w:r>
      <w:r>
        <w:fldChar w:fldCharType="end"/>
      </w:r>
      <w:r>
        <w:fldChar w:fldCharType="end"/>
      </w:r>
    </w:p>
    <w:p w14:paraId="558AACC5">
      <w:pPr>
        <w:pStyle w:val="19"/>
        <w:tabs>
          <w:tab w:val="right" w:leader="dot" w:pos="9354"/>
        </w:tabs>
      </w:pPr>
      <w:r>
        <w:fldChar w:fldCharType="begin"/>
      </w:r>
      <w:r>
        <w:instrText xml:space="preserve"> HYPERLINK \l "_Toc23367" </w:instrText>
      </w:r>
      <w:r>
        <w:fldChar w:fldCharType="separate"/>
      </w:r>
      <w:r>
        <w:rPr>
          <w:rFonts w:hint="eastAsia" w:ascii="黑体" w:eastAsia="黑体"/>
        </w:rPr>
        <w:t xml:space="preserve">8 </w:t>
      </w:r>
      <w:r>
        <w:rPr>
          <w:rFonts w:hint="eastAsia"/>
        </w:rPr>
        <w:t>培训跟进指导和回访</w:t>
      </w:r>
      <w:r>
        <w:tab/>
      </w:r>
      <w:r>
        <w:fldChar w:fldCharType="begin"/>
      </w:r>
      <w:r>
        <w:instrText xml:space="preserve"> PAGEREF _Toc23367 \h </w:instrText>
      </w:r>
      <w:r>
        <w:fldChar w:fldCharType="separate"/>
      </w:r>
      <w:r>
        <w:t>5</w:t>
      </w:r>
      <w:r>
        <w:fldChar w:fldCharType="end"/>
      </w:r>
      <w:r>
        <w:fldChar w:fldCharType="end"/>
      </w:r>
    </w:p>
    <w:p w14:paraId="6F21CEB1">
      <w:pPr>
        <w:pStyle w:val="24"/>
        <w:tabs>
          <w:tab w:val="right" w:leader="dot" w:pos="9354"/>
          <w:tab w:val="clear" w:pos="9344"/>
        </w:tabs>
      </w:pPr>
      <w:r>
        <w:fldChar w:fldCharType="begin"/>
      </w:r>
      <w:r>
        <w:instrText xml:space="preserve"> HYPERLINK \l "_Toc5541" </w:instrText>
      </w:r>
      <w:r>
        <w:fldChar w:fldCharType="separate"/>
      </w:r>
      <w:r>
        <w:rPr>
          <w:rFonts w:hint="eastAsia" w:ascii="黑体" w:hAnsi="Times New Roman" w:eastAsia="黑体"/>
          <w:kern w:val="0"/>
          <w14:scene3d>
            <w14:lightRig w14:rig="threePt" w14:dir="t">
              <w14:rot w14:lat="0" w14:lon="0" w14:rev="0"/>
            </w14:lightRig>
          </w14:scene3d>
        </w:rPr>
        <w:t xml:space="preserve">8.1 </w:t>
      </w:r>
      <w:r>
        <w:rPr>
          <w:rFonts w:hint="eastAsia"/>
        </w:rPr>
        <w:t>跟进及回访方式</w:t>
      </w:r>
      <w:r>
        <w:tab/>
      </w:r>
      <w:r>
        <w:fldChar w:fldCharType="begin"/>
      </w:r>
      <w:r>
        <w:instrText xml:space="preserve"> PAGEREF _Toc5541 \h </w:instrText>
      </w:r>
      <w:r>
        <w:fldChar w:fldCharType="separate"/>
      </w:r>
      <w:r>
        <w:t>5</w:t>
      </w:r>
      <w:r>
        <w:fldChar w:fldCharType="end"/>
      </w:r>
      <w:r>
        <w:fldChar w:fldCharType="end"/>
      </w:r>
    </w:p>
    <w:p w14:paraId="7C033766">
      <w:pPr>
        <w:pStyle w:val="24"/>
        <w:tabs>
          <w:tab w:val="right" w:leader="dot" w:pos="9354"/>
          <w:tab w:val="clear" w:pos="9344"/>
        </w:tabs>
      </w:pPr>
      <w:r>
        <w:fldChar w:fldCharType="begin"/>
      </w:r>
      <w:r>
        <w:instrText xml:space="preserve"> HYPERLINK \l "_Toc6922" </w:instrText>
      </w:r>
      <w:r>
        <w:fldChar w:fldCharType="separate"/>
      </w:r>
      <w:r>
        <w:rPr>
          <w:rFonts w:hint="eastAsia" w:ascii="黑体" w:hAnsi="Times New Roman" w:eastAsia="黑体"/>
          <w:kern w:val="0"/>
          <w14:scene3d>
            <w14:lightRig w14:rig="threePt" w14:dir="t">
              <w14:rot w14:lat="0" w14:lon="0" w14:rev="0"/>
            </w14:lightRig>
          </w14:scene3d>
        </w:rPr>
        <w:t xml:space="preserve">8.2 </w:t>
      </w:r>
      <w:r>
        <w:rPr>
          <w:rFonts w:hint="eastAsia"/>
        </w:rPr>
        <w:t>跟进及回访内容</w:t>
      </w:r>
      <w:r>
        <w:tab/>
      </w:r>
      <w:r>
        <w:fldChar w:fldCharType="begin"/>
      </w:r>
      <w:r>
        <w:instrText xml:space="preserve"> PAGEREF _Toc6922 \h </w:instrText>
      </w:r>
      <w:r>
        <w:fldChar w:fldCharType="separate"/>
      </w:r>
      <w:r>
        <w:t>5</w:t>
      </w:r>
      <w:r>
        <w:fldChar w:fldCharType="end"/>
      </w:r>
      <w:r>
        <w:fldChar w:fldCharType="end"/>
      </w:r>
    </w:p>
    <w:p w14:paraId="501E0B3C">
      <w:pPr>
        <w:pStyle w:val="24"/>
        <w:tabs>
          <w:tab w:val="right" w:leader="dot" w:pos="9354"/>
          <w:tab w:val="clear" w:pos="9344"/>
        </w:tabs>
      </w:pPr>
      <w:r>
        <w:fldChar w:fldCharType="begin"/>
      </w:r>
      <w:r>
        <w:instrText xml:space="preserve"> HYPERLINK \l "_Toc2574" </w:instrText>
      </w:r>
      <w:r>
        <w:fldChar w:fldCharType="separate"/>
      </w:r>
      <w:r>
        <w:rPr>
          <w:rFonts w:hint="eastAsia" w:ascii="黑体" w:hAnsi="Times New Roman" w:eastAsia="黑体"/>
          <w:kern w:val="0"/>
          <w14:scene3d>
            <w14:lightRig w14:rig="threePt" w14:dir="t">
              <w14:rot w14:lat="0" w14:lon="0" w14:rev="0"/>
            </w14:lightRig>
          </w14:scene3d>
        </w:rPr>
        <w:t xml:space="preserve">8.3 </w:t>
      </w:r>
      <w:r>
        <w:rPr>
          <w:rFonts w:hint="eastAsia"/>
        </w:rPr>
        <w:t>跟进及回访频率</w:t>
      </w:r>
      <w:r>
        <w:tab/>
      </w:r>
      <w:r>
        <w:fldChar w:fldCharType="begin"/>
      </w:r>
      <w:r>
        <w:instrText xml:space="preserve"> PAGEREF _Toc2574 \h </w:instrText>
      </w:r>
      <w:r>
        <w:fldChar w:fldCharType="separate"/>
      </w:r>
      <w:r>
        <w:t>5</w:t>
      </w:r>
      <w:r>
        <w:fldChar w:fldCharType="end"/>
      </w:r>
      <w:r>
        <w:fldChar w:fldCharType="end"/>
      </w:r>
    </w:p>
    <w:p w14:paraId="1BF7FA96">
      <w:pPr>
        <w:pStyle w:val="19"/>
        <w:tabs>
          <w:tab w:val="right" w:leader="dot" w:pos="9354"/>
        </w:tabs>
      </w:pPr>
      <w:r>
        <w:fldChar w:fldCharType="begin"/>
      </w:r>
      <w:r>
        <w:instrText xml:space="preserve"> HYPERLINK \l "_Toc10587" </w:instrText>
      </w:r>
      <w:r>
        <w:fldChar w:fldCharType="separate"/>
      </w:r>
      <w:r>
        <w:rPr>
          <w:rFonts w:hint="eastAsia" w:ascii="黑体" w:eastAsia="黑体"/>
        </w:rPr>
        <w:t xml:space="preserve">9 </w:t>
      </w:r>
      <w:r>
        <w:rPr>
          <w:rFonts w:hint="eastAsia"/>
        </w:rPr>
        <w:t>档案管理</w:t>
      </w:r>
      <w:r>
        <w:tab/>
      </w:r>
      <w:r>
        <w:fldChar w:fldCharType="begin"/>
      </w:r>
      <w:r>
        <w:instrText xml:space="preserve"> PAGEREF _Toc10587 \h </w:instrText>
      </w:r>
      <w:r>
        <w:fldChar w:fldCharType="separate"/>
      </w:r>
      <w:r>
        <w:t>5</w:t>
      </w:r>
      <w:r>
        <w:fldChar w:fldCharType="end"/>
      </w:r>
      <w:r>
        <w:fldChar w:fldCharType="end"/>
      </w:r>
    </w:p>
    <w:p w14:paraId="3F888919">
      <w:pPr>
        <w:pStyle w:val="19"/>
        <w:tabs>
          <w:tab w:val="right" w:leader="dot" w:pos="9354"/>
        </w:tabs>
        <w:rPr>
          <w:rFonts w:hAnsi="宋体" w:cs="宋体"/>
        </w:rPr>
      </w:pPr>
      <w:r>
        <w:fldChar w:fldCharType="begin"/>
      </w:r>
      <w:r>
        <w:instrText xml:space="preserve"> HYPERLINK \l "_Toc2198" </w:instrText>
      </w:r>
      <w:r>
        <w:fldChar w:fldCharType="separate"/>
      </w:r>
      <w:r>
        <w:rPr>
          <w:rFonts w:hint="eastAsia" w:hAnsi="宋体" w:cs="宋体"/>
        </w:rPr>
        <w:t>附录A（规范性</w:t>
      </w:r>
      <w:r>
        <w:rPr>
          <w:rFonts w:hint="eastAsia" w:hAnsi="宋体" w:cs="宋体"/>
          <w:spacing w:val="10"/>
        </w:rPr>
        <w:t>附录</w:t>
      </w:r>
      <w:r>
        <w:rPr>
          <w:rFonts w:hint="eastAsia" w:hAnsi="宋体" w:cs="宋体"/>
        </w:rPr>
        <w:t xml:space="preserve">） </w:t>
      </w:r>
      <w:r>
        <w:rPr>
          <w:rFonts w:hint="eastAsia" w:hAnsi="宋体" w:cs="宋体"/>
          <w:spacing w:val="-1"/>
        </w:rPr>
        <w:t>培训内容</w:t>
      </w:r>
      <w:r>
        <w:rPr>
          <w:rFonts w:hint="eastAsia" w:hAnsi="宋体" w:cs="宋体"/>
        </w:rPr>
        <w:t>及教材</w:t>
      </w:r>
      <w:r>
        <w:rPr>
          <w:rFonts w:hint="eastAsia" w:hAnsi="宋体" w:cs="宋体"/>
        </w:rPr>
        <w:tab/>
      </w:r>
      <w:r>
        <w:rPr>
          <w:rFonts w:hint="eastAsia" w:hAnsi="宋体" w:cs="宋体"/>
        </w:rPr>
        <w:fldChar w:fldCharType="begin"/>
      </w:r>
      <w:r>
        <w:rPr>
          <w:rFonts w:hint="eastAsia" w:hAnsi="宋体" w:cs="宋体"/>
        </w:rPr>
        <w:instrText xml:space="preserve"> PAGEREF _Toc2198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1861629D">
      <w:pPr>
        <w:pStyle w:val="24"/>
        <w:tabs>
          <w:tab w:val="right" w:leader="dot" w:pos="9354"/>
          <w:tab w:val="clear" w:pos="9344"/>
        </w:tabs>
        <w:rPr>
          <w:rFonts w:hAnsi="宋体" w:cs="宋体"/>
        </w:rPr>
      </w:pPr>
      <w:r>
        <w:fldChar w:fldCharType="begin"/>
      </w:r>
      <w:r>
        <w:instrText xml:space="preserve"> HYPERLINK \l "_Toc27894" </w:instrText>
      </w:r>
      <w:r>
        <w:fldChar w:fldCharType="separate"/>
      </w:r>
      <w:r>
        <w:rPr>
          <w:rFonts w:hint="eastAsia" w:hAnsi="宋体" w:cs="宋体"/>
        </w:rPr>
        <w:t xml:space="preserve">A.1 </w:t>
      </w:r>
      <w:r>
        <w:rPr>
          <w:rFonts w:hint="eastAsia" w:hAnsi="宋体" w:cs="宋体"/>
          <w:kern w:val="0"/>
          <w:szCs w:val="20"/>
          <w14:scene3d>
            <w14:lightRig w14:rig="threePt" w14:dir="t">
              <w14:rot w14:lat="0" w14:lon="0" w14:rev="0"/>
            </w14:lightRig>
          </w14:scene3d>
        </w:rPr>
        <w:t>法律法规类</w:t>
      </w:r>
      <w:r>
        <w:rPr>
          <w:rFonts w:hint="eastAsia" w:hAnsi="宋体" w:cs="宋体"/>
        </w:rPr>
        <w:tab/>
      </w:r>
      <w:r>
        <w:rPr>
          <w:rFonts w:hint="eastAsia" w:hAnsi="宋体" w:cs="宋体"/>
        </w:rPr>
        <w:fldChar w:fldCharType="begin"/>
      </w:r>
      <w:r>
        <w:rPr>
          <w:rFonts w:hint="eastAsia" w:hAnsi="宋体" w:cs="宋体"/>
        </w:rPr>
        <w:instrText xml:space="preserve"> PAGEREF _Toc27894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08405036">
      <w:pPr>
        <w:pStyle w:val="24"/>
        <w:tabs>
          <w:tab w:val="right" w:leader="dot" w:pos="9354"/>
          <w:tab w:val="clear" w:pos="9344"/>
        </w:tabs>
        <w:rPr>
          <w:rFonts w:hAnsi="宋体" w:cs="宋体"/>
        </w:rPr>
      </w:pPr>
      <w:r>
        <w:fldChar w:fldCharType="begin"/>
      </w:r>
      <w:r>
        <w:instrText xml:space="preserve"> HYPERLINK \l "_Toc19794" </w:instrText>
      </w:r>
      <w:r>
        <w:fldChar w:fldCharType="separate"/>
      </w:r>
      <w:r>
        <w:rPr>
          <w:rFonts w:hint="eastAsia" w:hAnsi="宋体" w:cs="宋体"/>
        </w:rPr>
        <w:t xml:space="preserve">A.2 </w:t>
      </w:r>
      <w:r>
        <w:rPr>
          <w:rFonts w:hint="eastAsia" w:hAnsi="宋体" w:cs="宋体"/>
          <w:kern w:val="0"/>
          <w:szCs w:val="20"/>
          <w14:scene3d>
            <w14:lightRig w14:rig="threePt" w14:dir="t">
              <w14:rot w14:lat="0" w14:lon="0" w14:rev="0"/>
            </w14:lightRig>
          </w14:scene3d>
        </w:rPr>
        <w:t>标准</w:t>
      </w:r>
      <w:r>
        <w:rPr>
          <w:rFonts w:hint="eastAsia" w:hAnsi="宋体" w:cs="宋体"/>
        </w:rPr>
        <w:tab/>
      </w:r>
      <w:r>
        <w:rPr>
          <w:rFonts w:hint="eastAsia" w:hAnsi="宋体" w:cs="宋体"/>
        </w:rPr>
        <w:fldChar w:fldCharType="begin"/>
      </w:r>
      <w:r>
        <w:rPr>
          <w:rFonts w:hint="eastAsia" w:hAnsi="宋体" w:cs="宋体"/>
        </w:rPr>
        <w:instrText xml:space="preserve"> PAGEREF _Toc19794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08BB4A57">
      <w:pPr>
        <w:pStyle w:val="24"/>
        <w:tabs>
          <w:tab w:val="right" w:leader="dot" w:pos="9354"/>
          <w:tab w:val="clear" w:pos="9344"/>
        </w:tabs>
        <w:rPr>
          <w:rFonts w:hAnsi="宋体" w:cs="宋体"/>
        </w:rPr>
      </w:pPr>
      <w:r>
        <w:fldChar w:fldCharType="begin"/>
      </w:r>
      <w:r>
        <w:instrText xml:space="preserve"> HYPERLINK \l "_Toc2230" </w:instrText>
      </w:r>
      <w:r>
        <w:fldChar w:fldCharType="separate"/>
      </w:r>
      <w:r>
        <w:rPr>
          <w:rFonts w:hint="eastAsia" w:hAnsi="宋体" w:cs="宋体"/>
        </w:rPr>
        <w:t>A.3 工伤预防教科书</w:t>
      </w:r>
      <w:r>
        <w:rPr>
          <w:rFonts w:hint="eastAsia" w:hAnsi="宋体" w:cs="宋体"/>
        </w:rPr>
        <w:tab/>
      </w:r>
      <w:r>
        <w:rPr>
          <w:rFonts w:hint="eastAsia" w:hAnsi="宋体" w:cs="宋体"/>
        </w:rPr>
        <w:fldChar w:fldCharType="begin"/>
      </w:r>
      <w:r>
        <w:rPr>
          <w:rFonts w:hint="eastAsia" w:hAnsi="宋体" w:cs="宋体"/>
        </w:rPr>
        <w:instrText xml:space="preserve"> PAGEREF _Toc2230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1C2F1250">
      <w:pPr>
        <w:pStyle w:val="19"/>
        <w:tabs>
          <w:tab w:val="right" w:leader="dot" w:pos="9354"/>
        </w:tabs>
        <w:rPr>
          <w:rFonts w:hAnsi="宋体" w:cs="宋体"/>
        </w:rPr>
      </w:pPr>
      <w:r>
        <w:fldChar w:fldCharType="begin"/>
      </w:r>
      <w:r>
        <w:instrText xml:space="preserve"> HYPERLINK \l "_Toc29259" </w:instrText>
      </w:r>
      <w:r>
        <w:fldChar w:fldCharType="separate"/>
      </w:r>
      <w:r>
        <w:rPr>
          <w:rFonts w:hint="eastAsia" w:hAnsi="宋体" w:cs="宋体"/>
        </w:rPr>
        <w:t>附录B（</w:t>
      </w:r>
      <w:r>
        <w:rPr>
          <w:rFonts w:hint="eastAsia" w:hAnsi="宋体" w:cs="宋体"/>
          <w:spacing w:val="10"/>
        </w:rPr>
        <w:t>规范性附录</w:t>
      </w:r>
      <w:r>
        <w:rPr>
          <w:rFonts w:hint="eastAsia" w:hAnsi="宋体" w:cs="宋体"/>
        </w:rPr>
        <w:t xml:space="preserve">） </w:t>
      </w:r>
      <w:r>
        <w:rPr>
          <w:rFonts w:hint="eastAsia" w:hAnsi="宋体" w:cs="宋体"/>
          <w:spacing w:val="7"/>
        </w:rPr>
        <w:t>三阶段</w:t>
      </w:r>
      <w:r>
        <w:rPr>
          <w:rFonts w:hint="eastAsia" w:hAnsi="宋体" w:cs="宋体"/>
        </w:rPr>
        <w:t>培训</w:t>
      </w:r>
      <w:r>
        <w:rPr>
          <w:rFonts w:hint="eastAsia" w:hAnsi="宋体" w:cs="宋体"/>
          <w:spacing w:val="7"/>
        </w:rPr>
        <w:t>计划</w:t>
      </w:r>
      <w:r>
        <w:rPr>
          <w:rFonts w:hint="eastAsia" w:hAnsi="宋体" w:cs="宋体"/>
        </w:rPr>
        <w:tab/>
      </w:r>
      <w:r>
        <w:rPr>
          <w:rFonts w:hint="eastAsia" w:hAnsi="宋体" w:cs="宋体"/>
        </w:rPr>
        <w:fldChar w:fldCharType="begin"/>
      </w:r>
      <w:r>
        <w:rPr>
          <w:rFonts w:hint="eastAsia" w:hAnsi="宋体" w:cs="宋体"/>
        </w:rPr>
        <w:instrText xml:space="preserve"> PAGEREF _Toc29259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0EE59BF0">
      <w:pPr>
        <w:pStyle w:val="24"/>
        <w:tabs>
          <w:tab w:val="right" w:leader="dot" w:pos="9354"/>
          <w:tab w:val="clear" w:pos="9344"/>
        </w:tabs>
        <w:rPr>
          <w:rFonts w:hAnsi="宋体" w:cs="宋体"/>
        </w:rPr>
      </w:pPr>
      <w:r>
        <w:fldChar w:fldCharType="begin"/>
      </w:r>
      <w:r>
        <w:instrText xml:space="preserve"> HYPERLINK \l "_Toc3772" </w:instrText>
      </w:r>
      <w:r>
        <w:fldChar w:fldCharType="separate"/>
      </w:r>
      <w:r>
        <w:rPr>
          <w:rFonts w:hint="eastAsia" w:hAnsi="宋体" w:cs="宋体"/>
        </w:rPr>
        <w:t xml:space="preserve">B.1 </w:t>
      </w:r>
      <w:r>
        <w:rPr>
          <w:rFonts w:hint="eastAsia" w:hAnsi="宋体" w:cs="宋体"/>
          <w:spacing w:val="5"/>
        </w:rPr>
        <w:t>第一阶段 (</w:t>
      </w:r>
      <w:r>
        <w:rPr>
          <w:rFonts w:hint="eastAsia" w:hAnsi="宋体" w:cs="宋体"/>
        </w:rPr>
        <w:t>基础知识培训</w:t>
      </w:r>
      <w:r>
        <w:rPr>
          <w:rFonts w:hint="eastAsia" w:hAnsi="宋体" w:cs="宋体"/>
          <w:spacing w:val="5"/>
        </w:rPr>
        <w:t>)大纲</w:t>
      </w:r>
      <w:r>
        <w:rPr>
          <w:rFonts w:hint="eastAsia" w:hAnsi="宋体" w:cs="宋体"/>
        </w:rPr>
        <w:tab/>
      </w:r>
      <w:r>
        <w:rPr>
          <w:rFonts w:hint="eastAsia" w:hAnsi="宋体" w:cs="宋体"/>
        </w:rPr>
        <w:fldChar w:fldCharType="begin"/>
      </w:r>
      <w:r>
        <w:rPr>
          <w:rFonts w:hint="eastAsia" w:hAnsi="宋体" w:cs="宋体"/>
        </w:rPr>
        <w:instrText xml:space="preserve"> PAGEREF _Toc3772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7F3D361B">
      <w:pPr>
        <w:pStyle w:val="24"/>
        <w:tabs>
          <w:tab w:val="right" w:leader="dot" w:pos="9354"/>
          <w:tab w:val="clear" w:pos="9344"/>
        </w:tabs>
        <w:rPr>
          <w:rFonts w:hAnsi="宋体" w:cs="宋体"/>
        </w:rPr>
      </w:pPr>
      <w:r>
        <w:fldChar w:fldCharType="begin"/>
      </w:r>
      <w:r>
        <w:instrText xml:space="preserve"> HYPERLINK \l "_Toc26765" </w:instrText>
      </w:r>
      <w:r>
        <w:fldChar w:fldCharType="separate"/>
      </w:r>
      <w:r>
        <w:rPr>
          <w:rFonts w:hint="eastAsia" w:hAnsi="宋体" w:cs="宋体"/>
        </w:rPr>
        <w:t xml:space="preserve">B.2 </w:t>
      </w:r>
      <w:r>
        <w:rPr>
          <w:rFonts w:hint="eastAsia" w:hAnsi="宋体" w:cs="宋体"/>
          <w:spacing w:val="5"/>
        </w:rPr>
        <w:t>第二阶段 (能力提高培训)计划</w:t>
      </w:r>
      <w:r>
        <w:rPr>
          <w:rFonts w:hint="eastAsia" w:hAnsi="宋体" w:cs="宋体"/>
        </w:rPr>
        <w:tab/>
      </w:r>
      <w:r>
        <w:rPr>
          <w:rFonts w:hint="eastAsia" w:hAnsi="宋体" w:cs="宋体"/>
        </w:rPr>
        <w:fldChar w:fldCharType="begin"/>
      </w:r>
      <w:r>
        <w:rPr>
          <w:rFonts w:hint="eastAsia" w:hAnsi="宋体" w:cs="宋体"/>
        </w:rPr>
        <w:instrText xml:space="preserve"> PAGEREF _Toc26765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38E1D414">
      <w:pPr>
        <w:pStyle w:val="24"/>
        <w:tabs>
          <w:tab w:val="right" w:leader="dot" w:pos="9354"/>
          <w:tab w:val="clear" w:pos="9344"/>
        </w:tabs>
        <w:rPr>
          <w:rFonts w:hAnsi="宋体" w:cs="宋体"/>
        </w:rPr>
      </w:pPr>
      <w:r>
        <w:fldChar w:fldCharType="begin"/>
      </w:r>
      <w:r>
        <w:instrText xml:space="preserve"> HYPERLINK \l "_Toc23967" </w:instrText>
      </w:r>
      <w:r>
        <w:fldChar w:fldCharType="separate"/>
      </w:r>
      <w:r>
        <w:rPr>
          <w:rFonts w:hint="eastAsia" w:hAnsi="宋体" w:cs="宋体"/>
        </w:rPr>
        <w:t xml:space="preserve">B.3 </w:t>
      </w:r>
      <w:r>
        <w:rPr>
          <w:rFonts w:hint="eastAsia" w:hAnsi="宋体" w:cs="宋体"/>
          <w:spacing w:val="14"/>
        </w:rPr>
        <w:t>第三</w:t>
      </w:r>
      <w:r>
        <w:rPr>
          <w:rFonts w:hint="eastAsia" w:hAnsi="宋体" w:cs="宋体"/>
          <w:spacing w:val="7"/>
        </w:rPr>
        <w:t>阶段 (</w:t>
      </w:r>
      <w:r>
        <w:rPr>
          <w:rFonts w:hint="eastAsia" w:hAnsi="宋体" w:cs="宋体"/>
        </w:rPr>
        <w:t>互动实践培训</w:t>
      </w:r>
      <w:r>
        <w:rPr>
          <w:rFonts w:hint="eastAsia" w:hAnsi="宋体" w:cs="宋体"/>
          <w:spacing w:val="7"/>
        </w:rPr>
        <w:t>)计</w:t>
      </w:r>
      <w:r>
        <w:rPr>
          <w:rFonts w:hint="eastAsia" w:hAnsi="宋体" w:cs="宋体"/>
          <w:spacing w:val="5"/>
        </w:rPr>
        <w:t>划</w:t>
      </w:r>
      <w:r>
        <w:rPr>
          <w:rFonts w:hint="eastAsia" w:hAnsi="宋体" w:cs="宋体"/>
        </w:rPr>
        <w:tab/>
      </w:r>
      <w:r>
        <w:rPr>
          <w:rFonts w:hint="eastAsia" w:hAnsi="宋体" w:cs="宋体"/>
        </w:rPr>
        <w:fldChar w:fldCharType="begin"/>
      </w:r>
      <w:r>
        <w:rPr>
          <w:rFonts w:hint="eastAsia" w:hAnsi="宋体" w:cs="宋体"/>
        </w:rPr>
        <w:instrText xml:space="preserve"> PAGEREF _Toc23967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64231039">
      <w:pPr>
        <w:pStyle w:val="19"/>
        <w:tabs>
          <w:tab w:val="right" w:leader="dot" w:pos="9354"/>
        </w:tabs>
      </w:pPr>
      <w:r>
        <w:fldChar w:fldCharType="begin"/>
      </w:r>
      <w:r>
        <w:instrText xml:space="preserve"> HYPERLINK \l "_Toc1798" </w:instrText>
      </w:r>
      <w:r>
        <w:fldChar w:fldCharType="separate"/>
      </w:r>
      <w:r>
        <w:rPr>
          <w:rFonts w:hint="eastAsia" w:hAnsi="宋体" w:cs="宋体"/>
          <w:spacing w:val="105"/>
        </w:rPr>
        <w:t>参考文</w:t>
      </w:r>
      <w:r>
        <w:rPr>
          <w:rFonts w:hint="eastAsia" w:hAnsi="宋体" w:cs="宋体"/>
        </w:rPr>
        <w:t>献</w:t>
      </w:r>
      <w:r>
        <w:rPr>
          <w:rFonts w:hint="eastAsia" w:hAnsi="宋体" w:cs="宋体"/>
        </w:rPr>
        <w:tab/>
      </w:r>
      <w:r>
        <w:rPr>
          <w:rFonts w:hint="eastAsia" w:hAnsi="宋体" w:cs="宋体"/>
        </w:rPr>
        <w:fldChar w:fldCharType="begin"/>
      </w:r>
      <w:r>
        <w:rPr>
          <w:rFonts w:hint="eastAsia" w:hAnsi="宋体" w:cs="宋体"/>
        </w:rPr>
        <w:instrText xml:space="preserve"> PAGEREF _Toc1798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1089AEFC">
      <w:pPr>
        <w:pStyle w:val="19"/>
        <w:tabs>
          <w:tab w:val="right" w:leader="dot" w:pos="9354"/>
        </w:tabs>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hAnsi="宋体" w:cs="宋体"/>
        </w:rPr>
        <w:fldChar w:fldCharType="end"/>
      </w:r>
    </w:p>
    <w:bookmarkEnd w:id="2"/>
    <w:p w14:paraId="71CAEA51">
      <w:pPr>
        <w:pStyle w:val="89"/>
        <w:spacing w:before="900" w:after="360"/>
      </w:pPr>
      <w:bookmarkStart w:id="4" w:name="_Toc23582"/>
      <w:bookmarkStart w:id="5" w:name="BookMark2"/>
      <w:r>
        <w:rPr>
          <w:spacing w:val="320"/>
        </w:rPr>
        <w:t>前</w:t>
      </w:r>
      <w:r>
        <w:t>言</w:t>
      </w:r>
      <w:bookmarkEnd w:id="3"/>
      <w:bookmarkEnd w:id="4"/>
    </w:p>
    <w:p w14:paraId="777546E2">
      <w:pPr>
        <w:pStyle w:val="56"/>
        <w:ind w:firstLine="420"/>
      </w:pPr>
      <w:r>
        <w:rPr>
          <w:rFonts w:hint="eastAsia"/>
        </w:rPr>
        <w:t>本文件按照GB/T 1.1—2020《标准化工作导则  第1部分：标准化文件的结构和起草规则》的规定起草。</w:t>
      </w:r>
    </w:p>
    <w:p w14:paraId="4A05079B">
      <w:pPr>
        <w:pStyle w:val="56"/>
        <w:ind w:firstLine="420"/>
      </w:pPr>
      <w:r>
        <w:rPr>
          <w:rFonts w:hint="eastAsia"/>
        </w:rPr>
        <w:t>T/CASMES 《用人单位职工岗位工伤预防培训指南》分为以下五部分：</w:t>
      </w:r>
    </w:p>
    <w:p w14:paraId="01F5AB12">
      <w:pPr>
        <w:pStyle w:val="56"/>
        <w:ind w:firstLine="420"/>
      </w:pPr>
      <w:r>
        <w:rPr>
          <w:rFonts w:hint="eastAsia"/>
        </w:rPr>
        <w:t>—— 第1部分：工伤预防导师；</w:t>
      </w:r>
    </w:p>
    <w:p w14:paraId="49191AB7">
      <w:pPr>
        <w:pStyle w:val="56"/>
        <w:ind w:firstLine="420"/>
      </w:pPr>
      <w:r>
        <w:rPr>
          <w:rFonts w:hint="eastAsia"/>
        </w:rPr>
        <w:t>—— 第2部分：“三类”管理人员；</w:t>
      </w:r>
    </w:p>
    <w:p w14:paraId="7E0D6CAE">
      <w:pPr>
        <w:pStyle w:val="56"/>
        <w:ind w:firstLine="420"/>
      </w:pPr>
      <w:r>
        <w:rPr>
          <w:rFonts w:hint="eastAsia"/>
        </w:rPr>
        <w:t>—— 第3部分：岗位职工；</w:t>
      </w:r>
    </w:p>
    <w:p w14:paraId="5ACC573E">
      <w:pPr>
        <w:pStyle w:val="56"/>
        <w:ind w:firstLine="420"/>
      </w:pPr>
      <w:r>
        <w:rPr>
          <w:rFonts w:hint="eastAsia"/>
        </w:rPr>
        <w:t>—— 第4部分：岗位职工培训效果评估；</w:t>
      </w:r>
    </w:p>
    <w:p w14:paraId="7EFD019D">
      <w:pPr>
        <w:pStyle w:val="56"/>
        <w:ind w:firstLine="420"/>
      </w:pPr>
      <w:r>
        <w:rPr>
          <w:rFonts w:hint="eastAsia"/>
        </w:rPr>
        <w:t>—— 第5部分：职工岗位工伤风险评估。</w:t>
      </w:r>
    </w:p>
    <w:p w14:paraId="0327E781">
      <w:pPr>
        <w:pStyle w:val="56"/>
        <w:ind w:firstLine="420"/>
      </w:pPr>
      <w:r>
        <w:rPr>
          <w:rFonts w:hint="eastAsia"/>
        </w:rPr>
        <w:t xml:space="preserve">本文件为T/CASMES </w:t>
      </w:r>
      <w:r>
        <w:rPr>
          <w:rFonts w:hint="eastAsia"/>
        </w:rPr>
        <w:fldChar w:fldCharType="begin">
          <w:ffData>
            <w:name w:val="NSTD_CODE_B"/>
            <w:enabled/>
            <w:calcOnExit w:val="0"/>
            <w:textInput>
              <w:default w:val="XXX"/>
            </w:textInput>
          </w:ffData>
        </w:fldChar>
      </w:r>
      <w:r>
        <w:rPr>
          <w:rFonts w:hint="eastAsia"/>
        </w:rPr>
        <w:instrText xml:space="preserve">FORMTEXT</w:instrText>
      </w:r>
      <w:r>
        <w:rPr>
          <w:rFonts w:hint="eastAsia"/>
        </w:rPr>
        <w:fldChar w:fldCharType="separate"/>
      </w:r>
      <w:r>
        <w:rPr>
          <w:rFonts w:hint="eastAsia"/>
        </w:rPr>
        <w:t>XXX</w:t>
      </w:r>
      <w:r>
        <w:rPr>
          <w:rFonts w:hint="eastAsia"/>
        </w:rPr>
        <w:fldChar w:fldCharType="end"/>
      </w:r>
      <w:r>
        <w:rPr>
          <w:rFonts w:hint="eastAsia"/>
        </w:rPr>
        <w:t xml:space="preserve"> 第3部分 岗位职工。</w:t>
      </w:r>
    </w:p>
    <w:p w14:paraId="7962F37C">
      <w:pPr>
        <w:pStyle w:val="56"/>
        <w:ind w:firstLine="420"/>
      </w:pPr>
      <w:r>
        <w:rPr>
          <w:rFonts w:hint="eastAsia"/>
        </w:rPr>
        <w:t>请注意本文件的某些内容可能涉及专利。本文件的发布机构不承担识别专利的责任。</w:t>
      </w:r>
    </w:p>
    <w:p w14:paraId="645E7F16">
      <w:pPr>
        <w:pStyle w:val="56"/>
        <w:ind w:firstLine="420"/>
      </w:pPr>
      <w:r>
        <w:rPr>
          <w:rFonts w:hint="eastAsia"/>
        </w:rPr>
        <w:t>本文件由中国中小企业协会提出。</w:t>
      </w:r>
    </w:p>
    <w:p w14:paraId="300F20AF">
      <w:pPr>
        <w:pStyle w:val="56"/>
        <w:ind w:firstLine="420"/>
      </w:pPr>
      <w:r>
        <w:rPr>
          <w:rFonts w:hint="eastAsia"/>
        </w:rPr>
        <w:t>本文件由中国中小企业协会归口。</w:t>
      </w:r>
    </w:p>
    <w:p w14:paraId="6887C684">
      <w:pPr>
        <w:pStyle w:val="56"/>
        <w:ind w:firstLine="420"/>
        <w:rPr>
          <w:rFonts w:hint="eastAsia"/>
        </w:rPr>
      </w:pPr>
      <w:r>
        <w:rPr>
          <w:rFonts w:hint="eastAsia"/>
        </w:rPr>
        <w:t>本文件起草单位：本文件起草单位：</w:t>
      </w:r>
      <w:r>
        <w:rPr>
          <w:rFonts w:hint="eastAsia" w:ascii="宋体" w:hAnsi="Times New Roman" w:eastAsia="宋体" w:cs="Times New Roman"/>
          <w:lang w:val="en-US" w:eastAsia="zh-CN"/>
        </w:rPr>
        <w:t>中国工伤预防专业委员、天津东方泰瑞科技有限公司、广东省工伤康复中心、中质应安（浙江）科技有限公司、天津市天科安全生产科学研究院有限公司、百诚（北京）工程咨询有限公司、长沙妍泽教育咨询有限公司、</w:t>
      </w:r>
      <w:r>
        <w:rPr>
          <w:rFonts w:hint="eastAsia" w:ascii="宋体" w:hAnsi="宋体" w:eastAsia="宋体" w:cs="宋体"/>
          <w:b w:val="0"/>
          <w:bCs w:val="0"/>
          <w:sz w:val="21"/>
          <w:szCs w:val="21"/>
          <w:lang w:val="en-US" w:eastAsia="zh-CN"/>
        </w:rPr>
        <w:t>浙江省交通集团有限公司申苏浙皖分公司、</w:t>
      </w:r>
      <w:r>
        <w:rPr>
          <w:rFonts w:hint="eastAsia" w:ascii="宋体" w:hAnsi="Times New Roman" w:eastAsia="宋体" w:cs="Times New Roman"/>
          <w:lang w:val="en-US" w:eastAsia="zh-CN"/>
        </w:rPr>
        <w:t>浙江沪杭甬高速公路股份有限公司、浙江申嘉湖杭高速公路有限公司、浙江杭宁高速公路有限责任公司、新凤鸣集团湖州中石科技有限公司、浙江美欣达欣启源环保科技有限公司、浙江欣未来人才发展有限公司。</w:t>
      </w:r>
    </w:p>
    <w:p w14:paraId="52E6244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sz w:val="21"/>
          <w:szCs w:val="21"/>
          <w:lang w:val="en-US" w:eastAsia="zh-CN"/>
        </w:rPr>
      </w:pPr>
      <w:bookmarkStart w:id="72" w:name="_GoBack"/>
      <w:bookmarkEnd w:id="72"/>
      <w:r>
        <w:rPr>
          <w:rFonts w:hint="eastAsia"/>
        </w:rPr>
        <w:t>本文件主要起草人：</w:t>
      </w:r>
      <w:r>
        <w:rPr>
          <w:rFonts w:hint="eastAsia"/>
          <w:lang w:val="en-US" w:eastAsia="zh-CN"/>
        </w:rPr>
        <w:t>李华、</w:t>
      </w:r>
      <w:r>
        <w:rPr>
          <w:rFonts w:hint="eastAsia" w:ascii="宋体" w:hAnsi="宋体" w:eastAsia="宋体" w:cs="宋体"/>
          <w:b w:val="0"/>
          <w:bCs w:val="0"/>
          <w:sz w:val="21"/>
          <w:szCs w:val="21"/>
          <w:lang w:val="en-US" w:eastAsia="zh-CN"/>
        </w:rPr>
        <w:t>刘辉霞、王绪亭、吴健华</w:t>
      </w:r>
      <w:r>
        <w:rPr>
          <w:rFonts w:hint="eastAsia" w:ascii="宋体" w:hAnsi="宋体" w:eastAsia="宋体" w:cs="宋体"/>
          <w:b w:val="0"/>
          <w:bCs w:val="0"/>
          <w:sz w:val="21"/>
          <w:szCs w:val="21"/>
          <w:u w:val="none"/>
          <w:lang w:val="en-US" w:eastAsia="zh-CN"/>
        </w:rPr>
        <w:t>、戴琤</w:t>
      </w:r>
      <w:r>
        <w:rPr>
          <w:rFonts w:hint="eastAsia" w:ascii="宋体" w:hAnsi="宋体" w:eastAsia="宋体" w:cs="宋体"/>
          <w:b w:val="0"/>
          <w:bCs w:val="0"/>
          <w:sz w:val="21"/>
          <w:szCs w:val="21"/>
          <w:lang w:val="en-US" w:eastAsia="zh-CN"/>
        </w:rPr>
        <w:t>、</w:t>
      </w:r>
      <w:r>
        <w:rPr>
          <w:rFonts w:hint="eastAsia" w:ascii="宋体" w:hAnsi="宋体" w:eastAsia="宋体" w:cs="宋体"/>
          <w:b w:val="0"/>
          <w:bCs w:val="0"/>
          <w:snapToGrid/>
          <w:spacing w:val="0"/>
          <w:kern w:val="2"/>
          <w:sz w:val="21"/>
          <w:szCs w:val="21"/>
          <w:lang w:val="en-US" w:eastAsia="zh-CN" w:bidi="ar-SA"/>
        </w:rPr>
        <w:t>汤成江、周永安、</w:t>
      </w:r>
      <w:r>
        <w:rPr>
          <w:rFonts w:hint="eastAsia" w:ascii="宋体" w:hAnsi="宋体" w:eastAsia="宋体" w:cs="宋体"/>
          <w:b w:val="0"/>
          <w:bCs w:val="0"/>
          <w:sz w:val="21"/>
          <w:szCs w:val="21"/>
          <w:lang w:val="en-US" w:eastAsia="zh-CN"/>
        </w:rPr>
        <w:t>李立新</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马亚琦、</w:t>
      </w:r>
      <w:r>
        <w:rPr>
          <w:rFonts w:hint="eastAsia" w:ascii="宋体" w:hAnsi="宋体" w:eastAsia="宋体" w:cs="宋体"/>
          <w:b w:val="0"/>
          <w:bCs w:val="0"/>
          <w:sz w:val="21"/>
          <w:szCs w:val="21"/>
          <w:u w:val="none"/>
          <w:lang w:val="en-US" w:eastAsia="zh-CN"/>
        </w:rPr>
        <w:t>王义金、王法欣、喻颜</w:t>
      </w:r>
      <w:r>
        <w:rPr>
          <w:rFonts w:hint="eastAsia" w:ascii="宋体" w:hAnsi="宋体" w:eastAsia="宋体" w:cs="宋体"/>
          <w:b w:val="0"/>
          <w:bCs w:val="0"/>
          <w:sz w:val="21"/>
          <w:szCs w:val="21"/>
          <w:lang w:val="en-US" w:eastAsia="zh-CN"/>
        </w:rPr>
        <w:t>、张强、</w:t>
      </w:r>
      <w:r>
        <w:rPr>
          <w:rFonts w:hint="eastAsia" w:ascii="宋体" w:hAnsi="宋体" w:eastAsia="宋体" w:cs="宋体"/>
          <w:b w:val="0"/>
          <w:bCs w:val="0"/>
          <w:sz w:val="21"/>
          <w:szCs w:val="21"/>
          <w:u w:val="none"/>
          <w:lang w:val="en-US" w:eastAsia="zh-CN"/>
        </w:rPr>
        <w:t>赵灵利、</w:t>
      </w:r>
      <w:r>
        <w:rPr>
          <w:rFonts w:hint="eastAsia" w:ascii="宋体" w:hAnsi="宋体" w:eastAsia="宋体" w:cs="宋体"/>
          <w:b w:val="0"/>
          <w:bCs w:val="0"/>
          <w:snapToGrid/>
          <w:spacing w:val="0"/>
          <w:kern w:val="2"/>
          <w:sz w:val="21"/>
          <w:szCs w:val="21"/>
          <w:lang w:val="en-US" w:eastAsia="zh-CN" w:bidi="ar-SA"/>
        </w:rPr>
        <w:t>谭莎莉、</w:t>
      </w:r>
      <w:r>
        <w:rPr>
          <w:rFonts w:hint="eastAsia" w:ascii="宋体" w:hAnsi="宋体" w:eastAsia="宋体" w:cs="宋体"/>
          <w:b w:val="0"/>
          <w:bCs w:val="0"/>
          <w:sz w:val="21"/>
          <w:szCs w:val="21"/>
          <w:lang w:val="en-US" w:eastAsia="zh-CN"/>
        </w:rPr>
        <w:t>徐明</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刘文辉、王昕，邱冠林、</w:t>
      </w:r>
      <w:r>
        <w:rPr>
          <w:rFonts w:hint="eastAsia" w:ascii="宋体" w:hAnsi="宋体" w:eastAsia="宋体" w:cs="宋体"/>
          <w:b w:val="0"/>
          <w:bCs w:val="0"/>
          <w:sz w:val="21"/>
          <w:szCs w:val="21"/>
          <w:u w:val="none"/>
          <w:lang w:val="en-US" w:eastAsia="zh-CN"/>
        </w:rPr>
        <w:t>朱华、邱丽华、</w:t>
      </w:r>
      <w:r>
        <w:rPr>
          <w:rFonts w:hint="eastAsia" w:ascii="宋体" w:hAnsi="宋体" w:eastAsia="宋体" w:cs="宋体"/>
          <w:b w:val="0"/>
          <w:bCs w:val="0"/>
          <w:sz w:val="21"/>
          <w:szCs w:val="21"/>
          <w:lang w:val="en-US" w:eastAsia="zh-CN"/>
        </w:rPr>
        <w:t>李艳波、殳铭洁、李君、戴宗丞、</w:t>
      </w:r>
      <w:r>
        <w:rPr>
          <w:rFonts w:hint="eastAsia" w:ascii="宋体" w:hAnsi="宋体" w:eastAsia="宋体" w:cs="宋体"/>
          <w:b w:val="0"/>
          <w:bCs w:val="0"/>
          <w:sz w:val="21"/>
          <w:szCs w:val="21"/>
          <w:u w:val="none"/>
          <w:lang w:val="en-US" w:eastAsia="zh-CN"/>
        </w:rPr>
        <w:t>李妍</w:t>
      </w:r>
      <w:r>
        <w:rPr>
          <w:rFonts w:hint="eastAsia" w:ascii="宋体" w:hAnsi="宋体" w:cs="宋体"/>
          <w:b w:val="0"/>
          <w:bCs w:val="0"/>
          <w:sz w:val="21"/>
          <w:szCs w:val="21"/>
          <w:u w:val="none"/>
          <w:lang w:val="en-US" w:eastAsia="zh-CN"/>
        </w:rPr>
        <w:t>、</w:t>
      </w:r>
      <w:r>
        <w:rPr>
          <w:rFonts w:hint="eastAsia" w:ascii="宋体" w:hAnsi="宋体" w:eastAsia="宋体" w:cs="宋体"/>
          <w:b w:val="0"/>
          <w:bCs w:val="0"/>
          <w:sz w:val="21"/>
          <w:szCs w:val="21"/>
          <w:u w:val="none"/>
          <w:lang w:val="en-US" w:eastAsia="zh-CN"/>
        </w:rPr>
        <w:t>姚志强、潘旻峰、嵇立明、张正阳、李聪聪</w:t>
      </w:r>
    </w:p>
    <w:p w14:paraId="11BEF8B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u w:val="none"/>
          <w:lang w:val="en-US" w:eastAsia="zh-CN"/>
        </w:rPr>
        <w:t>。</w:t>
      </w:r>
    </w:p>
    <w:p w14:paraId="72C13230">
      <w:pPr>
        <w:pStyle w:val="56"/>
        <w:ind w:firstLine="420"/>
      </w:pPr>
    </w:p>
    <w:p w14:paraId="0FB090EB">
      <w:pPr>
        <w:pStyle w:val="56"/>
        <w:ind w:firstLine="420"/>
      </w:pPr>
    </w:p>
    <w:p w14:paraId="27742BCF">
      <w:pPr>
        <w:pStyle w:val="56"/>
        <w:ind w:firstLine="420"/>
      </w:pPr>
    </w:p>
    <w:p w14:paraId="4322CF3E">
      <w:pPr>
        <w:pStyle w:val="56"/>
        <w:ind w:firstLine="420"/>
      </w:pPr>
    </w:p>
    <w:p w14:paraId="521D9A8D">
      <w:pPr>
        <w:pStyle w:val="56"/>
        <w:ind w:firstLine="420"/>
      </w:pPr>
    </w:p>
    <w:p w14:paraId="75A9C12D">
      <w:pPr>
        <w:pStyle w:val="56"/>
        <w:ind w:firstLine="420"/>
      </w:pPr>
    </w:p>
    <w:p w14:paraId="1C3F041E">
      <w:pPr>
        <w:pStyle w:val="56"/>
        <w:ind w:firstLine="420"/>
      </w:pPr>
    </w:p>
    <w:p w14:paraId="6AEAB376">
      <w:pPr>
        <w:pStyle w:val="56"/>
        <w:ind w:firstLine="420"/>
      </w:pPr>
    </w:p>
    <w:p w14:paraId="28E5E5E6">
      <w:pPr>
        <w:pStyle w:val="56"/>
        <w:ind w:firstLine="420"/>
      </w:pPr>
    </w:p>
    <w:p w14:paraId="309C6700">
      <w:pPr>
        <w:pStyle w:val="56"/>
        <w:ind w:firstLine="420"/>
      </w:pPr>
    </w:p>
    <w:p w14:paraId="43361B93">
      <w:pPr>
        <w:pStyle w:val="56"/>
        <w:ind w:firstLine="420"/>
      </w:pPr>
    </w:p>
    <w:p w14:paraId="19129855">
      <w:pPr>
        <w:pStyle w:val="56"/>
        <w:ind w:firstLine="420"/>
      </w:pPr>
    </w:p>
    <w:p w14:paraId="5148C8FD">
      <w:pPr>
        <w:pStyle w:val="56"/>
        <w:ind w:firstLine="420"/>
      </w:pPr>
    </w:p>
    <w:p w14:paraId="2EB77354">
      <w:pPr>
        <w:pStyle w:val="56"/>
        <w:ind w:firstLine="420"/>
      </w:pPr>
    </w:p>
    <w:p w14:paraId="59D44363">
      <w:pPr>
        <w:pStyle w:val="56"/>
        <w:ind w:firstLine="420"/>
      </w:pPr>
    </w:p>
    <w:p w14:paraId="35EC8DBA">
      <w:pPr>
        <w:pStyle w:val="56"/>
        <w:ind w:firstLine="420"/>
      </w:pPr>
    </w:p>
    <w:p w14:paraId="2F5F2ECC">
      <w:pPr>
        <w:pStyle w:val="56"/>
        <w:ind w:firstLine="420"/>
      </w:pPr>
    </w:p>
    <w:p w14:paraId="4E1080F5">
      <w:pPr>
        <w:pStyle w:val="56"/>
        <w:ind w:firstLine="420"/>
      </w:pPr>
    </w:p>
    <w:p w14:paraId="03D08FEB">
      <w:pPr>
        <w:pStyle w:val="56"/>
        <w:ind w:firstLine="420"/>
      </w:pPr>
    </w:p>
    <w:p w14:paraId="5CA2556C">
      <w:pPr>
        <w:pStyle w:val="56"/>
        <w:ind w:firstLine="420"/>
      </w:pPr>
    </w:p>
    <w:bookmarkEnd w:id="5"/>
    <w:p w14:paraId="283E941B">
      <w:pPr>
        <w:spacing w:line="20" w:lineRule="exact"/>
        <w:jc w:val="center"/>
        <w:rPr>
          <w:rFonts w:ascii="黑体" w:hAnsi="黑体" w:eastAsia="黑体"/>
          <w:sz w:val="32"/>
          <w:szCs w:val="32"/>
        </w:rPr>
      </w:pPr>
      <w:bookmarkStart w:id="6" w:name="BookMark4"/>
    </w:p>
    <w:p w14:paraId="731728D3">
      <w:pPr>
        <w:spacing w:line="20" w:lineRule="exact"/>
        <w:jc w:val="center"/>
        <w:rPr>
          <w:rFonts w:ascii="黑体" w:hAnsi="黑体" w:eastAsia="黑体"/>
          <w:sz w:val="32"/>
          <w:szCs w:val="32"/>
        </w:rPr>
      </w:pPr>
    </w:p>
    <w:p w14:paraId="7E3AE679">
      <w:pPr>
        <w:spacing w:line="20" w:lineRule="exact"/>
        <w:jc w:val="center"/>
        <w:rPr>
          <w:rFonts w:ascii="黑体" w:hAnsi="黑体" w:eastAsia="黑体"/>
          <w:sz w:val="32"/>
          <w:szCs w:val="32"/>
        </w:rPr>
      </w:pPr>
    </w:p>
    <w:p w14:paraId="5F8CE2AB">
      <w:pPr>
        <w:spacing w:line="20" w:lineRule="exact"/>
        <w:jc w:val="center"/>
        <w:rPr>
          <w:rFonts w:ascii="黑体" w:hAnsi="黑体" w:eastAsia="黑体"/>
          <w:sz w:val="32"/>
          <w:szCs w:val="32"/>
        </w:rPr>
      </w:pPr>
    </w:p>
    <w:p w14:paraId="724B9ED8">
      <w:pPr>
        <w:spacing w:line="20" w:lineRule="exact"/>
        <w:jc w:val="center"/>
        <w:rPr>
          <w:rFonts w:ascii="黑体" w:hAnsi="黑体" w:eastAsia="黑体"/>
          <w:sz w:val="32"/>
          <w:szCs w:val="32"/>
        </w:rPr>
      </w:pPr>
    </w:p>
    <w:p w14:paraId="7DD22344">
      <w:pPr>
        <w:spacing w:line="20" w:lineRule="exact"/>
        <w:jc w:val="center"/>
        <w:rPr>
          <w:rFonts w:ascii="黑体" w:hAnsi="黑体" w:eastAsia="黑体"/>
          <w:sz w:val="32"/>
          <w:szCs w:val="32"/>
        </w:rPr>
      </w:pPr>
    </w:p>
    <w:p w14:paraId="22422E03">
      <w:pPr>
        <w:spacing w:line="20" w:lineRule="exact"/>
        <w:jc w:val="center"/>
        <w:rPr>
          <w:rFonts w:ascii="黑体" w:hAnsi="黑体" w:eastAsia="黑体"/>
          <w:sz w:val="32"/>
          <w:szCs w:val="32"/>
        </w:rPr>
      </w:pPr>
    </w:p>
    <w:p w14:paraId="5B2FEA41">
      <w:pPr>
        <w:spacing w:line="20" w:lineRule="exact"/>
        <w:jc w:val="center"/>
        <w:rPr>
          <w:rFonts w:ascii="黑体" w:hAnsi="黑体" w:eastAsia="黑体"/>
          <w:sz w:val="32"/>
          <w:szCs w:val="32"/>
        </w:rPr>
      </w:pPr>
    </w:p>
    <w:p w14:paraId="25112A70">
      <w:pPr>
        <w:spacing w:line="20" w:lineRule="exact"/>
        <w:jc w:val="center"/>
        <w:rPr>
          <w:rFonts w:ascii="黑体" w:hAnsi="黑体" w:eastAsia="黑体"/>
          <w:sz w:val="32"/>
          <w:szCs w:val="32"/>
        </w:rPr>
      </w:pPr>
    </w:p>
    <w:p w14:paraId="1E0E3920">
      <w:pPr>
        <w:spacing w:line="20" w:lineRule="exact"/>
        <w:jc w:val="center"/>
        <w:rPr>
          <w:rFonts w:ascii="黑体" w:hAnsi="黑体" w:eastAsia="黑体"/>
          <w:sz w:val="32"/>
          <w:szCs w:val="32"/>
        </w:rPr>
      </w:pPr>
    </w:p>
    <w:p w14:paraId="03E43895">
      <w:pPr>
        <w:spacing w:line="20" w:lineRule="exact"/>
        <w:jc w:val="center"/>
        <w:rPr>
          <w:rFonts w:ascii="黑体" w:hAnsi="黑体" w:eastAsia="黑体"/>
          <w:sz w:val="32"/>
          <w:szCs w:val="32"/>
        </w:rPr>
      </w:pPr>
    </w:p>
    <w:p w14:paraId="2D8C78FA">
      <w:pPr>
        <w:spacing w:line="20" w:lineRule="exact"/>
        <w:jc w:val="center"/>
        <w:rPr>
          <w:rFonts w:ascii="黑体" w:hAnsi="黑体" w:eastAsia="黑体"/>
          <w:sz w:val="32"/>
          <w:szCs w:val="32"/>
        </w:rPr>
      </w:pPr>
    </w:p>
    <w:p w14:paraId="68A4494F">
      <w:pPr>
        <w:spacing w:line="20" w:lineRule="exact"/>
        <w:jc w:val="center"/>
        <w:rPr>
          <w:rFonts w:ascii="黑体" w:hAnsi="黑体" w:eastAsia="黑体"/>
          <w:sz w:val="32"/>
          <w:szCs w:val="32"/>
        </w:rPr>
      </w:pPr>
    </w:p>
    <w:p w14:paraId="1DC975D6">
      <w:pPr>
        <w:spacing w:line="20" w:lineRule="exact"/>
        <w:jc w:val="center"/>
        <w:rPr>
          <w:rFonts w:ascii="黑体" w:hAnsi="黑体" w:eastAsia="黑体"/>
          <w:sz w:val="32"/>
          <w:szCs w:val="32"/>
        </w:rPr>
      </w:pPr>
    </w:p>
    <w:p w14:paraId="5D77D267">
      <w:pPr>
        <w:spacing w:line="20" w:lineRule="exact"/>
        <w:jc w:val="center"/>
        <w:rPr>
          <w:rFonts w:ascii="黑体" w:hAnsi="黑体" w:eastAsia="黑体"/>
          <w:sz w:val="32"/>
          <w:szCs w:val="32"/>
        </w:rPr>
      </w:pPr>
    </w:p>
    <w:p w14:paraId="201A29E9">
      <w:pPr>
        <w:spacing w:line="20" w:lineRule="exact"/>
        <w:jc w:val="center"/>
        <w:rPr>
          <w:rFonts w:ascii="黑体" w:hAnsi="黑体" w:eastAsia="黑体"/>
          <w:sz w:val="32"/>
          <w:szCs w:val="32"/>
        </w:rPr>
      </w:pPr>
    </w:p>
    <w:p w14:paraId="6830910F">
      <w:pPr>
        <w:spacing w:line="20" w:lineRule="exact"/>
        <w:jc w:val="center"/>
        <w:rPr>
          <w:rFonts w:ascii="黑体" w:hAnsi="黑体" w:eastAsia="黑体"/>
          <w:sz w:val="32"/>
          <w:szCs w:val="32"/>
        </w:rPr>
      </w:pPr>
    </w:p>
    <w:p w14:paraId="24D504EB">
      <w:pPr>
        <w:spacing w:line="20" w:lineRule="exact"/>
        <w:jc w:val="center"/>
        <w:rPr>
          <w:rFonts w:ascii="黑体" w:hAnsi="黑体" w:eastAsia="黑体"/>
          <w:sz w:val="32"/>
          <w:szCs w:val="32"/>
        </w:rPr>
      </w:pPr>
    </w:p>
    <w:p w14:paraId="0090F792">
      <w:pPr>
        <w:spacing w:line="20" w:lineRule="exact"/>
        <w:jc w:val="center"/>
        <w:rPr>
          <w:rFonts w:ascii="黑体" w:hAnsi="黑体" w:eastAsia="黑体"/>
          <w:sz w:val="32"/>
          <w:szCs w:val="32"/>
        </w:rPr>
      </w:pPr>
    </w:p>
    <w:p w14:paraId="29BF03E4">
      <w:pPr>
        <w:spacing w:line="20" w:lineRule="exact"/>
        <w:jc w:val="center"/>
        <w:rPr>
          <w:rFonts w:ascii="黑体" w:hAnsi="黑体" w:eastAsia="黑体"/>
          <w:sz w:val="32"/>
          <w:szCs w:val="32"/>
        </w:rPr>
      </w:pPr>
    </w:p>
    <w:p w14:paraId="1FC8A983">
      <w:pPr>
        <w:spacing w:line="20" w:lineRule="exact"/>
        <w:jc w:val="center"/>
        <w:rPr>
          <w:rFonts w:ascii="黑体" w:hAnsi="黑体" w:eastAsia="黑体"/>
          <w:sz w:val="32"/>
          <w:szCs w:val="32"/>
        </w:rPr>
      </w:pPr>
    </w:p>
    <w:p w14:paraId="47F41850">
      <w:pPr>
        <w:spacing w:line="20" w:lineRule="exact"/>
        <w:jc w:val="center"/>
        <w:rPr>
          <w:rFonts w:ascii="黑体" w:hAnsi="黑体" w:eastAsia="黑体"/>
          <w:sz w:val="32"/>
          <w:szCs w:val="32"/>
        </w:rPr>
      </w:pPr>
    </w:p>
    <w:p w14:paraId="462B7116">
      <w:pPr>
        <w:spacing w:line="20" w:lineRule="exact"/>
        <w:jc w:val="center"/>
        <w:rPr>
          <w:rFonts w:ascii="黑体" w:hAnsi="黑体" w:eastAsia="黑体"/>
          <w:sz w:val="32"/>
          <w:szCs w:val="32"/>
        </w:rPr>
      </w:pPr>
    </w:p>
    <w:p w14:paraId="6933A127">
      <w:pPr>
        <w:spacing w:line="20" w:lineRule="exact"/>
        <w:jc w:val="center"/>
        <w:rPr>
          <w:rFonts w:ascii="黑体" w:hAnsi="黑体" w:eastAsia="黑体"/>
          <w:sz w:val="32"/>
          <w:szCs w:val="32"/>
        </w:rPr>
      </w:pPr>
    </w:p>
    <w:p w14:paraId="1BCF69B6">
      <w:pPr>
        <w:spacing w:line="20" w:lineRule="exact"/>
        <w:jc w:val="center"/>
        <w:rPr>
          <w:rFonts w:ascii="黑体" w:hAnsi="黑体" w:eastAsia="黑体"/>
          <w:sz w:val="32"/>
          <w:szCs w:val="32"/>
        </w:rPr>
      </w:pPr>
    </w:p>
    <w:p w14:paraId="3D7E2222">
      <w:pPr>
        <w:spacing w:line="20" w:lineRule="exact"/>
        <w:jc w:val="center"/>
        <w:rPr>
          <w:rFonts w:ascii="黑体" w:hAnsi="黑体" w:eastAsia="黑体"/>
          <w:sz w:val="32"/>
          <w:szCs w:val="32"/>
        </w:rPr>
      </w:pPr>
    </w:p>
    <w:p w14:paraId="06AC05F6">
      <w:pPr>
        <w:spacing w:line="20" w:lineRule="exact"/>
        <w:jc w:val="center"/>
        <w:rPr>
          <w:rFonts w:ascii="黑体" w:hAnsi="黑体" w:eastAsia="黑体"/>
          <w:sz w:val="32"/>
          <w:szCs w:val="32"/>
        </w:rPr>
      </w:pPr>
    </w:p>
    <w:p w14:paraId="2EBEC211">
      <w:pPr>
        <w:spacing w:line="20" w:lineRule="exact"/>
        <w:jc w:val="center"/>
        <w:rPr>
          <w:rFonts w:ascii="黑体" w:hAnsi="黑体" w:eastAsia="黑体"/>
          <w:sz w:val="32"/>
          <w:szCs w:val="32"/>
        </w:rPr>
      </w:pPr>
    </w:p>
    <w:p w14:paraId="4E745231">
      <w:pPr>
        <w:spacing w:line="20" w:lineRule="exact"/>
        <w:jc w:val="center"/>
        <w:rPr>
          <w:rFonts w:ascii="黑体" w:hAnsi="黑体" w:eastAsia="黑体"/>
          <w:sz w:val="32"/>
          <w:szCs w:val="32"/>
        </w:rPr>
      </w:pPr>
    </w:p>
    <w:p w14:paraId="1E7F05F8">
      <w:pPr>
        <w:spacing w:line="20" w:lineRule="exact"/>
        <w:jc w:val="center"/>
        <w:rPr>
          <w:rFonts w:ascii="黑体" w:hAnsi="黑体" w:eastAsia="黑体"/>
          <w:sz w:val="32"/>
          <w:szCs w:val="32"/>
        </w:rPr>
      </w:pPr>
    </w:p>
    <w:sdt>
      <w:sdtPr>
        <w:tag w:val="NEW_STAND_NAME"/>
        <w:id w:val="595910757"/>
        <w:lock w:val="sdtLocked"/>
        <w:placeholder>
          <w:docPart w:val="40BAD1D096DA435C958A3CC3CE42E1DA"/>
        </w:placeholder>
      </w:sdtPr>
      <w:sdtContent>
        <w:p w14:paraId="5557E6E0">
          <w:pPr>
            <w:pStyle w:val="177"/>
            <w:rPr>
              <w:rFonts w:cs="宋体"/>
              <w:kern w:val="0"/>
            </w:rPr>
          </w:pPr>
          <w:bookmarkStart w:id="7" w:name="NEW_STAND_NAME"/>
          <w:r>
            <w:rPr>
              <w:rFonts w:hint="eastAsia" w:cs="宋体"/>
              <w:kern w:val="0"/>
            </w:rPr>
            <w:t>用人单位工伤预防培训指南</w:t>
          </w:r>
        </w:p>
        <w:p w14:paraId="5699CA14">
          <w:pPr>
            <w:pStyle w:val="177"/>
          </w:pPr>
          <w:r>
            <w:rPr>
              <w:rFonts w:hint="eastAsia" w:cs="宋体"/>
            </w:rPr>
            <w:t>第3部分：岗位职工</w:t>
          </w:r>
        </w:p>
      </w:sdtContent>
    </w:sdt>
    <w:bookmarkEnd w:id="7"/>
    <w:p w14:paraId="03CADB89">
      <w:pPr>
        <w:pStyle w:val="104"/>
        <w:spacing w:before="240" w:after="240"/>
      </w:pPr>
      <w:bookmarkStart w:id="8" w:name="_Toc150014766"/>
      <w:bookmarkStart w:id="9" w:name="_Toc26718930"/>
      <w:bookmarkStart w:id="10" w:name="_Toc26986530"/>
      <w:bookmarkStart w:id="11" w:name="_Toc26648465"/>
      <w:bookmarkStart w:id="12" w:name="_Toc26986771"/>
      <w:bookmarkStart w:id="13" w:name="_Toc24884211"/>
      <w:bookmarkStart w:id="14" w:name="_Toc30181"/>
      <w:bookmarkStart w:id="15" w:name="_Toc24884218"/>
      <w:bookmarkStart w:id="16" w:name="_Toc97192964"/>
      <w:bookmarkStart w:id="17" w:name="_Toc17233325"/>
      <w:bookmarkStart w:id="18" w:name="_Toc17233333"/>
      <w:r>
        <w:rPr>
          <w:rFonts w:hint="eastAsia"/>
        </w:rPr>
        <w:t>范围</w:t>
      </w:r>
      <w:bookmarkEnd w:id="8"/>
      <w:bookmarkEnd w:id="9"/>
      <w:bookmarkEnd w:id="10"/>
      <w:bookmarkEnd w:id="11"/>
      <w:bookmarkEnd w:id="12"/>
      <w:bookmarkEnd w:id="13"/>
      <w:bookmarkEnd w:id="14"/>
      <w:bookmarkEnd w:id="15"/>
      <w:bookmarkEnd w:id="16"/>
      <w:bookmarkEnd w:id="17"/>
      <w:bookmarkEnd w:id="18"/>
    </w:p>
    <w:p w14:paraId="0CDEF834">
      <w:pPr>
        <w:pStyle w:val="56"/>
        <w:ind w:firstLine="420"/>
      </w:pPr>
      <w:bookmarkStart w:id="19" w:name="_Toc17233334"/>
      <w:bookmarkStart w:id="20" w:name="_Toc26648466"/>
      <w:bookmarkStart w:id="21" w:name="_Toc24884212"/>
      <w:bookmarkStart w:id="22" w:name="_Toc24884219"/>
      <w:bookmarkStart w:id="23" w:name="_Toc17233326"/>
      <w:r>
        <w:rPr>
          <w:rFonts w:hint="eastAsia"/>
        </w:rPr>
        <w:t>本文件给出了用人单位岗位职工伤预防培训指南，包括术语和定义、培训目的与要求、培训阶段、培训方式、培训内容、培训跟进及回访方式、档案管理等。</w:t>
      </w:r>
    </w:p>
    <w:p w14:paraId="716D7275">
      <w:pPr>
        <w:pStyle w:val="56"/>
        <w:ind w:firstLine="420"/>
      </w:pPr>
      <w:r>
        <w:rPr>
          <w:rFonts w:hint="eastAsia"/>
        </w:rPr>
        <w:t>本文件适用于缴纳工伤保险的用人单位岗位职工岗前、岗后工伤预防技能规范化培训。</w:t>
      </w:r>
    </w:p>
    <w:p w14:paraId="2053B4DB">
      <w:pPr>
        <w:pStyle w:val="104"/>
        <w:spacing w:before="240" w:after="240"/>
      </w:pPr>
      <w:bookmarkStart w:id="24" w:name="_Toc27759"/>
      <w:bookmarkStart w:id="25" w:name="_Toc150014767"/>
      <w:bookmarkStart w:id="26" w:name="_Toc26718931"/>
      <w:bookmarkStart w:id="27" w:name="_Toc97192965"/>
      <w:bookmarkStart w:id="28" w:name="_Toc26986772"/>
      <w:bookmarkStart w:id="29" w:name="_Toc26986531"/>
      <w:r>
        <w:rPr>
          <w:rFonts w:hint="eastAsia"/>
        </w:rPr>
        <w:t>规范性引用文件</w:t>
      </w:r>
      <w:bookmarkEnd w:id="19"/>
      <w:bookmarkEnd w:id="20"/>
      <w:bookmarkEnd w:id="21"/>
      <w:bookmarkEnd w:id="22"/>
      <w:bookmarkEnd w:id="23"/>
      <w:bookmarkEnd w:id="24"/>
      <w:bookmarkEnd w:id="25"/>
      <w:bookmarkEnd w:id="26"/>
      <w:bookmarkEnd w:id="27"/>
      <w:bookmarkEnd w:id="28"/>
      <w:bookmarkEnd w:id="29"/>
    </w:p>
    <w:sdt>
      <w:sdtPr>
        <w:rPr>
          <w:rFonts w:hint="eastAsia"/>
        </w:rPr>
        <w:id w:val="715848253"/>
        <w:placeholder>
          <w:docPart w:val="5FE49046297C4A68A6C5EFDE3F0277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12AFF0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101364">
      <w:pPr>
        <w:pStyle w:val="56"/>
        <w:ind w:firstLine="420"/>
      </w:pPr>
      <w:r>
        <w:rPr>
          <w:rFonts w:hint="eastAsia"/>
        </w:rPr>
        <w:t>AQ 8011-2023 安全生产培训机构基本条件</w:t>
      </w:r>
    </w:p>
    <w:p w14:paraId="77C99EF9">
      <w:pPr>
        <w:pStyle w:val="104"/>
        <w:spacing w:before="240" w:after="240"/>
      </w:pPr>
      <w:bookmarkStart w:id="30" w:name="_Toc12320"/>
      <w:bookmarkStart w:id="31" w:name="_Toc150014768"/>
      <w:bookmarkStart w:id="32" w:name="_Toc97192966"/>
      <w:r>
        <w:rPr>
          <w:rFonts w:hint="eastAsia"/>
          <w:szCs w:val="21"/>
        </w:rPr>
        <w:t>术语和定义</w:t>
      </w:r>
      <w:bookmarkEnd w:id="30"/>
      <w:bookmarkEnd w:id="31"/>
      <w:bookmarkEnd w:id="32"/>
    </w:p>
    <w:sdt>
      <w:sdtPr>
        <w:id w:val="-1909835108"/>
        <w:placeholder>
          <w:docPart w:val="82FAD4B12AFB42FD997383B282BB9F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2C6C7BA">
          <w:pPr>
            <w:pStyle w:val="56"/>
            <w:ind w:firstLine="420"/>
          </w:pPr>
          <w:bookmarkStart w:id="33" w:name="_Toc26986532"/>
          <w:bookmarkEnd w:id="33"/>
          <w:r>
            <w:t>下列术语和定义适用于本文件。</w:t>
          </w:r>
        </w:p>
      </w:sdtContent>
    </w:sdt>
    <w:p w14:paraId="78B0370E">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工伤预防培训  Work-related injury prevention training</w:t>
      </w:r>
    </w:p>
    <w:p w14:paraId="3FC19103">
      <w:pPr>
        <w:pStyle w:val="56"/>
        <w:ind w:firstLine="420"/>
      </w:pPr>
      <w:r>
        <w:rPr>
          <w:rFonts w:hint="eastAsia"/>
        </w:rPr>
        <w:t>以提高用人单位职业健康分管负责人、专职安全、职业健康管理人员、班组长和岗位职工的工伤预防意识、知识素养和技能为目的的教育培训活动。</w:t>
      </w:r>
    </w:p>
    <w:p w14:paraId="10E3E251">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用人单位  employer </w:t>
      </w:r>
    </w:p>
    <w:p w14:paraId="776D9EFF">
      <w:pPr>
        <w:pStyle w:val="56"/>
        <w:ind w:firstLine="420"/>
      </w:pPr>
      <w:r>
        <w:rPr>
          <w:rFonts w:hint="eastAsia"/>
        </w:rPr>
        <w:t>中华人民共和国境内的企业、事业单位、社会团体、民办非企业单位、基金会、律师事务所、会计师事务所等组织和有雇工的个体工商户的简称。</w:t>
      </w:r>
    </w:p>
    <w:p w14:paraId="431734F5">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职业  profession </w:t>
      </w:r>
    </w:p>
    <w:p w14:paraId="73707D04">
      <w:pPr>
        <w:pStyle w:val="56"/>
        <w:ind w:firstLine="420"/>
        <w:rPr>
          <w:rFonts w:hAnsi="宋体" w:cs="宋体"/>
          <w14:scene3d>
            <w14:lightRig w14:rig="threePt" w14:dir="t">
              <w14:rot w14:lat="0" w14:lon="0" w14:rev="0"/>
            </w14:lightRig>
          </w14:scene3d>
        </w:rPr>
      </w:pPr>
      <w:r>
        <w:rPr>
          <w:rFonts w:hint="eastAsia"/>
        </w:rPr>
        <w:t>是指职工为获取主要生活来源所从事的社会工作类别。</w:t>
      </w:r>
    </w:p>
    <w:p w14:paraId="2E6E80FE">
      <w:pPr>
        <w:pStyle w:val="104"/>
        <w:spacing w:before="240" w:after="240"/>
      </w:pPr>
      <w:bookmarkStart w:id="34" w:name="_Toc22095"/>
      <w:r>
        <w:rPr>
          <w:rFonts w:hint="eastAsia"/>
        </w:rPr>
        <w:t>培训目的与要求</w:t>
      </w:r>
      <w:bookmarkEnd w:id="34"/>
    </w:p>
    <w:p w14:paraId="36D9E527">
      <w:pPr>
        <w:pStyle w:val="105"/>
        <w:spacing w:before="120" w:after="120"/>
      </w:pPr>
      <w:bookmarkStart w:id="35" w:name="_Toc6770"/>
      <w:r>
        <w:rPr>
          <w:rFonts w:hint="eastAsia"/>
        </w:rPr>
        <w:t>培训目的</w:t>
      </w:r>
      <w:bookmarkEnd w:id="35"/>
    </w:p>
    <w:p w14:paraId="245513E3">
      <w:pPr>
        <w:pStyle w:val="56"/>
        <w:ind w:firstLine="420"/>
        <w:rPr>
          <w:rFonts w:hAnsi="宋体" w:cs="宋体"/>
          <w14:scene3d>
            <w14:lightRig w14:rig="threePt" w14:dir="t">
              <w14:rot w14:lat="0" w14:lon="0" w14:rev="0"/>
            </w14:lightRig>
          </w14:scene3d>
        </w:rPr>
      </w:pPr>
      <w:r>
        <w:rPr>
          <w:rFonts w:hint="eastAsia" w:hAnsi="宋体" w:cs="宋体"/>
          <w14:scene3d>
            <w14:lightRig w14:rig="threePt" w14:dir="t">
              <w14:rot w14:lat="0" w14:lon="0" w14:rev="0"/>
            </w14:lightRig>
          </w14:scene3d>
        </w:rPr>
        <w:t>通过对用人单位岗位职工进行系统的工伤预防理论、知识、技能和相关法律、法规与行业规范等培训，使其具备工伤事故预防与控制的专业知识及能力。</w:t>
      </w:r>
    </w:p>
    <w:p w14:paraId="0161A219">
      <w:pPr>
        <w:pStyle w:val="105"/>
        <w:spacing w:before="120" w:after="120"/>
      </w:pPr>
      <w:bookmarkStart w:id="36" w:name="_Toc19112"/>
      <w:r>
        <w:rPr>
          <w:rFonts w:hint="eastAsia"/>
        </w:rPr>
        <w:t>培训要求</w:t>
      </w:r>
      <w:bookmarkEnd w:id="36"/>
    </w:p>
    <w:p w14:paraId="3C313134">
      <w:pPr>
        <w:pStyle w:val="165"/>
      </w:pPr>
      <w:r>
        <w:rPr>
          <w:rFonts w:hint="eastAsia" w:hAnsi="宋体" w:cs="宋体"/>
          <w:color w:val="000000"/>
          <w14:scene3d>
            <w14:lightRig w14:rig="threePt" w14:dir="t">
              <w14:rot w14:lat="0" w14:lon="0" w14:rev="0"/>
            </w14:lightRig>
          </w14:scene3d>
        </w:rPr>
        <w:t>培训机构应符合以下基本条件：</w:t>
      </w:r>
    </w:p>
    <w:p w14:paraId="0FDB235E">
      <w:pPr>
        <w:pStyle w:val="56"/>
      </w:pPr>
      <w:r>
        <w:rPr>
          <w:rFonts w:hint="eastAsia"/>
        </w:rPr>
        <w:t>a）有组织机构和管理制度；</w:t>
      </w:r>
    </w:p>
    <w:p w14:paraId="59C41232">
      <w:pPr>
        <w:pStyle w:val="56"/>
      </w:pPr>
      <w:r>
        <w:rPr>
          <w:rFonts w:hint="eastAsia"/>
        </w:rPr>
        <w:t>b）具备与培训任务相适应的教师（工伤预防导师）；</w:t>
      </w:r>
    </w:p>
    <w:p w14:paraId="429A8DB1">
      <w:pPr>
        <w:pStyle w:val="56"/>
      </w:pPr>
      <w:r>
        <w:rPr>
          <w:rFonts w:hint="eastAsia"/>
        </w:rPr>
        <w:t>c）具备进行培训所需的场所、设施、设备；</w:t>
      </w:r>
    </w:p>
    <w:p w14:paraId="371AFF4A">
      <w:pPr>
        <w:pStyle w:val="56"/>
      </w:pPr>
      <w:r>
        <w:rPr>
          <w:rFonts w:hint="eastAsia"/>
        </w:rPr>
        <w:t>d）有培训计划、培训大纲和培训教材，其要求见附录A；</w:t>
      </w:r>
    </w:p>
    <w:p w14:paraId="2C5CFE83">
      <w:pPr>
        <w:pStyle w:val="56"/>
      </w:pPr>
      <w:r>
        <w:rPr>
          <w:rFonts w:hint="eastAsia"/>
        </w:rPr>
        <w:t>e）课程设置应符合岗位职工受训者的职业要求；</w:t>
      </w:r>
    </w:p>
    <w:p w14:paraId="2554999B">
      <w:pPr>
        <w:pStyle w:val="56"/>
      </w:pPr>
      <w:r>
        <w:rPr>
          <w:rFonts w:hint="eastAsia"/>
        </w:rPr>
        <w:t>f）为考核合格者颁发职业工伤预防培训证书。</w:t>
      </w:r>
    </w:p>
    <w:p w14:paraId="58510D82">
      <w:pPr>
        <w:pStyle w:val="165"/>
      </w:pPr>
      <w:r>
        <w:rPr>
          <w:rFonts w:hint="eastAsia" w:hAnsi="宋体" w:cs="宋体"/>
          <w:color w:val="000000"/>
          <w14:scene3d>
            <w14:lightRig w14:rig="threePt" w14:dir="t">
              <w14:rot w14:lat="0" w14:lon="0" w14:rev="0"/>
            </w14:lightRig>
          </w14:scene3d>
        </w:rPr>
        <w:t>培训机构按本指南用《职业分类大典》规定职业工种的工作内容，结合企业工作场所以及工作实际过程，以及个体劳动防护佩戴情况，按照《用人单位工伤预防培训指南 第五部分 职工岗位工伤风险评估》规定的方法进行风险辨识和风险评估后，有针对性制定职业岗位培训计划、培训大纲，课程内容。</w:t>
      </w:r>
    </w:p>
    <w:p w14:paraId="7AE4C03F">
      <w:pPr>
        <w:pStyle w:val="165"/>
      </w:pPr>
      <w:r>
        <w:rPr>
          <w:rFonts w:hint="eastAsia" w:hAnsi="宋体" w:cs="宋体"/>
          <w:color w:val="000000"/>
          <w14:scene3d>
            <w14:lightRig w14:rig="threePt" w14:dir="t">
              <w14:rot w14:lat="0" w14:lon="0" w14:rev="0"/>
            </w14:lightRig>
          </w14:scene3d>
        </w:rPr>
        <w:t>培训机构按本指南制定工伤预防岗位培训计划，课程设置应符合岗位人员职业要求，并有培训记录及考核结果，考试合格的颁发培训证书或学时证明，个人培训资料进行存档。</w:t>
      </w:r>
    </w:p>
    <w:p w14:paraId="66F3055E">
      <w:pPr>
        <w:pStyle w:val="104"/>
        <w:spacing w:before="240" w:after="240"/>
      </w:pPr>
      <w:bookmarkStart w:id="37" w:name="_Toc8728"/>
      <w:r>
        <w:rPr>
          <w:rFonts w:hint="eastAsia"/>
        </w:rPr>
        <w:t>培训阶段</w:t>
      </w:r>
      <w:bookmarkEnd w:id="37"/>
    </w:p>
    <w:p w14:paraId="7EC5D46F">
      <w:pPr>
        <w:pStyle w:val="162"/>
      </w:pPr>
      <w:r>
        <w:rPr>
          <w:rFonts w:hint="eastAsia"/>
        </w:rPr>
        <w:t>工伤预防岗位人员培训分为三个阶段，应根据不同培训阶段和培训目标采取不同的培训方式。</w:t>
      </w:r>
    </w:p>
    <w:p w14:paraId="0D69D7EC">
      <w:pPr>
        <w:pStyle w:val="105"/>
        <w:spacing w:before="120" w:after="120"/>
      </w:pPr>
      <w:bookmarkStart w:id="38" w:name="_Toc2492"/>
      <w:r>
        <w:rPr>
          <w:rFonts w:hint="eastAsia"/>
        </w:rPr>
        <w:t>第一阶段 基础知识培训</w:t>
      </w:r>
      <w:bookmarkEnd w:id="38"/>
    </w:p>
    <w:p w14:paraId="4DF90D91">
      <w:pPr>
        <w:pStyle w:val="56"/>
      </w:pPr>
      <w:r>
        <w:rPr>
          <w:rFonts w:hint="eastAsia"/>
        </w:rPr>
        <w:t>此阶段培训主要包括基本理论、基本知识、基本技能、相关法律法规等。</w:t>
      </w:r>
    </w:p>
    <w:p w14:paraId="1DA6B9CD">
      <w:pPr>
        <w:pStyle w:val="56"/>
        <w:ind w:firstLine="420"/>
      </w:pPr>
      <w:r>
        <w:rPr>
          <w:rFonts w:hint="eastAsia"/>
        </w:rPr>
        <w:t>培训以线下集中授课为主，自学和网络学习为辅。</w:t>
      </w:r>
    </w:p>
    <w:p w14:paraId="5CF0F470">
      <w:pPr>
        <w:pStyle w:val="105"/>
        <w:spacing w:before="120" w:after="120"/>
      </w:pPr>
      <w:bookmarkStart w:id="39" w:name="_Toc22116"/>
      <w:r>
        <w:rPr>
          <w:rFonts w:hint="eastAsia"/>
        </w:rPr>
        <w:t>第二阶段 能力提高培训</w:t>
      </w:r>
      <w:bookmarkEnd w:id="39"/>
    </w:p>
    <w:p w14:paraId="7FD627B3">
      <w:pPr>
        <w:pStyle w:val="56"/>
      </w:pPr>
      <w:r>
        <w:rPr>
          <w:rFonts w:hint="eastAsia"/>
        </w:rPr>
        <w:t>在掌握第一阶段知识的基础上，应以了解工伤事故的识别、工伤风险排查和预防措施，以及岗位环境的重点风险部位、重点风险环节防控等内容为主。</w:t>
      </w:r>
    </w:p>
    <w:p w14:paraId="7AEA76D5">
      <w:pPr>
        <w:pStyle w:val="56"/>
        <w:ind w:firstLine="420"/>
      </w:pPr>
      <w:r>
        <w:rPr>
          <w:rFonts w:hint="eastAsia"/>
        </w:rPr>
        <w:t>培训以线下集中授课为主，自学和网络学习为辅。</w:t>
      </w:r>
    </w:p>
    <w:p w14:paraId="0EA4BBD0">
      <w:pPr>
        <w:pStyle w:val="105"/>
        <w:spacing w:before="120" w:after="120"/>
      </w:pPr>
      <w:bookmarkStart w:id="40" w:name="_Toc15718"/>
      <w:r>
        <w:rPr>
          <w:rFonts w:hint="eastAsia"/>
        </w:rPr>
        <w:t>第三阶段 互动实践培训</w:t>
      </w:r>
      <w:bookmarkEnd w:id="40"/>
    </w:p>
    <w:p w14:paraId="54545457">
      <w:pPr>
        <w:pStyle w:val="56"/>
      </w:pPr>
      <w:r>
        <w:rPr>
          <w:rFonts w:hint="eastAsia"/>
        </w:rPr>
        <w:t>此阶段以案例分析为主，使其能够应用所学知识分析案例事故直接原因、人机物环存在问题、个体防护装备配备、应急自救等。</w:t>
      </w:r>
    </w:p>
    <w:p w14:paraId="33C66D96">
      <w:pPr>
        <w:pStyle w:val="56"/>
        <w:ind w:firstLine="420"/>
      </w:pPr>
      <w:r>
        <w:rPr>
          <w:rFonts w:hint="eastAsia"/>
        </w:rPr>
        <w:t>培训以线下集中授课、学员课堂互动讨论为主，网络解答、相关工伤事故教育视频为辅。</w:t>
      </w:r>
    </w:p>
    <w:p w14:paraId="52E38B1B">
      <w:pPr>
        <w:pStyle w:val="104"/>
        <w:spacing w:before="240" w:after="240"/>
      </w:pPr>
      <w:bookmarkStart w:id="41" w:name="_Toc23138"/>
      <w:r>
        <w:rPr>
          <w:rFonts w:hint="eastAsia"/>
        </w:rPr>
        <w:t>培训方式</w:t>
      </w:r>
      <w:bookmarkEnd w:id="41"/>
    </w:p>
    <w:p w14:paraId="7167B3EB">
      <w:pPr>
        <w:pStyle w:val="105"/>
        <w:spacing w:before="120" w:after="120"/>
      </w:pPr>
      <w:bookmarkStart w:id="42" w:name="_Toc8853"/>
      <w:r>
        <w:rPr>
          <w:rFonts w:hint="eastAsia"/>
        </w:rPr>
        <w:t>线下集中授课培训</w:t>
      </w:r>
      <w:bookmarkEnd w:id="42"/>
    </w:p>
    <w:p w14:paraId="25FADE90">
      <w:pPr>
        <w:pStyle w:val="56"/>
        <w:ind w:firstLine="420"/>
      </w:pPr>
      <w:r>
        <w:rPr>
          <w:rFonts w:hint="eastAsia"/>
        </w:rPr>
        <w:t>以多媒体课堂、警示教育基地参观、现身说法或工伤预防移动体验车演示等线下授课为主，应安排适当的课堂互动讨论。</w:t>
      </w:r>
    </w:p>
    <w:p w14:paraId="117F52B8">
      <w:pPr>
        <w:pStyle w:val="105"/>
        <w:spacing w:before="120" w:after="120"/>
      </w:pPr>
      <w:bookmarkStart w:id="43" w:name="_Toc27900"/>
      <w:r>
        <w:rPr>
          <w:rFonts w:hint="eastAsia"/>
        </w:rPr>
        <w:t>互动式培训</w:t>
      </w:r>
      <w:bookmarkEnd w:id="43"/>
    </w:p>
    <w:p w14:paraId="160D2084">
      <w:pPr>
        <w:pStyle w:val="56"/>
        <w:ind w:firstLine="420"/>
      </w:pPr>
      <w:r>
        <w:rPr>
          <w:rFonts w:hint="eastAsia"/>
        </w:rPr>
        <w:t>可挑选现场适当的工伤事故风险场景互动讨论、角色扮演和课堂讲授。</w:t>
      </w:r>
    </w:p>
    <w:p w14:paraId="09DF920F">
      <w:pPr>
        <w:pStyle w:val="105"/>
        <w:spacing w:before="120" w:after="120"/>
      </w:pPr>
      <w:bookmarkStart w:id="44" w:name="_Toc25463"/>
      <w:r>
        <w:rPr>
          <w:rFonts w:hint="eastAsia"/>
        </w:rPr>
        <w:t>网络视频培训</w:t>
      </w:r>
      <w:bookmarkEnd w:id="44"/>
    </w:p>
    <w:p w14:paraId="55EE5B19">
      <w:pPr>
        <w:pStyle w:val="56"/>
        <w:ind w:firstLine="420"/>
      </w:pPr>
      <w:r>
        <w:rPr>
          <w:rFonts w:hint="eastAsia"/>
        </w:rPr>
        <w:t>以网络视频教学为主，结合网络课堂实时互动答题进行考核。</w:t>
      </w:r>
    </w:p>
    <w:p w14:paraId="3A1488AB">
      <w:pPr>
        <w:pStyle w:val="105"/>
        <w:spacing w:before="120" w:after="120"/>
      </w:pPr>
      <w:bookmarkStart w:id="45" w:name="_Toc739"/>
      <w:r>
        <w:rPr>
          <w:rFonts w:hint="eastAsia"/>
        </w:rPr>
        <w:t>自学</w:t>
      </w:r>
      <w:bookmarkEnd w:id="45"/>
    </w:p>
    <w:p w14:paraId="068320FE">
      <w:pPr>
        <w:pStyle w:val="56"/>
        <w:ind w:firstLine="420"/>
      </w:pPr>
      <w:r>
        <w:rPr>
          <w:rFonts w:hint="eastAsia"/>
        </w:rPr>
        <w:t>对参加工伤预防培训的人员，也可按照大纲要求进行网课自学，并参加网络互动答题进行考核。</w:t>
      </w:r>
    </w:p>
    <w:p w14:paraId="668BFAB5">
      <w:pPr>
        <w:pStyle w:val="104"/>
        <w:spacing w:before="240" w:after="240"/>
      </w:pPr>
      <w:bookmarkStart w:id="46" w:name="_Toc20529"/>
      <w:r>
        <w:rPr>
          <w:rFonts w:hint="eastAsia"/>
        </w:rPr>
        <w:t>培训内容、教材及计划</w:t>
      </w:r>
      <w:bookmarkEnd w:id="46"/>
    </w:p>
    <w:p w14:paraId="18BD9A98">
      <w:pPr>
        <w:pStyle w:val="105"/>
        <w:spacing w:before="120" w:after="120"/>
      </w:pPr>
      <w:bookmarkStart w:id="47" w:name="_Toc2306"/>
      <w:r>
        <w:rPr>
          <w:rFonts w:hint="eastAsia"/>
        </w:rPr>
        <w:t>培训内容及教材</w:t>
      </w:r>
      <w:bookmarkEnd w:id="47"/>
    </w:p>
    <w:p w14:paraId="6A3CB6A2">
      <w:pPr>
        <w:pStyle w:val="56"/>
        <w:ind w:firstLine="420"/>
      </w:pPr>
      <w:r>
        <w:rPr>
          <w:rFonts w:hint="eastAsia"/>
        </w:rPr>
        <w:t>培训内容应包括：工伤预防法律法规讲解、职工岗位职业工伤风险现状分析、职工岗位职业工伤预防技术讲解、职工岗位职业工伤事故案例分析、其他培训内容及教材见附录A。</w:t>
      </w:r>
    </w:p>
    <w:p w14:paraId="232FA6F5">
      <w:pPr>
        <w:pStyle w:val="105"/>
        <w:adjustRightInd w:val="0"/>
        <w:snapToGrid w:val="0"/>
        <w:spacing w:before="120" w:after="120"/>
      </w:pPr>
      <w:bookmarkStart w:id="48" w:name="_Toc21011"/>
      <w:r>
        <w:rPr>
          <w:rFonts w:hint="eastAsia"/>
        </w:rPr>
        <w:t>培训计划</w:t>
      </w:r>
      <w:bookmarkEnd w:id="48"/>
    </w:p>
    <w:p w14:paraId="1859D4D8">
      <w:pPr>
        <w:pStyle w:val="56"/>
        <w:ind w:firstLine="420"/>
      </w:pPr>
      <w:r>
        <w:rPr>
          <w:rFonts w:hint="eastAsia"/>
        </w:rPr>
        <w:t>三阶段培训计划见附录B。</w:t>
      </w:r>
    </w:p>
    <w:p w14:paraId="6920D3C8">
      <w:pPr>
        <w:pStyle w:val="104"/>
        <w:spacing w:before="240" w:after="240"/>
      </w:pPr>
      <w:bookmarkStart w:id="49" w:name="_Toc23367"/>
      <w:r>
        <w:rPr>
          <w:rFonts w:hint="eastAsia"/>
        </w:rPr>
        <w:t>培训跟进指导和回访</w:t>
      </w:r>
      <w:bookmarkEnd w:id="49"/>
    </w:p>
    <w:p w14:paraId="7AE29691">
      <w:pPr>
        <w:pStyle w:val="105"/>
        <w:adjustRightInd w:val="0"/>
        <w:snapToGrid w:val="0"/>
        <w:spacing w:before="120" w:after="120"/>
      </w:pPr>
      <w:bookmarkStart w:id="50" w:name="_Toc5541"/>
      <w:r>
        <w:rPr>
          <w:rFonts w:hint="eastAsia"/>
        </w:rPr>
        <w:t>跟进及回访方式</w:t>
      </w:r>
      <w:bookmarkEnd w:id="50"/>
    </w:p>
    <w:p w14:paraId="6D98A474">
      <w:pPr>
        <w:pStyle w:val="56"/>
        <w:ind w:firstLine="420"/>
      </w:pPr>
      <w:r>
        <w:rPr>
          <w:rFonts w:hint="eastAsia"/>
        </w:rPr>
        <w:t>电话跟进，邮件、微信、培训平台等网络方式跟进，现场实地回访。</w:t>
      </w:r>
    </w:p>
    <w:p w14:paraId="20345ED1">
      <w:pPr>
        <w:pStyle w:val="105"/>
        <w:adjustRightInd w:val="0"/>
        <w:snapToGrid w:val="0"/>
        <w:spacing w:before="120" w:after="120"/>
      </w:pPr>
      <w:bookmarkStart w:id="51" w:name="_Toc6922"/>
      <w:r>
        <w:rPr>
          <w:rFonts w:hint="eastAsia"/>
        </w:rPr>
        <w:t>跟进及回访内容</w:t>
      </w:r>
      <w:bookmarkEnd w:id="51"/>
    </w:p>
    <w:p w14:paraId="30B7F786">
      <w:pPr>
        <w:pStyle w:val="56"/>
      </w:pPr>
      <w:r>
        <w:rPr>
          <w:rFonts w:hint="eastAsia"/>
        </w:rPr>
        <w:t>--- 提出的工伤事故风险整改建议落实情况；</w:t>
      </w:r>
    </w:p>
    <w:p w14:paraId="2C8CA021">
      <w:pPr>
        <w:pStyle w:val="56"/>
      </w:pPr>
      <w:r>
        <w:rPr>
          <w:rFonts w:hint="eastAsia"/>
        </w:rPr>
        <w:t>--- 用人单位职工工伤事故发生情况；</w:t>
      </w:r>
    </w:p>
    <w:p w14:paraId="5AF1BFAF">
      <w:pPr>
        <w:pStyle w:val="56"/>
      </w:pPr>
      <w:r>
        <w:rPr>
          <w:rFonts w:hint="eastAsia"/>
        </w:rPr>
        <w:t>--- 用人单位工伤预防培训后，考察学员工伤预防知识技能实际掌握情况、观察员工行为的变化是否有了明显改观、统计员工违规率、工伤事件率等潜在工伤伤害因素的变化情况和实际效果；</w:t>
      </w:r>
    </w:p>
    <w:p w14:paraId="619713C2">
      <w:pPr>
        <w:pStyle w:val="56"/>
      </w:pPr>
      <w:r>
        <w:rPr>
          <w:rFonts w:hint="eastAsia"/>
        </w:rPr>
        <w:t>--- 工伤预防网上继续教育学习情况；</w:t>
      </w:r>
    </w:p>
    <w:p w14:paraId="6EBA1DB6">
      <w:pPr>
        <w:pStyle w:val="56"/>
        <w:ind w:firstLine="420"/>
      </w:pPr>
      <w:r>
        <w:rPr>
          <w:rFonts w:hint="eastAsia"/>
        </w:rPr>
        <w:t>--- 其他工伤预防相关情况。</w:t>
      </w:r>
    </w:p>
    <w:p w14:paraId="648906F3">
      <w:pPr>
        <w:pStyle w:val="105"/>
        <w:spacing w:before="120" w:after="120"/>
      </w:pPr>
      <w:bookmarkStart w:id="52" w:name="_Toc2574"/>
      <w:r>
        <w:rPr>
          <w:rFonts w:hint="eastAsia"/>
        </w:rPr>
        <w:t>跟进及回访频率</w:t>
      </w:r>
      <w:bookmarkEnd w:id="52"/>
    </w:p>
    <w:p w14:paraId="094C52A9">
      <w:pPr>
        <w:pStyle w:val="56"/>
        <w:ind w:firstLine="420"/>
      </w:pPr>
      <w:r>
        <w:rPr>
          <w:rFonts w:hint="eastAsia"/>
        </w:rPr>
        <w:t>每个月度至少进行一次电话或网络跟进；每季度至少进行一次现场回访。必须将跟进情况进行登记，撰写回访报告，周期为6个月。</w:t>
      </w:r>
    </w:p>
    <w:p w14:paraId="5FD39035">
      <w:pPr>
        <w:pStyle w:val="104"/>
        <w:spacing w:before="240" w:after="240"/>
      </w:pPr>
      <w:bookmarkStart w:id="53" w:name="_Toc10587"/>
      <w:r>
        <w:rPr>
          <w:rFonts w:hint="eastAsia"/>
        </w:rPr>
        <w:t>档案管理</w:t>
      </w:r>
      <w:bookmarkEnd w:id="53"/>
    </w:p>
    <w:p w14:paraId="7E196D86">
      <w:pPr>
        <w:pStyle w:val="162"/>
      </w:pPr>
      <w:r>
        <w:rPr>
          <w:rFonts w:hint="eastAsia" w:hAnsi="宋体" w:cs="宋体"/>
          <w:color w:val="000000"/>
          <w14:scene3d>
            <w14:lightRig w14:rig="threePt" w14:dir="t">
              <w14:rot w14:lat="0" w14:lon="0" w14:rev="0"/>
            </w14:lightRig>
          </w14:scene3d>
        </w:rPr>
        <w:t>应对学员的基础信息、报名报到、考核发证等全过程留痕记录存档。</w:t>
      </w:r>
    </w:p>
    <w:p w14:paraId="0CB5D287">
      <w:pPr>
        <w:pStyle w:val="162"/>
      </w:pPr>
      <w:r>
        <w:rPr>
          <w:rFonts w:hint="eastAsia" w:hAnsi="宋体" w:cs="宋体"/>
          <w:color w:val="000000"/>
          <w14:scene3d>
            <w14:lightRig w14:rig="threePt" w14:dir="t">
              <w14:rot w14:lat="0" w14:lon="0" w14:rev="0"/>
            </w14:lightRig>
          </w14:scene3d>
        </w:rPr>
        <w:t>培训过程中形成的各种记录进行汇总、分类、组卷、储存，形成统一的档案资料。</w:t>
      </w:r>
    </w:p>
    <w:p w14:paraId="5B849C33">
      <w:pPr>
        <w:pStyle w:val="162"/>
      </w:pPr>
      <w:r>
        <w:rPr>
          <w:rFonts w:hint="eastAsia" w:hAnsi="宋体" w:cs="宋体"/>
          <w:color w:val="000000"/>
          <w14:scene3d>
            <w14:lightRig w14:rig="threePt" w14:dir="t">
              <w14:rot w14:lat="0" w14:lon="0" w14:rev="0"/>
            </w14:lightRig>
          </w14:scene3d>
        </w:rPr>
        <w:t>档案中的各项记录的内容应真实、完整。</w:t>
      </w:r>
    </w:p>
    <w:p w14:paraId="46DF4524">
      <w:pPr>
        <w:pStyle w:val="162"/>
        <w:numPr>
          <w:ilvl w:val="2"/>
          <w:numId w:val="0"/>
        </w:numPr>
      </w:pPr>
      <w:r>
        <w:rPr>
          <w:rFonts w:hint="eastAsia"/>
        </w:rPr>
        <w:t>存入档案的资料应包括但不限于以下内容：</w:t>
      </w:r>
    </w:p>
    <w:p w14:paraId="4C06FAFF">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---培训计划；</w:t>
      </w:r>
    </w:p>
    <w:p w14:paraId="23A2D814">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---培训讲师登记表；</w:t>
      </w:r>
    </w:p>
    <w:p w14:paraId="593A4AD1">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---培训对象登记表及相关证明资料(如报名报到签字等)；</w:t>
      </w:r>
    </w:p>
    <w:p w14:paraId="6F446513">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---考核原始材料及登记表；</w:t>
      </w:r>
    </w:p>
    <w:p w14:paraId="5DF53FC0">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---效果评估报告；</w:t>
      </w:r>
    </w:p>
    <w:p w14:paraId="593E7D4F">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---投诉处理表（若有)；</w:t>
      </w:r>
    </w:p>
    <w:p w14:paraId="256ECDE9">
      <w:pPr>
        <w:pStyle w:val="162"/>
        <w:numPr>
          <w:ilvl w:val="2"/>
          <w:numId w:val="0"/>
        </w:numPr>
        <w:ind w:firstLine="420" w:firstLineChars="200"/>
      </w:pPr>
      <w:r>
        <w:rPr>
          <w:rFonts w:hint="eastAsia" w:hAnsi="宋体" w:cs="宋体"/>
          <w:color w:val="000000"/>
          <w14:scene3d>
            <w14:lightRig w14:rig="threePt" w14:dir="t">
              <w14:rot w14:lat="0" w14:lon="0" w14:rev="0"/>
            </w14:lightRig>
          </w14:scene3d>
        </w:rPr>
        <w:t>---回访登记表（若有)</w:t>
      </w:r>
    </w:p>
    <w:p w14:paraId="45EF6157">
      <w:pPr>
        <w:pStyle w:val="162"/>
      </w:pPr>
      <w:r>
        <w:rPr>
          <w:rFonts w:hint="eastAsia"/>
        </w:rPr>
        <w:t>培训机构宜对档案进行电子化管理，并做好备份管理，不应泄露涉及个人隐私的档案资料。</w:t>
      </w:r>
    </w:p>
    <w:p w14:paraId="2AE088D7">
      <w:pPr>
        <w:pStyle w:val="162"/>
      </w:pPr>
      <w:r>
        <w:rPr>
          <w:rFonts w:hint="eastAsia" w:hAnsi="宋体" w:cs="宋体"/>
          <w:color w:val="000000"/>
          <w14:scene3d>
            <w14:lightRig w14:rig="threePt" w14:dir="t">
              <w14:rot w14:lat="0" w14:lon="0" w14:rev="0"/>
            </w14:lightRig>
          </w14:scene3d>
        </w:rPr>
        <w:t>档案保存期限应符合国家有关规定。</w:t>
      </w:r>
    </w:p>
    <w:p w14:paraId="71AF3073">
      <w:pPr>
        <w:jc w:val="center"/>
      </w:pPr>
      <w:r>
        <w:rPr>
          <w:rFonts w:hint="eastAsia"/>
        </w:rPr>
        <w:br w:type="page"/>
      </w:r>
    </w:p>
    <w:p w14:paraId="7B84E332">
      <w:pPr>
        <w:pStyle w:val="76"/>
        <w:spacing w:after="120"/>
      </w:pPr>
      <w:bookmarkStart w:id="54" w:name="_Toc2198"/>
      <w:r>
        <w:br w:type="textWrapping"/>
      </w:r>
      <w:bookmarkStart w:id="55" w:name="_Toc150015682"/>
      <w:bookmarkStart w:id="56" w:name="_Toc150014782"/>
      <w:r>
        <w:rPr>
          <w:rFonts w:hint="eastAsia"/>
          <w:szCs w:val="21"/>
        </w:rPr>
        <w:t>（规范性</w:t>
      </w:r>
      <w:r>
        <w:rPr>
          <w:rFonts w:hAnsi="黑体" w:cs="黑体"/>
          <w:spacing w:val="10"/>
          <w:szCs w:val="21"/>
        </w:rPr>
        <w:t>附录</w:t>
      </w:r>
      <w:r>
        <w:rPr>
          <w:rFonts w:hint="eastAsia"/>
          <w:szCs w:val="21"/>
        </w:rPr>
        <w:t>）</w:t>
      </w:r>
      <w:r>
        <w:rPr>
          <w:szCs w:val="21"/>
        </w:rPr>
        <w:br w:type="textWrapping"/>
      </w:r>
      <w:bookmarkEnd w:id="55"/>
      <w:bookmarkEnd w:id="56"/>
      <w:bookmarkStart w:id="57" w:name="_Toc176867424"/>
      <w:r>
        <w:rPr>
          <w:rFonts w:hAnsi="黑体" w:cs="黑体"/>
          <w:spacing w:val="-1"/>
          <w:szCs w:val="21"/>
        </w:rPr>
        <w:t>培训内容</w:t>
      </w:r>
      <w:r>
        <w:rPr>
          <w:rFonts w:hint="eastAsia" w:hAnsi="黑体" w:cs="黑体"/>
          <w:szCs w:val="21"/>
        </w:rPr>
        <w:t>及教材</w:t>
      </w:r>
      <w:bookmarkEnd w:id="54"/>
      <w:bookmarkEnd w:id="57"/>
    </w:p>
    <w:p w14:paraId="5C8E1D72">
      <w:pPr>
        <w:pStyle w:val="78"/>
        <w:spacing w:before="120" w:after="120"/>
      </w:pPr>
      <w:bookmarkStart w:id="58" w:name="_Toc27894"/>
      <w:r>
        <w:rPr>
          <w:rFonts w:hint="eastAsia" w:hAnsi="黑体" w:cs="黑体"/>
          <w:color w:val="000000"/>
          <w:kern w:val="0"/>
          <w14:scene3d>
            <w14:lightRig w14:rig="threePt" w14:dir="t">
              <w14:rot w14:lat="0" w14:lon="0" w14:rev="0"/>
            </w14:lightRig>
          </w14:scene3d>
        </w:rPr>
        <w:t>法律法规类</w:t>
      </w:r>
      <w:bookmarkEnd w:id="58"/>
    </w:p>
    <w:p w14:paraId="6163EB57">
      <w:pPr>
        <w:pStyle w:val="56"/>
      </w:pPr>
      <w:r>
        <w:rPr>
          <w:rFonts w:hint="eastAsia"/>
        </w:rPr>
        <w:t>相关法律法规类的培训内容如下：</w:t>
      </w:r>
    </w:p>
    <w:p w14:paraId="3FC58AD4">
      <w:pPr>
        <w:pStyle w:val="56"/>
      </w:pPr>
      <w:r>
        <w:rPr>
          <w:rFonts w:hint="eastAsia"/>
        </w:rPr>
        <w:t>a)《中华人民共和国工伤保险条例》及其实施细则；</w:t>
      </w:r>
    </w:p>
    <w:p w14:paraId="34ED7F7C">
      <w:pPr>
        <w:pStyle w:val="56"/>
      </w:pPr>
      <w:r>
        <w:rPr>
          <w:rFonts w:hint="eastAsia"/>
        </w:rPr>
        <w:t>b)《中华人民共和国尘肺防治条例》；</w:t>
      </w:r>
    </w:p>
    <w:p w14:paraId="2BF0721C">
      <w:pPr>
        <w:pStyle w:val="56"/>
      </w:pPr>
      <w:r>
        <w:rPr>
          <w:rFonts w:hint="eastAsia"/>
        </w:rPr>
        <w:t>c)《中华人民共和国劳动法》；</w:t>
      </w:r>
    </w:p>
    <w:p w14:paraId="6BBC256A">
      <w:pPr>
        <w:pStyle w:val="56"/>
        <w:ind w:firstLine="420"/>
      </w:pPr>
      <w:r>
        <w:rPr>
          <w:rFonts w:hint="eastAsia"/>
        </w:rPr>
        <w:t>d) 其它工伤预防相关法律法规。</w:t>
      </w:r>
    </w:p>
    <w:p w14:paraId="00854869">
      <w:pPr>
        <w:pStyle w:val="78"/>
        <w:spacing w:before="120" w:after="120"/>
      </w:pPr>
      <w:bookmarkStart w:id="59" w:name="_Toc19794"/>
      <w:r>
        <w:rPr>
          <w:rFonts w:hint="eastAsia" w:hAnsi="黑体" w:cs="黑体"/>
          <w:color w:val="000000"/>
          <w:kern w:val="0"/>
          <w14:scene3d>
            <w14:lightRig w14:rig="threePt" w14:dir="t">
              <w14:rot w14:lat="0" w14:lon="0" w14:rev="0"/>
            </w14:lightRig>
          </w14:scene3d>
        </w:rPr>
        <w:t>标准</w:t>
      </w:r>
      <w:bookmarkEnd w:id="59"/>
    </w:p>
    <w:p w14:paraId="181C1C17">
      <w:pPr>
        <w:pStyle w:val="56"/>
      </w:pPr>
      <w:r>
        <w:rPr>
          <w:rFonts w:hint="eastAsia"/>
        </w:rPr>
        <w:t>相关工伤预防标准的培训内容如下：</w:t>
      </w:r>
    </w:p>
    <w:p w14:paraId="40FC1DA0">
      <w:pPr>
        <w:pStyle w:val="56"/>
      </w:pPr>
      <w:r>
        <w:rPr>
          <w:rFonts w:hint="eastAsia"/>
        </w:rPr>
        <w:t>a)GB 6441 企业职工伤亡事故分类标准</w:t>
      </w:r>
    </w:p>
    <w:p w14:paraId="4B1EED0F">
      <w:pPr>
        <w:pStyle w:val="56"/>
      </w:pPr>
      <w:r>
        <w:rPr>
          <w:rFonts w:hint="eastAsia"/>
        </w:rPr>
        <w:t>b)GB/T13861 生产过程危险和有害因素分类与代码</w:t>
      </w:r>
    </w:p>
    <w:p w14:paraId="417600DB">
      <w:pPr>
        <w:pStyle w:val="56"/>
      </w:pPr>
      <w:r>
        <w:rPr>
          <w:rFonts w:hint="eastAsia"/>
        </w:rPr>
        <w:t>c)GB39800 个体防护装备配备规范 第1部分：总则</w:t>
      </w:r>
    </w:p>
    <w:p w14:paraId="73560200">
      <w:pPr>
        <w:pStyle w:val="56"/>
      </w:pPr>
      <w:r>
        <w:rPr>
          <w:rFonts w:hint="eastAsia"/>
        </w:rPr>
        <w:t>d) GBZ 2.1 工作场所有害因素职业接触限值 第1部分：化学有害因素；</w:t>
      </w:r>
    </w:p>
    <w:p w14:paraId="2A1A72FA">
      <w:pPr>
        <w:pStyle w:val="56"/>
      </w:pPr>
      <w:r>
        <w:rPr>
          <w:rFonts w:hint="eastAsia"/>
        </w:rPr>
        <w:t>e) GBZ 2.2 工作场所有害因素职业接触限值 第2部分：物理因素；</w:t>
      </w:r>
    </w:p>
    <w:p w14:paraId="5154FF5A">
      <w:pPr>
        <w:pStyle w:val="56"/>
      </w:pPr>
      <w:r>
        <w:rPr>
          <w:rFonts w:hint="eastAsia"/>
        </w:rPr>
        <w:t>f) GBZ/T 用人单位职业病防治指南；</w:t>
      </w:r>
    </w:p>
    <w:p w14:paraId="78616A7B">
      <w:pPr>
        <w:pStyle w:val="56"/>
      </w:pPr>
      <w:r>
        <w:rPr>
          <w:rFonts w:hint="eastAsia"/>
        </w:rPr>
        <w:t>g) GBZ/T210.1 职业卫生标准制定指南第1部分：工作场所化学物质职业接触限值；</w:t>
      </w:r>
    </w:p>
    <w:p w14:paraId="42764E0E">
      <w:pPr>
        <w:pStyle w:val="56"/>
      </w:pPr>
      <w:r>
        <w:rPr>
          <w:rFonts w:hint="eastAsia"/>
        </w:rPr>
        <w:t xml:space="preserve">h）GBZ/T201.2职业卫生标准制定指南第2部分：工作场所粉尘职业接触限值；  </w:t>
      </w:r>
    </w:p>
    <w:p w14:paraId="45DF0E06">
      <w:pPr>
        <w:pStyle w:val="56"/>
      </w:pPr>
      <w:r>
        <w:rPr>
          <w:rFonts w:hint="eastAsia"/>
        </w:rPr>
        <w:t>i) GBZ/T201.3职业卫生标准制定指南第3部分：工作场所物理因素职业接触限值；</w:t>
      </w:r>
    </w:p>
    <w:p w14:paraId="445B1B06">
      <w:pPr>
        <w:pStyle w:val="56"/>
      </w:pPr>
      <w:r>
        <w:rPr>
          <w:rFonts w:hint="eastAsia"/>
        </w:rPr>
        <w:t>j）GBZ/T0 密闭空间作业职业危害防护规范；</w:t>
      </w:r>
    </w:p>
    <w:p w14:paraId="4D4547D9">
      <w:pPr>
        <w:pStyle w:val="56"/>
      </w:pPr>
      <w:r>
        <w:rPr>
          <w:rFonts w:hint="eastAsia"/>
        </w:rPr>
        <w:t>k）GBZ158 工作场所职业病危害警示标识；</w:t>
      </w:r>
    </w:p>
    <w:p w14:paraId="1B028FDE">
      <w:pPr>
        <w:pStyle w:val="56"/>
        <w:ind w:firstLine="420"/>
      </w:pPr>
      <w:r>
        <w:rPr>
          <w:rFonts w:hint="eastAsia"/>
        </w:rPr>
        <w:t>l) 其他工伤预防相关标准、规范。</w:t>
      </w:r>
    </w:p>
    <w:p w14:paraId="4F9E2516">
      <w:pPr>
        <w:pStyle w:val="78"/>
        <w:spacing w:before="120" w:after="120"/>
      </w:pPr>
      <w:bookmarkStart w:id="60" w:name="_Toc2230"/>
      <w:r>
        <w:rPr>
          <w:rFonts w:hint="eastAsia"/>
        </w:rPr>
        <w:t>工伤预防教科书</w:t>
      </w:r>
      <w:bookmarkEnd w:id="60"/>
    </w:p>
    <w:p w14:paraId="759A40A8">
      <w:pPr>
        <w:pStyle w:val="56"/>
      </w:pPr>
      <w:r>
        <w:rPr>
          <w:rFonts w:hint="eastAsia"/>
        </w:rPr>
        <w:t>工伤预防教科书可包括但不限于以下几个方面的教材：</w:t>
      </w:r>
    </w:p>
    <w:p w14:paraId="3F50B666">
      <w:pPr>
        <w:pStyle w:val="56"/>
      </w:pPr>
      <w:r>
        <w:rPr>
          <w:rFonts w:hint="eastAsia"/>
        </w:rPr>
        <w:t>a) 《工伤预防技术》；</w:t>
      </w:r>
    </w:p>
    <w:p w14:paraId="5B90B551">
      <w:pPr>
        <w:pStyle w:val="56"/>
      </w:pPr>
      <w:r>
        <w:rPr>
          <w:rFonts w:hint="eastAsia"/>
        </w:rPr>
        <w:t>b) 《职工岗位工伤风险防控》；</w:t>
      </w:r>
    </w:p>
    <w:p w14:paraId="619AAF46">
      <w:pPr>
        <w:pStyle w:val="56"/>
      </w:pPr>
      <w:r>
        <w:rPr>
          <w:rFonts w:hint="eastAsia"/>
        </w:rPr>
        <w:t>c) 《职工岗位职业伤害风险防控》；</w:t>
      </w:r>
    </w:p>
    <w:p w14:paraId="7A6C8FCB">
      <w:pPr>
        <w:pStyle w:val="56"/>
      </w:pPr>
      <w:r>
        <w:rPr>
          <w:rFonts w:hint="eastAsia"/>
        </w:rPr>
        <w:t>d) 《劳动防护用品的正确佩戴》；</w:t>
      </w:r>
    </w:p>
    <w:p w14:paraId="69E50B66">
      <w:pPr>
        <w:pStyle w:val="56"/>
      </w:pPr>
      <w:r>
        <w:rPr>
          <w:rFonts w:hint="eastAsia"/>
        </w:rPr>
        <w:t>e) 《二十类工伤事故防控及案例》；</w:t>
      </w:r>
    </w:p>
    <w:p w14:paraId="2924E359">
      <w:pPr>
        <w:pStyle w:val="56"/>
      </w:pPr>
      <w:r>
        <w:rPr>
          <w:rFonts w:hint="eastAsia"/>
        </w:rPr>
        <w:t>f) 《职工岗位工伤事故风险防控实用手册》按照职业大典中生产及制造职业岗位共计705册教材；</w:t>
      </w:r>
    </w:p>
    <w:p w14:paraId="42A117DE">
      <w:pPr>
        <w:pStyle w:val="56"/>
      </w:pPr>
      <w:r>
        <w:rPr>
          <w:rFonts w:hint="eastAsia"/>
        </w:rPr>
        <w:t>g) 《工伤保险知识实用手册》；</w:t>
      </w:r>
    </w:p>
    <w:p w14:paraId="25CE8E03">
      <w:pPr>
        <w:pStyle w:val="56"/>
      </w:pPr>
      <w:r>
        <w:rPr>
          <w:rFonts w:hint="eastAsia"/>
        </w:rPr>
        <w:t>h) 《工伤事故伤害应急措施》。</w:t>
      </w:r>
    </w:p>
    <w:p w14:paraId="6EBF55B5">
      <w:pPr>
        <w:jc w:val="center"/>
      </w:pPr>
      <w:r>
        <w:rPr>
          <w:rFonts w:hint="eastAsia"/>
        </w:rPr>
        <w:br w:type="page"/>
      </w:r>
    </w:p>
    <w:p w14:paraId="3E65E913">
      <w:pPr>
        <w:pStyle w:val="76"/>
        <w:spacing w:after="120"/>
      </w:pPr>
      <w:bookmarkStart w:id="61" w:name="_Toc29259"/>
      <w:r>
        <w:br w:type="textWrapping"/>
      </w:r>
      <w:bookmarkStart w:id="62" w:name="_Toc150014785"/>
      <w:bookmarkStart w:id="63" w:name="_Toc150015685"/>
      <w:r>
        <w:rPr>
          <w:rFonts w:hint="eastAsia"/>
        </w:rPr>
        <w:t>（</w:t>
      </w:r>
      <w:r>
        <w:rPr>
          <w:rFonts w:hAnsi="黑体" w:cs="黑体"/>
          <w:spacing w:val="10"/>
        </w:rPr>
        <w:t>规范性附录</w:t>
      </w:r>
      <w:r>
        <w:rPr>
          <w:rFonts w:hint="eastAsia"/>
        </w:rPr>
        <w:t>）</w:t>
      </w:r>
      <w:r>
        <w:br w:type="textWrapping"/>
      </w:r>
      <w:bookmarkEnd w:id="62"/>
      <w:bookmarkEnd w:id="63"/>
      <w:bookmarkStart w:id="64" w:name="_Toc176867433"/>
      <w:r>
        <w:rPr>
          <w:rFonts w:hint="eastAsia" w:hAnsi="黑体" w:cs="黑体"/>
          <w:spacing w:val="7"/>
        </w:rPr>
        <w:t>三</w:t>
      </w:r>
      <w:r>
        <w:rPr>
          <w:rFonts w:hAnsi="黑体" w:cs="黑体"/>
          <w:spacing w:val="7"/>
        </w:rPr>
        <w:t>阶段</w:t>
      </w:r>
      <w:r>
        <w:rPr>
          <w:rFonts w:hAnsi="黑体" w:cs="黑体"/>
        </w:rPr>
        <w:t>培训</w:t>
      </w:r>
      <w:r>
        <w:rPr>
          <w:rFonts w:hAnsi="黑体" w:cs="黑体"/>
          <w:spacing w:val="7"/>
        </w:rPr>
        <w:t>计划</w:t>
      </w:r>
      <w:bookmarkEnd w:id="61"/>
      <w:bookmarkEnd w:id="64"/>
    </w:p>
    <w:p w14:paraId="48936533">
      <w:pPr>
        <w:pStyle w:val="78"/>
        <w:spacing w:before="120" w:after="120"/>
      </w:pPr>
      <w:bookmarkStart w:id="65" w:name="_Toc3772"/>
      <w:r>
        <w:rPr>
          <w:rFonts w:hAnsi="黑体" w:cs="黑体"/>
          <w:spacing w:val="5"/>
        </w:rPr>
        <w:t>第一阶段 (</w:t>
      </w:r>
      <w:r>
        <w:rPr>
          <w:rFonts w:hAnsi="黑体" w:cs="黑体"/>
        </w:rPr>
        <w:t>基础</w:t>
      </w:r>
      <w:r>
        <w:rPr>
          <w:rFonts w:hint="eastAsia" w:hAnsi="黑体" w:cs="黑体"/>
        </w:rPr>
        <w:t>知识</w:t>
      </w:r>
      <w:r>
        <w:rPr>
          <w:rFonts w:hAnsi="黑体" w:cs="黑体"/>
        </w:rPr>
        <w:t>培训</w:t>
      </w:r>
      <w:r>
        <w:rPr>
          <w:rFonts w:hAnsi="黑体" w:cs="黑体"/>
          <w:spacing w:val="5"/>
        </w:rPr>
        <w:t>)大纲</w:t>
      </w:r>
      <w:bookmarkEnd w:id="65"/>
    </w:p>
    <w:p w14:paraId="7598D788">
      <w:pPr>
        <w:pStyle w:val="79"/>
        <w:spacing w:before="120" w:after="120"/>
      </w:pPr>
      <w:r>
        <w:rPr>
          <w:rFonts w:hint="eastAsia" w:ascii="宋体" w:hAnsi="宋体" w:eastAsia="宋体" w:cs="宋体"/>
        </w:rPr>
        <w:t>培养目标：掌握工伤预防基本理论、基本知识与技能，能够运用理论知识解决工伤事故工作中常见问题。</w:t>
      </w:r>
    </w:p>
    <w:p w14:paraId="67DEE8EA">
      <w:pPr>
        <w:pStyle w:val="79"/>
        <w:spacing w:before="120" w:after="120"/>
      </w:pPr>
      <w:r>
        <w:rPr>
          <w:rFonts w:hint="eastAsia" w:ascii="宋体" w:hAnsi="宋体" w:eastAsia="宋体" w:cs="宋体"/>
          <w:spacing w:val="-6"/>
        </w:rPr>
        <w:t>培训大纲及学时： 详见表 B.1。</w:t>
      </w:r>
    </w:p>
    <w:p w14:paraId="35434B8A">
      <w:pPr>
        <w:pStyle w:val="77"/>
        <w:numPr>
          <w:ilvl w:val="1"/>
          <w:numId w:val="0"/>
        </w:numPr>
        <w:spacing w:before="120" w:after="120"/>
        <w:ind w:left="420"/>
      </w:pPr>
      <w:r>
        <w:rPr>
          <w:rFonts w:hint="eastAsia"/>
        </w:rPr>
        <w:t xml:space="preserve">表B.1 </w:t>
      </w:r>
      <w:r>
        <w:rPr>
          <w:rFonts w:hAnsi="黑体" w:cs="黑体"/>
          <w:spacing w:val="5"/>
        </w:rPr>
        <w:t>第一阶段 (</w:t>
      </w:r>
      <w:r>
        <w:rPr>
          <w:rFonts w:hAnsi="黑体" w:cs="黑体"/>
        </w:rPr>
        <w:t>基础</w:t>
      </w:r>
      <w:r>
        <w:rPr>
          <w:rFonts w:hint="eastAsia" w:hAnsi="黑体" w:cs="黑体"/>
        </w:rPr>
        <w:t>知识</w:t>
      </w:r>
      <w:r>
        <w:rPr>
          <w:rFonts w:hAnsi="黑体" w:cs="黑体"/>
        </w:rPr>
        <w:t>培训</w:t>
      </w:r>
      <w:r>
        <w:rPr>
          <w:rFonts w:hAnsi="黑体" w:cs="黑体"/>
          <w:spacing w:val="5"/>
        </w:rPr>
        <w:t>)大纲</w:t>
      </w:r>
    </w:p>
    <w:tbl>
      <w:tblPr>
        <w:tblStyle w:val="27"/>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49"/>
        <w:gridCol w:w="3530"/>
        <w:gridCol w:w="2689"/>
        <w:gridCol w:w="1421"/>
        <w:gridCol w:w="761"/>
      </w:tblGrid>
      <w:tr w14:paraId="5C502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49" w:type="dxa"/>
            <w:tcBorders>
              <w:top w:val="single" w:color="auto" w:sz="8" w:space="0"/>
              <w:bottom w:val="single" w:color="auto" w:sz="8" w:space="0"/>
            </w:tcBorders>
            <w:shd w:val="clear" w:color="auto" w:fill="auto"/>
            <w:vAlign w:val="center"/>
          </w:tcPr>
          <w:p w14:paraId="442BCED2">
            <w:pPr>
              <w:widowControl/>
              <w:kinsoku w:val="0"/>
              <w:autoSpaceDE w:val="0"/>
              <w:autoSpaceDN w:val="0"/>
              <w:snapToGrid w:val="0"/>
              <w:spacing w:before="89" w:beforeLines="20" w:after="89" w:afterLines="20" w:line="280" w:lineRule="exact"/>
              <w:ind w:left="42" w:leftChars="20" w:right="113"/>
              <w:jc w:val="center"/>
              <w:textAlignment w:val="baseline"/>
              <w:rPr>
                <w:rFonts w:ascii="宋体" w:hAnsi="宋体" w:cs="宋体"/>
                <w:b/>
                <w:bCs/>
                <w:sz w:val="18"/>
                <w:szCs w:val="18"/>
              </w:rPr>
            </w:pPr>
            <w:r>
              <w:rPr>
                <w:rFonts w:hint="eastAsia" w:ascii="宋体" w:hAnsi="宋体" w:cs="宋体"/>
                <w:b/>
                <w:bCs/>
                <w:sz w:val="18"/>
                <w:szCs w:val="18"/>
              </w:rPr>
              <w:t xml:space="preserve"> 岗位</w:t>
            </w:r>
          </w:p>
        </w:tc>
        <w:tc>
          <w:tcPr>
            <w:tcW w:w="3530" w:type="dxa"/>
            <w:tcBorders>
              <w:top w:val="single" w:color="auto" w:sz="8" w:space="0"/>
              <w:bottom w:val="single" w:color="auto" w:sz="8" w:space="0"/>
            </w:tcBorders>
            <w:shd w:val="clear" w:color="auto" w:fill="auto"/>
            <w:vAlign w:val="center"/>
          </w:tcPr>
          <w:p w14:paraId="3E7AC61C">
            <w:pPr>
              <w:widowControl/>
              <w:kinsoku w:val="0"/>
              <w:autoSpaceDE w:val="0"/>
              <w:autoSpaceDN w:val="0"/>
              <w:snapToGrid w:val="0"/>
              <w:spacing w:before="89" w:beforeLines="20" w:after="89" w:afterLines="20" w:line="280" w:lineRule="exact"/>
              <w:ind w:left="42" w:leftChars="20" w:right="113"/>
              <w:jc w:val="center"/>
              <w:textAlignment w:val="baseline"/>
              <w:rPr>
                <w:rFonts w:ascii="宋体" w:hAnsi="宋体" w:cs="宋体"/>
                <w:b/>
                <w:bCs/>
                <w:sz w:val="18"/>
                <w:szCs w:val="18"/>
              </w:rPr>
            </w:pPr>
            <w:r>
              <w:rPr>
                <w:rFonts w:hint="eastAsia" w:ascii="宋体" w:hAnsi="宋体" w:cs="宋体"/>
                <w:b/>
                <w:bCs/>
                <w:spacing w:val="-2"/>
                <w:sz w:val="18"/>
                <w:szCs w:val="18"/>
              </w:rPr>
              <w:t>培训</w:t>
            </w:r>
            <w:r>
              <w:rPr>
                <w:rFonts w:hint="eastAsia" w:ascii="宋体" w:hAnsi="宋体" w:cs="宋体"/>
                <w:b/>
                <w:bCs/>
                <w:spacing w:val="-1"/>
                <w:sz w:val="18"/>
                <w:szCs w:val="18"/>
              </w:rPr>
              <w:t>内容(</w:t>
            </w:r>
            <w:r>
              <w:rPr>
                <w:rFonts w:hint="eastAsia" w:ascii="宋体" w:hAnsi="宋体" w:cs="宋体"/>
                <w:b/>
                <w:bCs/>
                <w:spacing w:val="-3"/>
                <w:sz w:val="18"/>
                <w:szCs w:val="18"/>
              </w:rPr>
              <w:t>可包括但不限于以下内容)</w:t>
            </w:r>
          </w:p>
        </w:tc>
        <w:tc>
          <w:tcPr>
            <w:tcW w:w="2689" w:type="dxa"/>
            <w:tcBorders>
              <w:top w:val="single" w:color="auto" w:sz="8" w:space="0"/>
              <w:bottom w:val="single" w:color="auto" w:sz="8" w:space="0"/>
            </w:tcBorders>
            <w:shd w:val="clear" w:color="auto" w:fill="auto"/>
            <w:vAlign w:val="center"/>
          </w:tcPr>
          <w:p w14:paraId="37C23D59">
            <w:pPr>
              <w:widowControl/>
              <w:kinsoku w:val="0"/>
              <w:autoSpaceDE w:val="0"/>
              <w:autoSpaceDN w:val="0"/>
              <w:snapToGrid w:val="0"/>
              <w:spacing w:before="89" w:beforeLines="20" w:after="89" w:afterLines="20" w:line="280" w:lineRule="exact"/>
              <w:ind w:left="42" w:leftChars="20" w:right="113"/>
              <w:jc w:val="center"/>
              <w:textAlignment w:val="baseline"/>
              <w:rPr>
                <w:rFonts w:ascii="宋体" w:hAnsi="宋体" w:cs="宋体"/>
                <w:b/>
                <w:bCs/>
                <w:sz w:val="18"/>
                <w:szCs w:val="18"/>
              </w:rPr>
            </w:pPr>
            <w:r>
              <w:rPr>
                <w:rFonts w:hint="eastAsia" w:ascii="宋体" w:hAnsi="宋体" w:cs="宋体"/>
                <w:b/>
                <w:bCs/>
                <w:spacing w:val="-2"/>
                <w:sz w:val="18"/>
                <w:szCs w:val="18"/>
              </w:rPr>
              <w:t>课</w:t>
            </w:r>
            <w:r>
              <w:rPr>
                <w:rFonts w:hint="eastAsia" w:ascii="宋体" w:hAnsi="宋体" w:cs="宋体"/>
                <w:b/>
                <w:bCs/>
                <w:spacing w:val="-1"/>
                <w:sz w:val="18"/>
                <w:szCs w:val="18"/>
              </w:rPr>
              <w:t>程要求</w:t>
            </w:r>
          </w:p>
        </w:tc>
        <w:tc>
          <w:tcPr>
            <w:tcW w:w="1421" w:type="dxa"/>
            <w:tcBorders>
              <w:top w:val="single" w:color="auto" w:sz="8" w:space="0"/>
              <w:bottom w:val="single" w:color="auto" w:sz="8" w:space="0"/>
            </w:tcBorders>
            <w:shd w:val="clear" w:color="auto" w:fill="auto"/>
            <w:vAlign w:val="center"/>
          </w:tcPr>
          <w:p w14:paraId="75050852">
            <w:pPr>
              <w:widowControl/>
              <w:kinsoku w:val="0"/>
              <w:autoSpaceDE w:val="0"/>
              <w:autoSpaceDN w:val="0"/>
              <w:snapToGrid w:val="0"/>
              <w:spacing w:before="89" w:beforeLines="20" w:after="89" w:afterLines="20" w:line="280" w:lineRule="exact"/>
              <w:ind w:left="42" w:leftChars="20" w:right="113"/>
              <w:jc w:val="center"/>
              <w:textAlignment w:val="baseline"/>
              <w:rPr>
                <w:rFonts w:ascii="宋体" w:hAnsi="宋体" w:cs="宋体"/>
                <w:b/>
                <w:bCs/>
                <w:sz w:val="18"/>
                <w:szCs w:val="18"/>
              </w:rPr>
            </w:pPr>
            <w:r>
              <w:rPr>
                <w:rFonts w:hint="eastAsia" w:ascii="宋体" w:hAnsi="宋体" w:cs="宋体"/>
                <w:b/>
                <w:bCs/>
                <w:spacing w:val="-2"/>
                <w:sz w:val="18"/>
                <w:szCs w:val="18"/>
              </w:rPr>
              <w:t>教学方</w:t>
            </w:r>
            <w:r>
              <w:rPr>
                <w:rFonts w:hint="eastAsia" w:ascii="宋体" w:hAnsi="宋体" w:cs="宋体"/>
                <w:b/>
                <w:bCs/>
                <w:spacing w:val="-1"/>
                <w:sz w:val="18"/>
                <w:szCs w:val="18"/>
              </w:rPr>
              <w:t>式</w:t>
            </w:r>
          </w:p>
        </w:tc>
        <w:tc>
          <w:tcPr>
            <w:tcW w:w="761" w:type="dxa"/>
            <w:tcBorders>
              <w:top w:val="single" w:color="auto" w:sz="8" w:space="0"/>
              <w:bottom w:val="single" w:color="auto" w:sz="8" w:space="0"/>
            </w:tcBorders>
            <w:shd w:val="clear" w:color="auto" w:fill="auto"/>
            <w:vAlign w:val="center"/>
          </w:tcPr>
          <w:p w14:paraId="53C29F90">
            <w:pPr>
              <w:widowControl/>
              <w:kinsoku w:val="0"/>
              <w:autoSpaceDE w:val="0"/>
              <w:autoSpaceDN w:val="0"/>
              <w:snapToGrid w:val="0"/>
              <w:spacing w:before="89" w:beforeLines="20" w:after="89" w:afterLines="20" w:line="280" w:lineRule="exact"/>
              <w:ind w:left="166" w:leftChars="20" w:right="113" w:hanging="124"/>
              <w:jc w:val="center"/>
              <w:textAlignment w:val="baseline"/>
              <w:rPr>
                <w:rFonts w:ascii="宋体" w:hAnsi="宋体" w:cs="宋体"/>
                <w:b/>
                <w:bCs/>
                <w:sz w:val="18"/>
                <w:szCs w:val="18"/>
              </w:rPr>
            </w:pPr>
            <w:r>
              <w:rPr>
                <w:rFonts w:hint="eastAsia" w:ascii="宋体" w:hAnsi="宋体" w:cs="宋体"/>
                <w:b/>
                <w:bCs/>
                <w:spacing w:val="-9"/>
                <w:sz w:val="18"/>
                <w:szCs w:val="18"/>
              </w:rPr>
              <w:t>学时</w:t>
            </w:r>
          </w:p>
        </w:tc>
      </w:tr>
      <w:tr w14:paraId="07CEF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9" w:type="dxa"/>
            <w:vMerge w:val="restart"/>
            <w:tcBorders>
              <w:top w:val="single" w:color="auto" w:sz="8" w:space="0"/>
            </w:tcBorders>
            <w:shd w:val="clear" w:color="auto" w:fill="auto"/>
            <w:vAlign w:val="center"/>
          </w:tcPr>
          <w:p w14:paraId="1A36D941">
            <w:pPr>
              <w:widowControl/>
              <w:snapToGrid w:val="0"/>
              <w:spacing w:before="89" w:beforeLines="20" w:after="89" w:afterLines="20" w:line="280" w:lineRule="exact"/>
              <w:ind w:left="42" w:leftChars="20" w:right="113"/>
              <w:jc w:val="center"/>
              <w:rPr>
                <w:rFonts w:ascii="宋体" w:hAnsi="宋体" w:cs="宋体"/>
                <w:sz w:val="18"/>
                <w:szCs w:val="18"/>
              </w:rPr>
            </w:pPr>
            <w:r>
              <w:rPr>
                <w:rFonts w:hint="eastAsia" w:ascii="宋体" w:hAnsi="宋体" w:cs="宋体"/>
                <w:spacing w:val="-2"/>
                <w:sz w:val="18"/>
                <w:szCs w:val="18"/>
              </w:rPr>
              <w:t>岗位职工</w:t>
            </w:r>
          </w:p>
        </w:tc>
        <w:tc>
          <w:tcPr>
            <w:tcW w:w="3530" w:type="dxa"/>
            <w:vMerge w:val="restart"/>
            <w:tcBorders>
              <w:top w:val="single" w:color="auto" w:sz="8" w:space="0"/>
            </w:tcBorders>
            <w:shd w:val="clear" w:color="auto" w:fill="auto"/>
          </w:tcPr>
          <w:p w14:paraId="47332A00">
            <w:pPr>
              <w:widowControl/>
              <w:kinsoku w:val="0"/>
              <w:snapToGrid w:val="0"/>
              <w:spacing w:before="89" w:beforeLines="20" w:after="89" w:afterLines="20" w:line="280" w:lineRule="exact"/>
              <w:ind w:left="42" w:leftChars="20" w:right="42" w:rightChars="20"/>
              <w:textAlignment w:val="baseline"/>
              <w:rPr>
                <w:rFonts w:ascii="宋体" w:hAnsi="宋体" w:cs="宋体"/>
                <w:spacing w:val="4"/>
                <w:sz w:val="18"/>
                <w:szCs w:val="18"/>
              </w:rPr>
            </w:pPr>
            <w:r>
              <w:rPr>
                <w:rFonts w:hint="eastAsia" w:ascii="宋体" w:hAnsi="宋体" w:cs="宋体"/>
                <w:spacing w:val="4"/>
                <w:sz w:val="18"/>
                <w:szCs w:val="18"/>
              </w:rPr>
              <w:t>1.相关法律法规、标准知识；</w:t>
            </w:r>
          </w:p>
          <w:p w14:paraId="45073242">
            <w:pPr>
              <w:widowControl/>
              <w:kinsoku w:val="0"/>
              <w:snapToGrid w:val="0"/>
              <w:spacing w:before="89" w:beforeLines="20" w:after="89" w:afterLines="20" w:line="28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2.《工伤保险知识实用手册》</w:t>
            </w:r>
            <w:r>
              <w:rPr>
                <w:rFonts w:hint="eastAsia" w:ascii="宋体" w:hAnsi="宋体" w:cs="宋体"/>
                <w:sz w:val="18"/>
                <w:szCs w:val="18"/>
              </w:rPr>
              <w:t>；</w:t>
            </w:r>
          </w:p>
          <w:p w14:paraId="46B5BAE1">
            <w:pPr>
              <w:widowControl/>
              <w:kinsoku w:val="0"/>
              <w:snapToGrid w:val="0"/>
              <w:spacing w:before="89" w:beforeLines="20" w:after="89" w:afterLines="20" w:line="280" w:lineRule="exact"/>
              <w:ind w:left="42" w:leftChars="20" w:right="42" w:rightChars="20"/>
              <w:textAlignment w:val="baseline"/>
              <w:rPr>
                <w:rFonts w:ascii="宋体" w:hAnsi="宋体" w:cs="宋体"/>
                <w:sz w:val="18"/>
                <w:szCs w:val="18"/>
              </w:rPr>
            </w:pPr>
            <w:r>
              <w:rPr>
                <w:rFonts w:hint="eastAsia" w:ascii="宋体" w:hAnsi="宋体" w:cs="宋体"/>
                <w:sz w:val="18"/>
                <w:szCs w:val="18"/>
              </w:rPr>
              <w:t>3.《二十类工伤事故防控及案例》；</w:t>
            </w:r>
          </w:p>
          <w:p w14:paraId="16DD93FC">
            <w:pPr>
              <w:widowControl/>
              <w:kinsoku w:val="0"/>
              <w:snapToGrid w:val="0"/>
              <w:spacing w:before="89" w:beforeLines="20" w:after="89" w:afterLines="20" w:line="280" w:lineRule="exact"/>
              <w:ind w:left="42" w:leftChars="20" w:right="42" w:rightChars="20"/>
              <w:textAlignment w:val="baseline"/>
              <w:rPr>
                <w:rFonts w:ascii="宋体" w:hAnsi="宋体" w:cs="宋体"/>
                <w:spacing w:val="3"/>
                <w:sz w:val="18"/>
                <w:szCs w:val="18"/>
              </w:rPr>
            </w:pPr>
            <w:r>
              <w:rPr>
                <w:rFonts w:hint="eastAsia" w:ascii="宋体" w:hAnsi="宋体" w:cs="宋体"/>
                <w:spacing w:val="-3"/>
                <w:sz w:val="18"/>
                <w:szCs w:val="18"/>
              </w:rPr>
              <w:t>4.选择</w:t>
            </w:r>
            <w:r>
              <w:rPr>
                <w:rFonts w:hint="eastAsia" w:ascii="宋体" w:hAnsi="宋体" w:cs="宋体"/>
                <w:sz w:val="18"/>
                <w:szCs w:val="18"/>
              </w:rPr>
              <w:t>《职工岗位工伤事故风险防控实用手册》按照职业大典中生产及制造职业岗位编制的705册教材</w:t>
            </w:r>
            <w:r>
              <w:rPr>
                <w:rFonts w:hint="eastAsia" w:ascii="宋体" w:hAnsi="宋体" w:cs="宋体"/>
                <w:spacing w:val="3"/>
                <w:sz w:val="18"/>
                <w:szCs w:val="18"/>
              </w:rPr>
              <w:t>；</w:t>
            </w:r>
          </w:p>
          <w:p w14:paraId="3F1A788A">
            <w:pPr>
              <w:widowControl/>
              <w:kinsoku w:val="0"/>
              <w:snapToGrid w:val="0"/>
              <w:spacing w:before="89" w:beforeLines="20" w:after="89" w:afterLines="20" w:line="280" w:lineRule="exact"/>
              <w:ind w:left="42" w:leftChars="20" w:right="42" w:rightChars="20"/>
              <w:textAlignment w:val="baseline"/>
              <w:rPr>
                <w:rFonts w:ascii="宋体" w:hAnsi="宋体" w:cs="宋体"/>
                <w:spacing w:val="3"/>
                <w:sz w:val="18"/>
                <w:szCs w:val="18"/>
              </w:rPr>
            </w:pPr>
            <w:r>
              <w:rPr>
                <w:rFonts w:hint="eastAsia" w:ascii="宋体" w:hAnsi="宋体" w:cs="宋体"/>
                <w:sz w:val="18"/>
                <w:szCs w:val="18"/>
              </w:rPr>
              <w:t>5.《劳动防护用品的正确佩戴》；</w:t>
            </w:r>
          </w:p>
          <w:p w14:paraId="1279FD47">
            <w:pPr>
              <w:widowControl/>
              <w:kinsoku w:val="0"/>
              <w:snapToGrid w:val="0"/>
              <w:spacing w:before="89" w:beforeLines="20" w:after="89" w:afterLines="20" w:line="280" w:lineRule="exact"/>
              <w:ind w:left="42" w:leftChars="20" w:right="42" w:rightChars="20"/>
              <w:textAlignment w:val="baseline"/>
              <w:rPr>
                <w:rFonts w:ascii="宋体" w:hAnsi="宋体" w:cs="宋体"/>
                <w:spacing w:val="-3"/>
                <w:sz w:val="18"/>
                <w:szCs w:val="18"/>
              </w:rPr>
            </w:pPr>
            <w:r>
              <w:rPr>
                <w:rFonts w:hint="eastAsia" w:ascii="宋体" w:hAnsi="宋体" w:cs="宋体"/>
                <w:sz w:val="18"/>
                <w:szCs w:val="18"/>
              </w:rPr>
              <w:t>6.《工伤事故伤害应急措施》；</w:t>
            </w:r>
          </w:p>
          <w:p w14:paraId="6F851E76">
            <w:pPr>
              <w:widowControl/>
              <w:kinsoku w:val="0"/>
              <w:snapToGrid w:val="0"/>
              <w:spacing w:before="89" w:beforeLines="20" w:after="89" w:afterLines="20" w:line="280" w:lineRule="exact"/>
              <w:ind w:left="42" w:leftChars="20" w:right="42" w:rightChars="20"/>
              <w:textAlignment w:val="baseline"/>
              <w:rPr>
                <w:rFonts w:ascii="宋体" w:hAnsi="宋体" w:cs="宋体"/>
                <w:sz w:val="18"/>
                <w:szCs w:val="18"/>
              </w:rPr>
            </w:pPr>
            <w:r>
              <w:rPr>
                <w:rFonts w:hint="eastAsia" w:ascii="宋体" w:hAnsi="宋体" w:cs="宋体"/>
                <w:spacing w:val="-3"/>
                <w:sz w:val="18"/>
                <w:szCs w:val="18"/>
              </w:rPr>
              <w:t>7.</w:t>
            </w:r>
            <w:r>
              <w:rPr>
                <w:rFonts w:hint="eastAsia" w:ascii="宋体" w:hAnsi="宋体" w:cs="宋体"/>
                <w:spacing w:val="-1"/>
                <w:sz w:val="18"/>
                <w:szCs w:val="18"/>
              </w:rPr>
              <w:t>其</w:t>
            </w:r>
            <w:r>
              <w:rPr>
                <w:rFonts w:hint="eastAsia" w:ascii="宋体" w:hAnsi="宋体" w:cs="宋体"/>
                <w:sz w:val="18"/>
                <w:szCs w:val="18"/>
              </w:rPr>
              <w:t>它</w:t>
            </w:r>
            <w:r>
              <w:rPr>
                <w:rFonts w:hint="eastAsia" w:ascii="宋体" w:hAnsi="宋体" w:cs="宋体"/>
                <w:spacing w:val="-1"/>
                <w:sz w:val="18"/>
                <w:szCs w:val="18"/>
              </w:rPr>
              <w:t>相关知</w:t>
            </w:r>
            <w:r>
              <w:rPr>
                <w:rFonts w:hint="eastAsia" w:ascii="宋体" w:hAnsi="宋体" w:cs="宋体"/>
                <w:sz w:val="18"/>
                <w:szCs w:val="18"/>
              </w:rPr>
              <w:t>识等。</w:t>
            </w:r>
          </w:p>
        </w:tc>
        <w:tc>
          <w:tcPr>
            <w:tcW w:w="2689" w:type="dxa"/>
            <w:vMerge w:val="restart"/>
            <w:tcBorders>
              <w:top w:val="single" w:color="auto" w:sz="8" w:space="0"/>
            </w:tcBorders>
            <w:shd w:val="clear" w:color="auto" w:fill="auto"/>
          </w:tcPr>
          <w:p w14:paraId="7CCDE367">
            <w:pPr>
              <w:widowControl/>
              <w:snapToGrid w:val="0"/>
              <w:spacing w:before="89" w:beforeLines="20" w:after="89" w:afterLines="20" w:line="280" w:lineRule="exact"/>
              <w:ind w:left="42" w:leftChars="20" w:right="42" w:rightChars="20"/>
              <w:rPr>
                <w:rFonts w:ascii="宋体" w:hAnsi="宋体" w:cs="宋体"/>
                <w:spacing w:val="-6"/>
                <w:sz w:val="18"/>
                <w:szCs w:val="18"/>
              </w:rPr>
            </w:pPr>
            <w:r>
              <w:rPr>
                <w:rFonts w:hint="eastAsia" w:ascii="宋体" w:hAnsi="宋体" w:cs="宋体"/>
                <w:spacing w:val="8"/>
                <w:sz w:val="18"/>
                <w:szCs w:val="18"/>
              </w:rPr>
              <w:t>1.熟悉</w:t>
            </w:r>
            <w:r>
              <w:rPr>
                <w:rFonts w:hint="eastAsia" w:ascii="宋体" w:hAnsi="宋体" w:cs="宋体"/>
                <w:spacing w:val="4"/>
                <w:sz w:val="18"/>
                <w:szCs w:val="18"/>
              </w:rPr>
              <w:t>自身岗位职业风险辨识</w:t>
            </w:r>
            <w:r>
              <w:rPr>
                <w:rFonts w:hint="eastAsia" w:ascii="宋体" w:hAnsi="宋体" w:cs="宋体"/>
                <w:spacing w:val="-6"/>
                <w:sz w:val="18"/>
                <w:szCs w:val="18"/>
              </w:rPr>
              <w:t>和风险评估知识和方法；</w:t>
            </w:r>
          </w:p>
          <w:p w14:paraId="0177F612">
            <w:pPr>
              <w:widowControl/>
              <w:kinsoku w:val="0"/>
              <w:snapToGrid w:val="0"/>
              <w:spacing w:before="89" w:beforeLines="20" w:after="89" w:afterLines="20" w:line="280" w:lineRule="exact"/>
              <w:ind w:left="42" w:leftChars="20" w:right="42" w:rightChars="20"/>
              <w:textAlignment w:val="baseline"/>
              <w:rPr>
                <w:rFonts w:ascii="宋体" w:hAnsi="宋体" w:cs="宋体"/>
                <w:spacing w:val="-6"/>
                <w:sz w:val="18"/>
                <w:szCs w:val="18"/>
              </w:rPr>
            </w:pPr>
            <w:r>
              <w:rPr>
                <w:rFonts w:hint="eastAsia" w:ascii="宋体" w:hAnsi="宋体" w:cs="宋体"/>
                <w:spacing w:val="-6"/>
                <w:sz w:val="18"/>
                <w:szCs w:val="18"/>
              </w:rPr>
              <w:t>2.能辨识自身岗位职业风险类别及存在的隐患；</w:t>
            </w:r>
          </w:p>
          <w:p w14:paraId="1EF38C19">
            <w:pPr>
              <w:widowControl/>
              <w:kinsoku w:val="0"/>
              <w:snapToGrid w:val="0"/>
              <w:spacing w:before="89" w:beforeLines="20" w:after="89" w:afterLines="20" w:line="280" w:lineRule="exact"/>
              <w:ind w:left="42" w:leftChars="20" w:right="42" w:rightChars="20"/>
              <w:textAlignment w:val="baseline"/>
              <w:rPr>
                <w:rFonts w:ascii="宋体" w:hAnsi="宋体" w:cs="宋体"/>
                <w:sz w:val="18"/>
                <w:szCs w:val="18"/>
              </w:rPr>
            </w:pPr>
            <w:r>
              <w:rPr>
                <w:rFonts w:hint="eastAsia" w:ascii="宋体" w:hAnsi="宋体" w:cs="宋体"/>
                <w:spacing w:val="-6"/>
                <w:sz w:val="18"/>
                <w:szCs w:val="18"/>
              </w:rPr>
              <w:t>3.掌握</w:t>
            </w:r>
            <w:r>
              <w:rPr>
                <w:rFonts w:hint="eastAsia" w:ascii="宋体" w:hAnsi="宋体" w:cs="宋体"/>
                <w:sz w:val="18"/>
                <w:szCs w:val="18"/>
              </w:rPr>
              <w:t>劳动防护用品的正确佩戴；</w:t>
            </w:r>
          </w:p>
          <w:p w14:paraId="74EBD7BD">
            <w:pPr>
              <w:widowControl/>
              <w:kinsoku w:val="0"/>
              <w:snapToGrid w:val="0"/>
              <w:spacing w:before="89" w:beforeLines="20" w:after="89" w:afterLines="20" w:line="280" w:lineRule="exact"/>
              <w:ind w:left="42" w:leftChars="20" w:right="42" w:rightChars="20"/>
              <w:textAlignment w:val="baseline"/>
              <w:rPr>
                <w:rFonts w:ascii="宋体" w:hAnsi="宋体" w:cs="宋体"/>
                <w:sz w:val="18"/>
                <w:szCs w:val="18"/>
              </w:rPr>
            </w:pPr>
            <w:r>
              <w:rPr>
                <w:rFonts w:hint="eastAsia" w:ascii="宋体" w:hAnsi="宋体" w:cs="宋体"/>
                <w:sz w:val="18"/>
                <w:szCs w:val="18"/>
              </w:rPr>
              <w:t>4.掌握工伤事故伤害应急自救措施。</w:t>
            </w:r>
          </w:p>
        </w:tc>
        <w:tc>
          <w:tcPr>
            <w:tcW w:w="1421" w:type="dxa"/>
            <w:tcBorders>
              <w:top w:val="single" w:color="auto" w:sz="8" w:space="0"/>
            </w:tcBorders>
            <w:shd w:val="clear" w:color="auto" w:fill="auto"/>
            <w:vAlign w:val="center"/>
          </w:tcPr>
          <w:p w14:paraId="583C5866">
            <w:pPr>
              <w:widowControl/>
              <w:kinsoku w:val="0"/>
              <w:snapToGrid w:val="0"/>
              <w:spacing w:before="89" w:beforeLines="20" w:after="89" w:afterLines="20" w:line="240" w:lineRule="exact"/>
              <w:ind w:left="42" w:leftChars="20" w:right="113"/>
              <w:jc w:val="center"/>
              <w:textAlignment w:val="baseline"/>
              <w:rPr>
                <w:rFonts w:ascii="宋体" w:hAnsi="宋体" w:cs="宋体"/>
                <w:spacing w:val="2"/>
                <w:sz w:val="18"/>
                <w:szCs w:val="18"/>
              </w:rPr>
            </w:pPr>
            <w:r>
              <w:rPr>
                <w:rFonts w:hint="eastAsia" w:ascii="宋体" w:hAnsi="宋体" w:cs="宋体"/>
                <w:spacing w:val="2"/>
                <w:sz w:val="18"/>
                <w:szCs w:val="18"/>
              </w:rPr>
              <w:t>集中互动</w:t>
            </w:r>
          </w:p>
          <w:p w14:paraId="337A7080">
            <w:pPr>
              <w:widowControl/>
              <w:kinsoku w:val="0"/>
              <w:snapToGrid w:val="0"/>
              <w:spacing w:before="89" w:beforeLines="20" w:after="89" w:afterLines="20" w:line="240" w:lineRule="exact"/>
              <w:ind w:left="42" w:leftChars="20" w:right="113"/>
              <w:jc w:val="center"/>
              <w:textAlignment w:val="baseline"/>
              <w:rPr>
                <w:rFonts w:ascii="宋体" w:hAnsi="宋体" w:cs="宋体"/>
                <w:sz w:val="18"/>
                <w:szCs w:val="18"/>
              </w:rPr>
            </w:pPr>
            <w:r>
              <w:rPr>
                <w:rFonts w:hint="eastAsia" w:ascii="宋体" w:hAnsi="宋体" w:cs="宋体"/>
                <w:spacing w:val="2"/>
                <w:sz w:val="18"/>
                <w:szCs w:val="18"/>
              </w:rPr>
              <w:t>讲授</w:t>
            </w:r>
          </w:p>
        </w:tc>
        <w:tc>
          <w:tcPr>
            <w:tcW w:w="761" w:type="dxa"/>
            <w:tcBorders>
              <w:top w:val="single" w:color="auto" w:sz="8" w:space="0"/>
            </w:tcBorders>
            <w:shd w:val="clear" w:color="auto" w:fill="auto"/>
            <w:vAlign w:val="center"/>
          </w:tcPr>
          <w:p w14:paraId="4B197A24">
            <w:pPr>
              <w:widowControl/>
              <w:kinsoku w:val="0"/>
              <w:autoSpaceDE w:val="0"/>
              <w:autoSpaceDN w:val="0"/>
              <w:snapToGrid w:val="0"/>
              <w:spacing w:before="89" w:beforeLines="20" w:after="89" w:afterLines="20" w:line="280" w:lineRule="exact"/>
              <w:ind w:left="42" w:leftChars="20" w:right="105" w:rightChars="50"/>
              <w:jc w:val="center"/>
              <w:textAlignment w:val="baseline"/>
              <w:rPr>
                <w:rFonts w:ascii="宋体" w:hAnsi="宋体" w:cs="宋体"/>
                <w:sz w:val="18"/>
                <w:szCs w:val="18"/>
              </w:rPr>
            </w:pPr>
            <w:r>
              <w:rPr>
                <w:rFonts w:hint="eastAsia" w:ascii="宋体" w:hAnsi="宋体" w:cs="宋体"/>
                <w:sz w:val="18"/>
                <w:szCs w:val="18"/>
              </w:rPr>
              <w:t>4</w:t>
            </w:r>
          </w:p>
        </w:tc>
      </w:tr>
      <w:tr w14:paraId="2764B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9" w:type="dxa"/>
            <w:vMerge w:val="continue"/>
            <w:shd w:val="clear" w:color="auto" w:fill="auto"/>
            <w:vAlign w:val="center"/>
          </w:tcPr>
          <w:p w14:paraId="702B236A">
            <w:pPr>
              <w:pStyle w:val="178"/>
              <w:rPr>
                <w:rFonts w:hAnsi="宋体" w:cs="宋体"/>
                <w:szCs w:val="18"/>
              </w:rPr>
            </w:pPr>
          </w:p>
        </w:tc>
        <w:tc>
          <w:tcPr>
            <w:tcW w:w="3530" w:type="dxa"/>
            <w:vMerge w:val="continue"/>
            <w:shd w:val="clear" w:color="auto" w:fill="auto"/>
            <w:vAlign w:val="center"/>
          </w:tcPr>
          <w:p w14:paraId="460247DF">
            <w:pPr>
              <w:pStyle w:val="178"/>
              <w:rPr>
                <w:rFonts w:hAnsi="宋体" w:cs="宋体"/>
                <w:szCs w:val="18"/>
              </w:rPr>
            </w:pPr>
          </w:p>
        </w:tc>
        <w:tc>
          <w:tcPr>
            <w:tcW w:w="2689" w:type="dxa"/>
            <w:vMerge w:val="continue"/>
            <w:shd w:val="clear" w:color="auto" w:fill="auto"/>
            <w:vAlign w:val="center"/>
          </w:tcPr>
          <w:p w14:paraId="04F5E1CE">
            <w:pPr>
              <w:pStyle w:val="178"/>
              <w:rPr>
                <w:rFonts w:hAnsi="宋体" w:cs="宋体"/>
                <w:szCs w:val="18"/>
              </w:rPr>
            </w:pPr>
          </w:p>
        </w:tc>
        <w:tc>
          <w:tcPr>
            <w:tcW w:w="1421" w:type="dxa"/>
            <w:tcBorders>
              <w:top w:val="single" w:color="auto" w:sz="8" w:space="0"/>
            </w:tcBorders>
            <w:shd w:val="clear" w:color="auto" w:fill="auto"/>
            <w:vAlign w:val="center"/>
          </w:tcPr>
          <w:p w14:paraId="7755B0DF">
            <w:pPr>
              <w:widowControl/>
              <w:kinsoku w:val="0"/>
              <w:snapToGrid w:val="0"/>
              <w:spacing w:before="89" w:beforeLines="20" w:after="89" w:afterLines="20" w:line="240" w:lineRule="exact"/>
              <w:ind w:left="56" w:leftChars="20" w:right="113" w:hanging="14"/>
              <w:jc w:val="center"/>
              <w:textAlignment w:val="baseline"/>
              <w:rPr>
                <w:rFonts w:ascii="宋体" w:hAnsi="宋体" w:cs="宋体"/>
                <w:sz w:val="18"/>
                <w:szCs w:val="18"/>
              </w:rPr>
            </w:pPr>
            <w:r>
              <w:rPr>
                <w:rFonts w:hint="eastAsia" w:ascii="宋体" w:hAnsi="宋体" w:cs="宋体"/>
                <w:spacing w:val="-4"/>
                <w:sz w:val="18"/>
                <w:szCs w:val="18"/>
              </w:rPr>
              <w:t>网络教学</w:t>
            </w:r>
          </w:p>
        </w:tc>
        <w:tc>
          <w:tcPr>
            <w:tcW w:w="761" w:type="dxa"/>
            <w:tcBorders>
              <w:top w:val="single" w:color="auto" w:sz="8" w:space="0"/>
            </w:tcBorders>
            <w:shd w:val="clear" w:color="auto" w:fill="auto"/>
            <w:vAlign w:val="center"/>
          </w:tcPr>
          <w:p w14:paraId="459EAD83">
            <w:pPr>
              <w:widowControl/>
              <w:kinsoku w:val="0"/>
              <w:autoSpaceDE w:val="0"/>
              <w:autoSpaceDN w:val="0"/>
              <w:snapToGrid w:val="0"/>
              <w:spacing w:before="89" w:beforeLines="20" w:after="89" w:afterLines="20" w:line="280" w:lineRule="exact"/>
              <w:ind w:left="42" w:leftChars="20" w:right="105" w:rightChars="50"/>
              <w:jc w:val="center"/>
              <w:textAlignment w:val="baseline"/>
              <w:rPr>
                <w:rFonts w:ascii="宋体" w:hAnsi="宋体" w:cs="宋体"/>
                <w:sz w:val="18"/>
                <w:szCs w:val="18"/>
              </w:rPr>
            </w:pPr>
            <w:r>
              <w:rPr>
                <w:rFonts w:hint="eastAsia" w:ascii="宋体" w:hAnsi="宋体" w:cs="宋体"/>
                <w:spacing w:val="-4"/>
                <w:sz w:val="18"/>
                <w:szCs w:val="18"/>
              </w:rPr>
              <w:t>20</w:t>
            </w:r>
          </w:p>
        </w:tc>
      </w:tr>
      <w:tr w14:paraId="5F4C4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9" w:type="dxa"/>
            <w:vMerge w:val="continue"/>
            <w:shd w:val="clear" w:color="auto" w:fill="auto"/>
            <w:vAlign w:val="center"/>
          </w:tcPr>
          <w:p w14:paraId="75051A10">
            <w:pPr>
              <w:pStyle w:val="178"/>
              <w:rPr>
                <w:rFonts w:hAnsi="宋体" w:cs="宋体"/>
                <w:szCs w:val="18"/>
              </w:rPr>
            </w:pPr>
          </w:p>
        </w:tc>
        <w:tc>
          <w:tcPr>
            <w:tcW w:w="3530" w:type="dxa"/>
            <w:vMerge w:val="continue"/>
            <w:shd w:val="clear" w:color="auto" w:fill="auto"/>
            <w:vAlign w:val="center"/>
          </w:tcPr>
          <w:p w14:paraId="46D1CDF0">
            <w:pPr>
              <w:pStyle w:val="178"/>
              <w:rPr>
                <w:rFonts w:hAnsi="宋体" w:cs="宋体"/>
                <w:szCs w:val="18"/>
              </w:rPr>
            </w:pPr>
          </w:p>
        </w:tc>
        <w:tc>
          <w:tcPr>
            <w:tcW w:w="2689" w:type="dxa"/>
            <w:vMerge w:val="continue"/>
            <w:shd w:val="clear" w:color="auto" w:fill="auto"/>
            <w:vAlign w:val="center"/>
          </w:tcPr>
          <w:p w14:paraId="2456EFDC">
            <w:pPr>
              <w:pStyle w:val="178"/>
              <w:rPr>
                <w:rFonts w:hAnsi="宋体" w:cs="宋体"/>
                <w:szCs w:val="18"/>
              </w:rPr>
            </w:pPr>
          </w:p>
        </w:tc>
        <w:tc>
          <w:tcPr>
            <w:tcW w:w="1421" w:type="dxa"/>
            <w:shd w:val="clear" w:color="auto" w:fill="auto"/>
            <w:vAlign w:val="center"/>
          </w:tcPr>
          <w:p w14:paraId="703F851B">
            <w:pPr>
              <w:widowControl/>
              <w:kinsoku w:val="0"/>
              <w:snapToGrid w:val="0"/>
              <w:spacing w:before="89" w:beforeLines="20" w:after="89" w:afterLines="20" w:line="240" w:lineRule="exact"/>
              <w:ind w:left="56" w:leftChars="20" w:right="113" w:hanging="14"/>
              <w:jc w:val="center"/>
              <w:textAlignment w:val="baseline"/>
              <w:rPr>
                <w:rFonts w:ascii="宋体" w:hAnsi="宋体" w:cs="宋体"/>
                <w:sz w:val="18"/>
                <w:szCs w:val="18"/>
              </w:rPr>
            </w:pPr>
            <w:r>
              <w:rPr>
                <w:rFonts w:hint="eastAsia" w:ascii="宋体" w:hAnsi="宋体" w:cs="宋体"/>
                <w:spacing w:val="1"/>
                <w:sz w:val="18"/>
                <w:szCs w:val="18"/>
              </w:rPr>
              <w:t>考试学</w:t>
            </w:r>
          </w:p>
        </w:tc>
        <w:tc>
          <w:tcPr>
            <w:tcW w:w="761" w:type="dxa"/>
            <w:shd w:val="clear" w:color="auto" w:fill="auto"/>
            <w:vAlign w:val="center"/>
          </w:tcPr>
          <w:p w14:paraId="4A65F8D6">
            <w:pPr>
              <w:widowControl/>
              <w:kinsoku w:val="0"/>
              <w:autoSpaceDE w:val="0"/>
              <w:autoSpaceDN w:val="0"/>
              <w:snapToGrid w:val="0"/>
              <w:spacing w:before="89" w:beforeLines="20" w:after="89" w:afterLines="20" w:line="280" w:lineRule="exact"/>
              <w:ind w:left="42" w:leftChars="20" w:right="105" w:rightChars="50"/>
              <w:jc w:val="center"/>
              <w:textAlignment w:val="baseline"/>
              <w:rPr>
                <w:rFonts w:ascii="宋体" w:hAnsi="宋体" w:cs="宋体"/>
                <w:sz w:val="18"/>
                <w:szCs w:val="18"/>
              </w:rPr>
            </w:pPr>
            <w:r>
              <w:rPr>
                <w:rFonts w:hint="eastAsia" w:ascii="宋体" w:hAnsi="宋体" w:cs="宋体"/>
                <w:spacing w:val="-4"/>
                <w:sz w:val="18"/>
                <w:szCs w:val="18"/>
              </w:rPr>
              <w:t>0.5</w:t>
            </w:r>
          </w:p>
        </w:tc>
      </w:tr>
    </w:tbl>
    <w:p w14:paraId="22CB79BE">
      <w:pPr>
        <w:pStyle w:val="78"/>
        <w:spacing w:before="120" w:after="120"/>
      </w:pPr>
      <w:bookmarkStart w:id="66" w:name="_Toc26765"/>
      <w:r>
        <w:rPr>
          <w:rFonts w:hint="eastAsia" w:hAnsi="黑体" w:cs="黑体"/>
          <w:spacing w:val="5"/>
        </w:rPr>
        <w:t>第二阶段 (能力提高培训)计划</w:t>
      </w:r>
      <w:bookmarkEnd w:id="66"/>
    </w:p>
    <w:p w14:paraId="1222E2EB">
      <w:pPr>
        <w:pStyle w:val="79"/>
        <w:spacing w:before="120" w:after="120"/>
      </w:pPr>
      <w:r>
        <w:rPr>
          <w:rFonts w:hint="eastAsia" w:ascii="宋体" w:hAnsi="宋体" w:eastAsia="宋体" w:cs="宋体"/>
          <w:spacing w:val="-2"/>
        </w:rPr>
        <w:t xml:space="preserve">培养目标： </w:t>
      </w:r>
      <w:r>
        <w:rPr>
          <w:rFonts w:hint="eastAsia" w:ascii="宋体" w:hAnsi="宋体" w:eastAsia="宋体" w:cs="宋体"/>
        </w:rPr>
        <w:t>掌握工伤预防风险辨识、隐患排查技能，能够独立辨识职工岗位风险能力，</w:t>
      </w:r>
      <w:r>
        <w:rPr>
          <w:rFonts w:hint="eastAsia" w:ascii="宋体" w:hAnsi="宋体" w:eastAsia="宋体" w:cs="宋体"/>
          <w:spacing w:val="-4"/>
        </w:rPr>
        <w:t xml:space="preserve"> 以及岗位环境的重点风险部位、重点风险环节</w:t>
      </w:r>
      <w:r>
        <w:rPr>
          <w:rFonts w:hint="eastAsia" w:ascii="宋体" w:hAnsi="宋体" w:eastAsia="宋体" w:cs="宋体"/>
          <w:spacing w:val="-1"/>
        </w:rPr>
        <w:t>防控措施</w:t>
      </w:r>
      <w:r>
        <w:rPr>
          <w:rFonts w:hint="eastAsia" w:ascii="宋体" w:hAnsi="宋体" w:eastAsia="宋体" w:cs="宋体"/>
          <w:spacing w:val="-3"/>
        </w:rPr>
        <w:t>， 达到独立承担工伤预防与控制工作的能力。</w:t>
      </w:r>
    </w:p>
    <w:p w14:paraId="6BF777B9">
      <w:pPr>
        <w:pStyle w:val="79"/>
        <w:spacing w:before="120" w:after="120"/>
      </w:pPr>
      <w:r>
        <w:rPr>
          <w:rFonts w:hint="eastAsia" w:ascii="宋体" w:hAnsi="宋体" w:eastAsia="宋体" w:cs="宋体"/>
          <w:spacing w:val="-6"/>
        </w:rPr>
        <w:t xml:space="preserve"> 培训大纲及学时： 详见表 </w:t>
      </w:r>
      <w:r>
        <w:rPr>
          <w:rFonts w:hint="eastAsia" w:ascii="宋体" w:hAnsi="宋体" w:eastAsia="宋体" w:cs="宋体"/>
        </w:rPr>
        <w:t>B</w:t>
      </w:r>
      <w:r>
        <w:rPr>
          <w:rFonts w:hint="eastAsia" w:ascii="宋体" w:hAnsi="宋体" w:eastAsia="宋体" w:cs="宋体"/>
          <w:spacing w:val="-6"/>
        </w:rPr>
        <w:t>.2。</w:t>
      </w:r>
    </w:p>
    <w:p w14:paraId="4C979D14">
      <w:pPr>
        <w:pStyle w:val="77"/>
        <w:numPr>
          <w:ilvl w:val="1"/>
          <w:numId w:val="0"/>
        </w:numPr>
        <w:spacing w:before="120" w:after="120"/>
        <w:ind w:left="420"/>
      </w:pPr>
      <w:r>
        <w:rPr>
          <w:rFonts w:hint="eastAsia"/>
        </w:rPr>
        <w:t xml:space="preserve">表B.2 </w:t>
      </w:r>
      <w:r>
        <w:rPr>
          <w:rFonts w:hAnsi="黑体" w:cs="黑体"/>
          <w:spacing w:val="5"/>
        </w:rPr>
        <w:t>第</w:t>
      </w:r>
      <w:r>
        <w:rPr>
          <w:rFonts w:hint="eastAsia" w:hAnsi="黑体" w:cs="黑体"/>
          <w:spacing w:val="5"/>
        </w:rPr>
        <w:t>二</w:t>
      </w:r>
      <w:r>
        <w:rPr>
          <w:rFonts w:hAnsi="黑体" w:cs="黑体"/>
          <w:spacing w:val="5"/>
        </w:rPr>
        <w:t>阶段 (</w:t>
      </w:r>
      <w:r>
        <w:rPr>
          <w:rFonts w:hint="eastAsia" w:hAnsi="黑体" w:cs="黑体"/>
        </w:rPr>
        <w:t>能力</w:t>
      </w:r>
      <w:r>
        <w:rPr>
          <w:rFonts w:hAnsi="黑体" w:cs="黑体"/>
        </w:rPr>
        <w:t>提高培训</w:t>
      </w:r>
      <w:r>
        <w:rPr>
          <w:rFonts w:hAnsi="黑体" w:cs="黑体"/>
          <w:spacing w:val="5"/>
        </w:rPr>
        <w:t>)大纲</w:t>
      </w:r>
    </w:p>
    <w:tbl>
      <w:tblPr>
        <w:tblStyle w:val="27"/>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68"/>
        <w:gridCol w:w="3510"/>
        <w:gridCol w:w="2780"/>
        <w:gridCol w:w="1330"/>
        <w:gridCol w:w="762"/>
      </w:tblGrid>
      <w:tr w14:paraId="33FDA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68" w:type="dxa"/>
            <w:tcBorders>
              <w:top w:val="single" w:color="auto" w:sz="8" w:space="0"/>
              <w:bottom w:val="single" w:color="auto" w:sz="8" w:space="0"/>
            </w:tcBorders>
            <w:shd w:val="clear" w:color="auto" w:fill="auto"/>
            <w:vAlign w:val="center"/>
          </w:tcPr>
          <w:p w14:paraId="0BDBDB74">
            <w:pPr>
              <w:widowControl/>
              <w:kinsoku w:val="0"/>
              <w:autoSpaceDE w:val="0"/>
              <w:autoSpaceDN w:val="0"/>
              <w:snapToGrid w:val="0"/>
              <w:spacing w:line="288" w:lineRule="auto"/>
              <w:ind w:left="105" w:leftChars="50" w:right="283" w:firstLine="181" w:firstLineChars="100"/>
              <w:jc w:val="center"/>
              <w:textAlignment w:val="baseline"/>
              <w:rPr>
                <w:rFonts w:ascii="宋体" w:hAnsi="宋体" w:cs="宋体"/>
                <w:b/>
                <w:bCs/>
                <w:sz w:val="18"/>
                <w:szCs w:val="18"/>
              </w:rPr>
            </w:pPr>
            <w:r>
              <w:rPr>
                <w:rFonts w:hint="eastAsia" w:ascii="宋体" w:hAnsi="宋体" w:cs="宋体"/>
                <w:b/>
                <w:bCs/>
                <w:sz w:val="18"/>
                <w:szCs w:val="18"/>
              </w:rPr>
              <w:t>岗位</w:t>
            </w:r>
          </w:p>
        </w:tc>
        <w:tc>
          <w:tcPr>
            <w:tcW w:w="3510" w:type="dxa"/>
            <w:tcBorders>
              <w:top w:val="single" w:color="auto" w:sz="8" w:space="0"/>
              <w:bottom w:val="single" w:color="auto" w:sz="8" w:space="0"/>
            </w:tcBorders>
            <w:shd w:val="clear" w:color="auto" w:fill="auto"/>
            <w:vAlign w:val="center"/>
          </w:tcPr>
          <w:p w14:paraId="50261C55">
            <w:pPr>
              <w:widowControl/>
              <w:kinsoku w:val="0"/>
              <w:autoSpaceDE w:val="0"/>
              <w:autoSpaceDN w:val="0"/>
              <w:snapToGrid w:val="0"/>
              <w:spacing w:line="288" w:lineRule="auto"/>
              <w:ind w:left="105" w:leftChars="50" w:right="283"/>
              <w:jc w:val="center"/>
              <w:textAlignment w:val="baseline"/>
              <w:rPr>
                <w:rFonts w:ascii="宋体" w:hAnsi="宋体" w:cs="宋体"/>
                <w:b/>
                <w:bCs/>
                <w:sz w:val="18"/>
                <w:szCs w:val="18"/>
              </w:rPr>
            </w:pPr>
            <w:r>
              <w:rPr>
                <w:rFonts w:hint="eastAsia" w:ascii="宋体" w:hAnsi="宋体" w:cs="宋体"/>
                <w:b/>
                <w:bCs/>
                <w:spacing w:val="-2"/>
                <w:sz w:val="18"/>
                <w:szCs w:val="18"/>
              </w:rPr>
              <w:t>培训</w:t>
            </w:r>
            <w:r>
              <w:rPr>
                <w:rFonts w:hint="eastAsia" w:ascii="宋体" w:hAnsi="宋体" w:cs="宋体"/>
                <w:b/>
                <w:bCs/>
                <w:spacing w:val="-1"/>
                <w:sz w:val="18"/>
                <w:szCs w:val="18"/>
              </w:rPr>
              <w:t>内容(</w:t>
            </w:r>
            <w:r>
              <w:rPr>
                <w:rFonts w:hint="eastAsia" w:ascii="宋体" w:hAnsi="宋体" w:cs="宋体"/>
                <w:b/>
                <w:bCs/>
                <w:spacing w:val="-3"/>
                <w:sz w:val="18"/>
                <w:szCs w:val="18"/>
              </w:rPr>
              <w:t>可包括但不限于以下内容)</w:t>
            </w:r>
          </w:p>
        </w:tc>
        <w:tc>
          <w:tcPr>
            <w:tcW w:w="2780" w:type="dxa"/>
            <w:tcBorders>
              <w:top w:val="single" w:color="auto" w:sz="8" w:space="0"/>
              <w:bottom w:val="single" w:color="auto" w:sz="8" w:space="0"/>
            </w:tcBorders>
            <w:shd w:val="clear" w:color="auto" w:fill="auto"/>
            <w:vAlign w:val="center"/>
          </w:tcPr>
          <w:p w14:paraId="6F117ED7">
            <w:pPr>
              <w:widowControl/>
              <w:kinsoku w:val="0"/>
              <w:autoSpaceDE w:val="0"/>
              <w:autoSpaceDN w:val="0"/>
              <w:snapToGrid w:val="0"/>
              <w:spacing w:line="288" w:lineRule="auto"/>
              <w:ind w:left="105" w:leftChars="50" w:right="283"/>
              <w:jc w:val="center"/>
              <w:textAlignment w:val="baseline"/>
              <w:rPr>
                <w:rFonts w:ascii="宋体" w:hAnsi="宋体" w:cs="宋体"/>
                <w:b/>
                <w:bCs/>
                <w:sz w:val="18"/>
                <w:szCs w:val="18"/>
              </w:rPr>
            </w:pPr>
            <w:r>
              <w:rPr>
                <w:rFonts w:hint="eastAsia" w:ascii="宋体" w:hAnsi="宋体" w:cs="宋体"/>
                <w:b/>
                <w:bCs/>
                <w:spacing w:val="-2"/>
                <w:sz w:val="18"/>
                <w:szCs w:val="18"/>
              </w:rPr>
              <w:t>课</w:t>
            </w:r>
            <w:r>
              <w:rPr>
                <w:rFonts w:hint="eastAsia" w:ascii="宋体" w:hAnsi="宋体" w:cs="宋体"/>
                <w:b/>
                <w:bCs/>
                <w:spacing w:val="-1"/>
                <w:sz w:val="18"/>
                <w:szCs w:val="18"/>
              </w:rPr>
              <w:t>程要求</w:t>
            </w:r>
          </w:p>
        </w:tc>
        <w:tc>
          <w:tcPr>
            <w:tcW w:w="1330" w:type="dxa"/>
            <w:tcBorders>
              <w:top w:val="single" w:color="auto" w:sz="8" w:space="0"/>
              <w:bottom w:val="single" w:color="auto" w:sz="8" w:space="0"/>
            </w:tcBorders>
            <w:shd w:val="clear" w:color="auto" w:fill="auto"/>
            <w:vAlign w:val="center"/>
          </w:tcPr>
          <w:p w14:paraId="3D21759E">
            <w:pPr>
              <w:widowControl/>
              <w:kinsoku w:val="0"/>
              <w:autoSpaceDE w:val="0"/>
              <w:autoSpaceDN w:val="0"/>
              <w:snapToGrid w:val="0"/>
              <w:spacing w:line="288" w:lineRule="auto"/>
              <w:ind w:left="105" w:leftChars="50" w:right="283"/>
              <w:jc w:val="center"/>
              <w:textAlignment w:val="baseline"/>
              <w:rPr>
                <w:rFonts w:ascii="宋体" w:hAnsi="宋体" w:cs="宋体"/>
                <w:b/>
                <w:bCs/>
                <w:sz w:val="18"/>
                <w:szCs w:val="18"/>
              </w:rPr>
            </w:pPr>
            <w:r>
              <w:rPr>
                <w:rFonts w:hint="eastAsia" w:ascii="宋体" w:hAnsi="宋体" w:cs="宋体"/>
                <w:b/>
                <w:bCs/>
                <w:spacing w:val="-2"/>
                <w:sz w:val="18"/>
                <w:szCs w:val="18"/>
              </w:rPr>
              <w:t>教学方</w:t>
            </w:r>
            <w:r>
              <w:rPr>
                <w:rFonts w:hint="eastAsia" w:ascii="宋体" w:hAnsi="宋体" w:cs="宋体"/>
                <w:b/>
                <w:bCs/>
                <w:spacing w:val="-1"/>
                <w:sz w:val="18"/>
                <w:szCs w:val="18"/>
              </w:rPr>
              <w:t>式</w:t>
            </w:r>
          </w:p>
        </w:tc>
        <w:tc>
          <w:tcPr>
            <w:tcW w:w="762" w:type="dxa"/>
            <w:tcBorders>
              <w:top w:val="single" w:color="auto" w:sz="8" w:space="0"/>
              <w:bottom w:val="single" w:color="auto" w:sz="8" w:space="0"/>
            </w:tcBorders>
            <w:shd w:val="clear" w:color="auto" w:fill="auto"/>
            <w:vAlign w:val="center"/>
          </w:tcPr>
          <w:p w14:paraId="25EDA459">
            <w:pPr>
              <w:widowControl/>
              <w:kinsoku w:val="0"/>
              <w:autoSpaceDE w:val="0"/>
              <w:autoSpaceDN w:val="0"/>
              <w:snapToGrid w:val="0"/>
              <w:spacing w:line="288" w:lineRule="auto"/>
              <w:ind w:left="229" w:leftChars="50" w:right="283" w:hanging="124"/>
              <w:jc w:val="center"/>
              <w:textAlignment w:val="baseline"/>
              <w:rPr>
                <w:rFonts w:ascii="宋体" w:hAnsi="宋体" w:cs="宋体"/>
                <w:b/>
                <w:bCs/>
                <w:sz w:val="18"/>
                <w:szCs w:val="18"/>
              </w:rPr>
            </w:pPr>
            <w:r>
              <w:rPr>
                <w:rFonts w:hint="eastAsia" w:ascii="宋体" w:hAnsi="宋体" w:cs="宋体"/>
                <w:b/>
                <w:bCs/>
                <w:spacing w:val="-9"/>
                <w:sz w:val="18"/>
                <w:szCs w:val="18"/>
              </w:rPr>
              <w:t>学时</w:t>
            </w:r>
          </w:p>
        </w:tc>
      </w:tr>
      <w:tr w14:paraId="04111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8" w:type="dxa"/>
            <w:vMerge w:val="restart"/>
            <w:tcBorders>
              <w:top w:val="single" w:color="auto" w:sz="8" w:space="0"/>
            </w:tcBorders>
            <w:shd w:val="clear" w:color="auto" w:fill="auto"/>
            <w:vAlign w:val="center"/>
          </w:tcPr>
          <w:p w14:paraId="62D2B9A9">
            <w:pPr>
              <w:snapToGrid w:val="0"/>
              <w:spacing w:before="58" w:line="288" w:lineRule="auto"/>
              <w:jc w:val="center"/>
              <w:rPr>
                <w:rFonts w:ascii="宋体" w:hAnsi="宋体" w:cs="宋体"/>
                <w:sz w:val="18"/>
                <w:szCs w:val="18"/>
              </w:rPr>
            </w:pPr>
            <w:r>
              <w:rPr>
                <w:rFonts w:hint="eastAsia" w:ascii="宋体" w:hAnsi="宋体" w:cs="宋体"/>
                <w:spacing w:val="-2"/>
                <w:sz w:val="18"/>
                <w:szCs w:val="18"/>
              </w:rPr>
              <w:t>岗位职工</w:t>
            </w:r>
          </w:p>
        </w:tc>
        <w:tc>
          <w:tcPr>
            <w:tcW w:w="3510" w:type="dxa"/>
            <w:vMerge w:val="restart"/>
            <w:tcBorders>
              <w:top w:val="single" w:color="auto" w:sz="8" w:space="0"/>
            </w:tcBorders>
            <w:shd w:val="clear" w:color="auto" w:fill="auto"/>
          </w:tcPr>
          <w:p w14:paraId="47B14A67">
            <w:pPr>
              <w:widowControl/>
              <w:kinsoku w:val="0"/>
              <w:autoSpaceDE w:val="0"/>
              <w:autoSpaceDN w:val="0"/>
              <w:snapToGrid w:val="0"/>
              <w:spacing w:before="222" w:beforeLines="50" w:line="288" w:lineRule="auto"/>
              <w:ind w:left="105" w:leftChars="50" w:right="105" w:rightChars="50"/>
              <w:textAlignment w:val="baseline"/>
              <w:rPr>
                <w:rFonts w:ascii="宋体" w:hAnsi="宋体" w:cs="宋体"/>
                <w:spacing w:val="-6"/>
                <w:sz w:val="18"/>
                <w:szCs w:val="18"/>
              </w:rPr>
            </w:pPr>
            <w:r>
              <w:rPr>
                <w:rFonts w:hint="eastAsia" w:ascii="宋体" w:hAnsi="宋体" w:cs="宋体"/>
                <w:spacing w:val="-6"/>
                <w:sz w:val="18"/>
                <w:szCs w:val="18"/>
              </w:rPr>
              <w:t>1.职工岗位职业种类及风险现状、控制措施分析；</w:t>
            </w:r>
          </w:p>
          <w:p w14:paraId="14AA09A9">
            <w:pPr>
              <w:widowControl/>
              <w:kinsoku w:val="0"/>
              <w:autoSpaceDE w:val="0"/>
              <w:autoSpaceDN w:val="0"/>
              <w:snapToGrid w:val="0"/>
              <w:spacing w:line="288" w:lineRule="auto"/>
              <w:ind w:left="105" w:leftChars="50" w:right="105" w:rightChars="50"/>
              <w:textAlignment w:val="baseline"/>
              <w:rPr>
                <w:rFonts w:ascii="宋体" w:hAnsi="宋体" w:cs="宋体"/>
                <w:spacing w:val="-2"/>
                <w:sz w:val="18"/>
                <w:szCs w:val="18"/>
              </w:rPr>
            </w:pPr>
            <w:r>
              <w:rPr>
                <w:rFonts w:hint="eastAsia" w:ascii="宋体" w:hAnsi="宋体" w:cs="宋体"/>
                <w:spacing w:val="-4"/>
                <w:sz w:val="18"/>
                <w:szCs w:val="18"/>
              </w:rPr>
              <w:t>2.</w:t>
            </w:r>
            <w:r>
              <w:rPr>
                <w:rFonts w:hint="eastAsia" w:ascii="宋体" w:hAnsi="宋体" w:cs="宋体"/>
                <w:spacing w:val="-3"/>
                <w:sz w:val="18"/>
                <w:szCs w:val="18"/>
              </w:rPr>
              <w:t>个体防护装备配备要求</w:t>
            </w:r>
            <w:r>
              <w:rPr>
                <w:rFonts w:hint="eastAsia" w:ascii="宋体" w:hAnsi="宋体" w:cs="宋体"/>
                <w:spacing w:val="-2"/>
                <w:sz w:val="18"/>
                <w:szCs w:val="18"/>
              </w:rPr>
              <w:t>；</w:t>
            </w:r>
          </w:p>
          <w:p w14:paraId="7A7E467A">
            <w:pPr>
              <w:widowControl/>
              <w:kinsoku w:val="0"/>
              <w:autoSpaceDE w:val="0"/>
              <w:autoSpaceDN w:val="0"/>
              <w:snapToGrid w:val="0"/>
              <w:spacing w:line="288" w:lineRule="auto"/>
              <w:ind w:left="105" w:leftChars="50" w:right="105" w:rightChars="50"/>
              <w:textAlignment w:val="baseline"/>
              <w:rPr>
                <w:rFonts w:ascii="宋体" w:hAnsi="宋体" w:cs="宋体"/>
                <w:spacing w:val="-4"/>
                <w:sz w:val="18"/>
                <w:szCs w:val="18"/>
              </w:rPr>
            </w:pPr>
            <w:r>
              <w:rPr>
                <w:rFonts w:hint="eastAsia" w:ascii="宋体" w:hAnsi="宋体" w:cs="宋体"/>
                <w:spacing w:val="-4"/>
                <w:sz w:val="18"/>
                <w:szCs w:val="18"/>
              </w:rPr>
              <w:t>3.</w:t>
            </w:r>
            <w:r>
              <w:rPr>
                <w:rFonts w:hint="eastAsia" w:ascii="宋体" w:hAnsi="宋体" w:cs="宋体"/>
                <w:sz w:val="18"/>
                <w:szCs w:val="18"/>
              </w:rPr>
              <w:t>工伤事故应急处置</w:t>
            </w:r>
            <w:r>
              <w:rPr>
                <w:rFonts w:hint="eastAsia" w:ascii="宋体" w:hAnsi="宋体" w:cs="宋体"/>
                <w:spacing w:val="-4"/>
                <w:sz w:val="18"/>
                <w:szCs w:val="18"/>
              </w:rPr>
              <w:t>；</w:t>
            </w:r>
          </w:p>
          <w:p w14:paraId="55CF09EB">
            <w:pPr>
              <w:widowControl/>
              <w:kinsoku w:val="0"/>
              <w:autoSpaceDE w:val="0"/>
              <w:autoSpaceDN w:val="0"/>
              <w:snapToGrid w:val="0"/>
              <w:spacing w:line="288" w:lineRule="auto"/>
              <w:ind w:left="105" w:leftChars="50"/>
              <w:textAlignment w:val="baseline"/>
              <w:rPr>
                <w:rFonts w:ascii="宋体" w:hAnsi="宋体" w:cs="宋体"/>
                <w:sz w:val="18"/>
                <w:szCs w:val="18"/>
              </w:rPr>
            </w:pPr>
            <w:r>
              <w:rPr>
                <w:rFonts w:hint="eastAsia" w:ascii="宋体" w:hAnsi="宋体" w:cs="宋体"/>
                <w:sz w:val="18"/>
                <w:szCs w:val="18"/>
              </w:rPr>
              <w:t>4.</w:t>
            </w:r>
            <w:r>
              <w:rPr>
                <w:rFonts w:hint="eastAsia" w:ascii="宋体" w:hAnsi="宋体" w:cs="宋体"/>
                <w:spacing w:val="-3"/>
                <w:sz w:val="18"/>
                <w:szCs w:val="18"/>
              </w:rPr>
              <w:t>工伤事故权益。</w:t>
            </w:r>
          </w:p>
        </w:tc>
        <w:tc>
          <w:tcPr>
            <w:tcW w:w="2780" w:type="dxa"/>
            <w:vMerge w:val="restart"/>
            <w:tcBorders>
              <w:top w:val="single" w:color="auto" w:sz="8" w:space="0"/>
            </w:tcBorders>
            <w:shd w:val="clear" w:color="auto" w:fill="auto"/>
          </w:tcPr>
          <w:p w14:paraId="1AC002A1">
            <w:pPr>
              <w:widowControl/>
              <w:kinsoku w:val="0"/>
              <w:autoSpaceDE w:val="0"/>
              <w:autoSpaceDN w:val="0"/>
              <w:snapToGrid w:val="0"/>
              <w:spacing w:before="222" w:beforeLines="50" w:line="288" w:lineRule="auto"/>
              <w:ind w:left="105" w:leftChars="50"/>
              <w:textAlignment w:val="baseline"/>
              <w:rPr>
                <w:rFonts w:ascii="宋体" w:hAnsi="宋体" w:cs="宋体"/>
                <w:spacing w:val="-4"/>
                <w:sz w:val="18"/>
                <w:szCs w:val="18"/>
              </w:rPr>
            </w:pPr>
            <w:r>
              <w:rPr>
                <w:rFonts w:hint="eastAsia" w:ascii="宋体" w:hAnsi="宋体" w:cs="宋体"/>
                <w:spacing w:val="-2"/>
                <w:sz w:val="18"/>
                <w:szCs w:val="18"/>
              </w:rPr>
              <w:t>1.</w:t>
            </w:r>
            <w:r>
              <w:rPr>
                <w:rFonts w:hint="eastAsia" w:ascii="宋体" w:hAnsi="宋体" w:cs="宋体"/>
                <w:sz w:val="18"/>
                <w:szCs w:val="18"/>
              </w:rPr>
              <w:t>能够掌握本职业</w:t>
            </w:r>
            <w:r>
              <w:rPr>
                <w:rFonts w:hint="eastAsia" w:ascii="宋体" w:hAnsi="宋体" w:cs="宋体"/>
                <w:spacing w:val="-6"/>
                <w:sz w:val="18"/>
                <w:szCs w:val="18"/>
              </w:rPr>
              <w:t>岗位</w:t>
            </w:r>
            <w:r>
              <w:rPr>
                <w:rFonts w:hint="eastAsia" w:ascii="宋体" w:hAnsi="宋体" w:cs="宋体"/>
                <w:spacing w:val="-8"/>
                <w:sz w:val="18"/>
                <w:szCs w:val="18"/>
              </w:rPr>
              <w:t>工伤</w:t>
            </w:r>
            <w:r>
              <w:rPr>
                <w:rFonts w:hint="eastAsia" w:ascii="宋体" w:hAnsi="宋体" w:cs="宋体"/>
                <w:spacing w:val="-4"/>
                <w:sz w:val="18"/>
                <w:szCs w:val="18"/>
              </w:rPr>
              <w:t>风险辨识、隐患排查和工伤事故防控；</w:t>
            </w:r>
          </w:p>
          <w:p w14:paraId="4EE78A5E">
            <w:pPr>
              <w:widowControl/>
              <w:kinsoku w:val="0"/>
              <w:autoSpaceDE w:val="0"/>
              <w:autoSpaceDN w:val="0"/>
              <w:snapToGrid w:val="0"/>
              <w:spacing w:line="288" w:lineRule="auto"/>
              <w:ind w:left="105" w:leftChars="50"/>
              <w:textAlignment w:val="baseline"/>
              <w:rPr>
                <w:rFonts w:ascii="宋体" w:hAnsi="宋体" w:cs="宋体"/>
                <w:spacing w:val="-3"/>
                <w:sz w:val="18"/>
                <w:szCs w:val="18"/>
              </w:rPr>
            </w:pPr>
            <w:r>
              <w:rPr>
                <w:rFonts w:hint="eastAsia" w:ascii="宋体" w:hAnsi="宋体" w:cs="宋体"/>
                <w:spacing w:val="-4"/>
                <w:sz w:val="18"/>
                <w:szCs w:val="18"/>
              </w:rPr>
              <w:t>2.掌握</w:t>
            </w:r>
            <w:r>
              <w:rPr>
                <w:rFonts w:hint="eastAsia" w:ascii="宋体" w:hAnsi="宋体" w:cs="宋体"/>
                <w:spacing w:val="-3"/>
                <w:sz w:val="18"/>
                <w:szCs w:val="18"/>
              </w:rPr>
              <w:t>个体防护装备配备要求；</w:t>
            </w:r>
          </w:p>
          <w:p w14:paraId="0AA2B6A8">
            <w:pPr>
              <w:widowControl/>
              <w:kinsoku w:val="0"/>
              <w:autoSpaceDE w:val="0"/>
              <w:autoSpaceDN w:val="0"/>
              <w:snapToGrid w:val="0"/>
              <w:spacing w:line="288" w:lineRule="auto"/>
              <w:ind w:left="105" w:leftChars="50"/>
              <w:textAlignment w:val="baseline"/>
              <w:rPr>
                <w:rFonts w:ascii="宋体" w:hAnsi="宋体" w:cs="宋体"/>
                <w:spacing w:val="-3"/>
                <w:sz w:val="18"/>
                <w:szCs w:val="18"/>
              </w:rPr>
            </w:pPr>
            <w:r>
              <w:rPr>
                <w:rFonts w:hint="eastAsia" w:ascii="宋体" w:hAnsi="宋体" w:cs="宋体"/>
                <w:spacing w:val="-3"/>
                <w:sz w:val="18"/>
                <w:szCs w:val="18"/>
              </w:rPr>
              <w:t>3.学会</w:t>
            </w:r>
            <w:r>
              <w:rPr>
                <w:rFonts w:hint="eastAsia" w:ascii="宋体" w:hAnsi="宋体" w:cs="宋体"/>
                <w:sz w:val="18"/>
                <w:szCs w:val="18"/>
              </w:rPr>
              <w:t>工伤事故应急处置</w:t>
            </w:r>
            <w:r>
              <w:rPr>
                <w:rFonts w:hint="eastAsia" w:ascii="宋体" w:hAnsi="宋体" w:cs="宋体"/>
                <w:spacing w:val="-4"/>
                <w:sz w:val="18"/>
                <w:szCs w:val="18"/>
              </w:rPr>
              <w:t>；</w:t>
            </w:r>
          </w:p>
          <w:p w14:paraId="393BFCDA">
            <w:pPr>
              <w:snapToGrid w:val="0"/>
              <w:spacing w:before="59" w:line="288" w:lineRule="auto"/>
              <w:ind w:left="109" w:right="101" w:firstLine="5"/>
              <w:rPr>
                <w:rFonts w:ascii="宋体" w:hAnsi="宋体" w:cs="宋体"/>
                <w:sz w:val="18"/>
                <w:szCs w:val="18"/>
              </w:rPr>
            </w:pPr>
            <w:r>
              <w:rPr>
                <w:rFonts w:hint="eastAsia" w:ascii="宋体" w:hAnsi="宋体" w:cs="宋体"/>
                <w:sz w:val="18"/>
                <w:szCs w:val="18"/>
              </w:rPr>
              <w:t>4.了解</w:t>
            </w:r>
            <w:r>
              <w:rPr>
                <w:rFonts w:hint="eastAsia" w:ascii="宋体" w:hAnsi="宋体" w:cs="宋体"/>
                <w:spacing w:val="-3"/>
                <w:sz w:val="18"/>
                <w:szCs w:val="18"/>
              </w:rPr>
              <w:t>工伤事故权益。</w:t>
            </w:r>
          </w:p>
        </w:tc>
        <w:tc>
          <w:tcPr>
            <w:tcW w:w="1330" w:type="dxa"/>
            <w:tcBorders>
              <w:top w:val="single" w:color="auto" w:sz="8" w:space="0"/>
            </w:tcBorders>
            <w:shd w:val="clear" w:color="auto" w:fill="auto"/>
            <w:vAlign w:val="center"/>
          </w:tcPr>
          <w:p w14:paraId="22D4B2D7">
            <w:pPr>
              <w:widowControl/>
              <w:kinsoku w:val="0"/>
              <w:autoSpaceDE w:val="0"/>
              <w:autoSpaceDN w:val="0"/>
              <w:snapToGrid w:val="0"/>
              <w:spacing w:line="288" w:lineRule="auto"/>
              <w:ind w:left="105" w:leftChars="50" w:right="283"/>
              <w:jc w:val="center"/>
              <w:textAlignment w:val="baseline"/>
              <w:rPr>
                <w:rFonts w:ascii="宋体" w:hAnsi="宋体" w:cs="宋体"/>
                <w:spacing w:val="2"/>
                <w:sz w:val="18"/>
                <w:szCs w:val="18"/>
              </w:rPr>
            </w:pPr>
            <w:r>
              <w:rPr>
                <w:rFonts w:hint="eastAsia" w:ascii="宋体" w:hAnsi="宋体" w:cs="宋体"/>
                <w:spacing w:val="2"/>
                <w:sz w:val="18"/>
                <w:szCs w:val="18"/>
              </w:rPr>
              <w:t>集中互动</w:t>
            </w:r>
          </w:p>
          <w:p w14:paraId="29CA0604">
            <w:pPr>
              <w:widowControl/>
              <w:kinsoku w:val="0"/>
              <w:autoSpaceDE w:val="0"/>
              <w:autoSpaceDN w:val="0"/>
              <w:snapToGrid w:val="0"/>
              <w:spacing w:line="288" w:lineRule="auto"/>
              <w:ind w:left="105" w:leftChars="50" w:right="283"/>
              <w:jc w:val="center"/>
              <w:textAlignment w:val="baseline"/>
              <w:rPr>
                <w:rFonts w:ascii="宋体" w:hAnsi="宋体" w:cs="宋体"/>
                <w:sz w:val="18"/>
                <w:szCs w:val="18"/>
              </w:rPr>
            </w:pPr>
            <w:r>
              <w:rPr>
                <w:rFonts w:hint="eastAsia" w:ascii="宋体" w:hAnsi="宋体" w:cs="宋体"/>
                <w:spacing w:val="2"/>
                <w:sz w:val="18"/>
                <w:szCs w:val="18"/>
              </w:rPr>
              <w:t>讲授</w:t>
            </w:r>
          </w:p>
        </w:tc>
        <w:tc>
          <w:tcPr>
            <w:tcW w:w="762" w:type="dxa"/>
            <w:tcBorders>
              <w:top w:val="single" w:color="auto" w:sz="8" w:space="0"/>
            </w:tcBorders>
            <w:shd w:val="clear" w:color="auto" w:fill="auto"/>
            <w:vAlign w:val="center"/>
          </w:tcPr>
          <w:p w14:paraId="414EAE6D">
            <w:pPr>
              <w:widowControl/>
              <w:kinsoku w:val="0"/>
              <w:autoSpaceDE w:val="0"/>
              <w:autoSpaceDN w:val="0"/>
              <w:snapToGrid w:val="0"/>
              <w:spacing w:line="288" w:lineRule="auto"/>
              <w:ind w:left="105" w:leftChars="50" w:right="105" w:rightChars="50"/>
              <w:jc w:val="center"/>
              <w:textAlignment w:val="baseline"/>
              <w:rPr>
                <w:rFonts w:ascii="宋体" w:hAnsi="宋体" w:cs="宋体"/>
                <w:sz w:val="18"/>
                <w:szCs w:val="18"/>
              </w:rPr>
            </w:pPr>
            <w:r>
              <w:rPr>
                <w:rFonts w:hint="eastAsia" w:ascii="宋体" w:hAnsi="宋体" w:cs="宋体"/>
                <w:sz w:val="18"/>
                <w:szCs w:val="18"/>
              </w:rPr>
              <w:t>2</w:t>
            </w:r>
          </w:p>
        </w:tc>
      </w:tr>
      <w:tr w14:paraId="138A2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8" w:type="dxa"/>
            <w:vMerge w:val="continue"/>
            <w:shd w:val="clear" w:color="auto" w:fill="auto"/>
            <w:vAlign w:val="center"/>
          </w:tcPr>
          <w:p w14:paraId="2B295DFD">
            <w:pPr>
              <w:pStyle w:val="178"/>
              <w:rPr>
                <w:rFonts w:hAnsi="宋体" w:cs="宋体"/>
                <w:szCs w:val="18"/>
              </w:rPr>
            </w:pPr>
          </w:p>
        </w:tc>
        <w:tc>
          <w:tcPr>
            <w:tcW w:w="3510" w:type="dxa"/>
            <w:vMerge w:val="continue"/>
            <w:shd w:val="clear" w:color="auto" w:fill="auto"/>
            <w:vAlign w:val="center"/>
          </w:tcPr>
          <w:p w14:paraId="7FD99A9A">
            <w:pPr>
              <w:pStyle w:val="178"/>
              <w:rPr>
                <w:rFonts w:hAnsi="宋体" w:cs="宋体"/>
                <w:szCs w:val="18"/>
              </w:rPr>
            </w:pPr>
          </w:p>
        </w:tc>
        <w:tc>
          <w:tcPr>
            <w:tcW w:w="2780" w:type="dxa"/>
            <w:vMerge w:val="continue"/>
            <w:shd w:val="clear" w:color="auto" w:fill="auto"/>
            <w:vAlign w:val="center"/>
          </w:tcPr>
          <w:p w14:paraId="4181AF7A">
            <w:pPr>
              <w:pStyle w:val="178"/>
              <w:rPr>
                <w:rFonts w:hAnsi="宋体" w:cs="宋体"/>
                <w:szCs w:val="18"/>
              </w:rPr>
            </w:pPr>
          </w:p>
        </w:tc>
        <w:tc>
          <w:tcPr>
            <w:tcW w:w="1330" w:type="dxa"/>
            <w:tcBorders>
              <w:top w:val="single" w:color="auto" w:sz="8" w:space="0"/>
            </w:tcBorders>
            <w:shd w:val="clear" w:color="auto" w:fill="auto"/>
            <w:vAlign w:val="center"/>
          </w:tcPr>
          <w:p w14:paraId="49702A3C">
            <w:pPr>
              <w:widowControl/>
              <w:kinsoku w:val="0"/>
              <w:autoSpaceDE w:val="0"/>
              <w:autoSpaceDN w:val="0"/>
              <w:snapToGrid w:val="0"/>
              <w:spacing w:line="288" w:lineRule="auto"/>
              <w:ind w:left="119" w:leftChars="50" w:right="283" w:hanging="14"/>
              <w:jc w:val="center"/>
              <w:textAlignment w:val="baseline"/>
              <w:rPr>
                <w:rFonts w:ascii="宋体" w:hAnsi="宋体" w:cs="宋体"/>
                <w:sz w:val="18"/>
                <w:szCs w:val="18"/>
              </w:rPr>
            </w:pPr>
            <w:r>
              <w:rPr>
                <w:rFonts w:hint="eastAsia" w:ascii="宋体" w:hAnsi="宋体" w:cs="宋体"/>
                <w:spacing w:val="-4"/>
                <w:sz w:val="18"/>
                <w:szCs w:val="18"/>
              </w:rPr>
              <w:t>网络教学</w:t>
            </w:r>
          </w:p>
        </w:tc>
        <w:tc>
          <w:tcPr>
            <w:tcW w:w="762" w:type="dxa"/>
            <w:tcBorders>
              <w:top w:val="single" w:color="auto" w:sz="8" w:space="0"/>
            </w:tcBorders>
            <w:shd w:val="clear" w:color="auto" w:fill="auto"/>
            <w:vAlign w:val="center"/>
          </w:tcPr>
          <w:p w14:paraId="610BE2F7">
            <w:pPr>
              <w:widowControl/>
              <w:kinsoku w:val="0"/>
              <w:autoSpaceDE w:val="0"/>
              <w:autoSpaceDN w:val="0"/>
              <w:snapToGrid w:val="0"/>
              <w:spacing w:line="288" w:lineRule="auto"/>
              <w:ind w:left="105" w:leftChars="50" w:right="105" w:rightChars="50"/>
              <w:jc w:val="center"/>
              <w:textAlignment w:val="baseline"/>
              <w:rPr>
                <w:rFonts w:ascii="宋体" w:hAnsi="宋体" w:cs="宋体"/>
                <w:sz w:val="18"/>
                <w:szCs w:val="18"/>
              </w:rPr>
            </w:pPr>
            <w:r>
              <w:rPr>
                <w:rFonts w:hint="eastAsia" w:ascii="宋体" w:hAnsi="宋体" w:cs="宋体"/>
                <w:spacing w:val="-4"/>
                <w:sz w:val="18"/>
                <w:szCs w:val="18"/>
              </w:rPr>
              <w:t>10</w:t>
            </w:r>
          </w:p>
        </w:tc>
      </w:tr>
      <w:tr w14:paraId="6ED65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8" w:type="dxa"/>
            <w:vMerge w:val="continue"/>
            <w:shd w:val="clear" w:color="auto" w:fill="auto"/>
            <w:vAlign w:val="center"/>
          </w:tcPr>
          <w:p w14:paraId="02895576">
            <w:pPr>
              <w:pStyle w:val="178"/>
              <w:rPr>
                <w:rFonts w:hAnsi="宋体" w:cs="宋体"/>
                <w:szCs w:val="18"/>
              </w:rPr>
            </w:pPr>
          </w:p>
        </w:tc>
        <w:tc>
          <w:tcPr>
            <w:tcW w:w="3510" w:type="dxa"/>
            <w:vMerge w:val="continue"/>
            <w:shd w:val="clear" w:color="auto" w:fill="auto"/>
            <w:vAlign w:val="center"/>
          </w:tcPr>
          <w:p w14:paraId="22F5C6BE">
            <w:pPr>
              <w:pStyle w:val="178"/>
              <w:rPr>
                <w:rFonts w:hAnsi="宋体" w:cs="宋体"/>
                <w:szCs w:val="18"/>
              </w:rPr>
            </w:pPr>
          </w:p>
        </w:tc>
        <w:tc>
          <w:tcPr>
            <w:tcW w:w="2780" w:type="dxa"/>
            <w:vMerge w:val="continue"/>
            <w:shd w:val="clear" w:color="auto" w:fill="auto"/>
            <w:vAlign w:val="center"/>
          </w:tcPr>
          <w:p w14:paraId="47C31853">
            <w:pPr>
              <w:pStyle w:val="178"/>
              <w:rPr>
                <w:rFonts w:hAnsi="宋体" w:cs="宋体"/>
                <w:szCs w:val="18"/>
              </w:rPr>
            </w:pPr>
          </w:p>
        </w:tc>
        <w:tc>
          <w:tcPr>
            <w:tcW w:w="1330" w:type="dxa"/>
            <w:shd w:val="clear" w:color="auto" w:fill="auto"/>
            <w:vAlign w:val="center"/>
          </w:tcPr>
          <w:p w14:paraId="05E935EA">
            <w:pPr>
              <w:widowControl/>
              <w:kinsoku w:val="0"/>
              <w:autoSpaceDE w:val="0"/>
              <w:autoSpaceDN w:val="0"/>
              <w:snapToGrid w:val="0"/>
              <w:spacing w:line="288" w:lineRule="auto"/>
              <w:ind w:left="119" w:leftChars="50" w:right="283" w:hanging="14"/>
              <w:jc w:val="center"/>
              <w:textAlignment w:val="baseline"/>
              <w:rPr>
                <w:rFonts w:ascii="宋体" w:hAnsi="宋体" w:cs="宋体"/>
                <w:sz w:val="18"/>
                <w:szCs w:val="18"/>
              </w:rPr>
            </w:pPr>
            <w:r>
              <w:rPr>
                <w:rFonts w:hint="eastAsia" w:ascii="宋体" w:hAnsi="宋体" w:cs="宋体"/>
                <w:spacing w:val="1"/>
                <w:sz w:val="18"/>
                <w:szCs w:val="18"/>
              </w:rPr>
              <w:t>考试</w:t>
            </w:r>
          </w:p>
        </w:tc>
        <w:tc>
          <w:tcPr>
            <w:tcW w:w="762" w:type="dxa"/>
            <w:shd w:val="clear" w:color="auto" w:fill="auto"/>
            <w:vAlign w:val="center"/>
          </w:tcPr>
          <w:p w14:paraId="2EEB30E0">
            <w:pPr>
              <w:widowControl/>
              <w:kinsoku w:val="0"/>
              <w:autoSpaceDE w:val="0"/>
              <w:autoSpaceDN w:val="0"/>
              <w:snapToGrid w:val="0"/>
              <w:spacing w:line="288" w:lineRule="auto"/>
              <w:ind w:left="105" w:leftChars="50" w:right="105" w:rightChars="50"/>
              <w:jc w:val="center"/>
              <w:textAlignment w:val="baseline"/>
              <w:rPr>
                <w:rFonts w:ascii="宋体" w:hAnsi="宋体" w:cs="宋体"/>
                <w:sz w:val="18"/>
                <w:szCs w:val="18"/>
              </w:rPr>
            </w:pPr>
            <w:r>
              <w:rPr>
                <w:rFonts w:hint="eastAsia" w:ascii="宋体" w:hAnsi="宋体" w:cs="宋体"/>
                <w:spacing w:val="-4"/>
                <w:sz w:val="18"/>
                <w:szCs w:val="18"/>
              </w:rPr>
              <w:t>1</w:t>
            </w:r>
          </w:p>
        </w:tc>
      </w:tr>
    </w:tbl>
    <w:p w14:paraId="5C4E9D5B">
      <w:pPr>
        <w:pStyle w:val="78"/>
        <w:spacing w:before="120" w:after="120"/>
      </w:pPr>
      <w:bookmarkStart w:id="67" w:name="_Toc23967"/>
      <w:r>
        <w:rPr>
          <w:rFonts w:hAnsi="黑体" w:cs="黑体"/>
          <w:spacing w:val="14"/>
        </w:rPr>
        <w:t>第</w:t>
      </w:r>
      <w:r>
        <w:rPr>
          <w:rFonts w:hint="eastAsia" w:hAnsi="黑体" w:cs="黑体"/>
          <w:spacing w:val="14"/>
        </w:rPr>
        <w:t>三</w:t>
      </w:r>
      <w:r>
        <w:rPr>
          <w:rFonts w:hAnsi="黑体" w:cs="黑体"/>
          <w:spacing w:val="7"/>
        </w:rPr>
        <w:t>阶段 (</w:t>
      </w:r>
      <w:r>
        <w:rPr>
          <w:rFonts w:hint="eastAsia" w:hAnsi="黑体" w:cs="黑体"/>
        </w:rPr>
        <w:t>互动</w:t>
      </w:r>
      <w:r>
        <w:rPr>
          <w:rFonts w:hAnsi="黑体" w:cs="黑体"/>
        </w:rPr>
        <w:t>实践培训</w:t>
      </w:r>
      <w:r>
        <w:rPr>
          <w:rFonts w:hAnsi="黑体" w:cs="黑体"/>
          <w:spacing w:val="7"/>
        </w:rPr>
        <w:t>)计</w:t>
      </w:r>
      <w:r>
        <w:rPr>
          <w:rFonts w:hint="eastAsia" w:hAnsi="黑体" w:cs="黑体"/>
          <w:spacing w:val="5"/>
        </w:rPr>
        <w:t>划</w:t>
      </w:r>
      <w:bookmarkEnd w:id="67"/>
    </w:p>
    <w:p w14:paraId="4AA978C3">
      <w:pPr>
        <w:pStyle w:val="79"/>
        <w:spacing w:before="120" w:after="120"/>
      </w:pPr>
      <w:r>
        <w:rPr>
          <w:rFonts w:hint="eastAsia" w:ascii="宋体" w:hAnsi="宋体" w:eastAsia="宋体" w:cs="宋体"/>
          <w:spacing w:val="-2"/>
        </w:rPr>
        <w:t xml:space="preserve">培养目标： </w:t>
      </w:r>
      <w:r>
        <w:rPr>
          <w:rFonts w:hint="eastAsia" w:ascii="宋体" w:hAnsi="宋体" w:eastAsia="宋体" w:cs="宋体"/>
          <w:spacing w:val="-6"/>
        </w:rPr>
        <w:t>应用</w:t>
      </w:r>
      <w:r>
        <w:rPr>
          <w:rFonts w:hint="eastAsia" w:ascii="宋体" w:hAnsi="宋体" w:eastAsia="宋体" w:cs="宋体"/>
          <w:spacing w:val="-3"/>
        </w:rPr>
        <w:t>所学知识对案例进行分析，找出事故直接原因及制度管理、人机物环、</w:t>
      </w:r>
      <w:r>
        <w:rPr>
          <w:rFonts w:hint="eastAsia" w:ascii="宋体" w:hAnsi="宋体" w:eastAsia="宋体" w:cs="宋体"/>
          <w:spacing w:val="-1"/>
        </w:rPr>
        <w:t>个体防护装备配备、</w:t>
      </w:r>
      <w:r>
        <w:rPr>
          <w:rFonts w:hint="eastAsia" w:ascii="宋体" w:hAnsi="宋体" w:eastAsia="宋体" w:cs="宋体"/>
          <w:spacing w:val="-3"/>
        </w:rPr>
        <w:t>应急自救存在的问题等。</w:t>
      </w:r>
    </w:p>
    <w:p w14:paraId="23C20C2C">
      <w:pPr>
        <w:pStyle w:val="79"/>
        <w:spacing w:before="120" w:after="120"/>
      </w:pPr>
      <w:r>
        <w:rPr>
          <w:rFonts w:hint="eastAsia" w:ascii="宋体" w:hAnsi="宋体" w:eastAsia="宋体" w:cs="宋体"/>
          <w:spacing w:val="-6"/>
        </w:rPr>
        <w:t xml:space="preserve">培训大纲及学时： 详见表 </w:t>
      </w:r>
      <w:r>
        <w:rPr>
          <w:rFonts w:hint="eastAsia" w:ascii="宋体" w:hAnsi="宋体" w:eastAsia="宋体" w:cs="宋体"/>
        </w:rPr>
        <w:t>B</w:t>
      </w:r>
      <w:r>
        <w:rPr>
          <w:rFonts w:hint="eastAsia" w:ascii="宋体" w:hAnsi="宋体" w:eastAsia="宋体" w:cs="宋体"/>
          <w:spacing w:val="-6"/>
        </w:rPr>
        <w:t>.3</w:t>
      </w:r>
      <w:r>
        <w:rPr>
          <w:rFonts w:ascii="宋体" w:hAnsi="宋体" w:cs="宋体"/>
          <w:spacing w:val="-6"/>
        </w:rPr>
        <w:t>。</w:t>
      </w:r>
    </w:p>
    <w:p w14:paraId="711CFD4D">
      <w:pPr>
        <w:pStyle w:val="56"/>
        <w:jc w:val="center"/>
        <w:rPr>
          <w:rFonts w:hAnsi="宋体" w:cs="宋体"/>
        </w:rPr>
      </w:pPr>
      <w:r>
        <w:rPr>
          <w:rFonts w:hint="eastAsia" w:ascii="黑体" w:hAnsi="黑体" w:eastAsia="黑体" w:cs="黑体"/>
        </w:rPr>
        <w:t xml:space="preserve">表B.2 </w:t>
      </w:r>
      <w:r>
        <w:rPr>
          <w:rFonts w:hint="eastAsia" w:ascii="黑体" w:hAnsi="黑体" w:eastAsia="黑体" w:cs="黑体"/>
          <w:spacing w:val="5"/>
        </w:rPr>
        <w:t>第二阶段 (</w:t>
      </w:r>
      <w:r>
        <w:rPr>
          <w:rFonts w:hint="eastAsia" w:ascii="黑体" w:hAnsi="黑体" w:eastAsia="黑体" w:cs="黑体"/>
        </w:rPr>
        <w:t>能力提高培训</w:t>
      </w:r>
      <w:r>
        <w:rPr>
          <w:rFonts w:hint="eastAsia" w:ascii="黑体" w:hAnsi="黑体" w:eastAsia="黑体" w:cs="黑体"/>
          <w:spacing w:val="5"/>
        </w:rPr>
        <w:t>)大纲</w:t>
      </w:r>
    </w:p>
    <w:tbl>
      <w:tblPr>
        <w:tblStyle w:val="27"/>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68"/>
        <w:gridCol w:w="3510"/>
        <w:gridCol w:w="2780"/>
        <w:gridCol w:w="1330"/>
        <w:gridCol w:w="762"/>
      </w:tblGrid>
      <w:tr w14:paraId="6E6C5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68" w:type="dxa"/>
            <w:tcBorders>
              <w:top w:val="single" w:color="auto" w:sz="8" w:space="0"/>
              <w:bottom w:val="single" w:color="auto" w:sz="8" w:space="0"/>
            </w:tcBorders>
            <w:shd w:val="clear" w:color="auto" w:fill="auto"/>
            <w:vAlign w:val="center"/>
          </w:tcPr>
          <w:p w14:paraId="21B6B7CC">
            <w:pPr>
              <w:widowControl/>
              <w:kinsoku w:val="0"/>
              <w:autoSpaceDE w:val="0"/>
              <w:autoSpaceDN w:val="0"/>
              <w:snapToGrid w:val="0"/>
              <w:spacing w:line="288" w:lineRule="auto"/>
              <w:ind w:left="105" w:leftChars="50" w:right="283" w:firstLine="181" w:firstLineChars="100"/>
              <w:jc w:val="center"/>
              <w:textAlignment w:val="baseline"/>
              <w:rPr>
                <w:rFonts w:ascii="宋体" w:hAnsi="宋体" w:cs="宋体"/>
                <w:b/>
                <w:bCs/>
                <w:sz w:val="18"/>
                <w:szCs w:val="18"/>
              </w:rPr>
            </w:pPr>
            <w:r>
              <w:rPr>
                <w:rFonts w:hint="eastAsia" w:ascii="宋体" w:hAnsi="宋体" w:cs="宋体"/>
                <w:b/>
                <w:bCs/>
                <w:sz w:val="18"/>
                <w:szCs w:val="18"/>
              </w:rPr>
              <w:t>岗位</w:t>
            </w:r>
          </w:p>
        </w:tc>
        <w:tc>
          <w:tcPr>
            <w:tcW w:w="3510" w:type="dxa"/>
            <w:tcBorders>
              <w:top w:val="single" w:color="auto" w:sz="8" w:space="0"/>
              <w:bottom w:val="single" w:color="auto" w:sz="8" w:space="0"/>
            </w:tcBorders>
            <w:shd w:val="clear" w:color="auto" w:fill="auto"/>
            <w:vAlign w:val="center"/>
          </w:tcPr>
          <w:p w14:paraId="4E14B20C">
            <w:pPr>
              <w:widowControl/>
              <w:kinsoku w:val="0"/>
              <w:autoSpaceDE w:val="0"/>
              <w:autoSpaceDN w:val="0"/>
              <w:snapToGrid w:val="0"/>
              <w:spacing w:line="288" w:lineRule="auto"/>
              <w:ind w:left="105" w:leftChars="50" w:right="283"/>
              <w:jc w:val="center"/>
              <w:textAlignment w:val="baseline"/>
              <w:rPr>
                <w:rFonts w:ascii="宋体" w:hAnsi="宋体" w:cs="宋体"/>
                <w:b/>
                <w:bCs/>
                <w:sz w:val="18"/>
                <w:szCs w:val="18"/>
              </w:rPr>
            </w:pPr>
            <w:r>
              <w:rPr>
                <w:rFonts w:hint="eastAsia" w:ascii="宋体" w:hAnsi="宋体" w:cs="宋体"/>
                <w:b/>
                <w:bCs/>
                <w:spacing w:val="-2"/>
                <w:sz w:val="18"/>
                <w:szCs w:val="18"/>
              </w:rPr>
              <w:t>培训</w:t>
            </w:r>
            <w:r>
              <w:rPr>
                <w:rFonts w:hint="eastAsia" w:ascii="宋体" w:hAnsi="宋体" w:cs="宋体"/>
                <w:b/>
                <w:bCs/>
                <w:spacing w:val="-1"/>
                <w:sz w:val="18"/>
                <w:szCs w:val="18"/>
              </w:rPr>
              <w:t>内容(</w:t>
            </w:r>
            <w:r>
              <w:rPr>
                <w:rFonts w:hint="eastAsia" w:ascii="宋体" w:hAnsi="宋体" w:cs="宋体"/>
                <w:b/>
                <w:bCs/>
                <w:spacing w:val="-3"/>
                <w:sz w:val="18"/>
                <w:szCs w:val="18"/>
              </w:rPr>
              <w:t>可包括但不限于以下内容)</w:t>
            </w:r>
          </w:p>
        </w:tc>
        <w:tc>
          <w:tcPr>
            <w:tcW w:w="2780" w:type="dxa"/>
            <w:tcBorders>
              <w:top w:val="single" w:color="auto" w:sz="8" w:space="0"/>
              <w:bottom w:val="single" w:color="auto" w:sz="8" w:space="0"/>
            </w:tcBorders>
            <w:shd w:val="clear" w:color="auto" w:fill="auto"/>
            <w:vAlign w:val="center"/>
          </w:tcPr>
          <w:p w14:paraId="527EB892">
            <w:pPr>
              <w:widowControl/>
              <w:kinsoku w:val="0"/>
              <w:autoSpaceDE w:val="0"/>
              <w:autoSpaceDN w:val="0"/>
              <w:snapToGrid w:val="0"/>
              <w:spacing w:line="288" w:lineRule="auto"/>
              <w:ind w:left="105" w:leftChars="50" w:right="283"/>
              <w:jc w:val="center"/>
              <w:textAlignment w:val="baseline"/>
              <w:rPr>
                <w:rFonts w:ascii="宋体" w:hAnsi="宋体" w:cs="宋体"/>
                <w:b/>
                <w:bCs/>
                <w:sz w:val="18"/>
                <w:szCs w:val="18"/>
              </w:rPr>
            </w:pPr>
            <w:r>
              <w:rPr>
                <w:rFonts w:hint="eastAsia" w:ascii="宋体" w:hAnsi="宋体" w:cs="宋体"/>
                <w:b/>
                <w:bCs/>
                <w:spacing w:val="-2"/>
                <w:sz w:val="18"/>
                <w:szCs w:val="18"/>
              </w:rPr>
              <w:t>课</w:t>
            </w:r>
            <w:r>
              <w:rPr>
                <w:rFonts w:hint="eastAsia" w:ascii="宋体" w:hAnsi="宋体" w:cs="宋体"/>
                <w:b/>
                <w:bCs/>
                <w:spacing w:val="-1"/>
                <w:sz w:val="18"/>
                <w:szCs w:val="18"/>
              </w:rPr>
              <w:t>程要求</w:t>
            </w:r>
          </w:p>
        </w:tc>
        <w:tc>
          <w:tcPr>
            <w:tcW w:w="1330" w:type="dxa"/>
            <w:tcBorders>
              <w:top w:val="single" w:color="auto" w:sz="8" w:space="0"/>
              <w:bottom w:val="single" w:color="auto" w:sz="8" w:space="0"/>
            </w:tcBorders>
            <w:shd w:val="clear" w:color="auto" w:fill="auto"/>
            <w:vAlign w:val="center"/>
          </w:tcPr>
          <w:p w14:paraId="0F483788">
            <w:pPr>
              <w:widowControl/>
              <w:kinsoku w:val="0"/>
              <w:autoSpaceDE w:val="0"/>
              <w:autoSpaceDN w:val="0"/>
              <w:snapToGrid w:val="0"/>
              <w:spacing w:line="288" w:lineRule="auto"/>
              <w:ind w:left="105" w:leftChars="50" w:right="283"/>
              <w:jc w:val="center"/>
              <w:textAlignment w:val="baseline"/>
              <w:rPr>
                <w:rFonts w:ascii="宋体" w:hAnsi="宋体" w:cs="宋体"/>
                <w:b/>
                <w:bCs/>
                <w:sz w:val="18"/>
                <w:szCs w:val="18"/>
              </w:rPr>
            </w:pPr>
            <w:r>
              <w:rPr>
                <w:rFonts w:hint="eastAsia" w:ascii="宋体" w:hAnsi="宋体" w:cs="宋体"/>
                <w:b/>
                <w:bCs/>
                <w:spacing w:val="-2"/>
                <w:sz w:val="18"/>
                <w:szCs w:val="18"/>
              </w:rPr>
              <w:t>教学方</w:t>
            </w:r>
            <w:r>
              <w:rPr>
                <w:rFonts w:hint="eastAsia" w:ascii="宋体" w:hAnsi="宋体" w:cs="宋体"/>
                <w:b/>
                <w:bCs/>
                <w:spacing w:val="-1"/>
                <w:sz w:val="18"/>
                <w:szCs w:val="18"/>
              </w:rPr>
              <w:t>式</w:t>
            </w:r>
          </w:p>
        </w:tc>
        <w:tc>
          <w:tcPr>
            <w:tcW w:w="762" w:type="dxa"/>
            <w:tcBorders>
              <w:top w:val="single" w:color="auto" w:sz="8" w:space="0"/>
              <w:bottom w:val="single" w:color="auto" w:sz="8" w:space="0"/>
            </w:tcBorders>
            <w:shd w:val="clear" w:color="auto" w:fill="auto"/>
            <w:vAlign w:val="center"/>
          </w:tcPr>
          <w:p w14:paraId="248A185C">
            <w:pPr>
              <w:widowControl/>
              <w:kinsoku w:val="0"/>
              <w:autoSpaceDE w:val="0"/>
              <w:autoSpaceDN w:val="0"/>
              <w:snapToGrid w:val="0"/>
              <w:spacing w:line="288" w:lineRule="auto"/>
              <w:ind w:left="229" w:leftChars="50" w:right="283" w:hanging="124"/>
              <w:jc w:val="center"/>
              <w:textAlignment w:val="baseline"/>
              <w:rPr>
                <w:rFonts w:ascii="宋体" w:hAnsi="宋体" w:cs="宋体"/>
                <w:b/>
                <w:bCs/>
                <w:sz w:val="18"/>
                <w:szCs w:val="18"/>
              </w:rPr>
            </w:pPr>
            <w:r>
              <w:rPr>
                <w:rFonts w:hint="eastAsia" w:ascii="宋体" w:hAnsi="宋体" w:cs="宋体"/>
                <w:b/>
                <w:bCs/>
                <w:spacing w:val="-9"/>
                <w:sz w:val="18"/>
                <w:szCs w:val="18"/>
              </w:rPr>
              <w:t>学时</w:t>
            </w:r>
          </w:p>
        </w:tc>
      </w:tr>
      <w:tr w14:paraId="23B40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8" w:type="dxa"/>
            <w:vMerge w:val="restart"/>
            <w:tcBorders>
              <w:top w:val="single" w:color="auto" w:sz="8" w:space="0"/>
            </w:tcBorders>
            <w:shd w:val="clear" w:color="auto" w:fill="auto"/>
            <w:vAlign w:val="center"/>
          </w:tcPr>
          <w:p w14:paraId="44AE8392">
            <w:pPr>
              <w:snapToGrid w:val="0"/>
              <w:spacing w:before="58" w:line="288" w:lineRule="auto"/>
              <w:jc w:val="center"/>
              <w:rPr>
                <w:rFonts w:ascii="宋体" w:hAnsi="宋体" w:cs="宋体"/>
                <w:sz w:val="18"/>
                <w:szCs w:val="18"/>
              </w:rPr>
            </w:pPr>
            <w:r>
              <w:rPr>
                <w:rFonts w:hint="eastAsia" w:ascii="宋体" w:hAnsi="宋体" w:cs="宋体"/>
                <w:spacing w:val="-2"/>
                <w:sz w:val="18"/>
                <w:szCs w:val="18"/>
              </w:rPr>
              <w:t>岗位职工</w:t>
            </w:r>
          </w:p>
        </w:tc>
        <w:tc>
          <w:tcPr>
            <w:tcW w:w="3510" w:type="dxa"/>
            <w:vMerge w:val="restart"/>
            <w:tcBorders>
              <w:top w:val="single" w:color="auto" w:sz="8" w:space="0"/>
            </w:tcBorders>
            <w:shd w:val="clear" w:color="auto" w:fill="auto"/>
          </w:tcPr>
          <w:p w14:paraId="41AFECD5">
            <w:pPr>
              <w:widowControl/>
              <w:kinsoku w:val="0"/>
              <w:autoSpaceDE w:val="0"/>
              <w:autoSpaceDN w:val="0"/>
              <w:snapToGrid w:val="0"/>
              <w:spacing w:line="288" w:lineRule="auto"/>
              <w:ind w:left="105" w:leftChars="50"/>
              <w:textAlignment w:val="baseline"/>
              <w:rPr>
                <w:rFonts w:ascii="宋体" w:hAnsi="宋体" w:cs="宋体"/>
                <w:sz w:val="18"/>
                <w:szCs w:val="18"/>
              </w:rPr>
            </w:pPr>
            <w:r>
              <w:rPr>
                <w:rFonts w:hint="eastAsia" w:ascii="宋体" w:hAnsi="宋体" w:cs="宋体"/>
                <w:sz w:val="18"/>
                <w:szCs w:val="18"/>
              </w:rPr>
              <w:t>1.事故案例分析；</w:t>
            </w:r>
          </w:p>
          <w:p w14:paraId="03FEE4A9">
            <w:pPr>
              <w:widowControl/>
              <w:kinsoku w:val="0"/>
              <w:autoSpaceDE w:val="0"/>
              <w:autoSpaceDN w:val="0"/>
              <w:snapToGrid w:val="0"/>
              <w:spacing w:line="288" w:lineRule="auto"/>
              <w:ind w:left="105" w:leftChars="50"/>
              <w:textAlignment w:val="baseline"/>
              <w:rPr>
                <w:rFonts w:ascii="宋体" w:hAnsi="宋体" w:cs="宋体"/>
                <w:sz w:val="18"/>
                <w:szCs w:val="18"/>
              </w:rPr>
            </w:pPr>
            <w:r>
              <w:rPr>
                <w:rFonts w:hint="eastAsia" w:ascii="宋体" w:hAnsi="宋体" w:cs="宋体"/>
                <w:sz w:val="18"/>
                <w:szCs w:val="18"/>
              </w:rPr>
              <w:t>2.个体防护装备佩戴实操；</w:t>
            </w:r>
          </w:p>
          <w:p w14:paraId="61672D10">
            <w:pPr>
              <w:widowControl/>
              <w:kinsoku w:val="0"/>
              <w:autoSpaceDE w:val="0"/>
              <w:autoSpaceDN w:val="0"/>
              <w:snapToGrid w:val="0"/>
              <w:spacing w:line="288" w:lineRule="auto"/>
              <w:ind w:left="105" w:leftChars="50"/>
              <w:textAlignment w:val="baseline"/>
              <w:rPr>
                <w:rFonts w:ascii="宋体" w:hAnsi="宋体" w:cs="宋体"/>
                <w:sz w:val="18"/>
                <w:szCs w:val="18"/>
              </w:rPr>
            </w:pPr>
            <w:r>
              <w:rPr>
                <w:rFonts w:hint="eastAsia" w:ascii="宋体" w:hAnsi="宋体" w:cs="宋体"/>
                <w:sz w:val="18"/>
                <w:szCs w:val="18"/>
              </w:rPr>
              <w:t>3.模拟工伤事故应急处置过程；</w:t>
            </w:r>
          </w:p>
          <w:p w14:paraId="42C8399C">
            <w:pPr>
              <w:widowControl/>
              <w:kinsoku w:val="0"/>
              <w:autoSpaceDE w:val="0"/>
              <w:autoSpaceDN w:val="0"/>
              <w:snapToGrid w:val="0"/>
              <w:spacing w:line="288" w:lineRule="auto"/>
              <w:ind w:left="105" w:leftChars="50"/>
              <w:textAlignment w:val="baseline"/>
              <w:rPr>
                <w:rFonts w:ascii="宋体" w:hAnsi="宋体" w:cs="宋体"/>
                <w:sz w:val="18"/>
                <w:szCs w:val="18"/>
              </w:rPr>
            </w:pPr>
            <w:r>
              <w:rPr>
                <w:rFonts w:hint="eastAsia" w:ascii="宋体" w:hAnsi="宋体" w:cs="宋体"/>
                <w:sz w:val="18"/>
                <w:szCs w:val="18"/>
              </w:rPr>
              <w:t>4.工伤事故认定判别。</w:t>
            </w:r>
          </w:p>
        </w:tc>
        <w:tc>
          <w:tcPr>
            <w:tcW w:w="2780" w:type="dxa"/>
            <w:vMerge w:val="restart"/>
            <w:tcBorders>
              <w:top w:val="single" w:color="auto" w:sz="8" w:space="0"/>
            </w:tcBorders>
            <w:shd w:val="clear" w:color="auto" w:fill="auto"/>
          </w:tcPr>
          <w:p w14:paraId="6FA3CF99">
            <w:pPr>
              <w:snapToGrid w:val="0"/>
              <w:spacing w:before="59" w:line="288" w:lineRule="auto"/>
              <w:ind w:left="109" w:right="101" w:firstLine="5"/>
              <w:rPr>
                <w:rFonts w:ascii="宋体" w:hAnsi="宋体" w:cs="宋体"/>
                <w:sz w:val="18"/>
                <w:szCs w:val="18"/>
              </w:rPr>
            </w:pPr>
            <w:r>
              <w:rPr>
                <w:rFonts w:hint="eastAsia" w:ascii="宋体" w:hAnsi="宋体" w:cs="宋体"/>
                <w:sz w:val="18"/>
                <w:szCs w:val="18"/>
              </w:rPr>
              <w:t xml:space="preserve">1.提高工伤事故对社会、企业、家庭的危害的认知； </w:t>
            </w:r>
          </w:p>
          <w:p w14:paraId="10A0827B">
            <w:pPr>
              <w:snapToGrid w:val="0"/>
              <w:spacing w:before="59" w:line="288" w:lineRule="auto"/>
              <w:ind w:left="109" w:right="101" w:firstLine="5"/>
              <w:rPr>
                <w:rFonts w:ascii="宋体" w:hAnsi="宋体" w:cs="宋体"/>
                <w:sz w:val="18"/>
                <w:szCs w:val="18"/>
              </w:rPr>
            </w:pPr>
            <w:r>
              <w:rPr>
                <w:rFonts w:hint="eastAsia" w:ascii="宋体" w:hAnsi="宋体" w:cs="宋体"/>
                <w:sz w:val="18"/>
                <w:szCs w:val="18"/>
              </w:rPr>
              <w:t>2.掌握个体防护装备正确佩戴；</w:t>
            </w:r>
          </w:p>
          <w:p w14:paraId="06A11AAE">
            <w:pPr>
              <w:snapToGrid w:val="0"/>
              <w:spacing w:before="59" w:line="288" w:lineRule="auto"/>
              <w:ind w:left="109" w:right="101" w:firstLine="5"/>
              <w:rPr>
                <w:rFonts w:ascii="宋体" w:hAnsi="宋体" w:cs="宋体"/>
                <w:sz w:val="18"/>
                <w:szCs w:val="18"/>
              </w:rPr>
            </w:pPr>
            <w:r>
              <w:rPr>
                <w:rFonts w:hint="eastAsia" w:ascii="宋体" w:hAnsi="宋体" w:cs="宋体"/>
                <w:sz w:val="18"/>
                <w:szCs w:val="18"/>
              </w:rPr>
              <w:t>3.提高工伤事故应急处置能力 。</w:t>
            </w:r>
          </w:p>
        </w:tc>
        <w:tc>
          <w:tcPr>
            <w:tcW w:w="1330" w:type="dxa"/>
            <w:tcBorders>
              <w:top w:val="single" w:color="auto" w:sz="8" w:space="0"/>
            </w:tcBorders>
            <w:shd w:val="clear" w:color="auto" w:fill="auto"/>
            <w:vAlign w:val="center"/>
          </w:tcPr>
          <w:p w14:paraId="67D047A4">
            <w:pPr>
              <w:widowControl/>
              <w:kinsoku w:val="0"/>
              <w:autoSpaceDE w:val="0"/>
              <w:autoSpaceDN w:val="0"/>
              <w:snapToGrid w:val="0"/>
              <w:spacing w:line="288" w:lineRule="auto"/>
              <w:ind w:left="105" w:leftChars="50" w:right="283"/>
              <w:jc w:val="center"/>
              <w:textAlignment w:val="baseline"/>
              <w:rPr>
                <w:rFonts w:ascii="宋体" w:hAnsi="宋体" w:cs="宋体"/>
                <w:spacing w:val="2"/>
                <w:sz w:val="18"/>
                <w:szCs w:val="18"/>
              </w:rPr>
            </w:pPr>
            <w:r>
              <w:rPr>
                <w:rFonts w:hint="eastAsia" w:ascii="宋体" w:hAnsi="宋体" w:cs="宋体"/>
                <w:spacing w:val="2"/>
                <w:sz w:val="18"/>
                <w:szCs w:val="18"/>
              </w:rPr>
              <w:t>集中互动</w:t>
            </w:r>
          </w:p>
          <w:p w14:paraId="3D85CE76">
            <w:pPr>
              <w:widowControl/>
              <w:kinsoku w:val="0"/>
              <w:autoSpaceDE w:val="0"/>
              <w:autoSpaceDN w:val="0"/>
              <w:snapToGrid w:val="0"/>
              <w:spacing w:line="288" w:lineRule="auto"/>
              <w:ind w:left="105" w:leftChars="50" w:right="283"/>
              <w:jc w:val="center"/>
              <w:textAlignment w:val="baseline"/>
              <w:rPr>
                <w:rFonts w:ascii="宋体" w:hAnsi="宋体" w:cs="宋体"/>
                <w:sz w:val="18"/>
                <w:szCs w:val="18"/>
              </w:rPr>
            </w:pPr>
            <w:r>
              <w:rPr>
                <w:rFonts w:hint="eastAsia" w:ascii="宋体" w:hAnsi="宋体" w:cs="宋体"/>
                <w:spacing w:val="2"/>
                <w:sz w:val="18"/>
                <w:szCs w:val="18"/>
              </w:rPr>
              <w:t>讲授</w:t>
            </w:r>
          </w:p>
        </w:tc>
        <w:tc>
          <w:tcPr>
            <w:tcW w:w="762" w:type="dxa"/>
            <w:tcBorders>
              <w:top w:val="single" w:color="auto" w:sz="8" w:space="0"/>
            </w:tcBorders>
            <w:shd w:val="clear" w:color="auto" w:fill="auto"/>
            <w:vAlign w:val="center"/>
          </w:tcPr>
          <w:p w14:paraId="002388A1">
            <w:pPr>
              <w:widowControl/>
              <w:kinsoku w:val="0"/>
              <w:autoSpaceDE w:val="0"/>
              <w:autoSpaceDN w:val="0"/>
              <w:snapToGrid w:val="0"/>
              <w:spacing w:line="288" w:lineRule="auto"/>
              <w:ind w:left="105" w:leftChars="50" w:right="105" w:rightChars="50"/>
              <w:jc w:val="center"/>
              <w:textAlignment w:val="baseline"/>
              <w:rPr>
                <w:rFonts w:ascii="宋体" w:hAnsi="宋体" w:cs="宋体"/>
                <w:sz w:val="18"/>
                <w:szCs w:val="18"/>
              </w:rPr>
            </w:pPr>
            <w:r>
              <w:rPr>
                <w:rFonts w:hint="eastAsia" w:ascii="宋体" w:hAnsi="宋体" w:cs="宋体"/>
                <w:sz w:val="18"/>
                <w:szCs w:val="18"/>
              </w:rPr>
              <w:t>2</w:t>
            </w:r>
          </w:p>
        </w:tc>
      </w:tr>
      <w:tr w14:paraId="15FDE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8" w:type="dxa"/>
            <w:vMerge w:val="continue"/>
            <w:shd w:val="clear" w:color="auto" w:fill="auto"/>
            <w:vAlign w:val="center"/>
          </w:tcPr>
          <w:p w14:paraId="46AB6970">
            <w:pPr>
              <w:pStyle w:val="178"/>
              <w:rPr>
                <w:rFonts w:hAnsi="宋体" w:cs="宋体"/>
                <w:szCs w:val="18"/>
              </w:rPr>
            </w:pPr>
          </w:p>
        </w:tc>
        <w:tc>
          <w:tcPr>
            <w:tcW w:w="3510" w:type="dxa"/>
            <w:vMerge w:val="continue"/>
            <w:shd w:val="clear" w:color="auto" w:fill="auto"/>
            <w:vAlign w:val="center"/>
          </w:tcPr>
          <w:p w14:paraId="5FE0F334">
            <w:pPr>
              <w:pStyle w:val="178"/>
              <w:rPr>
                <w:rFonts w:hAnsi="宋体" w:cs="宋体"/>
                <w:szCs w:val="18"/>
              </w:rPr>
            </w:pPr>
          </w:p>
        </w:tc>
        <w:tc>
          <w:tcPr>
            <w:tcW w:w="2780" w:type="dxa"/>
            <w:vMerge w:val="continue"/>
            <w:shd w:val="clear" w:color="auto" w:fill="auto"/>
            <w:vAlign w:val="center"/>
          </w:tcPr>
          <w:p w14:paraId="344BBF73">
            <w:pPr>
              <w:pStyle w:val="178"/>
              <w:rPr>
                <w:rFonts w:hAnsi="宋体" w:cs="宋体"/>
                <w:szCs w:val="18"/>
              </w:rPr>
            </w:pPr>
          </w:p>
        </w:tc>
        <w:tc>
          <w:tcPr>
            <w:tcW w:w="1330" w:type="dxa"/>
            <w:tcBorders>
              <w:top w:val="single" w:color="auto" w:sz="8" w:space="0"/>
            </w:tcBorders>
            <w:shd w:val="clear" w:color="auto" w:fill="auto"/>
            <w:vAlign w:val="center"/>
          </w:tcPr>
          <w:p w14:paraId="157BBFC8">
            <w:pPr>
              <w:widowControl/>
              <w:kinsoku w:val="0"/>
              <w:autoSpaceDE w:val="0"/>
              <w:autoSpaceDN w:val="0"/>
              <w:snapToGrid w:val="0"/>
              <w:spacing w:line="288" w:lineRule="auto"/>
              <w:ind w:left="119" w:leftChars="50" w:right="283" w:hanging="14"/>
              <w:jc w:val="center"/>
              <w:textAlignment w:val="baseline"/>
              <w:rPr>
                <w:rFonts w:ascii="宋体" w:hAnsi="宋体" w:cs="宋体"/>
                <w:sz w:val="18"/>
                <w:szCs w:val="18"/>
              </w:rPr>
            </w:pPr>
            <w:r>
              <w:rPr>
                <w:rFonts w:hint="eastAsia" w:ascii="宋体" w:hAnsi="宋体" w:cs="宋体"/>
                <w:spacing w:val="-4"/>
                <w:sz w:val="18"/>
                <w:szCs w:val="18"/>
              </w:rPr>
              <w:t>网络教学</w:t>
            </w:r>
          </w:p>
        </w:tc>
        <w:tc>
          <w:tcPr>
            <w:tcW w:w="762" w:type="dxa"/>
            <w:tcBorders>
              <w:top w:val="single" w:color="auto" w:sz="8" w:space="0"/>
            </w:tcBorders>
            <w:shd w:val="clear" w:color="auto" w:fill="auto"/>
            <w:vAlign w:val="center"/>
          </w:tcPr>
          <w:p w14:paraId="6C664058">
            <w:pPr>
              <w:widowControl/>
              <w:kinsoku w:val="0"/>
              <w:autoSpaceDE w:val="0"/>
              <w:autoSpaceDN w:val="0"/>
              <w:snapToGrid w:val="0"/>
              <w:spacing w:line="288" w:lineRule="auto"/>
              <w:ind w:left="105" w:leftChars="50" w:right="105" w:rightChars="50"/>
              <w:jc w:val="center"/>
              <w:textAlignment w:val="baseline"/>
              <w:rPr>
                <w:rFonts w:ascii="宋体" w:hAnsi="宋体" w:cs="宋体"/>
                <w:sz w:val="18"/>
                <w:szCs w:val="18"/>
              </w:rPr>
            </w:pPr>
            <w:r>
              <w:rPr>
                <w:rFonts w:hint="eastAsia" w:ascii="宋体" w:hAnsi="宋体" w:cs="宋体"/>
                <w:spacing w:val="-4"/>
                <w:sz w:val="18"/>
                <w:szCs w:val="18"/>
              </w:rPr>
              <w:t>10</w:t>
            </w:r>
          </w:p>
        </w:tc>
      </w:tr>
      <w:tr w14:paraId="635C3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8" w:type="dxa"/>
            <w:vMerge w:val="continue"/>
            <w:shd w:val="clear" w:color="auto" w:fill="auto"/>
            <w:vAlign w:val="center"/>
          </w:tcPr>
          <w:p w14:paraId="595955EA">
            <w:pPr>
              <w:pStyle w:val="178"/>
              <w:rPr>
                <w:rFonts w:hAnsi="宋体" w:cs="宋体"/>
                <w:szCs w:val="18"/>
              </w:rPr>
            </w:pPr>
          </w:p>
        </w:tc>
        <w:tc>
          <w:tcPr>
            <w:tcW w:w="3510" w:type="dxa"/>
            <w:vMerge w:val="continue"/>
            <w:shd w:val="clear" w:color="auto" w:fill="auto"/>
            <w:vAlign w:val="center"/>
          </w:tcPr>
          <w:p w14:paraId="01695DC4">
            <w:pPr>
              <w:pStyle w:val="178"/>
              <w:rPr>
                <w:rFonts w:hAnsi="宋体" w:cs="宋体"/>
                <w:szCs w:val="18"/>
              </w:rPr>
            </w:pPr>
          </w:p>
        </w:tc>
        <w:tc>
          <w:tcPr>
            <w:tcW w:w="2780" w:type="dxa"/>
            <w:vMerge w:val="continue"/>
            <w:shd w:val="clear" w:color="auto" w:fill="auto"/>
            <w:vAlign w:val="center"/>
          </w:tcPr>
          <w:p w14:paraId="42B921F5">
            <w:pPr>
              <w:pStyle w:val="178"/>
              <w:rPr>
                <w:rFonts w:hAnsi="宋体" w:cs="宋体"/>
                <w:szCs w:val="18"/>
              </w:rPr>
            </w:pPr>
          </w:p>
        </w:tc>
        <w:tc>
          <w:tcPr>
            <w:tcW w:w="1330" w:type="dxa"/>
            <w:shd w:val="clear" w:color="auto" w:fill="auto"/>
            <w:vAlign w:val="center"/>
          </w:tcPr>
          <w:p w14:paraId="61FB04C6">
            <w:pPr>
              <w:widowControl/>
              <w:kinsoku w:val="0"/>
              <w:autoSpaceDE w:val="0"/>
              <w:autoSpaceDN w:val="0"/>
              <w:snapToGrid w:val="0"/>
              <w:spacing w:line="288" w:lineRule="auto"/>
              <w:ind w:left="119" w:leftChars="50" w:right="283" w:hanging="14"/>
              <w:jc w:val="center"/>
              <w:textAlignment w:val="baseline"/>
              <w:rPr>
                <w:rFonts w:ascii="宋体" w:hAnsi="宋体" w:cs="宋体"/>
                <w:sz w:val="18"/>
                <w:szCs w:val="18"/>
              </w:rPr>
            </w:pPr>
            <w:r>
              <w:rPr>
                <w:rFonts w:hint="eastAsia" w:ascii="宋体" w:hAnsi="宋体" w:cs="宋体"/>
                <w:spacing w:val="1"/>
                <w:sz w:val="18"/>
                <w:szCs w:val="18"/>
              </w:rPr>
              <w:t>考试</w:t>
            </w:r>
          </w:p>
        </w:tc>
        <w:tc>
          <w:tcPr>
            <w:tcW w:w="762" w:type="dxa"/>
            <w:shd w:val="clear" w:color="auto" w:fill="auto"/>
            <w:vAlign w:val="center"/>
          </w:tcPr>
          <w:p w14:paraId="6C072E5E">
            <w:pPr>
              <w:widowControl/>
              <w:kinsoku w:val="0"/>
              <w:autoSpaceDE w:val="0"/>
              <w:autoSpaceDN w:val="0"/>
              <w:snapToGrid w:val="0"/>
              <w:spacing w:line="288" w:lineRule="auto"/>
              <w:ind w:left="105" w:leftChars="50" w:right="105" w:rightChars="50"/>
              <w:jc w:val="center"/>
              <w:textAlignment w:val="baseline"/>
              <w:rPr>
                <w:rFonts w:ascii="宋体" w:hAnsi="宋体" w:cs="宋体"/>
                <w:sz w:val="18"/>
                <w:szCs w:val="18"/>
              </w:rPr>
            </w:pPr>
            <w:r>
              <w:rPr>
                <w:rFonts w:hint="eastAsia" w:ascii="宋体" w:hAnsi="宋体" w:cs="宋体"/>
                <w:spacing w:val="-4"/>
                <w:sz w:val="18"/>
                <w:szCs w:val="18"/>
              </w:rPr>
              <w:t>1</w:t>
            </w:r>
          </w:p>
        </w:tc>
      </w:tr>
      <w:bookmarkEnd w:id="6"/>
    </w:tbl>
    <w:p w14:paraId="703089E5">
      <w:pPr>
        <w:sectPr>
          <w:headerReference r:id="rId13" w:type="default"/>
          <w:footerReference r:id="rId15" w:type="default"/>
          <w:headerReference r:id="rId14" w:type="even"/>
          <w:footerReference r:id="rId16" w:type="even"/>
          <w:pgSz w:w="11906" w:h="16838"/>
          <w:pgMar w:top="1928" w:right="1134" w:bottom="1134" w:left="1134" w:header="1418" w:footer="1134" w:gutter="284"/>
          <w:cols w:space="425" w:num="1"/>
          <w:formProt w:val="0"/>
          <w:docGrid w:linePitch="312" w:charSpace="0"/>
        </w:sectPr>
      </w:pPr>
      <w:bookmarkStart w:id="68" w:name="BookMark6"/>
    </w:p>
    <w:p w14:paraId="25C95B51">
      <w:pPr>
        <w:pStyle w:val="63"/>
        <w:spacing w:after="120"/>
      </w:pPr>
      <w:bookmarkStart w:id="69" w:name="_Toc150014788"/>
      <w:bookmarkStart w:id="70" w:name="_Toc1798"/>
      <w:r>
        <w:rPr>
          <w:rFonts w:hint="eastAsia"/>
          <w:spacing w:val="105"/>
        </w:rPr>
        <w:t>参考文</w:t>
      </w:r>
      <w:r>
        <w:rPr>
          <w:rFonts w:hint="eastAsia"/>
        </w:rPr>
        <w:t>献</w:t>
      </w:r>
      <w:bookmarkEnd w:id="69"/>
      <w:bookmarkEnd w:id="70"/>
    </w:p>
    <w:p w14:paraId="1625CC51">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AQ/T 8011-2023 安全生产培训机构基本条件</w:t>
      </w:r>
    </w:p>
    <w:p w14:paraId="146C76F4">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GB/T 19025-2023  质量管理培训指南</w:t>
      </w:r>
    </w:p>
    <w:p w14:paraId="7C60B94E">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T/CSBX 0014-2021 工伤预防交互式培训规范</w:t>
      </w:r>
    </w:p>
    <w:p w14:paraId="2FE3747C">
      <w:pPr>
        <w:widowControl/>
        <w:numPr>
          <w:ilvl w:val="0"/>
          <w:numId w:val="32"/>
        </w:numPr>
        <w:tabs>
          <w:tab w:val="left" w:pos="993"/>
        </w:tabs>
        <w:autoSpaceDE w:val="0"/>
        <w:autoSpaceDN w:val="0"/>
        <w:adjustRightInd/>
        <w:spacing w:line="240" w:lineRule="auto"/>
        <w:ind w:left="0" w:firstLine="420" w:firstLineChars="200"/>
        <w:contextualSpacing/>
      </w:pPr>
      <w:r>
        <w:rPr>
          <w:rFonts w:hint="eastAsia" w:ascii="宋体" w:hAnsi="Times New Roman"/>
          <w:kern w:val="0"/>
          <w:szCs w:val="20"/>
        </w:rPr>
        <w:t>张学文，刘辉霞 现场互动与持续改善式工伤预防培训项目实施手册 [M].北京：中国劳动社会保障出版社，2016.</w:t>
      </w:r>
    </w:p>
    <w:bookmarkEnd w:id="68"/>
    <w:p w14:paraId="24212C71">
      <w:pPr>
        <w:pStyle w:val="56"/>
        <w:ind w:firstLine="0" w:firstLineChars="0"/>
        <w:jc w:val="center"/>
      </w:pPr>
      <w:bookmarkStart w:id="71" w:name="BookMark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8674">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03BF">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6686">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0825C">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6970">
    <w:pPr>
      <w:pStyle w:val="52"/>
    </w:pPr>
    <w:r>
      <w:fldChar w:fldCharType="begin"/>
    </w:r>
    <w:r>
      <w:instrText xml:space="preserve">PAGE   \* MERGEFORMAT</w:instrText>
    </w:r>
    <w:r>
      <w:fldChar w:fldCharType="separate"/>
    </w:r>
    <w:r>
      <w:rPr>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B53A">
    <w:pPr>
      <w:pStyle w:val="51"/>
    </w:pPr>
    <w:r>
      <w:fldChar w:fldCharType="begin"/>
    </w:r>
    <w:r>
      <w:instrText xml:space="preserve"> PAGE   \* MERGEFORMAT \* MERGEFORMAT </w:instrText>
    </w:r>
    <w:r>
      <w:fldChar w:fldCharType="separate"/>
    </w:r>
    <w:r>
      <w:t>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B2BB">
    <w:pPr>
      <w:pStyle w:val="52"/>
    </w:pPr>
    <w:r>
      <w:fldChar w:fldCharType="begin"/>
    </w:r>
    <w:r>
      <w:instrText xml:space="preserve">PAGE   \* MERGEFORMAT</w:instrText>
    </w:r>
    <w:r>
      <w:fldChar w:fldCharType="separate"/>
    </w:r>
    <w:r>
      <w:rPr>
        <w:lang w:val="zh-CN"/>
      </w:rPr>
      <w:t>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50F4">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10F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A41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4242E">
    <w:pPr>
      <w:pStyle w:val="61"/>
    </w:pPr>
    <w:r>
      <w:fldChar w:fldCharType="begin"/>
    </w:r>
    <w:r>
      <w:instrText xml:space="preserve"> STYLEREF  标准文件_文件编号  \* MERGEFORMAT </w:instrText>
    </w:r>
    <w:r>
      <w:fldChar w:fldCharType="separate"/>
    </w:r>
    <w:r>
      <w:t>T/CASMES XXX3—2024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E4A9">
    <w:pPr>
      <w:pStyle w:val="62"/>
    </w:pPr>
    <w:r>
      <w:fldChar w:fldCharType="begin"/>
    </w:r>
    <w:r>
      <w:instrText xml:space="preserve"> STYLEREF  标准文件_文件编号 \* MERGEFORMAT </w:instrText>
    </w:r>
    <w:r>
      <w:fldChar w:fldCharType="separate"/>
    </w:r>
    <w:r>
      <w:t>T/CASMES XXX3—2024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3992">
    <w:pPr>
      <w:pStyle w:val="61"/>
    </w:pPr>
    <w:r>
      <w:fldChar w:fldCharType="begin"/>
    </w:r>
    <w:r>
      <w:instrText xml:space="preserve"> STYLEREF  标准文件_文件编号  \* MERGEFORMAT </w:instrText>
    </w:r>
    <w:r>
      <w:fldChar w:fldCharType="separate"/>
    </w:r>
    <w:r>
      <w:t>T/CASMES XXX3—2024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FC664">
    <w:pPr>
      <w:pStyle w:val="62"/>
    </w:pPr>
    <w:r>
      <w:fldChar w:fldCharType="begin"/>
    </w:r>
    <w:r>
      <w:instrText xml:space="preserve"> STYLEREF  标准文件_文件编号 \* MERGEFORMAT </w:instrText>
    </w:r>
    <w:r>
      <w:fldChar w:fldCharType="separate"/>
    </w:r>
    <w:r>
      <w:t>T/CASMES XXX3—2024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A4A9">
    <w:pPr>
      <w:pStyle w:val="61"/>
    </w:pPr>
    <w:r>
      <w:fldChar w:fldCharType="begin"/>
    </w:r>
    <w:r>
      <w:instrText xml:space="preserve"> STYLEREF  标准文件_文件编号  \* MERGEFORMAT </w:instrText>
    </w:r>
    <w:r>
      <w:fldChar w:fldCharType="separate"/>
    </w:r>
    <w:r>
      <w:t>T/CASMES XXX3—2024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017C">
    <w:pPr>
      <w:pStyle w:val="62"/>
    </w:pPr>
    <w:r>
      <w:fldChar w:fldCharType="begin"/>
    </w:r>
    <w:r>
      <w:instrText xml:space="preserve"> STYLEREF  标准文件_文件编号 \* MERGEFORMAT </w:instrText>
    </w:r>
    <w:r>
      <w:fldChar w:fldCharType="separate"/>
    </w:r>
    <w:r>
      <w:t>T/CASMES XXX3—2024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18B0768"/>
    <w:multiLevelType w:val="multilevel"/>
    <w:tmpl w:val="218B0768"/>
    <w:lvl w:ilvl="0" w:tentative="0">
      <w:start w:val="1"/>
      <w:numFmt w:val="decimal"/>
      <w:lvlText w:val="[%1]"/>
      <w:lvlJc w:val="left"/>
      <w:pPr>
        <w:ind w:left="846" w:hanging="420"/>
      </w:pPr>
      <w:rPr>
        <w:rFonts w:hint="eastAsia"/>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TE2OTAyODcwNzQyZjlhN2I4YmZjNTlhNzAyOTIifQ=="/>
  </w:docVars>
  <w:rsids>
    <w:rsidRoot w:val="004F0936"/>
    <w:rsid w:val="0000040A"/>
    <w:rsid w:val="00000A94"/>
    <w:rsid w:val="00001972"/>
    <w:rsid w:val="00001D9A"/>
    <w:rsid w:val="00007B3A"/>
    <w:rsid w:val="000107E0"/>
    <w:rsid w:val="00011FDE"/>
    <w:rsid w:val="00012FFD"/>
    <w:rsid w:val="0001346A"/>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C0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4EE"/>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AB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93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32A"/>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2E1"/>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F7A"/>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574"/>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FCC"/>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699"/>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74D"/>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E8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78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C93"/>
    <w:rsid w:val="00DE62E1"/>
    <w:rsid w:val="00DE6E81"/>
    <w:rsid w:val="00DE703F"/>
    <w:rsid w:val="00DE7595"/>
    <w:rsid w:val="00DF1961"/>
    <w:rsid w:val="00DF44DE"/>
    <w:rsid w:val="00E01138"/>
    <w:rsid w:val="00E02DFB"/>
    <w:rsid w:val="00E030F9"/>
    <w:rsid w:val="00E0311A"/>
    <w:rsid w:val="00E03138"/>
    <w:rsid w:val="00E06404"/>
    <w:rsid w:val="00E113C7"/>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787335"/>
    <w:rsid w:val="03B73F68"/>
    <w:rsid w:val="067A1543"/>
    <w:rsid w:val="08BF5E5A"/>
    <w:rsid w:val="08C130AE"/>
    <w:rsid w:val="0A222B45"/>
    <w:rsid w:val="0EF40828"/>
    <w:rsid w:val="117B189D"/>
    <w:rsid w:val="14AA0870"/>
    <w:rsid w:val="1546109D"/>
    <w:rsid w:val="16C555A8"/>
    <w:rsid w:val="181933C2"/>
    <w:rsid w:val="1934550E"/>
    <w:rsid w:val="1C8A0808"/>
    <w:rsid w:val="1CDF01D2"/>
    <w:rsid w:val="1D556936"/>
    <w:rsid w:val="1DB57966"/>
    <w:rsid w:val="20DA787E"/>
    <w:rsid w:val="218518E3"/>
    <w:rsid w:val="22B83F02"/>
    <w:rsid w:val="24575689"/>
    <w:rsid w:val="25D17777"/>
    <w:rsid w:val="276B56D3"/>
    <w:rsid w:val="2C6950B0"/>
    <w:rsid w:val="2E751DE4"/>
    <w:rsid w:val="30E5352B"/>
    <w:rsid w:val="354D4AAF"/>
    <w:rsid w:val="363B44C3"/>
    <w:rsid w:val="378105FB"/>
    <w:rsid w:val="3A1E69B9"/>
    <w:rsid w:val="3B7010B2"/>
    <w:rsid w:val="3C842AC7"/>
    <w:rsid w:val="3D3A3737"/>
    <w:rsid w:val="3EA67C19"/>
    <w:rsid w:val="3FBA3E3A"/>
    <w:rsid w:val="40885202"/>
    <w:rsid w:val="40BC43EC"/>
    <w:rsid w:val="43586A01"/>
    <w:rsid w:val="457534B9"/>
    <w:rsid w:val="46E1565B"/>
    <w:rsid w:val="4D9C1893"/>
    <w:rsid w:val="4F244236"/>
    <w:rsid w:val="4F697E9B"/>
    <w:rsid w:val="4FD03A76"/>
    <w:rsid w:val="501062AB"/>
    <w:rsid w:val="50790FCF"/>
    <w:rsid w:val="51CB6556"/>
    <w:rsid w:val="52570BEB"/>
    <w:rsid w:val="55600819"/>
    <w:rsid w:val="55B63E77"/>
    <w:rsid w:val="56974A17"/>
    <w:rsid w:val="56AE5F6C"/>
    <w:rsid w:val="57387E2E"/>
    <w:rsid w:val="582C415B"/>
    <w:rsid w:val="5919023C"/>
    <w:rsid w:val="59FA4A40"/>
    <w:rsid w:val="5A0A39CE"/>
    <w:rsid w:val="5AE21D56"/>
    <w:rsid w:val="5C35445C"/>
    <w:rsid w:val="5E851267"/>
    <w:rsid w:val="5EE77F7A"/>
    <w:rsid w:val="5F1840CE"/>
    <w:rsid w:val="631877B6"/>
    <w:rsid w:val="65CB79CB"/>
    <w:rsid w:val="68B34122"/>
    <w:rsid w:val="6B880145"/>
    <w:rsid w:val="6DF9658C"/>
    <w:rsid w:val="6EFF7FCF"/>
    <w:rsid w:val="70784590"/>
    <w:rsid w:val="723C4631"/>
    <w:rsid w:val="73D06D64"/>
    <w:rsid w:val="751E707F"/>
    <w:rsid w:val="75A740D0"/>
    <w:rsid w:val="77310D13"/>
    <w:rsid w:val="791657DA"/>
    <w:rsid w:val="7A30179F"/>
    <w:rsid w:val="7B4A207F"/>
    <w:rsid w:val="7B8D1364"/>
    <w:rsid w:val="7D7C00BD"/>
    <w:rsid w:val="7DD30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1"/>
    <w:pPr>
      <w:autoSpaceDE w:val="0"/>
      <w:autoSpaceDN w:val="0"/>
      <w:spacing w:before="161"/>
      <w:ind w:left="1073" w:hanging="362"/>
      <w:jc w:val="left"/>
    </w:pPr>
    <w:rPr>
      <w:rFonts w:ascii="宋体" w:hAnsi="宋体" w:cs="宋体"/>
      <w:kern w:val="0"/>
      <w:sz w:val="22"/>
      <w:szCs w:val="22"/>
      <w:lang w:val="zh-CN" w:bidi="zh-CN"/>
    </w:rPr>
  </w:style>
  <w:style w:type="table" w:customStyle="1" w:styleId="2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BAD1D096DA435C958A3CC3CE42E1DA"/>
        <w:style w:val=""/>
        <w:category>
          <w:name w:val="常规"/>
          <w:gallery w:val="placeholder"/>
        </w:category>
        <w:types>
          <w:type w:val="bbPlcHdr"/>
        </w:types>
        <w:behaviors>
          <w:behavior w:val="content"/>
        </w:behaviors>
        <w:description w:val=""/>
        <w:guid w:val="{61934528-37A1-49F9-BF08-2AAB414F29F7}"/>
      </w:docPartPr>
      <w:docPartBody>
        <w:p w14:paraId="70D0D865">
          <w:pPr>
            <w:pStyle w:val="5"/>
          </w:pPr>
          <w:r>
            <w:rPr>
              <w:rStyle w:val="4"/>
              <w:rFonts w:hint="eastAsia"/>
            </w:rPr>
            <w:t>单击或点击此处输入文字。</w:t>
          </w:r>
        </w:p>
      </w:docPartBody>
    </w:docPart>
    <w:docPart>
      <w:docPartPr>
        <w:name w:val="5FE49046297C4A68A6C5EFDE3F027740"/>
        <w:style w:val=""/>
        <w:category>
          <w:name w:val="常规"/>
          <w:gallery w:val="placeholder"/>
        </w:category>
        <w:types>
          <w:type w:val="bbPlcHdr"/>
        </w:types>
        <w:behaviors>
          <w:behavior w:val="content"/>
        </w:behaviors>
        <w:description w:val=""/>
        <w:guid w:val="{653A4C1D-7889-4750-B832-B9993DB68657}"/>
      </w:docPartPr>
      <w:docPartBody>
        <w:p w14:paraId="5C97F256">
          <w:pPr>
            <w:pStyle w:val="6"/>
          </w:pPr>
          <w:r>
            <w:rPr>
              <w:rStyle w:val="4"/>
              <w:rFonts w:hint="eastAsia"/>
            </w:rPr>
            <w:t>选择一项。</w:t>
          </w:r>
        </w:p>
      </w:docPartBody>
    </w:docPart>
    <w:docPart>
      <w:docPartPr>
        <w:name w:val="82FAD4B12AFB42FD997383B282BB9FD2"/>
        <w:style w:val=""/>
        <w:category>
          <w:name w:val="常规"/>
          <w:gallery w:val="placeholder"/>
        </w:category>
        <w:types>
          <w:type w:val="bbPlcHdr"/>
        </w:types>
        <w:behaviors>
          <w:behavior w:val="content"/>
        </w:behaviors>
        <w:description w:val=""/>
        <w:guid w:val="{23D05D0A-0F65-4FE0-9D29-D2C0C0556922}"/>
      </w:docPartPr>
      <w:docPartBody>
        <w:p w14:paraId="6977BB7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0"/>
    <w:rsid w:val="00125FC3"/>
    <w:rsid w:val="001D53D7"/>
    <w:rsid w:val="003A5430"/>
    <w:rsid w:val="004E2C37"/>
    <w:rsid w:val="005E12C1"/>
    <w:rsid w:val="00607BD0"/>
    <w:rsid w:val="00880EF2"/>
    <w:rsid w:val="00C1100C"/>
    <w:rsid w:val="00DD45EC"/>
    <w:rsid w:val="00E7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BAD1D096DA435C958A3CC3CE42E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E49046297C4A68A6C5EFDE3F0277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FAD4B12AFB42FD997383B282BB9F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58C968105124919A5150DA17DA1C75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FA403-B8AB-4019-A1B2-16E5642677B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4648</Words>
  <Characters>5063</Characters>
  <Lines>48</Lines>
  <Paragraphs>13</Paragraphs>
  <TotalTime>1</TotalTime>
  <ScaleCrop>false</ScaleCrop>
  <LinksUpToDate>false</LinksUpToDate>
  <CharactersWithSpaces>5253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2023-10-31T07:57:00Z</dcterms:created>
  <dc:creator>起草人</dc:creator>
  <dc:description>&lt;config cover="true" show_menu="true" version="1.0.0" doctype="SDKXY"&gt;_x000d_
&lt;/config&gt;</dc:description>
  <cp:lastModifiedBy>桦树林(李华)</cp:lastModifiedBy>
  <cp:lastPrinted>2021-02-02T08:22:00Z</cp:lastPrinted>
  <dcterms:modified xsi:type="dcterms:W3CDTF">2024-09-12T12:09:12Z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2052-12.1.0.17827</vt:lpwstr>
  </property>
  <property fmtid="{D5CDD505-2E9C-101B-9397-08002B2CF9AE}" pid="16" name="ICV">
    <vt:lpwstr>27266E65715246E6A586F8AC4DBB649F_13</vt:lpwstr>
  </property>
</Properties>
</file>