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EDD37">
      <w:pPr>
        <w:pStyle w:val="12"/>
        <w:ind w:left="0" w:leftChars="0" w:firstLine="0" w:firstLineChars="0"/>
        <w:jc w:val="center"/>
        <w:rPr>
          <w:rFonts w:hint="eastAsia"/>
          <w:b/>
          <w:bCs/>
          <w:sz w:val="32"/>
          <w:szCs w:val="32"/>
        </w:rPr>
      </w:pPr>
      <w:r>
        <w:rPr>
          <w:rFonts w:hint="eastAsia"/>
          <w:b/>
          <w:bCs/>
          <w:sz w:val="32"/>
          <w:szCs w:val="32"/>
        </w:rPr>
        <w:t>《</w:t>
      </w:r>
      <w:bookmarkStart w:id="0" w:name="_GoBack"/>
      <w:r>
        <w:rPr>
          <w:rFonts w:hint="eastAsia"/>
          <w:b/>
          <w:bCs/>
          <w:sz w:val="32"/>
          <w:szCs w:val="32"/>
          <w:lang w:eastAsia="zh-CN"/>
        </w:rPr>
        <w:t>独立运营师等级评价规范</w:t>
      </w:r>
      <w:bookmarkEnd w:id="0"/>
      <w:r>
        <w:rPr>
          <w:rFonts w:hint="eastAsia"/>
          <w:b/>
          <w:bCs/>
          <w:sz w:val="32"/>
          <w:szCs w:val="32"/>
        </w:rPr>
        <w:t>》</w:t>
      </w:r>
    </w:p>
    <w:p w14:paraId="23995263">
      <w:pPr>
        <w:pStyle w:val="12"/>
        <w:ind w:left="0" w:leftChars="0" w:firstLine="0" w:firstLineChars="0"/>
        <w:jc w:val="center"/>
        <w:rPr>
          <w:rFonts w:hint="eastAsia"/>
          <w:b/>
          <w:bCs/>
          <w:sz w:val="32"/>
          <w:szCs w:val="32"/>
        </w:rPr>
      </w:pPr>
      <w:r>
        <w:rPr>
          <w:rFonts w:hint="eastAsia"/>
          <w:b/>
          <w:bCs/>
          <w:sz w:val="32"/>
          <w:szCs w:val="32"/>
        </w:rPr>
        <w:t>团体标准编制说明的主要内容</w:t>
      </w:r>
    </w:p>
    <w:p w14:paraId="10E8A21F">
      <w:pPr>
        <w:pStyle w:val="12"/>
        <w:ind w:left="0" w:leftChars="0" w:firstLine="560" w:firstLineChars="200"/>
        <w:rPr>
          <w:sz w:val="28"/>
          <w:szCs w:val="28"/>
        </w:rPr>
      </w:pPr>
      <w:r>
        <w:rPr>
          <w:rFonts w:hint="eastAsia"/>
          <w:sz w:val="28"/>
          <w:szCs w:val="28"/>
        </w:rPr>
        <w:t>一、工作简况</w:t>
      </w:r>
    </w:p>
    <w:p w14:paraId="570CFB81">
      <w:pPr>
        <w:pStyle w:val="12"/>
        <w:ind w:firstLine="560"/>
        <w:rPr>
          <w:rFonts w:hint="eastAsia"/>
          <w:sz w:val="28"/>
          <w:lang w:val="en-US" w:eastAsia="zh-CN"/>
        </w:rPr>
      </w:pPr>
      <w:r>
        <w:rPr>
          <w:rFonts w:hint="eastAsia"/>
          <w:sz w:val="28"/>
          <w:lang w:val="en-US" w:eastAsia="zh-CN"/>
        </w:rPr>
        <w:t>根据中小企协【2023】41号文件，中国中小企业协会下达制定《独立运营师等级评价规范》团体标准，在与信息技术高度融合的新媒体发展背景下，独立运营师是新时代媒体融合创新的重要把关人，伴随着近年来互联网技术的进步及信息的海量增长，《独立运营师等级评价规范》标准的发布，我国新媒体运营行业将迎来黄金发展期。</w:t>
      </w:r>
    </w:p>
    <w:p w14:paraId="5F3738B4">
      <w:pPr>
        <w:pStyle w:val="12"/>
        <w:ind w:left="0" w:leftChars="0" w:firstLine="560" w:firstLineChars="200"/>
        <w:rPr>
          <w:rFonts w:hint="eastAsia"/>
          <w:sz w:val="28"/>
          <w:lang w:val="en-US" w:eastAsia="zh-CN"/>
        </w:rPr>
      </w:pPr>
      <w:r>
        <w:rPr>
          <w:rFonts w:hint="eastAsia"/>
          <w:sz w:val="28"/>
          <w:szCs w:val="28"/>
        </w:rPr>
        <w:t>国内针对独立运营人员的标准缺失</w:t>
      </w:r>
      <w:r>
        <w:rPr>
          <w:rFonts w:hint="eastAsia"/>
          <w:sz w:val="28"/>
          <w:lang w:val="en-US" w:eastAsia="zh-CN"/>
        </w:rPr>
        <w:t>。</w:t>
      </w:r>
    </w:p>
    <w:p w14:paraId="424A18F8">
      <w:pPr>
        <w:pStyle w:val="12"/>
        <w:ind w:firstLine="560"/>
        <w:rPr>
          <w:sz w:val="28"/>
          <w:szCs w:val="28"/>
        </w:rPr>
      </w:pPr>
      <w:r>
        <w:rPr>
          <w:rFonts w:hint="eastAsia"/>
          <w:sz w:val="28"/>
          <w:szCs w:val="28"/>
        </w:rPr>
        <w:t>由</w:t>
      </w:r>
      <w:r>
        <w:rPr>
          <w:rFonts w:hint="eastAsia"/>
          <w:sz w:val="28"/>
          <w:szCs w:val="28"/>
          <w:lang w:eastAsia="zh-CN"/>
        </w:rPr>
        <w:t>城服网（厦门）标准化技术研究院有限公司</w:t>
      </w:r>
      <w:r>
        <w:rPr>
          <w:rFonts w:hint="eastAsia"/>
          <w:sz w:val="28"/>
          <w:szCs w:val="28"/>
        </w:rPr>
        <w:t>牵头组织，调研有关标准、法律法规、国家及行业政策精神，调研行业主管部门的需求，初步确定标准框架。按确定的标准框架起草标准内容，内部研讨完善后，形成征求意见稿。</w:t>
      </w:r>
    </w:p>
    <w:p w14:paraId="59892F9F">
      <w:pPr>
        <w:pStyle w:val="12"/>
        <w:numPr>
          <w:ilvl w:val="0"/>
          <w:numId w:val="0"/>
        </w:numPr>
        <w:ind w:firstLine="560" w:firstLineChars="200"/>
        <w:rPr>
          <w:rFonts w:hint="eastAsia"/>
          <w:sz w:val="28"/>
          <w:szCs w:val="28"/>
        </w:rPr>
      </w:pPr>
      <w:r>
        <w:rPr>
          <w:rFonts w:hint="eastAsia"/>
          <w:sz w:val="28"/>
          <w:szCs w:val="28"/>
          <w:lang w:eastAsia="zh-CN"/>
        </w:rPr>
        <w:t>二、</w:t>
      </w:r>
      <w:r>
        <w:rPr>
          <w:rFonts w:hint="eastAsia"/>
          <w:sz w:val="28"/>
          <w:szCs w:val="28"/>
        </w:rPr>
        <w:t>标准编制原则和确定标准主要内容的论据</w:t>
      </w:r>
    </w:p>
    <w:p w14:paraId="473A918B">
      <w:pPr>
        <w:pStyle w:val="12"/>
        <w:ind w:left="0" w:leftChars="0" w:firstLine="560" w:firstLineChars="200"/>
        <w:rPr>
          <w:rFonts w:hint="eastAsia" w:eastAsia="仿宋_GB2312"/>
          <w:sz w:val="28"/>
          <w:szCs w:val="28"/>
          <w:lang w:eastAsia="zh-CN"/>
        </w:rPr>
      </w:pPr>
      <w:r>
        <w:rPr>
          <w:rFonts w:hint="eastAsia"/>
          <w:sz w:val="28"/>
          <w:lang w:eastAsia="zh-CN"/>
        </w:rPr>
        <w:t>1本文件规定了独立运营师职业技能等级评价规范的术语和定义、专业技能、专业要求、全过程管理、评价程序、评价受理、实施评价和证书管理。本文件适用于对自愿参与评价在校学生和社会工作者进行独立运营师职业技能等级评价。2规范性引用文件；3术语和定义；4专业技能；</w:t>
      </w:r>
      <w:r>
        <w:rPr>
          <w:rFonts w:hint="eastAsia"/>
          <w:sz w:val="28"/>
          <w:lang w:val="en-US" w:eastAsia="zh-CN"/>
        </w:rPr>
        <w:t>5</w:t>
      </w:r>
      <w:r>
        <w:rPr>
          <w:rFonts w:hint="eastAsia"/>
          <w:sz w:val="28"/>
          <w:lang w:eastAsia="zh-CN"/>
        </w:rPr>
        <w:t>专业要求；</w:t>
      </w:r>
      <w:r>
        <w:rPr>
          <w:rFonts w:hint="eastAsia"/>
          <w:sz w:val="28"/>
          <w:lang w:val="en-US" w:eastAsia="zh-CN"/>
        </w:rPr>
        <w:t>6</w:t>
      </w:r>
      <w:r>
        <w:rPr>
          <w:rFonts w:hint="eastAsia"/>
          <w:sz w:val="28"/>
          <w:lang w:eastAsia="zh-CN"/>
        </w:rPr>
        <w:t>全过程管理；</w:t>
      </w:r>
      <w:r>
        <w:rPr>
          <w:rFonts w:hint="eastAsia"/>
          <w:sz w:val="28"/>
          <w:lang w:val="en-US" w:eastAsia="zh-CN"/>
        </w:rPr>
        <w:t>7</w:t>
      </w:r>
      <w:r>
        <w:rPr>
          <w:rFonts w:hint="eastAsia"/>
          <w:sz w:val="28"/>
          <w:lang w:eastAsia="zh-CN"/>
        </w:rPr>
        <w:t>评价程序；</w:t>
      </w:r>
      <w:r>
        <w:rPr>
          <w:rFonts w:hint="eastAsia"/>
          <w:sz w:val="28"/>
          <w:lang w:val="en-US" w:eastAsia="zh-CN"/>
        </w:rPr>
        <w:t>8</w:t>
      </w:r>
      <w:r>
        <w:rPr>
          <w:rFonts w:hint="eastAsia"/>
          <w:sz w:val="28"/>
          <w:lang w:eastAsia="zh-CN"/>
        </w:rPr>
        <w:t>评价受理</w:t>
      </w:r>
      <w:r>
        <w:rPr>
          <w:rFonts w:hint="eastAsia"/>
          <w:sz w:val="28"/>
          <w:lang w:val="en-US" w:eastAsia="zh-CN"/>
        </w:rPr>
        <w:t>；9</w:t>
      </w:r>
      <w:r>
        <w:rPr>
          <w:rFonts w:hint="eastAsia"/>
          <w:sz w:val="28"/>
          <w:lang w:eastAsia="zh-CN"/>
        </w:rPr>
        <w:t>实施评价</w:t>
      </w:r>
      <w:r>
        <w:rPr>
          <w:rFonts w:hint="eastAsia"/>
          <w:sz w:val="28"/>
          <w:lang w:val="en-US" w:eastAsia="zh-CN"/>
        </w:rPr>
        <w:t>；10</w:t>
      </w:r>
      <w:r>
        <w:rPr>
          <w:rFonts w:hint="eastAsia"/>
          <w:sz w:val="28"/>
          <w:lang w:eastAsia="zh-CN"/>
        </w:rPr>
        <w:t>证书管理。</w:t>
      </w:r>
      <w:r>
        <w:rPr>
          <w:rFonts w:hint="eastAsia"/>
          <w:sz w:val="28"/>
          <w:lang w:eastAsia="zh-CN"/>
        </w:rPr>
        <w:tab/>
      </w:r>
    </w:p>
    <w:p w14:paraId="0612FEA0">
      <w:pPr>
        <w:pStyle w:val="12"/>
        <w:ind w:left="0" w:leftChars="0" w:firstLine="560" w:firstLineChars="200"/>
        <w:rPr>
          <w:rFonts w:hint="eastAsia"/>
          <w:sz w:val="28"/>
          <w:szCs w:val="28"/>
        </w:rPr>
      </w:pPr>
      <w:r>
        <w:rPr>
          <w:rFonts w:hint="eastAsia"/>
          <w:sz w:val="28"/>
          <w:szCs w:val="28"/>
        </w:rPr>
        <w:t>三、随着新媒体进程的不断发展，在融合的同时，各种媒介形态、终端及其生产也更加专业、细分。国内人才需求缺口大，目前直播行业草根居多，急需提升专业化，规范化，职业化，新媒体政策利好产业快速发展</w:t>
      </w:r>
      <w:r>
        <w:rPr>
          <w:rFonts w:hint="eastAsia"/>
          <w:sz w:val="28"/>
          <w:szCs w:val="28"/>
          <w:lang w:eastAsia="zh-CN"/>
        </w:rPr>
        <w:t>，</w:t>
      </w:r>
      <w:r>
        <w:rPr>
          <w:rFonts w:hint="eastAsia"/>
          <w:sz w:val="28"/>
          <w:szCs w:val="28"/>
        </w:rPr>
        <w:t>运营师</w:t>
      </w:r>
      <w:r>
        <w:rPr>
          <w:rFonts w:hint="eastAsia"/>
          <w:sz w:val="28"/>
          <w:szCs w:val="28"/>
          <w:lang w:eastAsia="zh-CN"/>
        </w:rPr>
        <w:t>标准化工作的填补将</w:t>
      </w:r>
      <w:r>
        <w:rPr>
          <w:rFonts w:hint="eastAsia"/>
          <w:sz w:val="28"/>
          <w:szCs w:val="28"/>
        </w:rPr>
        <w:t>驱使带货体量增长明显直播带货收获广泛好评。</w:t>
      </w:r>
    </w:p>
    <w:p w14:paraId="19661039">
      <w:pPr>
        <w:pStyle w:val="12"/>
        <w:numPr>
          <w:ilvl w:val="0"/>
          <w:numId w:val="0"/>
        </w:numPr>
        <w:ind w:firstLine="560" w:firstLineChars="200"/>
        <w:rPr>
          <w:rFonts w:hint="default" w:eastAsia="仿宋_GB2312"/>
          <w:sz w:val="28"/>
          <w:szCs w:val="28"/>
          <w:lang w:val="en-US" w:eastAsia="zh-CN"/>
        </w:rPr>
      </w:pPr>
      <w:r>
        <w:rPr>
          <w:rFonts w:hint="eastAsia"/>
          <w:sz w:val="28"/>
          <w:szCs w:val="28"/>
          <w:lang w:val="en-US" w:eastAsia="zh-CN"/>
        </w:rPr>
        <w:t>四、</w:t>
      </w:r>
      <w:r>
        <w:rPr>
          <w:rFonts w:hint="eastAsia"/>
          <w:sz w:val="28"/>
          <w:szCs w:val="28"/>
        </w:rPr>
        <w:t>与有关的现行法律、法规和强制性国家标准的关系</w:t>
      </w:r>
      <w:r>
        <w:rPr>
          <w:rFonts w:hint="eastAsia"/>
          <w:sz w:val="28"/>
          <w:szCs w:val="28"/>
          <w:lang w:eastAsia="zh-CN"/>
        </w:rPr>
        <w:t>：</w:t>
      </w:r>
      <w:r>
        <w:rPr>
          <w:rFonts w:hint="eastAsia"/>
          <w:sz w:val="28"/>
          <w:szCs w:val="28"/>
          <w:lang w:val="en-US" w:eastAsia="zh-CN"/>
        </w:rPr>
        <w:t>无</w:t>
      </w:r>
    </w:p>
    <w:p w14:paraId="2F87CFA2">
      <w:pPr>
        <w:pStyle w:val="12"/>
        <w:numPr>
          <w:ilvl w:val="0"/>
          <w:numId w:val="2"/>
        </w:numPr>
        <w:ind w:left="0" w:leftChars="0" w:firstLine="560" w:firstLineChars="200"/>
        <w:rPr>
          <w:rFonts w:hint="eastAsia"/>
          <w:sz w:val="28"/>
          <w:szCs w:val="28"/>
        </w:rPr>
      </w:pPr>
      <w:r>
        <w:rPr>
          <w:rFonts w:hint="eastAsia"/>
          <w:sz w:val="28"/>
          <w:szCs w:val="28"/>
        </w:rPr>
        <w:t>重大分歧意见的处理经过和依据</w:t>
      </w:r>
      <w:r>
        <w:rPr>
          <w:rFonts w:hint="eastAsia"/>
          <w:sz w:val="28"/>
          <w:szCs w:val="28"/>
          <w:lang w:eastAsia="zh-CN"/>
        </w:rPr>
        <w:t>：无重大分歧</w:t>
      </w:r>
    </w:p>
    <w:p w14:paraId="3B628729">
      <w:pPr>
        <w:pStyle w:val="12"/>
        <w:numPr>
          <w:ilvl w:val="0"/>
          <w:numId w:val="2"/>
        </w:numPr>
        <w:ind w:left="0" w:leftChars="0" w:firstLine="560" w:firstLineChars="200"/>
        <w:rPr>
          <w:rFonts w:hint="eastAsia" w:eastAsia="仿宋_GB2312"/>
          <w:sz w:val="28"/>
          <w:szCs w:val="28"/>
          <w:lang w:eastAsia="zh-CN"/>
        </w:rPr>
      </w:pPr>
      <w:r>
        <w:rPr>
          <w:rFonts w:hint="eastAsia"/>
          <w:sz w:val="28"/>
          <w:szCs w:val="28"/>
        </w:rPr>
        <w:t>废止现行有关标准的建议</w:t>
      </w:r>
      <w:r>
        <w:rPr>
          <w:rFonts w:hint="eastAsia"/>
          <w:sz w:val="28"/>
          <w:szCs w:val="28"/>
          <w:lang w:eastAsia="zh-CN"/>
        </w:rPr>
        <w:t>：无</w:t>
      </w:r>
    </w:p>
    <w:p w14:paraId="03BCF2D9">
      <w:pPr>
        <w:pStyle w:val="12"/>
        <w:numPr>
          <w:ilvl w:val="0"/>
          <w:numId w:val="2"/>
        </w:numPr>
        <w:ind w:left="0" w:leftChars="0" w:firstLine="560" w:firstLineChars="200"/>
        <w:rPr>
          <w:rFonts w:hint="eastAsia"/>
          <w:sz w:val="28"/>
          <w:szCs w:val="28"/>
        </w:rPr>
      </w:pPr>
      <w:r>
        <w:rPr>
          <w:rFonts w:hint="eastAsia"/>
          <w:sz w:val="28"/>
          <w:szCs w:val="28"/>
        </w:rPr>
        <w:t>其他应予说明的事项</w:t>
      </w:r>
      <w:r>
        <w:rPr>
          <w:rFonts w:hint="eastAsia"/>
          <w:sz w:val="28"/>
          <w:szCs w:val="28"/>
          <w:lang w:eastAsia="zh-CN"/>
        </w:rPr>
        <w:t>：无</w:t>
      </w:r>
    </w:p>
    <w:p w14:paraId="10879184"/>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EFA48">
    <w:pPr>
      <w:pStyle w:val="3"/>
      <w:jc w:val="center"/>
    </w:pPr>
    <w:sdt>
      <w:sdtPr>
        <w:id w:val="-110438950"/>
        <w:docPartObj>
          <w:docPartGallery w:val="autotext"/>
        </w:docPartObj>
      </w:sdtPr>
      <w:sdtContent>
        <w:r>
          <w:fldChar w:fldCharType="begin"/>
        </w:r>
        <w:r>
          <w:instrText xml:space="preserve">PAGE   \* MERGEFORMAT</w:instrText>
        </w:r>
        <w:r>
          <w:fldChar w:fldCharType="separate"/>
        </w:r>
        <w:r>
          <w:rPr>
            <w:lang w:val="zh-CN"/>
          </w:rPr>
          <w:t>18</w:t>
        </w:r>
        <w: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45756">
    <w:pPr>
      <w:pStyle w:val="4"/>
      <w:pBdr>
        <w:bottom w:val="none" w:color="auto" w:sz="0" w:space="0"/>
      </w:pBdr>
    </w:pPr>
  </w:p>
  <w:p w14:paraId="7BB47C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5F25A"/>
    <w:multiLevelType w:val="singleLevel"/>
    <w:tmpl w:val="9B15F25A"/>
    <w:lvl w:ilvl="0" w:tentative="0">
      <w:start w:val="5"/>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suff w:val="nothing"/>
      <w:lvlText w:val="%1　"/>
      <w:lvlJc w:val="left"/>
      <w:pPr>
        <w:ind w:left="1560" w:firstLine="0"/>
      </w:pPr>
      <w:rPr>
        <w:rFonts w:hint="eastAsia" w:ascii="黑体" w:hAnsi="Times New Roman" w:eastAsia="黑体"/>
        <w:b w:val="0"/>
        <w:i w:val="0"/>
        <w:sz w:val="21"/>
        <w:szCs w:val="21"/>
      </w:rPr>
    </w:lvl>
    <w:lvl w:ilvl="1" w:tentative="0">
      <w:start w:val="1"/>
      <w:numFmt w:val="decimal"/>
      <w:pStyle w:val="2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1"/>
      <w:suff w:val="nothing"/>
      <w:lvlText w:val="%1.%2.%3　"/>
      <w:lvlJc w:val="left"/>
      <w:pPr>
        <w:ind w:left="2553" w:firstLine="0"/>
      </w:pPr>
      <w:rPr>
        <w:rFonts w:hint="eastAsia" w:ascii="黑体" w:hAnsi="Times New Roman" w:eastAsia="黑体"/>
        <w:b w:val="0"/>
        <w:i w:val="0"/>
        <w:sz w:val="21"/>
      </w:rPr>
    </w:lvl>
    <w:lvl w:ilvl="3" w:tentative="0">
      <w:start w:val="1"/>
      <w:numFmt w:val="decimal"/>
      <w:suff w:val="nothing"/>
      <w:lvlText w:val="%1.%2.%3.%4　"/>
      <w:lvlJc w:val="left"/>
      <w:pPr>
        <w:ind w:left="426" w:firstLine="0"/>
      </w:pPr>
      <w:rPr>
        <w:rFonts w:hint="eastAsia" w:ascii="黑体" w:hAnsi="Times New Roman" w:eastAsia="黑体"/>
        <w:b w:val="0"/>
        <w:i w:val="0"/>
        <w:sz w:val="21"/>
      </w:rPr>
    </w:lvl>
    <w:lvl w:ilvl="4" w:tentative="0">
      <w:start w:val="1"/>
      <w:numFmt w:val="decimal"/>
      <w:suff w:val="nothing"/>
      <w:lvlText w:val="%1.%2.%3.%4.%5　"/>
      <w:lvlJc w:val="left"/>
      <w:pPr>
        <w:ind w:left="142" w:firstLine="0"/>
      </w:pPr>
      <w:rPr>
        <w:rFonts w:hint="eastAsia" w:ascii="黑体" w:hAnsi="Times New Roman" w:eastAsia="黑体"/>
        <w:b w:val="0"/>
        <w:i w:val="0"/>
        <w:sz w:val="21"/>
      </w:rPr>
    </w:lvl>
    <w:lvl w:ilvl="5" w:tentative="0">
      <w:start w:val="1"/>
      <w:numFmt w:val="decimal"/>
      <w:suff w:val="nothing"/>
      <w:lvlText w:val="%1.%2.%3.%4.%5.%6　"/>
      <w:lvlJc w:val="left"/>
      <w:pPr>
        <w:ind w:left="142" w:firstLine="0"/>
      </w:pPr>
      <w:rPr>
        <w:rFonts w:hint="eastAsia" w:ascii="黑体" w:hAnsi="Times New Roman" w:eastAsia="黑体"/>
        <w:b w:val="0"/>
        <w:i w:val="0"/>
        <w:sz w:val="21"/>
      </w:rPr>
    </w:lvl>
    <w:lvl w:ilvl="6" w:tentative="0">
      <w:start w:val="1"/>
      <w:numFmt w:val="decimal"/>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493"/>
        </w:tabs>
        <w:ind w:left="4111" w:hanging="1418"/>
      </w:pPr>
      <w:rPr>
        <w:rFonts w:hint="eastAsia"/>
      </w:rPr>
    </w:lvl>
    <w:lvl w:ilvl="8" w:tentative="0">
      <w:start w:val="1"/>
      <w:numFmt w:val="decimal"/>
      <w:lvlText w:val="%1.%2.%3.%4.%5.%6.%7.%8.%9"/>
      <w:lvlJc w:val="left"/>
      <w:pPr>
        <w:tabs>
          <w:tab w:val="left" w:pos="4919"/>
        </w:tabs>
        <w:ind w:left="4819"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5ZGQwNmI1ODZhM2ZmMjVhZDI0MWE2OGFhZjA4ZDMifQ=="/>
  </w:docVars>
  <w:rsids>
    <w:rsidRoot w:val="00000000"/>
    <w:rsid w:val="012A3378"/>
    <w:rsid w:val="0F561597"/>
    <w:rsid w:val="17A30A51"/>
    <w:rsid w:val="1C89693E"/>
    <w:rsid w:val="1FAC1F03"/>
    <w:rsid w:val="2AEC4A81"/>
    <w:rsid w:val="323C66AC"/>
    <w:rsid w:val="3548237A"/>
    <w:rsid w:val="3F744629"/>
    <w:rsid w:val="411F4664"/>
    <w:rsid w:val="41841E0A"/>
    <w:rsid w:val="436175A4"/>
    <w:rsid w:val="4CB16BCD"/>
    <w:rsid w:val="4FEF7931"/>
    <w:rsid w:val="60771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8"/>
      <w:szCs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link w:val="16"/>
    <w:unhideWhenUsed/>
    <w:qFormat/>
    <w:uiPriority w:val="99"/>
    <w:pPr>
      <w:spacing w:after="120"/>
    </w:pPr>
    <w:rPr>
      <w:rFonts w:eastAsia="仿宋_GB2312"/>
      <w:sz w:val="21"/>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39"/>
    <w:pPr>
      <w:tabs>
        <w:tab w:val="right" w:leader="dot" w:pos="9242"/>
      </w:tabs>
      <w:spacing w:before="25" w:beforeLines="25" w:after="25" w:afterLines="25"/>
      <w:jc w:val="left"/>
    </w:pPr>
    <w:rPr>
      <w:rFonts w:ascii="宋体"/>
      <w:szCs w:val="21"/>
    </w:rPr>
  </w:style>
  <w:style w:type="paragraph" w:styleId="6">
    <w:name w:val="toc 2"/>
    <w:basedOn w:val="1"/>
    <w:next w:val="1"/>
    <w:qFormat/>
    <w:uiPriority w:val="39"/>
    <w:pPr>
      <w:tabs>
        <w:tab w:val="right" w:leader="dot" w:pos="9242"/>
      </w:tabs>
    </w:pPr>
    <w:rPr>
      <w:rFonts w:ascii="宋体"/>
      <w:szCs w:val="21"/>
    </w:rPr>
  </w:style>
  <w:style w:type="paragraph" w:styleId="7">
    <w:name w:val="Body Text First Indent"/>
    <w:basedOn w:val="2"/>
    <w:link w:val="15"/>
    <w:semiHidden/>
    <w:unhideWhenUsed/>
    <w:qFormat/>
    <w:uiPriority w:val="99"/>
    <w:pPr>
      <w:ind w:firstLine="420" w:firstLineChars="100"/>
    </w:pPr>
    <w:rPr>
      <w:rFonts w:eastAsia="宋体"/>
      <w:sz w:val="28"/>
    </w:rPr>
  </w:style>
  <w:style w:type="table" w:styleId="9">
    <w:name w:val="Table Grid"/>
    <w:basedOn w:val="8"/>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99"/>
    <w:rPr>
      <w:color w:val="0000FF"/>
      <w:spacing w:val="0"/>
      <w:w w:val="100"/>
      <w:szCs w:val="21"/>
      <w:u w:val="single"/>
    </w:rPr>
  </w:style>
  <w:style w:type="paragraph" w:customStyle="1" w:styleId="12">
    <w:name w:val="正缩2"/>
    <w:basedOn w:val="7"/>
    <w:link w:val="14"/>
    <w:qFormat/>
    <w:uiPriority w:val="1"/>
    <w:pPr>
      <w:keepNext/>
      <w:adjustRightInd w:val="0"/>
      <w:snapToGrid w:val="0"/>
      <w:spacing w:after="0" w:line="560" w:lineRule="exact"/>
      <w:ind w:firstLine="640" w:firstLineChars="200"/>
    </w:pPr>
    <w:rPr>
      <w:rFonts w:eastAsia="仿宋_GB2312"/>
      <w:sz w:val="32"/>
      <w:szCs w:val="32"/>
    </w:rPr>
  </w:style>
  <w:style w:type="paragraph" w:customStyle="1" w:styleId="13">
    <w:name w:val="表标题"/>
    <w:basedOn w:val="2"/>
    <w:qFormat/>
    <w:uiPriority w:val="4"/>
    <w:pPr>
      <w:widowControl/>
      <w:adjustRightInd w:val="0"/>
      <w:snapToGrid w:val="0"/>
      <w:spacing w:after="0" w:line="264" w:lineRule="auto"/>
      <w:jc w:val="center"/>
    </w:pPr>
    <w:rPr>
      <w:rFonts w:ascii="黑体" w:hAnsi="黑体" w:eastAsia="黑体" w:cs="宋体"/>
      <w:color w:val="000000"/>
      <w:kern w:val="0"/>
      <w:sz w:val="32"/>
      <w:szCs w:val="32"/>
    </w:rPr>
  </w:style>
  <w:style w:type="character" w:customStyle="1" w:styleId="14">
    <w:name w:val="正缩2 字符"/>
    <w:basedOn w:val="15"/>
    <w:link w:val="12"/>
    <w:qFormat/>
    <w:uiPriority w:val="1"/>
    <w:rPr>
      <w:rFonts w:eastAsia="仿宋_GB2312"/>
      <w:sz w:val="32"/>
      <w:szCs w:val="32"/>
    </w:rPr>
  </w:style>
  <w:style w:type="character" w:customStyle="1" w:styleId="15">
    <w:name w:val="正文首行缩进 字符"/>
    <w:basedOn w:val="16"/>
    <w:link w:val="7"/>
    <w:semiHidden/>
    <w:qFormat/>
    <w:uiPriority w:val="99"/>
    <w:rPr>
      <w:rFonts w:eastAsia="宋体"/>
      <w:sz w:val="28"/>
    </w:rPr>
  </w:style>
  <w:style w:type="character" w:customStyle="1" w:styleId="16">
    <w:name w:val="正文文本 字符"/>
    <w:basedOn w:val="10"/>
    <w:link w:val="2"/>
    <w:qFormat/>
    <w:uiPriority w:val="99"/>
    <w:rPr>
      <w:rFonts w:eastAsia="仿宋_GB2312"/>
      <w:sz w:val="21"/>
    </w:rPr>
  </w:style>
  <w:style w:type="paragraph" w:customStyle="1" w:styleId="17">
    <w:name w:val="表首行"/>
    <w:basedOn w:val="2"/>
    <w:qFormat/>
    <w:uiPriority w:val="3"/>
    <w:pPr>
      <w:spacing w:after="0" w:line="312" w:lineRule="auto"/>
      <w:jc w:val="center"/>
    </w:pPr>
    <w:rPr>
      <w:rFonts w:ascii="Times New Roman" w:hAnsi="Times New Roman" w:eastAsia="黑体"/>
    </w:rPr>
  </w:style>
  <w:style w:type="paragraph" w:customStyle="1" w:styleId="18">
    <w:name w:val="表正文"/>
    <w:basedOn w:val="2"/>
    <w:qFormat/>
    <w:uiPriority w:val="5"/>
    <w:pPr>
      <w:adjustRightInd w:val="0"/>
      <w:snapToGrid w:val="0"/>
      <w:spacing w:after="0"/>
    </w:pPr>
    <w:rPr>
      <w:rFonts w:ascii="Times New Roman" w:hAnsi="Times New Roman"/>
      <w:sz w:val="28"/>
    </w:rPr>
  </w:style>
  <w:style w:type="paragraph" w:customStyle="1" w:styleId="1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0">
    <w:name w:val="参考文献、索引标题"/>
    <w:basedOn w:val="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21">
    <w:name w:val="二级条标题"/>
    <w:basedOn w:val="22"/>
    <w:next w:val="19"/>
    <w:qFormat/>
    <w:uiPriority w:val="0"/>
    <w:pPr>
      <w:numPr>
        <w:ilvl w:val="2"/>
      </w:numPr>
      <w:spacing w:before="50" w:after="50"/>
      <w:outlineLvl w:val="3"/>
    </w:pPr>
  </w:style>
  <w:style w:type="paragraph" w:customStyle="1" w:styleId="22">
    <w:name w:val="一级条标题"/>
    <w:next w:val="19"/>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920</Words>
  <Characters>924</Characters>
  <Lines>0</Lines>
  <Paragraphs>0</Paragraphs>
  <TotalTime>5</TotalTime>
  <ScaleCrop>false</ScaleCrop>
  <LinksUpToDate>false</LinksUpToDate>
  <CharactersWithSpaces>925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2022-08-03T08:28:00Z</dcterms:created>
  <dc:creator>lenovo</dc:creator>
  <cp:lastModifiedBy>陈捷</cp:lastModifiedBy>
  <dcterms:modified xsi:type="dcterms:W3CDTF">2024-11-27T06:57:55Z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093CB24B9CDF47B59F08F1A286D912D6_13</vt:lpwstr>
  </property>
</Properties>
</file>