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rPr>
          <w:rFonts w:hint="eastAsia"/>
        </w:rPr>
      </w:pPr>
    </w:p>
    <w:p w14:paraId="0E9E6FD3">
      <w:pPr>
        <w:jc w:val="center"/>
        <w:rPr>
          <w:rFonts w:hint="eastAsia"/>
        </w:rPr>
      </w:pPr>
    </w:p>
    <w:p w14:paraId="6F34B203">
      <w:pPr>
        <w:jc w:val="center"/>
        <w:rPr>
          <w:rFonts w:hint="eastAsia"/>
        </w:rPr>
      </w:pPr>
    </w:p>
    <w:p w14:paraId="539E1E6A">
      <w:pPr>
        <w:jc w:val="center"/>
        <w:rPr>
          <w:rFonts w:hint="eastAsia"/>
        </w:rPr>
      </w:pPr>
    </w:p>
    <w:p w14:paraId="7401B620">
      <w:pPr>
        <w:jc w:val="center"/>
        <w:rPr>
          <w:rFonts w:hint="eastAsia"/>
        </w:rPr>
      </w:pPr>
    </w:p>
    <w:p w14:paraId="00B4DFDE">
      <w:pPr>
        <w:jc w:val="center"/>
        <w:rPr>
          <w:rFonts w:hint="eastAsia"/>
        </w:rPr>
      </w:pPr>
    </w:p>
    <w:p w14:paraId="35FCED0A">
      <w:pPr>
        <w:jc w:val="center"/>
        <w:rPr>
          <w:rFonts w:hint="eastAsia"/>
        </w:rPr>
      </w:pPr>
    </w:p>
    <w:p w14:paraId="431E649D">
      <w:pPr>
        <w:jc w:val="center"/>
        <w:rPr>
          <w:rFonts w:hint="eastAsia"/>
        </w:rPr>
      </w:pPr>
    </w:p>
    <w:p w14:paraId="0006A106">
      <w:pPr>
        <w:jc w:val="center"/>
        <w:rPr>
          <w:rFonts w:hint="eastAsia"/>
        </w:rPr>
      </w:pPr>
    </w:p>
    <w:p w14:paraId="0A21095B">
      <w:pPr>
        <w:jc w:val="center"/>
        <w:rPr>
          <w:rFonts w:hint="eastAsia"/>
        </w:rPr>
      </w:pPr>
      <w:r>
        <w:rPr>
          <w:rFonts w:hint="eastAsia" w:ascii="黑体" w:hAnsi="黑体" w:eastAsia="黑体" w:cs="黑体"/>
          <w:sz w:val="44"/>
          <w:szCs w:val="44"/>
        </w:rPr>
        <w:t>中国中小企业协会</w:t>
      </w:r>
      <w:r>
        <w:rPr>
          <w:rFonts w:hint="eastAsia" w:ascii="迷你简小标宋" w:hAnsi="宋体" w:eastAsia="迷你简小标宋"/>
          <w:sz w:val="44"/>
          <w:szCs w:val="44"/>
        </w:rPr>
        <w:t>团体标准</w:t>
      </w:r>
    </w:p>
    <w:p w14:paraId="30709085">
      <w:pPr>
        <w:jc w:val="center"/>
        <w:rPr>
          <w:rFonts w:hint="eastAsia"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黑体" w:hAnsi="黑体" w:eastAsia="黑体" w:cs="黑体"/>
          <w:sz w:val="44"/>
          <w:szCs w:val="44"/>
        </w:rPr>
        <w:t>金属化薄膜电容器卷绕机</w:t>
      </w:r>
      <w:r>
        <w:rPr>
          <w:rFonts w:hint="eastAsia" w:ascii="迷你简小标宋" w:hAnsi="宋体" w:eastAsia="迷你简小标宋"/>
          <w:w w:val="90"/>
          <w:sz w:val="44"/>
          <w:szCs w:val="44"/>
        </w:rPr>
        <w:t>》</w:t>
      </w:r>
    </w:p>
    <w:p w14:paraId="69651B73">
      <w:pPr>
        <w:jc w:val="center"/>
        <w:rPr>
          <w:rFonts w:hint="eastAsia" w:ascii="迷你简小标宋" w:hAnsi="宋体" w:eastAsia="迷你简小标宋"/>
          <w:sz w:val="44"/>
          <w:szCs w:val="44"/>
        </w:rPr>
      </w:pPr>
    </w:p>
    <w:p w14:paraId="66DB0283">
      <w:pPr>
        <w:jc w:val="center"/>
        <w:rPr>
          <w:rFonts w:hint="eastAsia" w:ascii="迷你简小标宋" w:hAnsi="宋体" w:eastAsia="迷你简小标宋"/>
          <w:sz w:val="44"/>
          <w:szCs w:val="44"/>
        </w:rPr>
      </w:pPr>
      <w:r>
        <w:rPr>
          <w:rFonts w:hint="eastAsia" w:ascii="迷你简小标宋" w:hAnsi="宋体" w:eastAsia="迷你简小标宋"/>
          <w:sz w:val="44"/>
          <w:szCs w:val="44"/>
        </w:rPr>
        <w:t>编制说明</w:t>
      </w:r>
    </w:p>
    <w:p w14:paraId="7AFC3F77">
      <w:pPr>
        <w:jc w:val="center"/>
        <w:rPr>
          <w:rFonts w:hint="eastAsia"/>
        </w:rPr>
      </w:pPr>
    </w:p>
    <w:p w14:paraId="3A1BBD4E">
      <w:pPr>
        <w:jc w:val="center"/>
        <w:rPr>
          <w:rFonts w:hint="eastAsia"/>
        </w:rPr>
      </w:pPr>
    </w:p>
    <w:p w14:paraId="553A2397">
      <w:pPr>
        <w:jc w:val="center"/>
        <w:rPr>
          <w:rFonts w:hint="eastAsia"/>
        </w:rPr>
      </w:pPr>
    </w:p>
    <w:p w14:paraId="327431EC">
      <w:pPr>
        <w:jc w:val="center"/>
        <w:rPr>
          <w:rFonts w:hint="eastAsia"/>
        </w:rPr>
      </w:pPr>
    </w:p>
    <w:p w14:paraId="2EABEAF3">
      <w:pPr>
        <w:jc w:val="center"/>
        <w:rPr>
          <w:rFonts w:hint="eastAsia"/>
        </w:rPr>
      </w:pPr>
    </w:p>
    <w:p w14:paraId="1461394E">
      <w:pPr>
        <w:jc w:val="center"/>
        <w:rPr>
          <w:rFonts w:hint="eastAsia"/>
        </w:rPr>
      </w:pPr>
    </w:p>
    <w:p w14:paraId="70E034AF">
      <w:pPr>
        <w:jc w:val="center"/>
        <w:rPr>
          <w:rFonts w:hint="eastAsia"/>
        </w:rPr>
      </w:pPr>
    </w:p>
    <w:p w14:paraId="64520520">
      <w:pPr>
        <w:jc w:val="center"/>
        <w:rPr>
          <w:rFonts w:hint="eastAsia"/>
        </w:rPr>
      </w:pPr>
    </w:p>
    <w:p w14:paraId="399B77AA">
      <w:pPr>
        <w:jc w:val="center"/>
        <w:rPr>
          <w:rFonts w:hint="eastAsia"/>
        </w:rPr>
      </w:pPr>
    </w:p>
    <w:p w14:paraId="1C4A82D6">
      <w:pPr>
        <w:jc w:val="center"/>
        <w:rPr>
          <w:rFonts w:hint="eastAsia"/>
        </w:rPr>
      </w:pPr>
    </w:p>
    <w:p w14:paraId="718A098E">
      <w:pPr>
        <w:jc w:val="center"/>
        <w:rPr>
          <w:rFonts w:hint="eastAsia"/>
        </w:rPr>
      </w:pPr>
    </w:p>
    <w:p w14:paraId="579D872B">
      <w:pPr>
        <w:jc w:val="center"/>
        <w:rPr>
          <w:rFonts w:hint="eastAsia"/>
        </w:rPr>
      </w:pPr>
    </w:p>
    <w:p w14:paraId="51575CC1">
      <w:pPr>
        <w:jc w:val="center"/>
        <w:rPr>
          <w:rFonts w:hint="eastAsia"/>
        </w:rPr>
      </w:pPr>
    </w:p>
    <w:p w14:paraId="1F8E33AE">
      <w:pPr>
        <w:jc w:val="center"/>
        <w:rPr>
          <w:rFonts w:hint="eastAsia"/>
        </w:rPr>
      </w:pPr>
    </w:p>
    <w:p w14:paraId="2D614C57">
      <w:pPr>
        <w:jc w:val="center"/>
        <w:rPr>
          <w:rFonts w:hint="eastAsia"/>
        </w:rPr>
      </w:pPr>
    </w:p>
    <w:p w14:paraId="08BA6CF1">
      <w:pPr>
        <w:jc w:val="center"/>
        <w:rPr>
          <w:rFonts w:hint="eastAsia"/>
        </w:rPr>
      </w:pPr>
    </w:p>
    <w:p w14:paraId="72F20A07">
      <w:pPr>
        <w:jc w:val="center"/>
        <w:rPr>
          <w:rFonts w:hint="eastAsia" w:ascii="宋体" w:hAnsi="宋体" w:eastAsia="宋体"/>
          <w:sz w:val="28"/>
          <w:szCs w:val="28"/>
        </w:rPr>
      </w:pPr>
      <w:r>
        <w:rPr>
          <w:rFonts w:hint="eastAsia" w:ascii="宋体" w:hAnsi="宋体" w:eastAsia="宋体"/>
          <w:sz w:val="28"/>
          <w:szCs w:val="28"/>
        </w:rPr>
        <w:t xml:space="preserve">团标制定工作组 </w:t>
      </w:r>
    </w:p>
    <w:p w14:paraId="4A779C63">
      <w:pPr>
        <w:jc w:val="center"/>
        <w:rPr>
          <w:rFonts w:hint="eastAsia" w:ascii="宋体" w:hAnsi="宋体" w:eastAsia="宋体"/>
          <w:sz w:val="28"/>
          <w:szCs w:val="28"/>
        </w:rPr>
      </w:pPr>
    </w:p>
    <w:p w14:paraId="69B766E4">
      <w:pPr>
        <w:jc w:val="center"/>
        <w:rPr>
          <w:rFonts w:hint="eastAsia" w:ascii="宋体" w:hAnsi="宋体" w:eastAsia="宋体"/>
          <w:sz w:val="28"/>
          <w:szCs w:val="28"/>
        </w:rPr>
      </w:pPr>
      <w:r>
        <w:rPr>
          <w:rFonts w:hint="eastAsia" w:ascii="宋体" w:hAnsi="宋体" w:eastAsia="宋体"/>
          <w:sz w:val="28"/>
          <w:szCs w:val="28"/>
        </w:rPr>
        <w:t>二零二四年十一月</w:t>
      </w:r>
    </w:p>
    <w:p w14:paraId="3BF32C5E">
      <w:pPr>
        <w:jc w:val="center"/>
        <w:rPr>
          <w:rFonts w:hint="eastAsia" w:ascii="宋体" w:hAnsi="宋体" w:eastAsia="宋体"/>
          <w:sz w:val="28"/>
          <w:szCs w:val="28"/>
        </w:rPr>
      </w:pPr>
    </w:p>
    <w:p w14:paraId="7AF9EF6E">
      <w:pPr>
        <w:jc w:val="center"/>
        <w:rPr>
          <w:rFonts w:hint="eastAsia" w:ascii="宋体" w:hAnsi="宋体" w:eastAsia="宋体"/>
          <w:sz w:val="28"/>
          <w:szCs w:val="28"/>
        </w:rPr>
      </w:pPr>
    </w:p>
    <w:p w14:paraId="616354A2">
      <w:pPr>
        <w:jc w:val="center"/>
        <w:rPr>
          <w:rFonts w:hint="eastAsia" w:ascii="宋体" w:hAnsi="宋体" w:eastAsia="宋体"/>
          <w:sz w:val="28"/>
          <w:szCs w:val="28"/>
        </w:rPr>
      </w:pPr>
    </w:p>
    <w:p w14:paraId="70875990">
      <w:pPr>
        <w:jc w:val="center"/>
        <w:rPr>
          <w:rFonts w:hint="eastAsia" w:ascii="宋体" w:hAnsi="宋体" w:eastAsia="宋体"/>
          <w:sz w:val="28"/>
          <w:szCs w:val="28"/>
        </w:rPr>
      </w:pPr>
    </w:p>
    <w:p w14:paraId="1345B5ED">
      <w:pPr>
        <w:jc w:val="center"/>
        <w:rPr>
          <w:rFonts w:hint="eastAsia" w:ascii="宋体" w:hAnsi="宋体" w:eastAsia="宋体"/>
          <w:sz w:val="28"/>
          <w:szCs w:val="28"/>
        </w:rPr>
      </w:pPr>
    </w:p>
    <w:p w14:paraId="44B6B4BD">
      <w:pPr>
        <w:jc w:val="center"/>
        <w:rPr>
          <w:rFonts w:hint="eastAsia" w:ascii="宋体" w:hAnsi="宋体" w:eastAsia="宋体"/>
          <w:sz w:val="28"/>
          <w:szCs w:val="28"/>
        </w:rPr>
      </w:pPr>
    </w:p>
    <w:p w14:paraId="3AB2A67D">
      <w:pPr>
        <w:jc w:val="center"/>
        <w:rPr>
          <w:rFonts w:hint="eastAsia" w:ascii="宋体" w:hAnsi="宋体" w:eastAsia="宋体"/>
          <w:sz w:val="28"/>
          <w:szCs w:val="28"/>
        </w:rPr>
      </w:pPr>
    </w:p>
    <w:p w14:paraId="12270B02">
      <w:pPr>
        <w:spacing w:line="360" w:lineRule="auto"/>
        <w:jc w:val="left"/>
        <w:rPr>
          <w:rFonts w:hint="eastAsia" w:ascii="宋体" w:hAnsi="宋体" w:eastAsia="宋体"/>
          <w:b/>
          <w:bCs/>
          <w:sz w:val="28"/>
          <w:szCs w:val="28"/>
        </w:rPr>
      </w:pPr>
      <w:r>
        <w:rPr>
          <w:rFonts w:hint="eastAsia" w:ascii="宋体" w:hAnsi="宋体" w:eastAsia="宋体"/>
          <w:b/>
          <w:bCs/>
          <w:sz w:val="28"/>
          <w:szCs w:val="28"/>
        </w:rPr>
        <w:t>一、工作简况</w:t>
      </w:r>
    </w:p>
    <w:p w14:paraId="13E7C6FB">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63298406">
      <w:pPr>
        <w:spacing w:line="360" w:lineRule="auto"/>
        <w:ind w:firstLine="560" w:firstLineChars="200"/>
        <w:rPr>
          <w:rFonts w:hint="eastAsia" w:ascii="宋体" w:hAnsi="宋体" w:eastAsia="宋体"/>
          <w:b/>
          <w:bCs/>
          <w:sz w:val="28"/>
          <w:szCs w:val="28"/>
        </w:rPr>
      </w:pPr>
      <w:r>
        <w:rPr>
          <w:rFonts w:hint="eastAsia" w:ascii="宋体" w:hAnsi="宋体" w:eastAsia="宋体"/>
          <w:sz w:val="28"/>
          <w:szCs w:val="28"/>
        </w:rPr>
        <w:t>根据</w:t>
      </w:r>
      <w:r>
        <w:rPr>
          <w:rFonts w:ascii="宋体" w:hAnsi="宋体" w:eastAsia="宋体"/>
          <w:sz w:val="28"/>
          <w:szCs w:val="28"/>
        </w:rPr>
        <w:t xml:space="preserve"> 202</w:t>
      </w:r>
      <w:r>
        <w:rPr>
          <w:rFonts w:hint="eastAsia" w:ascii="宋体" w:hAnsi="宋体" w:eastAsia="宋体"/>
          <w:sz w:val="28"/>
          <w:szCs w:val="28"/>
        </w:rPr>
        <w:t>4</w:t>
      </w:r>
      <w:r>
        <w:rPr>
          <w:rFonts w:ascii="宋体" w:hAnsi="宋体" w:eastAsia="宋体"/>
          <w:sz w:val="28"/>
          <w:szCs w:val="28"/>
        </w:rPr>
        <w:t>年全国标准化工作要点，大力推动实施标准化战略，</w:t>
      </w:r>
      <w:r>
        <w:rPr>
          <w:rFonts w:hint="eastAsia" w:ascii="宋体" w:hAnsi="宋体" w:eastAsia="宋体"/>
          <w:sz w:val="28"/>
          <w:szCs w:val="28"/>
        </w:rPr>
        <w:t>持续深化标准化工作改革，加强标准体系建设，提升引领高质量发展的能力。依据《中华人民共和国标准化法》，以及《团体标准管理规定》相关规定，常州晟威机电有限公司联合扬州弘思百佳科技有限公司、纵坐标（江苏）标准技术服务有限公司等相关单位共同制定《金属化薄膜电容器卷绕机》团体标准。</w:t>
      </w:r>
      <w:bookmarkStart w:id="2" w:name="_GoBack"/>
      <w:bookmarkEnd w:id="2"/>
    </w:p>
    <w:p w14:paraId="37435085">
      <w:pPr>
        <w:numPr>
          <w:ilvl w:val="0"/>
          <w:numId w:val="2"/>
        </w:numPr>
        <w:spacing w:line="360" w:lineRule="auto"/>
        <w:jc w:val="left"/>
        <w:rPr>
          <w:rFonts w:hint="eastAsia"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背景及目的</w:t>
      </w:r>
    </w:p>
    <w:p w14:paraId="23B9E0B7">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金属化薄膜电容器卷绕机是一种专门用于制造金属化薄膜电容器的设备，通过自动化将金属化薄膜材料卷绕成电容器的核心部分（即电容器的芯子）。金属化薄膜电容器卷绕机由放料轮、压紧装置、纠偏装置、切割装置、卷绕装置、张力控制装置、电气控制系统、卷绕轴和卷绕盘等装置组成，除了能够自动化、高速度地进行电容器芯子的卷绕生产外，同时具有精确的张力控制、高稳定性和长寿命、双面金属化膜电压清洗、操作简便与维护方便等优点，因此金属化薄膜电容器卷绕机在电子制造领域得到了广泛的应用。</w:t>
      </w:r>
    </w:p>
    <w:p w14:paraId="5363E93C">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随着新能源、新材料、高端装备等战略性新兴产业的发展，金属化薄膜电容器因其优异的电气特性和高稳定性，在电子电路中不可或缺，但金属化薄膜电容器在生产过程中也存在容量稳定性不如箔式电容器、耐受大电流能力较差等问题；而卷绕机作为生产这类电容器的关键的自动化设备，不仅通过自动化控制卷绕速度、张力和相对位置来控制卷绕的金属薄膜极板面积，还能使用双面金属化薄膜做电极、增加金属化镀层的厚度以及端面金属焊接工艺改良来降低接触电阻，这不仅解决了金属化薄膜电容器的容量稳定性问题、提升了耐受大电流能力，还能够显著提高电容器芯子的卷绕效率，确保了电容器芯子的一致性和可靠性，从而实现金属化薄膜电容器大规模生产。因此金属化薄膜电容器卷绕机在生产金属化薄膜电容器中发挥着至关重要的作用。</w:t>
      </w:r>
    </w:p>
    <w:p w14:paraId="6333D6F3">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综上所述，制定《金属化薄膜电容器卷绕机》的团体标准，为规范金属化薄膜电容器卷绕机的生产和制造提供了明确的指导，对于保障产品的性能和质量、确保产品在各种应用中的可靠性和稳定性具有积极的推动作用，同时标准的制定还可以确保金属化薄膜电容器卷绕机在操作过程中的安全性，减少事故发生的风险，另一方面也会推动金属化薄膜电容器卷绕机的进一步研发和应用创新。</w:t>
      </w:r>
    </w:p>
    <w:p w14:paraId="6E34CEBA">
      <w:pPr>
        <w:numPr>
          <w:ilvl w:val="0"/>
          <w:numId w:val="2"/>
        </w:numPr>
        <w:spacing w:line="360" w:lineRule="auto"/>
        <w:jc w:val="left"/>
        <w:rPr>
          <w:rFonts w:hint="eastAsia" w:ascii="宋体" w:hAnsi="宋体" w:eastAsia="宋体"/>
          <w:b/>
          <w:bCs/>
          <w:sz w:val="28"/>
          <w:szCs w:val="28"/>
        </w:rPr>
      </w:pPr>
      <w:r>
        <w:rPr>
          <w:rFonts w:ascii="宋体" w:hAnsi="宋体" w:eastAsia="宋体"/>
          <w:b/>
          <w:bCs/>
          <w:sz w:val="28"/>
          <w:szCs w:val="28"/>
        </w:rPr>
        <w:t xml:space="preserve">编制过程 </w:t>
      </w:r>
    </w:p>
    <w:p w14:paraId="126EA744">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1、项目立项阶段</w:t>
      </w:r>
    </w:p>
    <w:p w14:paraId="3A139A58">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由常州晟威机电有限公司、扬州弘思百佳科技有限公司、纵坐标（江苏）标准技术服务有限公司等相关单位的</w:t>
      </w:r>
      <w:r>
        <w:rPr>
          <w:rFonts w:ascii="宋体" w:hAnsi="宋体" w:eastAsia="宋体"/>
          <w:sz w:val="28"/>
          <w:szCs w:val="28"/>
        </w:rPr>
        <w:t>技术人员共同成立了标准起草组，制定了详细的工作方案和实施计划，</w:t>
      </w:r>
      <w:r>
        <w:rPr>
          <w:rFonts w:hint="eastAsia" w:ascii="宋体" w:hAnsi="宋体" w:eastAsia="宋体"/>
          <w:sz w:val="28"/>
          <w:szCs w:val="28"/>
        </w:rPr>
        <w:t>研究分析相关领域标准制修订情况和金属化薄膜电容器卷绕机生产行业发展现状</w:t>
      </w:r>
      <w:r>
        <w:rPr>
          <w:rFonts w:ascii="宋体" w:hAnsi="宋体" w:eastAsia="宋体"/>
          <w:sz w:val="28"/>
          <w:szCs w:val="28"/>
        </w:rPr>
        <w:t>，在此基础上结合</w:t>
      </w:r>
      <w:r>
        <w:rPr>
          <w:rFonts w:hint="eastAsia" w:ascii="宋体" w:hAnsi="宋体" w:eastAsia="宋体"/>
          <w:sz w:val="28"/>
          <w:szCs w:val="28"/>
        </w:rPr>
        <w:t>起草单位的</w:t>
      </w:r>
      <w:r>
        <w:rPr>
          <w:rFonts w:ascii="宋体" w:hAnsi="宋体" w:eastAsia="宋体"/>
          <w:sz w:val="28"/>
          <w:szCs w:val="28"/>
        </w:rPr>
        <w:t>生产实际，多次召开内部研讨会议，确定了标准名称，并完成该项团体标准的立项工作。</w:t>
      </w:r>
    </w:p>
    <w:p w14:paraId="1D14F61E">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2、理论研究阶段</w:t>
      </w:r>
    </w:p>
    <w:p w14:paraId="48328FB3">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标准起草组广泛搜集相关标准和国外技术资料，进行了大量的研究分析、资料查证工作，确定了标准的制定原则，结合现有产品实际应用经验，为标准的起草奠定了基础。</w:t>
      </w:r>
    </w:p>
    <w:p w14:paraId="56BFA5B6">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标准起草组进一步研究金属化薄膜电容器卷绕机生产的主要技术内容，明确了要求，为标准的具体起草指明方向。</w:t>
      </w:r>
    </w:p>
    <w:p w14:paraId="11450F3C">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3、</w:t>
      </w:r>
      <w:r>
        <w:rPr>
          <w:rFonts w:ascii="宋体" w:hAnsi="宋体" w:eastAsia="宋体"/>
          <w:sz w:val="28"/>
          <w:szCs w:val="28"/>
        </w:rPr>
        <w:t>标准起草阶段</w:t>
      </w:r>
    </w:p>
    <w:p w14:paraId="21663BA7">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在理论研究基础上，标准起草组在标准编制过程中充分借鉴已有的理论研究和实践成果，基于我们基本国情，经过多次研讨和数次修改，形成了《金属化薄膜电容器卷绕机》（标准草案稿）。</w:t>
      </w:r>
    </w:p>
    <w:p w14:paraId="6A0B3AC0">
      <w:pPr>
        <w:topLinePunct/>
        <w:spacing w:line="360" w:lineRule="auto"/>
        <w:ind w:firstLine="560" w:firstLineChars="200"/>
        <w:rPr>
          <w:rFonts w:hint="eastAsia" w:ascii="宋体" w:hAnsi="宋体" w:eastAsia="宋体"/>
          <w:sz w:val="28"/>
          <w:szCs w:val="28"/>
        </w:rPr>
      </w:pPr>
      <w:r>
        <w:rPr>
          <w:rFonts w:ascii="宋体" w:hAnsi="宋体" w:eastAsia="宋体"/>
          <w:sz w:val="28"/>
          <w:szCs w:val="28"/>
        </w:rPr>
        <w:t>4、标准征求意见阶段</w:t>
      </w:r>
    </w:p>
    <w:p w14:paraId="4BD9C3B9">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形成标准草案稿之后，标准起草组召开了多次专家研讨会，从标准框架、标准具体内容等角度广泛征求多方意见，从理论完善和实践应用方面提升标准的适用性和实用性。经过理论研究和方法验证，形成了《金属化薄膜电容器卷绕机》（征求意见稿）。</w:t>
      </w:r>
    </w:p>
    <w:p w14:paraId="38C16F82">
      <w:pPr>
        <w:numPr>
          <w:ilvl w:val="0"/>
          <w:numId w:val="3"/>
        </w:numPr>
        <w:topLinePunct/>
        <w:spacing w:line="360" w:lineRule="auto"/>
        <w:ind w:firstLine="560" w:firstLineChars="200"/>
        <w:rPr>
          <w:rFonts w:hint="eastAsia" w:ascii="宋体" w:hAnsi="宋体" w:eastAsia="宋体"/>
          <w:sz w:val="28"/>
          <w:szCs w:val="28"/>
        </w:rPr>
      </w:pPr>
      <w:bookmarkStart w:id="0" w:name="_Hlk179391965"/>
      <w:r>
        <w:rPr>
          <w:rFonts w:hint="eastAsia" w:ascii="宋体" w:hAnsi="宋体" w:eastAsia="宋体"/>
          <w:sz w:val="28"/>
          <w:szCs w:val="28"/>
        </w:rPr>
        <w:t>专家审核</w:t>
      </w:r>
    </w:p>
    <w:p w14:paraId="5A9BC1C7">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本标准拟定于2024年12月进行专家审核。</w:t>
      </w:r>
    </w:p>
    <w:p w14:paraId="736498A7">
      <w:pPr>
        <w:topLinePunct/>
        <w:spacing w:line="360" w:lineRule="auto"/>
        <w:ind w:firstLine="560" w:firstLineChars="200"/>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6、发布</w:t>
      </w:r>
    </w:p>
    <w:p w14:paraId="2FFB9F60">
      <w:pPr>
        <w:topLinePunct/>
        <w:spacing w:line="360" w:lineRule="auto"/>
        <w:ind w:firstLine="560" w:firstLineChars="200"/>
        <w:rPr>
          <w:rFonts w:hint="eastAsia"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本标准拟定于</w:t>
      </w:r>
      <w:r>
        <w:rPr>
          <w:rFonts w:ascii="宋体" w:hAnsi="宋体" w:eastAsia="宋体"/>
          <w:color w:val="000000" w:themeColor="text1"/>
          <w:sz w:val="28"/>
          <w:szCs w:val="28"/>
          <w14:textFill>
            <w14:solidFill>
              <w14:schemeClr w14:val="tx1"/>
            </w14:solidFill>
          </w14:textFill>
        </w:rPr>
        <w:t>2024</w:t>
      </w:r>
      <w:r>
        <w:rPr>
          <w:rFonts w:hint="eastAsia" w:ascii="宋体" w:hAnsi="宋体" w:eastAsia="宋体"/>
          <w:color w:val="000000" w:themeColor="text1"/>
          <w:sz w:val="28"/>
          <w:szCs w:val="28"/>
          <w14:textFill>
            <w14:solidFill>
              <w14:schemeClr w14:val="tx1"/>
            </w14:solidFill>
          </w14:textFill>
        </w:rPr>
        <w:t>年12月发布并实施</w:t>
      </w:r>
      <w:r>
        <w:rPr>
          <w:rFonts w:hint="eastAsia" w:ascii="宋体" w:hAnsi="宋体" w:eastAsia="宋体"/>
          <w:sz w:val="28"/>
          <w:szCs w:val="28"/>
        </w:rPr>
        <w:t>。</w:t>
      </w:r>
      <w:bookmarkEnd w:id="0"/>
    </w:p>
    <w:p w14:paraId="3854FE17">
      <w:pPr>
        <w:numPr>
          <w:ilvl w:val="0"/>
          <w:numId w:val="2"/>
        </w:numPr>
        <w:spacing w:line="360" w:lineRule="auto"/>
        <w:jc w:val="left"/>
        <w:rPr>
          <w:rFonts w:hint="eastAsia"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68C2C550">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1、主要起草单位</w:t>
      </w:r>
    </w:p>
    <w:p w14:paraId="13187A56">
      <w:pPr>
        <w:topLinePunct/>
        <w:spacing w:line="360" w:lineRule="auto"/>
        <w:ind w:firstLine="560" w:firstLineChars="200"/>
        <w:rPr>
          <w:rFonts w:hint="eastAsia"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常州晟威机电有限公司、扬州弘思百佳科技有限公司、纵坐标（江苏）标准技术服务有限公司</w:t>
      </w:r>
      <w:r>
        <w:rPr>
          <w:rFonts w:hint="eastAsia" w:ascii="宋体" w:hAnsi="宋体" w:eastAsia="宋体"/>
          <w:sz w:val="28"/>
          <w:szCs w:val="28"/>
        </w:rPr>
        <w:t>。</w:t>
      </w:r>
    </w:p>
    <w:p w14:paraId="2D19FAC7">
      <w:pPr>
        <w:topLinePunct/>
        <w:spacing w:line="360" w:lineRule="auto"/>
        <w:ind w:firstLine="560" w:firstLineChars="200"/>
        <w:rPr>
          <w:rFonts w:hint="eastAsia" w:ascii="宋体" w:hAnsi="宋体" w:eastAsia="宋体"/>
          <w:sz w:val="28"/>
          <w:szCs w:val="28"/>
        </w:rPr>
      </w:pPr>
      <w:r>
        <w:rPr>
          <w:rFonts w:ascii="宋体" w:hAnsi="宋体" w:eastAsia="宋体"/>
          <w:sz w:val="28"/>
          <w:szCs w:val="28"/>
        </w:rPr>
        <w:t>2</w:t>
      </w:r>
      <w:r>
        <w:rPr>
          <w:rFonts w:hint="eastAsia" w:ascii="宋体" w:hAnsi="宋体" w:eastAsia="宋体"/>
          <w:sz w:val="28"/>
          <w:szCs w:val="28"/>
        </w:rPr>
        <w:t>、工作内容</w:t>
      </w:r>
    </w:p>
    <w:p w14:paraId="58B66D59">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w:t>
      </w:r>
      <w:r>
        <w:rPr>
          <w:rFonts w:hint="eastAsia" w:ascii="宋体" w:hAnsi="宋体" w:eastAsia="宋体"/>
          <w:color w:val="000000" w:themeColor="text1"/>
          <w:sz w:val="28"/>
          <w:szCs w:val="28"/>
          <w14:textFill>
            <w14:solidFill>
              <w14:schemeClr w14:val="tx1"/>
            </w14:solidFill>
          </w14:textFill>
        </w:rPr>
        <w:t>常州晟威机电有限公司</w:t>
      </w:r>
      <w:r>
        <w:rPr>
          <w:rFonts w:hint="eastAsia" w:ascii="宋体" w:hAnsi="宋体" w:eastAsia="宋体"/>
          <w:sz w:val="28"/>
          <w:szCs w:val="28"/>
        </w:rPr>
        <w:t>主要负责标准制定过程的协调工作；负责标准制定工作，资料查询、标准正文及编制说明草案起草、方法验证等工作。</w:t>
      </w:r>
    </w:p>
    <w:p w14:paraId="2FEF9597">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color w:val="000000" w:themeColor="text1"/>
          <w:sz w:val="28"/>
          <w:szCs w:val="28"/>
          <w14:textFill>
            <w14:solidFill>
              <w14:schemeClr w14:val="tx1"/>
            </w14:solidFill>
          </w14:textFill>
        </w:rPr>
        <w:t>扬州弘思百佳科技有限公司、纵坐标（江苏）标准技术服务有限公司</w:t>
      </w:r>
      <w:r>
        <w:rPr>
          <w:rFonts w:hint="eastAsia" w:ascii="宋体" w:hAnsi="宋体" w:eastAsia="宋体"/>
          <w:sz w:val="28"/>
          <w:szCs w:val="28"/>
        </w:rPr>
        <w:t>主要参与资料查询、标准正文草案修改、方法验证等。</w:t>
      </w:r>
    </w:p>
    <w:p w14:paraId="469ED75D">
      <w:pPr>
        <w:spacing w:line="360" w:lineRule="auto"/>
        <w:jc w:val="left"/>
        <w:rPr>
          <w:rFonts w:hint="eastAsia"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FA22B97">
      <w:pPr>
        <w:spacing w:line="360" w:lineRule="auto"/>
        <w:jc w:val="left"/>
        <w:rPr>
          <w:rFonts w:hint="eastAsia"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224F9EF5">
      <w:pPr>
        <w:topLinePunct/>
        <w:spacing w:line="360" w:lineRule="auto"/>
        <w:ind w:firstLine="560" w:firstLineChars="200"/>
        <w:rPr>
          <w:rFonts w:hint="eastAsia" w:ascii="宋体" w:hAnsi="宋体" w:eastAsia="宋体"/>
          <w:b/>
          <w:bCs/>
          <w:sz w:val="28"/>
          <w:szCs w:val="28"/>
        </w:rPr>
      </w:pPr>
      <w:r>
        <w:rPr>
          <w:rFonts w:hint="eastAsia" w:ascii="宋体" w:hAnsi="宋体" w:eastAsia="宋体"/>
          <w:sz w:val="28"/>
          <w:szCs w:val="28"/>
        </w:rPr>
        <w:t>本标准依据相关行业标准，标准编制遵循“前瞻性、实用性、统一性、规范性”的原则，注重标准的可操作性，严格按照</w:t>
      </w:r>
      <w:r>
        <w:rPr>
          <w:rFonts w:ascii="宋体" w:hAnsi="宋体" w:eastAsia="宋体"/>
          <w:sz w:val="28"/>
          <w:szCs w:val="28"/>
        </w:rPr>
        <w:t xml:space="preserve"> GB/T 1.1</w:t>
      </w:r>
      <w:r>
        <w:rPr>
          <w:rFonts w:hint="eastAsia" w:ascii="宋体" w:hAnsi="宋体" w:eastAsia="宋体"/>
          <w:sz w:val="28"/>
          <w:szCs w:val="28"/>
        </w:rPr>
        <w:t>最新版本的要求进行编写。</w:t>
      </w:r>
    </w:p>
    <w:p w14:paraId="4963B5F3">
      <w:pPr>
        <w:numPr>
          <w:ilvl w:val="0"/>
          <w:numId w:val="4"/>
        </w:numPr>
        <w:spacing w:line="360" w:lineRule="auto"/>
        <w:jc w:val="left"/>
        <w:rPr>
          <w:rFonts w:hint="eastAsia" w:ascii="宋体" w:hAnsi="宋体" w:eastAsia="宋体"/>
          <w:b/>
          <w:bCs/>
          <w:sz w:val="28"/>
          <w:szCs w:val="28"/>
        </w:rPr>
      </w:pPr>
      <w:r>
        <w:rPr>
          <w:rFonts w:ascii="宋体" w:hAnsi="宋体" w:eastAsia="宋体"/>
          <w:b/>
          <w:bCs/>
          <w:sz w:val="28"/>
          <w:szCs w:val="28"/>
        </w:rPr>
        <w:t xml:space="preserve">标准主要技术内容 </w:t>
      </w:r>
    </w:p>
    <w:p w14:paraId="09A2D6F9">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1、适用范围</w:t>
      </w:r>
    </w:p>
    <w:p w14:paraId="471DB56B">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本标准适用于金属化薄膜电容器卷绕机。</w:t>
      </w:r>
    </w:p>
    <w:p w14:paraId="59C5B518">
      <w:pPr>
        <w:topLinePunct/>
        <w:spacing w:line="360" w:lineRule="auto"/>
        <w:ind w:firstLine="560" w:firstLineChars="200"/>
        <w:rPr>
          <w:rFonts w:hint="eastAsia" w:ascii="宋体" w:hAnsi="宋体" w:eastAsia="宋体"/>
          <w:sz w:val="28"/>
          <w:szCs w:val="28"/>
        </w:rPr>
      </w:pPr>
      <w:r>
        <w:rPr>
          <w:rFonts w:ascii="宋体" w:hAnsi="宋体" w:eastAsia="宋体"/>
          <w:sz w:val="28"/>
          <w:szCs w:val="28"/>
        </w:rPr>
        <w:t>2</w:t>
      </w:r>
      <w:r>
        <w:rPr>
          <w:rFonts w:hint="eastAsia" w:ascii="宋体" w:hAnsi="宋体" w:eastAsia="宋体"/>
          <w:sz w:val="28"/>
          <w:szCs w:val="28"/>
        </w:rPr>
        <w:t>、有关条款的说明</w:t>
      </w:r>
    </w:p>
    <w:p w14:paraId="10C130CA">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（1） 标题</w:t>
      </w:r>
    </w:p>
    <w:p w14:paraId="5E796B68">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标准中文名称：金属化薄膜电容器卷绕机。</w:t>
      </w:r>
    </w:p>
    <w:p w14:paraId="731A4D32">
      <w:pPr>
        <w:pStyle w:val="15"/>
        <w:spacing w:line="360" w:lineRule="auto"/>
        <w:ind w:firstLine="560" w:firstLineChars="200"/>
        <w:jc w:val="both"/>
        <w:textAlignment w:val="bottom"/>
        <w:rPr>
          <w:rFonts w:hint="eastAsia" w:ascii="宋体" w:hAnsi="宋体"/>
          <w:color w:val="000000" w:themeColor="text1"/>
          <w:szCs w:val="28"/>
          <w14:textFill>
            <w14:solidFill>
              <w14:schemeClr w14:val="tx1"/>
            </w14:solidFill>
          </w14:textFill>
        </w:rPr>
      </w:pPr>
      <w:r>
        <w:rPr>
          <w:rFonts w:hint="eastAsia" w:ascii="宋体" w:hAnsi="宋体"/>
          <w:szCs w:val="28"/>
        </w:rPr>
        <w:t>标准英文名称：Winding machine</w:t>
      </w:r>
      <w:r>
        <w:rPr>
          <w:rFonts w:hint="eastAsia" w:ascii="宋体" w:hAnsi="宋体"/>
          <w:szCs w:val="28"/>
          <w:lang w:val="en-US" w:eastAsia="zh-CN"/>
        </w:rPr>
        <w:t xml:space="preserve"> </w:t>
      </w:r>
      <w:r>
        <w:rPr>
          <w:rFonts w:hint="eastAsia" w:ascii="宋体" w:hAnsi="宋体"/>
          <w:szCs w:val="28"/>
        </w:rPr>
        <w:t>for</w:t>
      </w:r>
      <w:r>
        <w:rPr>
          <w:rFonts w:hint="eastAsia" w:ascii="宋体" w:hAnsi="宋体"/>
          <w:szCs w:val="28"/>
          <w:lang w:val="en-US" w:eastAsia="zh-CN"/>
        </w:rPr>
        <w:t xml:space="preserve"> </w:t>
      </w:r>
      <w:r>
        <w:rPr>
          <w:rFonts w:hint="eastAsia" w:ascii="宋体" w:hAnsi="宋体"/>
          <w:szCs w:val="28"/>
        </w:rPr>
        <w:t>metallized film capacitor。</w:t>
      </w:r>
    </w:p>
    <w:p w14:paraId="53105DE4">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（2）术语和定义</w:t>
      </w:r>
    </w:p>
    <w:p w14:paraId="35EECEDE">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本章节对“金属化薄膜电容器卷绕机”等术语进行了定义</w:t>
      </w:r>
      <w:r>
        <w:rPr>
          <w:rFonts w:ascii="宋体" w:hAnsi="宋体" w:eastAsia="宋体"/>
          <w:sz w:val="28"/>
          <w:szCs w:val="28"/>
        </w:rPr>
        <w:t>。</w:t>
      </w:r>
    </w:p>
    <w:p w14:paraId="242372AD">
      <w:pPr>
        <w:numPr>
          <w:ilvl w:val="0"/>
          <w:numId w:val="5"/>
        </w:num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主要内容</w:t>
      </w:r>
    </w:p>
    <w:p w14:paraId="31020A14">
      <w:pPr>
        <w:topLinePunct/>
        <w:spacing w:line="360" w:lineRule="auto"/>
        <w:ind w:firstLine="560" w:firstLineChars="200"/>
        <w:rPr>
          <w:rFonts w:ascii="宋体" w:hAnsi="宋体" w:eastAsia="宋体"/>
          <w:sz w:val="28"/>
          <w:szCs w:val="28"/>
        </w:rPr>
      </w:pPr>
      <w:r>
        <w:rPr>
          <w:rFonts w:hint="eastAsia" w:ascii="宋体" w:hAnsi="宋体" w:eastAsia="宋体"/>
          <w:sz w:val="28"/>
          <w:szCs w:val="28"/>
        </w:rPr>
        <w:t>第四章 分类：本章节主要对金属化薄膜电容器卷绕机的产品分类进行了规定。</w:t>
      </w:r>
    </w:p>
    <w:p w14:paraId="72BA7E85">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第五章 正常工作条件：本章节主要对金属化薄膜电容器卷绕机的正常工作条件进行了规定。</w:t>
      </w:r>
    </w:p>
    <w:p w14:paraId="7AE136EE">
      <w:pPr>
        <w:pStyle w:val="16"/>
        <w:numPr>
          <w:ilvl w:val="2"/>
          <w:numId w:val="0"/>
        </w:numPr>
        <w:spacing w:before="120" w:after="120" w:line="360" w:lineRule="auto"/>
        <w:ind w:firstLine="560" w:firstLineChars="200"/>
        <w:rPr>
          <w:rFonts w:hint="eastAsia" w:ascii="宋体" w:hAnsi="宋体" w:eastAsia="宋体"/>
          <w:sz w:val="28"/>
          <w:szCs w:val="28"/>
        </w:rPr>
      </w:pPr>
      <w:r>
        <w:rPr>
          <w:rFonts w:hint="eastAsia" w:ascii="宋体" w:hAnsi="宋体" w:eastAsia="宋体"/>
          <w:sz w:val="28"/>
          <w:szCs w:val="28"/>
        </w:rPr>
        <w:t>第六章 技术要求：本章节主要对金属化薄膜电容器卷绕机的技术要求进行了规定，包括外观、装配质量、功能、性能、气动系统、电气及控制系统、安全、空转运行、负载运行等。</w:t>
      </w:r>
    </w:p>
    <w:p w14:paraId="7C0ACF70">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第</w:t>
      </w:r>
      <w:bookmarkStart w:id="1" w:name="_Hlk80881849"/>
      <w:r>
        <w:rPr>
          <w:rFonts w:hint="eastAsia" w:ascii="宋体" w:hAnsi="宋体" w:eastAsia="宋体"/>
          <w:sz w:val="28"/>
          <w:szCs w:val="28"/>
        </w:rPr>
        <w:t>七章 试验方法：本章节主要对金属化薄膜电容器卷绕机技术要求的试验方法进行了规定。</w:t>
      </w:r>
    </w:p>
    <w:p w14:paraId="109892EC">
      <w:pPr>
        <w:topLinePunct/>
        <w:spacing w:line="360" w:lineRule="auto"/>
        <w:ind w:firstLine="560" w:firstLineChars="200"/>
        <w:rPr>
          <w:rFonts w:hint="eastAsia" w:ascii="宋体" w:hAnsi="宋体" w:eastAsia="宋体"/>
          <w:sz w:val="28"/>
          <w:szCs w:val="28"/>
        </w:rPr>
      </w:pPr>
      <w:r>
        <w:rPr>
          <w:rFonts w:hint="eastAsia" w:ascii="宋体" w:hAnsi="宋体" w:eastAsia="宋体"/>
          <w:sz w:val="28"/>
          <w:szCs w:val="28"/>
        </w:rPr>
        <w:t>第八章 检验规则：本章节主要对金属化薄膜电容器卷绕机的检验规则进行了规定。</w:t>
      </w:r>
    </w:p>
    <w:bookmarkEnd w:id="1"/>
    <w:p w14:paraId="2D6ACD0D">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第九章：标志、包装、运输和贮存：本章节主要对金属化薄膜电容器卷绕机的标志、包装、运输和贮存进行了规定。</w:t>
      </w:r>
    </w:p>
    <w:p w14:paraId="28DD3A46">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主要试验（或验证）情况分析</w:t>
      </w:r>
      <w:r>
        <w:rPr>
          <w:rFonts w:ascii="宋体" w:hAnsi="宋体" w:eastAsia="宋体"/>
          <w:b/>
          <w:bCs/>
          <w:sz w:val="28"/>
          <w:szCs w:val="28"/>
        </w:rPr>
        <w:t xml:space="preserve">  </w:t>
      </w:r>
    </w:p>
    <w:p w14:paraId="37230259">
      <w:pPr>
        <w:topLinePunct/>
        <w:spacing w:line="360" w:lineRule="auto"/>
        <w:ind w:firstLine="560" w:firstLineChars="200"/>
        <w:rPr>
          <w:rFonts w:hint="eastAsia" w:ascii="宋体" w:hAnsi="宋体" w:eastAsia="宋体"/>
          <w:sz w:val="28"/>
          <w:szCs w:val="28"/>
        </w:rPr>
      </w:pPr>
      <w:r>
        <w:rPr>
          <w:rFonts w:hint="eastAsia" w:ascii="宋体" w:hAnsi="宋体" w:eastAsia="宋体"/>
          <w:color w:val="000000" w:themeColor="text1"/>
          <w:sz w:val="28"/>
          <w:szCs w:val="28"/>
          <w14:textFill>
            <w14:solidFill>
              <w14:schemeClr w14:val="tx1"/>
            </w14:solidFill>
          </w14:textFill>
        </w:rPr>
        <w:t>结合国内外的行业测试和通过起草单位在</w:t>
      </w:r>
      <w:r>
        <w:rPr>
          <w:rFonts w:hint="eastAsia" w:ascii="宋体" w:hAnsi="宋体" w:eastAsia="宋体"/>
          <w:sz w:val="28"/>
          <w:szCs w:val="28"/>
        </w:rPr>
        <w:t>金属化薄膜电容器卷绕机的生产和技术各项</w:t>
      </w:r>
      <w:r>
        <w:rPr>
          <w:rFonts w:hint="eastAsia" w:ascii="宋体" w:hAnsi="宋体" w:eastAsia="宋体"/>
          <w:color w:val="000000" w:themeColor="text1"/>
          <w:sz w:val="28"/>
          <w:szCs w:val="28"/>
          <w14:textFill>
            <w14:solidFill>
              <w14:schemeClr w14:val="tx1"/>
            </w14:solidFill>
          </w14:textFill>
        </w:rPr>
        <w:t>试验、检验所积累的大量数据，对标准内容进行了充分的验证。</w:t>
      </w:r>
    </w:p>
    <w:p w14:paraId="0C794921">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7F189000">
      <w:pPr>
        <w:spacing w:line="360" w:lineRule="auto"/>
        <w:ind w:firstLine="560" w:firstLineChars="200"/>
        <w:jc w:val="left"/>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本标准不涉及专利。</w:t>
      </w:r>
    </w:p>
    <w:p w14:paraId="2559754D">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p>
    <w:p w14:paraId="5F160704">
      <w:pPr>
        <w:spacing w:line="360" w:lineRule="auto"/>
        <w:ind w:firstLine="560" w:firstLineChars="200"/>
        <w:rPr>
          <w:rFonts w:hint="eastAsia" w:ascii="宋体" w:hAnsi="宋体" w:eastAsia="宋体"/>
          <w:b/>
          <w:bCs/>
          <w:sz w:val="28"/>
          <w:szCs w:val="28"/>
        </w:rPr>
      </w:pPr>
      <w:r>
        <w:rPr>
          <w:rFonts w:hint="eastAsia" w:ascii="宋体" w:hAnsi="宋体" w:eastAsia="宋体"/>
          <w:color w:val="000000" w:themeColor="text1"/>
          <w:sz w:val="28"/>
          <w:szCs w:val="28"/>
          <w14:textFill>
            <w14:solidFill>
              <w14:schemeClr w14:val="tx1"/>
            </w14:solidFill>
          </w14:textFill>
        </w:rPr>
        <w:t>通过本项标准的制定和发布实施，将标准起草单位在该领域的核心技术以标准形式固化并加以实施，积极保障</w:t>
      </w:r>
      <w:r>
        <w:rPr>
          <w:rFonts w:hint="eastAsia" w:ascii="宋体" w:hAnsi="宋体" w:eastAsia="宋体"/>
          <w:sz w:val="28"/>
          <w:szCs w:val="28"/>
        </w:rPr>
        <w:t>金属化薄膜电容器卷绕机</w:t>
      </w:r>
      <w:r>
        <w:rPr>
          <w:rFonts w:hint="eastAsia" w:ascii="宋体" w:hAnsi="宋体" w:eastAsia="宋体"/>
          <w:color w:val="000000" w:themeColor="text1"/>
          <w:sz w:val="28"/>
          <w:szCs w:val="28"/>
          <w14:textFill>
            <w14:solidFill>
              <w14:schemeClr w14:val="tx1"/>
            </w14:solidFill>
          </w14:textFill>
        </w:rPr>
        <w:t>的生产质量，并进一步促进其生产技术发展，这将促进</w:t>
      </w:r>
      <w:r>
        <w:rPr>
          <w:rFonts w:hint="eastAsia" w:ascii="宋体" w:hAnsi="宋体" w:eastAsia="宋体"/>
          <w:sz w:val="28"/>
          <w:szCs w:val="28"/>
        </w:rPr>
        <w:t>金属化薄膜电容器卷绕机</w:t>
      </w:r>
      <w:r>
        <w:rPr>
          <w:rFonts w:hint="eastAsia" w:ascii="宋体" w:hAnsi="宋体" w:eastAsia="宋体"/>
          <w:color w:val="000000" w:themeColor="text1"/>
          <w:sz w:val="28"/>
          <w:szCs w:val="28"/>
          <w14:textFill>
            <w14:solidFill>
              <w14:schemeClr w14:val="tx1"/>
            </w14:solidFill>
          </w14:textFill>
        </w:rPr>
        <w:t>行业规模扩大，创造更多就业机会，同时将有助于推动整个</w:t>
      </w:r>
      <w:r>
        <w:rPr>
          <w:rFonts w:hint="eastAsia" w:ascii="宋体" w:hAnsi="宋体" w:eastAsia="宋体"/>
          <w:sz w:val="28"/>
          <w:szCs w:val="28"/>
        </w:rPr>
        <w:t>金属化薄膜电容器卷绕机</w:t>
      </w:r>
      <w:r>
        <w:rPr>
          <w:rFonts w:hint="eastAsia" w:ascii="宋体" w:hAnsi="宋体" w:eastAsia="宋体"/>
          <w:color w:val="000000" w:themeColor="text1"/>
          <w:sz w:val="28"/>
          <w:szCs w:val="28"/>
          <w14:textFill>
            <w14:solidFill>
              <w14:schemeClr w14:val="tx1"/>
            </w14:solidFill>
          </w14:textFill>
        </w:rPr>
        <w:t>行业的健康发展，提升行业整体水平。</w:t>
      </w:r>
    </w:p>
    <w:p w14:paraId="58EDE266">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560534DB">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本标准符合国家相关法律法规、规章及相关标准，与强制性标准的协调一致。</w:t>
      </w:r>
    </w:p>
    <w:p w14:paraId="29536E99">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重大分歧意见的处理经过和依据</w:t>
      </w:r>
    </w:p>
    <w:p w14:paraId="6925FAD6">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本标准在起草过程中无重大意见分歧。</w:t>
      </w:r>
    </w:p>
    <w:p w14:paraId="5FF6B117">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标准性质的建议说明</w:t>
      </w:r>
    </w:p>
    <w:p w14:paraId="4AD573C3">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建议将本标准作为推荐性团体标准，供社会各界自愿使用。</w:t>
      </w:r>
    </w:p>
    <w:p w14:paraId="79C2BF16">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贯彻标准的要求和措施建议</w:t>
      </w:r>
    </w:p>
    <w:p w14:paraId="7B9A5E13">
      <w:pPr>
        <w:topLinePunct/>
        <w:spacing w:line="360" w:lineRule="auto"/>
        <w:ind w:firstLine="560" w:firstLineChars="200"/>
        <w:rPr>
          <w:rFonts w:hint="eastAsia" w:ascii="宋体" w:hAnsi="宋体" w:eastAsia="宋体"/>
          <w:b/>
          <w:bCs/>
          <w:sz w:val="28"/>
          <w:szCs w:val="28"/>
        </w:rPr>
      </w:pPr>
      <w:r>
        <w:rPr>
          <w:rFonts w:hint="eastAsia" w:ascii="宋体" w:hAnsi="宋体" w:eastAsia="宋体"/>
          <w:sz w:val="28"/>
          <w:szCs w:val="28"/>
        </w:rPr>
        <w:t>本标准发布实施后，建议由标准主导起草单位有计划、有组织地开展标准的宣贯培训工作。通过举办培训班、宣贯会、研讨会等多种形式，广泛宣传本标准的地位和作用，确保标准中的有关规定得到准确理解、掌握和执行。</w:t>
      </w:r>
    </w:p>
    <w:p w14:paraId="6AE8BA9B">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废止现行相关标准的建议</w:t>
      </w:r>
    </w:p>
    <w:p w14:paraId="2D3F6B70">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无。</w:t>
      </w:r>
    </w:p>
    <w:p w14:paraId="5F451718">
      <w:pPr>
        <w:numPr>
          <w:ilvl w:val="0"/>
          <w:numId w:val="4"/>
        </w:numPr>
        <w:spacing w:line="360" w:lineRule="auto"/>
        <w:jc w:val="left"/>
        <w:rPr>
          <w:rFonts w:hint="eastAsia" w:ascii="宋体" w:hAnsi="宋体" w:eastAsia="宋体"/>
          <w:b/>
          <w:bCs/>
          <w:sz w:val="28"/>
          <w:szCs w:val="28"/>
        </w:rPr>
      </w:pPr>
      <w:r>
        <w:rPr>
          <w:rFonts w:hint="eastAsia" w:ascii="宋体" w:hAnsi="宋体" w:eastAsia="宋体"/>
          <w:b/>
          <w:bCs/>
          <w:sz w:val="28"/>
          <w:szCs w:val="28"/>
        </w:rPr>
        <w:t>其他应予说明的事项</w:t>
      </w:r>
    </w:p>
    <w:p w14:paraId="1B868991">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无。</w:t>
      </w:r>
    </w:p>
    <w:p w14:paraId="5CCE0FC1">
      <w:pPr>
        <w:topLinePunct/>
        <w:spacing w:line="360" w:lineRule="auto"/>
        <w:ind w:firstLine="560" w:firstLineChars="200"/>
        <w:jc w:val="right"/>
        <w:rPr>
          <w:rFonts w:hint="eastAsia" w:ascii="宋体" w:hAnsi="宋体" w:eastAsia="宋体"/>
          <w:sz w:val="28"/>
          <w:szCs w:val="28"/>
        </w:rPr>
      </w:pPr>
      <w:r>
        <w:rPr>
          <w:rFonts w:ascii="宋体" w:hAnsi="宋体" w:eastAsia="宋体"/>
          <w:sz w:val="28"/>
          <w:szCs w:val="28"/>
        </w:rPr>
        <w:t xml:space="preserve">  </w:t>
      </w:r>
    </w:p>
    <w:p w14:paraId="683F3AC0">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《金属化薄膜电容器卷绕机》起草组</w:t>
      </w:r>
      <w:r>
        <w:rPr>
          <w:rFonts w:ascii="宋体" w:hAnsi="宋体" w:eastAsia="宋体"/>
          <w:sz w:val="28"/>
          <w:szCs w:val="28"/>
        </w:rPr>
        <w:t xml:space="preserve"> </w:t>
      </w:r>
    </w:p>
    <w:p w14:paraId="5488F83D">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二零二四</w:t>
      </w:r>
      <w:r>
        <w:rPr>
          <w:rFonts w:ascii="宋体" w:hAnsi="宋体" w:eastAsia="宋体"/>
          <w:sz w:val="28"/>
          <w:szCs w:val="28"/>
        </w:rPr>
        <w:t>年</w:t>
      </w:r>
      <w:r>
        <w:rPr>
          <w:rFonts w:hint="eastAsia" w:ascii="宋体" w:hAnsi="宋体" w:eastAsia="宋体"/>
          <w:sz w:val="28"/>
          <w:szCs w:val="28"/>
        </w:rPr>
        <w:t>十一</w:t>
      </w:r>
      <w:r>
        <w:rPr>
          <w:rFonts w:ascii="宋体" w:hAnsi="宋体" w:eastAsia="宋体"/>
          <w:sz w:val="28"/>
          <w:szCs w:val="28"/>
        </w:rPr>
        <w:t>月</w:t>
      </w:r>
    </w:p>
    <w:p w14:paraId="23DEE833">
      <w:pPr>
        <w:topLinePunct/>
        <w:spacing w:line="360" w:lineRule="auto"/>
        <w:ind w:firstLine="560" w:firstLineChars="200"/>
        <w:jc w:val="right"/>
        <w:rPr>
          <w:rFonts w:hint="eastAsia" w:ascii="宋体" w:hAnsi="宋体" w:eastAsia="宋体"/>
          <w:sz w:val="28"/>
          <w:szCs w:val="28"/>
        </w:rPr>
      </w:pP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5859B"/>
    <w:multiLevelType w:val="singleLevel"/>
    <w:tmpl w:val="06C5859B"/>
    <w:lvl w:ilvl="0" w:tentative="0">
      <w:start w:val="2"/>
      <w:numFmt w:val="chineseCounting"/>
      <w:suff w:val="space"/>
      <w:lvlText w:val="（%1）"/>
      <w:lvlJc w:val="left"/>
      <w:rPr>
        <w:rFonts w:hint="eastAsia"/>
      </w:rPr>
    </w:lvl>
  </w:abstractNum>
  <w:abstractNum w:abstractNumId="1">
    <w:nsid w:val="3D7EE88E"/>
    <w:multiLevelType w:val="singleLevel"/>
    <w:tmpl w:val="3D7EE88E"/>
    <w:lvl w:ilvl="0" w:tentative="0">
      <w:start w:val="3"/>
      <w:numFmt w:val="decimal"/>
      <w:suff w:val="nothing"/>
      <w:lvlText w:val="（%1）"/>
      <w:lvlJc w:val="left"/>
    </w:lvl>
  </w:abstractNum>
  <w:abstractNum w:abstractNumId="2">
    <w:nsid w:val="585B7623"/>
    <w:multiLevelType w:val="singleLevel"/>
    <w:tmpl w:val="585B7623"/>
    <w:lvl w:ilvl="0" w:tentative="0">
      <w:start w:val="5"/>
      <w:numFmt w:val="decimal"/>
      <w:suff w:val="nothing"/>
      <w:lvlText w:val="%1、"/>
      <w:lvlJc w:val="left"/>
    </w:lvl>
  </w:abstractNum>
  <w:abstractNum w:abstractNumId="3">
    <w:nsid w:val="606D5677"/>
    <w:multiLevelType w:val="singleLevel"/>
    <w:tmpl w:val="606D5677"/>
    <w:lvl w:ilvl="0" w:tentative="0">
      <w:start w:val="2"/>
      <w:numFmt w:val="chineseCounting"/>
      <w:suff w:val="nothing"/>
      <w:lvlText w:val="（%1）"/>
      <w:lvlJc w:val="left"/>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
      <w:suff w:val="nothing"/>
      <w:lvlText w:val="%1%2　"/>
      <w:lvlJc w:val="left"/>
      <w:pPr>
        <w:ind w:left="0" w:firstLine="0"/>
      </w:pPr>
      <w:rPr>
        <w:rFonts w:hint="eastAsia" w:ascii="黑体" w:eastAsia="黑体"/>
        <w:b w:val="0"/>
        <w:i w:val="0"/>
        <w:sz w:val="21"/>
      </w:rPr>
    </w:lvl>
    <w:lvl w:ilvl="2" w:tentative="0">
      <w:start w:val="1"/>
      <w:numFmt w:val="decimal"/>
      <w:pStyle w:val="16"/>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HorizontalSpacing w:val="110"/>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4NmQ1ZWZkZDA1M2Y2MTIxMzk3MDkxMWRiZWViYzkifQ=="/>
  </w:docVars>
  <w:rsids>
    <w:rsidRoot w:val="00080FCE"/>
    <w:rsid w:val="00013CD7"/>
    <w:rsid w:val="00021E0D"/>
    <w:rsid w:val="00031415"/>
    <w:rsid w:val="000711D3"/>
    <w:rsid w:val="00076E6A"/>
    <w:rsid w:val="0007729C"/>
    <w:rsid w:val="00080FCE"/>
    <w:rsid w:val="000841BD"/>
    <w:rsid w:val="00086D78"/>
    <w:rsid w:val="00096631"/>
    <w:rsid w:val="000967EE"/>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E6047"/>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30DA2"/>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17E5"/>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0250441F"/>
    <w:rsid w:val="04C64E6C"/>
    <w:rsid w:val="06A42F8B"/>
    <w:rsid w:val="09A908B8"/>
    <w:rsid w:val="0B224DC6"/>
    <w:rsid w:val="0CF6494B"/>
    <w:rsid w:val="0FE34B24"/>
    <w:rsid w:val="15AC3C0A"/>
    <w:rsid w:val="15EA028F"/>
    <w:rsid w:val="165A5414"/>
    <w:rsid w:val="192B3098"/>
    <w:rsid w:val="1B040045"/>
    <w:rsid w:val="1B334486"/>
    <w:rsid w:val="1B6B1A4C"/>
    <w:rsid w:val="222A0391"/>
    <w:rsid w:val="25BF7042"/>
    <w:rsid w:val="26A85D28"/>
    <w:rsid w:val="2A583BAE"/>
    <w:rsid w:val="2CBC077F"/>
    <w:rsid w:val="3034687E"/>
    <w:rsid w:val="307D1FD3"/>
    <w:rsid w:val="31462D0D"/>
    <w:rsid w:val="31D162DD"/>
    <w:rsid w:val="32346E13"/>
    <w:rsid w:val="340477DB"/>
    <w:rsid w:val="34C71A6F"/>
    <w:rsid w:val="36056CF3"/>
    <w:rsid w:val="364C7018"/>
    <w:rsid w:val="37377380"/>
    <w:rsid w:val="3BFE2889"/>
    <w:rsid w:val="3CC176EC"/>
    <w:rsid w:val="3D453E79"/>
    <w:rsid w:val="3DD33774"/>
    <w:rsid w:val="408D1DBF"/>
    <w:rsid w:val="409C46F8"/>
    <w:rsid w:val="448259B3"/>
    <w:rsid w:val="45AF27D7"/>
    <w:rsid w:val="46C2653A"/>
    <w:rsid w:val="47F1602C"/>
    <w:rsid w:val="48DB38E3"/>
    <w:rsid w:val="4BEB6533"/>
    <w:rsid w:val="50C16D9B"/>
    <w:rsid w:val="51137B39"/>
    <w:rsid w:val="51CB6BEB"/>
    <w:rsid w:val="52A7766D"/>
    <w:rsid w:val="52EF4B5B"/>
    <w:rsid w:val="53683028"/>
    <w:rsid w:val="53982AFD"/>
    <w:rsid w:val="53F7315A"/>
    <w:rsid w:val="54A43723"/>
    <w:rsid w:val="552503C0"/>
    <w:rsid w:val="59BB5797"/>
    <w:rsid w:val="5D7C348F"/>
    <w:rsid w:val="5E7128C8"/>
    <w:rsid w:val="5EF72B87"/>
    <w:rsid w:val="5F1A2F60"/>
    <w:rsid w:val="6051650D"/>
    <w:rsid w:val="60AD570E"/>
    <w:rsid w:val="63974902"/>
    <w:rsid w:val="63B3128D"/>
    <w:rsid w:val="63C4349A"/>
    <w:rsid w:val="65EA0E22"/>
    <w:rsid w:val="67515045"/>
    <w:rsid w:val="682D5AB2"/>
    <w:rsid w:val="69112CDD"/>
    <w:rsid w:val="6A097E59"/>
    <w:rsid w:val="6B160215"/>
    <w:rsid w:val="6BEC358E"/>
    <w:rsid w:val="6C90660F"/>
    <w:rsid w:val="6D090170"/>
    <w:rsid w:val="6D9D0C28"/>
    <w:rsid w:val="6E8C2E06"/>
    <w:rsid w:val="716D6F1F"/>
    <w:rsid w:val="730C2768"/>
    <w:rsid w:val="73905147"/>
    <w:rsid w:val="73EF00BF"/>
    <w:rsid w:val="744A3547"/>
    <w:rsid w:val="75640639"/>
    <w:rsid w:val="784302C6"/>
    <w:rsid w:val="79D35D8D"/>
    <w:rsid w:val="79F44681"/>
    <w:rsid w:val="7C547659"/>
    <w:rsid w:val="7F8F55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日期 字符"/>
    <w:basedOn w:val="8"/>
    <w:link w:val="2"/>
    <w:semiHidden/>
    <w:qFormat/>
    <w:uiPriority w:val="99"/>
  </w:style>
  <w:style w:type="character" w:customStyle="1" w:styleId="11">
    <w:name w:val="未处理的提及1"/>
    <w:basedOn w:val="8"/>
    <w:semiHidden/>
    <w:unhideWhenUsed/>
    <w:qFormat/>
    <w:uiPriority w:val="99"/>
    <w:rPr>
      <w:color w:val="605E5C"/>
      <w:shd w:val="clear" w:color="auto" w:fill="E1DFDD"/>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批注框文本 字符"/>
    <w:basedOn w:val="8"/>
    <w:link w:val="3"/>
    <w:semiHidden/>
    <w:qFormat/>
    <w:uiPriority w:val="99"/>
    <w:rPr>
      <w:sz w:val="18"/>
      <w:szCs w:val="18"/>
    </w:rPr>
  </w:style>
  <w:style w:type="paragraph" w:customStyle="1" w:styleId="1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6">
    <w:name w:val="标准文件_一级条标题"/>
    <w:basedOn w:val="17"/>
    <w:next w:val="18"/>
    <w:qFormat/>
    <w:uiPriority w:val="0"/>
    <w:pPr>
      <w:numPr>
        <w:ilvl w:val="2"/>
      </w:numPr>
      <w:spacing w:before="50" w:beforeLines="50" w:after="50" w:afterLines="50"/>
      <w:outlineLvl w:val="1"/>
    </w:pPr>
  </w:style>
  <w:style w:type="paragraph" w:customStyle="1" w:styleId="17">
    <w:name w:val="标准文件_章标题"/>
    <w:next w:val="18"/>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7</Pages>
  <Words>2775</Words>
  <Characters>2825</Characters>
  <Lines>20</Lines>
  <Paragraphs>5</Paragraphs>
  <TotalTime>7</TotalTime>
  <ScaleCrop>false</ScaleCrop>
  <LinksUpToDate>false</LinksUpToDate>
  <CharactersWithSpaces>2851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阿北</cp:lastModifiedBy>
  <cp:lastPrinted>2022-05-11T05:51:00Z</cp:lastPrinted>
  <dcterms:modified xsi:type="dcterms:W3CDTF">2024-11-26T00:59:41Z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1B35DB9E8603445884483F3C0DEF9FA7_13</vt:lpwstr>
  </property>
</Properties>
</file>