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FF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09FC57">
            <w:pPr>
              <w:pStyle w:val="18"/>
              <w:framePr w:wrap="notBeside" w:vAnchor="page" w:hAnchor="page" w:x="1372" w:y="568"/>
              <w:tabs>
                <w:tab w:val="clear" w:pos="4153"/>
                <w:tab w:val="clear" w:pos="8306"/>
              </w:tabs>
              <w:spacing w:before="120" w:after="120"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14:paraId="50641E00">
            <w:pPr>
              <w:pStyle w:val="18"/>
              <w:framePr w:wrap="notBeside" w:vAnchor="page" w:hAnchor="page" w:x="1372" w:y="568"/>
              <w:tabs>
                <w:tab w:val="clear" w:pos="4153"/>
                <w:tab w:val="clear" w:pos="8306"/>
              </w:tabs>
              <w:spacing w:before="120" w:after="120" w:line="240" w:lineRule="auto"/>
              <w:jc w:val="both"/>
              <w:rPr>
                <w:rFonts w:ascii="黑体" w:hAnsi="黑体" w:eastAsia="黑体"/>
                <w:sz w:val="21"/>
                <w:szCs w:val="21"/>
              </w:rPr>
            </w:pPr>
            <w:r>
              <w:rPr>
                <w:rFonts w:hint="eastAsia" w:ascii="黑体" w:hAnsi="黑体" w:eastAsia="黑体"/>
                <w:sz w:val="21"/>
                <w:szCs w:val="21"/>
              </w:rPr>
              <w:t>93</w:t>
            </w:r>
            <w:r>
              <w:rPr>
                <w:rFonts w:ascii="黑体" w:hAnsi="黑体" w:eastAsia="黑体"/>
                <w:sz w:val="21"/>
                <w:szCs w:val="21"/>
              </w:rPr>
              <w:t>.</w:t>
            </w:r>
            <w:r>
              <w:rPr>
                <w:rFonts w:hint="eastAsia" w:ascii="黑体" w:hAnsi="黑体" w:eastAsia="黑体"/>
                <w:sz w:val="21"/>
                <w:szCs w:val="21"/>
              </w:rPr>
              <w:t>080</w:t>
            </w:r>
            <w:r>
              <w:rPr>
                <w:rFonts w:ascii="黑体" w:hAnsi="黑体" w:eastAsia="黑体"/>
                <w:sz w:val="21"/>
                <w:szCs w:val="21"/>
              </w:rPr>
              <w:t>.</w:t>
            </w:r>
            <w:r>
              <w:rPr>
                <w:rFonts w:hint="eastAsia" w:ascii="黑体" w:hAnsi="黑体" w:eastAsia="黑体"/>
                <w:sz w:val="21"/>
                <w:szCs w:val="21"/>
              </w:rPr>
              <w:t>3</w:t>
            </w:r>
            <w:r>
              <w:rPr>
                <w:rFonts w:ascii="黑体" w:hAnsi="黑体" w:eastAsia="黑体"/>
                <w:sz w:val="21"/>
                <w:szCs w:val="21"/>
              </w:rPr>
              <w:t>0</w:t>
            </w:r>
          </w:p>
        </w:tc>
      </w:tr>
      <w:tr w14:paraId="0102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202E0D">
            <w:pPr>
              <w:pStyle w:val="18"/>
              <w:framePr w:wrap="notBeside" w:vAnchor="page" w:hAnchor="page" w:x="1372" w:y="568"/>
              <w:tabs>
                <w:tab w:val="clear" w:pos="4153"/>
                <w:tab w:val="clear" w:pos="8306"/>
              </w:tabs>
              <w:spacing w:before="120" w:after="120" w:line="240" w:lineRule="auto"/>
              <w:jc w:val="left"/>
              <w:rPr>
                <w:rFonts w:ascii="黑体" w:hAnsi="黑体" w:eastAsia="黑体"/>
                <w:sz w:val="21"/>
                <w:szCs w:val="21"/>
              </w:rPr>
            </w:pPr>
            <w:r>
              <w:rPr>
                <w:rFonts w:ascii="黑体" w:hAnsi="黑体" w:eastAsia="黑体"/>
                <w:sz w:val="21"/>
                <w:szCs w:val="21"/>
              </w:rPr>
              <w:t>CCS</w:t>
            </w:r>
          </w:p>
        </w:tc>
        <w:tc>
          <w:tcPr>
            <w:tcW w:w="8855" w:type="dxa"/>
          </w:tcPr>
          <w:p w14:paraId="4132488D">
            <w:pPr>
              <w:pStyle w:val="18"/>
              <w:framePr w:wrap="notBeside" w:vAnchor="page" w:hAnchor="page" w:x="1372" w:y="568"/>
              <w:tabs>
                <w:tab w:val="clear" w:pos="4153"/>
                <w:tab w:val="clear" w:pos="8306"/>
              </w:tabs>
              <w:spacing w:before="120" w:after="120" w:line="240" w:lineRule="auto"/>
              <w:jc w:val="left"/>
              <w:rPr>
                <w:rFonts w:ascii="黑体" w:hAnsi="黑体" w:eastAsia="黑体"/>
                <w:sz w:val="21"/>
                <w:szCs w:val="21"/>
              </w:rPr>
            </w:pPr>
            <w:r>
              <w:rPr>
                <w:rFonts w:hint="eastAsia" w:ascii="黑体" w:hAnsi="黑体" w:eastAsia="黑体"/>
                <w:sz w:val="21"/>
                <w:szCs w:val="21"/>
              </w:rPr>
              <w:t>R84</w:t>
            </w:r>
          </w:p>
        </w:tc>
      </w:tr>
    </w:tbl>
    <w:p w14:paraId="3E557474">
      <w:pPr>
        <w:pStyle w:val="51"/>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13DD1A7B">
      <w:pPr>
        <w:pStyle w:val="196"/>
      </w:pPr>
      <w:r>
        <w:t>T/CASMESXXX</w:t>
      </w:r>
      <w:r>
        <w:rPr>
          <w:rFonts w:hAnsi="黑体"/>
        </w:rPr>
        <w:t>—</w:t>
      </w:r>
      <w:r>
        <w:t>202</w:t>
      </w:r>
      <w:r>
        <w:rPr>
          <w:rFonts w:hint="eastAsia"/>
        </w:rPr>
        <w:t>4</w:t>
      </w:r>
    </w:p>
    <w:p w14:paraId="6EE97CFA">
      <w:pPr>
        <w:pStyle w:val="197"/>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01F2B471">
      <w:pPr>
        <w:spacing w:before="120" w:after="120"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path arrowok="t"/>
            <v:fill focussize="0,0"/>
            <v:stroke/>
            <v:imagedata o:title=""/>
            <o:lock v:ext="edit"/>
          </v:line>
        </w:pict>
      </w:r>
    </w:p>
    <w:p w14:paraId="630F84AC">
      <w:pPr>
        <w:pStyle w:val="51"/>
        <w:framePr w:w="9639" w:h="6976" w:hRule="exact" w:hSpace="0" w:vSpace="0" w:wrap="around" w:hAnchor="page" w:y="6408"/>
        <w:jc w:val="center"/>
        <w:rPr>
          <w:rFonts w:ascii="黑体" w:hAnsi="黑体" w:eastAsia="黑体"/>
          <w:b w:val="0"/>
          <w:bCs w:val="0"/>
          <w:w w:val="100"/>
        </w:rPr>
      </w:pPr>
    </w:p>
    <w:p w14:paraId="15B4C453">
      <w:pPr>
        <w:pStyle w:val="198"/>
        <w:framePr w:h="6974" w:hRule="exact" w:wrap="around" w:x="1419" w:anchorLock="1"/>
      </w:pPr>
      <w:r>
        <w:rPr>
          <w:rFonts w:hint="eastAsia"/>
        </w:rPr>
        <w:t>装配式混凝土楼梯施工技术规程</w:t>
      </w:r>
    </w:p>
    <w:p w14:paraId="2FFDF401">
      <w:pPr>
        <w:pStyle w:val="126"/>
        <w:framePr w:w="9639" w:h="6974" w:hRule="exact" w:wrap="around" w:vAnchor="page" w:hAnchor="page" w:x="1419" w:y="6408" w:anchorLock="1"/>
        <w:textAlignment w:val="bottom"/>
        <w:rPr>
          <w:rFonts w:eastAsia="黑体"/>
          <w:szCs w:val="28"/>
        </w:rPr>
      </w:pPr>
      <w:r>
        <w:rPr>
          <w:rFonts w:hint="eastAsia" w:eastAsia="黑体"/>
          <w:szCs w:val="28"/>
        </w:rPr>
        <w:t>Technical specification for construction of prefabricated concrete stairs</w:t>
      </w:r>
    </w:p>
    <w:p w14:paraId="0B23BD94">
      <w:pPr>
        <w:framePr w:w="9639" w:h="6974" w:hRule="exact" w:wrap="around" w:vAnchor="page" w:hAnchor="page" w:x="1419" w:y="6408" w:anchorLock="1"/>
        <w:spacing w:before="120" w:after="120" w:line="760" w:lineRule="exact"/>
        <w:ind w:left="-1418"/>
        <w:rPr>
          <w:color w:val="FF0000"/>
        </w:rPr>
      </w:pPr>
    </w:p>
    <w:p w14:paraId="721D2038">
      <w:pPr>
        <w:pStyle w:val="126"/>
        <w:framePr w:w="9639" w:h="6974" w:hRule="exact" w:wrap="around" w:vAnchor="page" w:hAnchor="page" w:x="1419" w:y="6408" w:anchorLock="1"/>
        <w:spacing w:before="180" w:line="240" w:lineRule="atLeast"/>
        <w:textAlignment w:val="bottom"/>
        <w:rPr>
          <w:sz w:val="21"/>
          <w:szCs w:val="28"/>
        </w:rPr>
      </w:pPr>
    </w:p>
    <w:p w14:paraId="31F63063">
      <w:pPr>
        <w:pStyle w:val="194"/>
        <w:framePr w:wrap="around" w:y="14176"/>
      </w:pPr>
      <w:r>
        <w:rPr>
          <w:rFonts w:ascii="黑体"/>
        </w:rPr>
        <w:t>xxx-xx-xx</w:t>
      </w:r>
      <w:r>
        <w:rPr>
          <w:rFonts w:hint="eastAsia"/>
        </w:rPr>
        <w:t>发布</w:t>
      </w:r>
    </w:p>
    <w:p w14:paraId="518ECB50">
      <w:pPr>
        <w:pStyle w:val="195"/>
        <w:framePr w:wrap="around" w:y="14176"/>
      </w:pPr>
      <w:r>
        <w:rPr>
          <w:rFonts w:ascii="黑体"/>
        </w:rPr>
        <w:t>xxx-xx-xx</w:t>
      </w:r>
      <w:r>
        <w:rPr>
          <w:rFonts w:hint="eastAsia"/>
        </w:rPr>
        <w:t>实施</w:t>
      </w:r>
    </w:p>
    <w:p w14:paraId="3BF1A94C">
      <w:pPr>
        <w:pStyle w:val="152"/>
        <w:framePr w:h="584" w:hRule="exact" w:hSpace="181" w:vSpace="181" w:wrap="around" w:y="15027"/>
        <w:rPr>
          <w:rFonts w:hAnsi="黑体"/>
        </w:rPr>
      </w:pPr>
      <w:r>
        <w:rPr>
          <w:rFonts w:hint="eastAsia" w:ascii="Times New Roman"/>
          <w:w w:val="100"/>
          <w:sz w:val="28"/>
        </w:rPr>
        <w:t>中国中小企业协会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7BAC57F">
      <w:pPr>
        <w:spacing w:before="120" w:after="12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path arrowok="t"/>
            <v:fill focussize="0,0"/>
            <v:stroke/>
            <v:imagedata o:title=""/>
            <o:lock v:ext="edit"/>
            <w10:anchorlock/>
          </v:line>
        </w:pict>
      </w:r>
    </w:p>
    <w:p w14:paraId="3496BF13">
      <w:pPr>
        <w:widowControl/>
        <w:numPr>
          <w:ilvl w:val="0"/>
          <w:numId w:val="8"/>
        </w:numPr>
        <w:shd w:val="clear" w:color="FFFFFF" w:fill="FFFFFF"/>
        <w:adjustRightInd/>
        <w:spacing w:afterLines="150" w:line="240" w:lineRule="auto"/>
        <w:jc w:val="center"/>
        <w:outlineLvl w:val="0"/>
        <w:rPr>
          <w:rFonts w:ascii="黑体" w:hAnsi="Times New Roman" w:eastAsia="黑体"/>
          <w:spacing w:val="320"/>
          <w:kern w:val="0"/>
          <w:sz w:val="32"/>
          <w:szCs w:val="20"/>
        </w:rPr>
      </w:pPr>
      <w:bookmarkStart w:id="2" w:name="_Toc5987"/>
      <w:bookmarkStart w:id="3" w:name="_Toc3493"/>
      <w:bookmarkStart w:id="4" w:name="_Toc22659"/>
      <w:bookmarkStart w:id="5" w:name="_Toc134467293"/>
      <w:bookmarkStart w:id="6" w:name="_Toc1838"/>
      <w:bookmarkStart w:id="7" w:name="_Toc14680"/>
      <w:bookmarkStart w:id="8" w:name="_Toc6697"/>
      <w:bookmarkStart w:id="9" w:name="_Toc134530865"/>
      <w:bookmarkStart w:id="10" w:name="_Toc74142077"/>
      <w:bookmarkStart w:id="11" w:name="_Toc109647439"/>
      <w:bookmarkStart w:id="12" w:name="_Toc67305561"/>
      <w:bookmarkStart w:id="13" w:name="_Toc67047417"/>
      <w:bookmarkStart w:id="14" w:name="_Toc74226207"/>
      <w:bookmarkStart w:id="15" w:name="_Toc70518821"/>
      <w:bookmarkStart w:id="16" w:name="_Toc111033569"/>
      <w:bookmarkStart w:id="17" w:name="_Toc67071479"/>
      <w:bookmarkStart w:id="18" w:name="_Toc68855871"/>
      <w:bookmarkStart w:id="19" w:name="_Toc66899194"/>
      <w:bookmarkStart w:id="20" w:name="_Toc66981424"/>
      <w:bookmarkStart w:id="21" w:name="_Toc67082537"/>
      <w:bookmarkStart w:id="22" w:name="_Toc67079596"/>
      <w:bookmarkStart w:id="23" w:name="_Toc67069577"/>
      <w:bookmarkStart w:id="24" w:name="_Toc111033543"/>
      <w:bookmarkStart w:id="25" w:name="_Toc67066418"/>
      <w:bookmarkStart w:id="26" w:name="_Toc67053156"/>
      <w:bookmarkStart w:id="27" w:name="_Toc72853454"/>
      <w:bookmarkStart w:id="28" w:name="_Toc74150045"/>
      <w:bookmarkStart w:id="29" w:name="_Toc68869488"/>
      <w:bookmarkStart w:id="30" w:name="_Toc68870194"/>
      <w:bookmarkStart w:id="31" w:name="_Toc67044875"/>
      <w:bookmarkStart w:id="32" w:name="BookMark2"/>
      <w:r>
        <w:rPr>
          <w:rFonts w:ascii="黑体" w:hAnsi="Times New Roman" w:eastAsia="黑体"/>
          <w:spacing w:val="320"/>
          <w:kern w:val="0"/>
          <w:sz w:val="32"/>
          <w:szCs w:val="20"/>
        </w:rPr>
        <w:t>目次</w:t>
      </w:r>
      <w:bookmarkEnd w:id="2"/>
      <w:bookmarkEnd w:id="3"/>
      <w:bookmarkEnd w:id="4"/>
      <w:bookmarkEnd w:id="5"/>
      <w:bookmarkEnd w:id="6"/>
      <w:bookmarkEnd w:id="7"/>
      <w:bookmarkEnd w:id="8"/>
      <w:bookmarkEnd w:id="9"/>
    </w:p>
    <w:sdt>
      <w:sdtPr>
        <w:rPr>
          <w:rFonts w:hAnsi="Times New Roman" w:eastAsia="黑体"/>
          <w:spacing w:val="320"/>
          <w:kern w:val="0"/>
          <w:sz w:val="32"/>
          <w:szCs w:val="20"/>
        </w:rPr>
        <w:id w:val="-2027708367"/>
        <w:docPartObj>
          <w:docPartGallery w:val="Table of Contents"/>
          <w:docPartUnique/>
        </w:docPartObj>
      </w:sdtPr>
      <w:sdtEndPr>
        <w:rPr>
          <w:rFonts w:hAnsi="Calibri" w:eastAsia="宋体"/>
          <w:spacing w:val="0"/>
          <w:kern w:val="2"/>
          <w:sz w:val="21"/>
          <w:szCs w:val="21"/>
        </w:rPr>
      </w:sdtEndPr>
      <w:sdtContent>
        <w:p w14:paraId="6B93E68F">
          <w:pPr>
            <w:pStyle w:val="19"/>
            <w:tabs>
              <w:tab w:val="right" w:leader="dot" w:pos="9354"/>
            </w:tabs>
            <w:rPr>
              <w:rFonts w:hint="eastAsia" w:ascii="宋体" w:hAnsi="宋体" w:eastAsia="宋体" w:cs="宋体"/>
            </w:rPr>
          </w:pPr>
          <w:r>
            <w:rPr>
              <w:rFonts w:hint="eastAsia" w:hAnsi="宋体" w:cs="宋体"/>
            </w:rPr>
            <w:fldChar w:fldCharType="begin"/>
          </w:r>
          <w:r>
            <w:rPr>
              <w:rFonts w:hint="eastAsia" w:hAnsi="宋体" w:cs="宋体"/>
            </w:rPr>
            <w:instrText xml:space="preserve"> TOC \o "1-3" \h \z \u </w:instrText>
          </w:r>
          <w:r>
            <w:rPr>
              <w:rFonts w:hint="eastAsia" w:hAnsi="宋体" w:cs="宋体"/>
            </w:rPr>
            <w:fldChar w:fldCharType="separate"/>
          </w:r>
        </w:p>
        <w:p w14:paraId="218C23D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_Toc1752 </w:instrText>
          </w:r>
          <w:r>
            <w:rPr>
              <w:rFonts w:hint="eastAsia" w:ascii="宋体" w:hAnsi="宋体" w:eastAsia="宋体" w:cs="宋体"/>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142242A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_Toc9520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szCs w:val="22"/>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_Toc9520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6921CC1">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_Toc3008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kern w:val="0"/>
              <w:szCs w:val="20"/>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B39041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_Toc6076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2"/>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_Toc6076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9886C2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_Toc26481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2"/>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_Toc26481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E62219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_Toc17734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2"/>
            </w:rPr>
            <w:t>生产</w:t>
          </w:r>
          <w:r>
            <w:rPr>
              <w:rFonts w:hint="eastAsia" w:ascii="宋体" w:hAnsi="宋体" w:eastAsia="宋体" w:cs="宋体"/>
              <w:szCs w:val="22"/>
              <w:lang w:eastAsia="zh-CN"/>
            </w:rPr>
            <w:t>、</w:t>
          </w:r>
          <w:r>
            <w:rPr>
              <w:rFonts w:hint="eastAsia" w:ascii="宋体" w:hAnsi="宋体" w:eastAsia="宋体" w:cs="宋体"/>
              <w:szCs w:val="22"/>
            </w:rPr>
            <w:t>运输</w:t>
          </w:r>
          <w:r>
            <w:rPr>
              <w:rFonts w:hint="eastAsia" w:ascii="宋体" w:hAnsi="宋体" w:eastAsia="宋体" w:cs="宋体"/>
              <w:szCs w:val="22"/>
              <w:lang w:val="en-US" w:eastAsia="zh-CN"/>
            </w:rPr>
            <w:t>与堆放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44503B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_Toc3355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szCs w:val="22"/>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_Toc3355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4B2517A">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_Toc30994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szCs w:val="22"/>
              <w:lang w:val="en-US" w:eastAsia="zh-CN"/>
            </w:rPr>
            <w:t>生产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_Toc30994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7B0933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_Toc29817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5.3 </w:t>
          </w:r>
          <w:r>
            <w:rPr>
              <w:rFonts w:hint="eastAsia" w:ascii="宋体" w:hAnsi="宋体" w:eastAsia="宋体" w:cs="宋体"/>
              <w:szCs w:val="22"/>
            </w:rPr>
            <w:t>运输与堆放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_Toc29817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84965F5">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_Toc26448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5.4 </w:t>
          </w:r>
          <w:r>
            <w:rPr>
              <w:rFonts w:hint="eastAsia" w:ascii="宋体" w:hAnsi="宋体" w:eastAsia="宋体" w:cs="宋体"/>
              <w:szCs w:val="22"/>
            </w:rPr>
            <w:t>构件检验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_Toc26448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FE8E29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_Toc14038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szCs w:val="22"/>
            </w:rPr>
            <w:t>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_Toc14038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273BC26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szCs w:val="22"/>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5A197B5">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_Toc22824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szCs w:val="22"/>
            </w:rPr>
            <w:t>施工准备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_Toc22824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46C5DFD">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_Toc7669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6.3 </w:t>
          </w:r>
          <w:r>
            <w:rPr>
              <w:rFonts w:hint="eastAsia" w:ascii="宋体" w:hAnsi="宋体" w:eastAsia="宋体" w:cs="宋体"/>
              <w:szCs w:val="22"/>
            </w:rPr>
            <w:t>现场安装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_Toc7669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C73E630">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_Toc21520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szCs w:val="22"/>
            </w:rPr>
            <w:t>质量检验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B1AB117">
          <w:pPr>
            <w:pStyle w:val="19"/>
            <w:tabs>
              <w:tab w:val="right" w:leader="dot" w:pos="9354"/>
            </w:tabs>
          </w:pPr>
          <w:r>
            <w:rPr>
              <w:rFonts w:hint="eastAsia" w:hAnsi="宋体" w:cs="宋体"/>
            </w:rPr>
            <w:fldChar w:fldCharType="end"/>
          </w:r>
        </w:p>
      </w:sdtContent>
    </w:sdt>
    <w:p w14:paraId="396EF70F">
      <w:pPr>
        <w:pStyle w:val="90"/>
        <w:spacing w:after="468"/>
        <w:rPr>
          <w:spacing w:val="320"/>
        </w:rPr>
      </w:pPr>
      <w:r>
        <w:rPr>
          <w:spacing w:val="320"/>
        </w:rPr>
        <w:br w:type="page"/>
      </w:r>
    </w:p>
    <w:p w14:paraId="01E9F5CF">
      <w:pPr>
        <w:pStyle w:val="90"/>
        <w:spacing w:after="468"/>
      </w:pPr>
      <w:bookmarkStart w:id="33" w:name="_Toc6553"/>
      <w:bookmarkStart w:id="34" w:name="_Toc1752"/>
      <w:r>
        <w:rPr>
          <w:spacing w:val="320"/>
        </w:rPr>
        <w:t>前</w:t>
      </w:r>
      <w:r>
        <w:t>言</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bookmarkEnd w:id="34"/>
    </w:p>
    <w:p w14:paraId="253D6E3A">
      <w:pPr>
        <w:pStyle w:val="57"/>
        <w:ind w:firstLine="420"/>
      </w:pPr>
      <w:r>
        <w:rPr>
          <w:rFonts w:hint="eastAsia"/>
        </w:rPr>
        <w:t>本文件按照GB/T 1.1—2020《标准化工作导则  第1部分：标准化文件的结构和起草规则》的规定起草。</w:t>
      </w:r>
    </w:p>
    <w:p w14:paraId="0715EBFD">
      <w:pPr>
        <w:pStyle w:val="57"/>
        <w:ind w:firstLine="420"/>
      </w:pPr>
      <w:r>
        <w:rPr>
          <w:rFonts w:hint="eastAsia"/>
        </w:rPr>
        <w:t>本文件由</w:t>
      </w:r>
      <w:bookmarkStart w:id="77" w:name="_GoBack"/>
      <w:r>
        <w:rPr>
          <w:rFonts w:hint="eastAsia"/>
          <w:highlight w:val="none"/>
        </w:rPr>
        <w:t>杭州下沙建筑工程有限公司提出</w:t>
      </w:r>
      <w:bookmarkEnd w:id="77"/>
      <w:r>
        <w:rPr>
          <w:rFonts w:hint="eastAsia"/>
        </w:rPr>
        <w:t>。</w:t>
      </w:r>
    </w:p>
    <w:p w14:paraId="5324548E">
      <w:pPr>
        <w:pStyle w:val="57"/>
        <w:ind w:firstLine="420"/>
      </w:pPr>
      <w:r>
        <w:rPr>
          <w:rFonts w:hint="eastAsia"/>
        </w:rPr>
        <w:t>本文件由中国中小企业协会归口。</w:t>
      </w:r>
    </w:p>
    <w:p w14:paraId="46C28321">
      <w:pPr>
        <w:pStyle w:val="57"/>
        <w:ind w:firstLine="420"/>
      </w:pPr>
      <w:r>
        <w:rPr>
          <w:rFonts w:hint="eastAsia"/>
        </w:rPr>
        <w:t>本文件起草单位：。</w:t>
      </w:r>
    </w:p>
    <w:p w14:paraId="1585D7BC">
      <w:pPr>
        <w:pStyle w:val="57"/>
        <w:ind w:firstLine="420"/>
      </w:pPr>
      <w:r>
        <w:rPr>
          <w:rFonts w:hint="eastAsia"/>
        </w:rPr>
        <w:t>本文件主要起草人：。</w:t>
      </w:r>
    </w:p>
    <w:p w14:paraId="1B6346B3">
      <w:pPr>
        <w:pStyle w:val="57"/>
        <w:ind w:firstLine="420"/>
      </w:pPr>
    </w:p>
    <w:p w14:paraId="6E2E31F1">
      <w:pPr>
        <w:pStyle w:val="57"/>
        <w:ind w:firstLine="420"/>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32"/>
    <w:p w14:paraId="146A0AFD">
      <w:pPr>
        <w:spacing w:line="20" w:lineRule="exact"/>
        <w:jc w:val="center"/>
        <w:rPr>
          <w:rFonts w:ascii="黑体" w:hAnsi="黑体" w:eastAsia="黑体"/>
          <w:sz w:val="32"/>
          <w:szCs w:val="32"/>
        </w:rPr>
      </w:pPr>
      <w:bookmarkStart w:id="35" w:name="BookMark4"/>
    </w:p>
    <w:p w14:paraId="1A8613E5">
      <w:pPr>
        <w:spacing w:line="20" w:lineRule="exact"/>
        <w:jc w:val="center"/>
        <w:rPr>
          <w:rFonts w:ascii="黑体" w:hAnsi="黑体" w:eastAsia="黑体"/>
          <w:sz w:val="32"/>
          <w:szCs w:val="32"/>
        </w:rPr>
      </w:pPr>
    </w:p>
    <w:sdt>
      <w:sdtPr>
        <w:tag w:val="NEW_STAND_NAME"/>
        <w:id w:val="595910757"/>
        <w:lock w:val="sdtLocked"/>
      </w:sdtPr>
      <w:sdtContent>
        <w:p w14:paraId="46F8EDEB">
          <w:pPr>
            <w:pStyle w:val="178"/>
            <w:spacing w:beforeLines="100" w:afterLines="220"/>
          </w:pPr>
          <w:bookmarkStart w:id="36" w:name="NEW_STAND_NAME"/>
          <w:r>
            <w:rPr>
              <w:rFonts w:hint="eastAsia"/>
            </w:rPr>
            <w:t>装配式混凝土楼梯施工技术规程</w:t>
          </w:r>
        </w:p>
      </w:sdtContent>
    </w:sdt>
    <w:bookmarkEnd w:id="35"/>
    <w:bookmarkEnd w:id="36"/>
    <w:p w14:paraId="0C13BF20">
      <w:pPr>
        <w:numPr>
          <w:ilvl w:val="0"/>
          <w:numId w:val="32"/>
        </w:numPr>
        <w:adjustRightInd/>
        <w:spacing w:beforeLines="100" w:afterLines="100" w:line="240" w:lineRule="auto"/>
        <w:ind w:left="0"/>
        <w:outlineLvl w:val="0"/>
        <w:rPr>
          <w:rFonts w:eastAsia="黑体"/>
          <w:szCs w:val="22"/>
        </w:rPr>
      </w:pPr>
      <w:bookmarkStart w:id="37" w:name="_Toc9520"/>
      <w:bookmarkStart w:id="38" w:name="_Toc92637187"/>
      <w:bookmarkStart w:id="39" w:name="_Toc10341"/>
      <w:bookmarkStart w:id="40" w:name="_Toc134516821"/>
      <w:r>
        <w:rPr>
          <w:rFonts w:eastAsia="黑体"/>
          <w:szCs w:val="22"/>
        </w:rPr>
        <w:t>范围</w:t>
      </w:r>
      <w:bookmarkEnd w:id="37"/>
      <w:bookmarkEnd w:id="38"/>
      <w:bookmarkEnd w:id="39"/>
      <w:bookmarkEnd w:id="40"/>
    </w:p>
    <w:p w14:paraId="058E5025">
      <w:pPr>
        <w:pStyle w:val="231"/>
        <w:rPr>
          <w:rFonts w:ascii="Times New Roman"/>
        </w:rPr>
      </w:pPr>
      <w:r>
        <w:rPr>
          <w:rFonts w:hint="eastAsia" w:ascii="Times New Roman"/>
        </w:rPr>
        <w:t>本文件规定了装配式混凝土楼梯施工的材料性能、生产运输、施工安装及质量检验等的技术要求。</w:t>
      </w:r>
    </w:p>
    <w:p w14:paraId="48A7A48D">
      <w:pPr>
        <w:pStyle w:val="231"/>
        <w:rPr>
          <w:rFonts w:ascii="Times New Roman"/>
        </w:rPr>
      </w:pPr>
      <w:r>
        <w:rPr>
          <w:rFonts w:hint="eastAsia" w:ascii="Times New Roman"/>
        </w:rPr>
        <w:t>本文件适用于抗震设防烈度为8度及8度以下且环境类别为一类、二a类工业与民用建筑的装配式混凝土楼梯的</w:t>
      </w:r>
      <w:r>
        <w:rPr>
          <w:rFonts w:hint="eastAsia" w:ascii="Times New Roman"/>
          <w:color w:val="auto"/>
        </w:rPr>
        <w:t>制作、</w:t>
      </w:r>
      <w:r>
        <w:rPr>
          <w:rFonts w:hint="eastAsia" w:ascii="Times New Roman"/>
        </w:rPr>
        <w:t>施工及质量检验。</w:t>
      </w:r>
    </w:p>
    <w:p w14:paraId="62BB3D30">
      <w:pPr>
        <w:numPr>
          <w:ilvl w:val="0"/>
          <w:numId w:val="32"/>
        </w:numPr>
        <w:adjustRightInd/>
        <w:spacing w:beforeLines="100" w:afterLines="100" w:line="240" w:lineRule="auto"/>
        <w:ind w:left="0"/>
        <w:outlineLvl w:val="0"/>
      </w:pPr>
      <w:bookmarkStart w:id="41" w:name="_Toc15982598"/>
      <w:bookmarkStart w:id="42" w:name="_Toc15895509"/>
      <w:bookmarkStart w:id="43" w:name="_Toc134516822"/>
      <w:bookmarkStart w:id="44" w:name="_Toc15893419"/>
      <w:bookmarkStart w:id="45" w:name="_Toc26941"/>
      <w:bookmarkStart w:id="46" w:name="_Toc4744895"/>
      <w:bookmarkStart w:id="47" w:name="_Toc92637188"/>
      <w:bookmarkStart w:id="48" w:name="_Toc15893202"/>
      <w:bookmarkStart w:id="49" w:name="_Toc15994906"/>
      <w:bookmarkStart w:id="50" w:name="_Toc4748268"/>
      <w:bookmarkStart w:id="51" w:name="_Toc4748160"/>
      <w:bookmarkStart w:id="52" w:name="_Toc2321"/>
      <w:bookmarkStart w:id="53" w:name="_Toc3008"/>
      <w:bookmarkStart w:id="54" w:name="_Toc15985137"/>
      <w:r>
        <w:rPr>
          <w:rFonts w:eastAsia="黑体"/>
          <w:kern w:val="0"/>
          <w:szCs w:val="20"/>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776021D">
      <w:pPr>
        <w:pStyle w:val="25"/>
        <w:tabs>
          <w:tab w:val="center" w:pos="4201"/>
          <w:tab w:val="right" w:leader="dot" w:pos="9298"/>
        </w:tabs>
        <w:autoSpaceDE w:val="0"/>
        <w:autoSpaceDN w:val="0"/>
        <w:spacing w:before="156" w:beforeAutospacing="0" w:after="156" w:afterAutospacing="0"/>
        <w:ind w:firstLine="420" w:firstLineChars="200"/>
        <w:rPr>
          <w:rFonts w:ascii="Times New Roman" w:hAnsi="Times New Roman"/>
          <w:sz w:val="21"/>
          <w:szCs w:val="20"/>
        </w:rPr>
      </w:pPr>
      <w:r>
        <w:rPr>
          <w:rFonts w:hint="eastAsia" w:ascii="Times New Roman" w:hAnsi="Times New Roman"/>
          <w:sz w:val="21"/>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89B9C5">
      <w:pPr>
        <w:adjustRightInd/>
        <w:spacing w:line="240" w:lineRule="auto"/>
        <w:ind w:firstLine="420"/>
        <w:rPr>
          <w:rFonts w:ascii="Times New Roman"/>
          <w:szCs w:val="20"/>
        </w:rPr>
      </w:pPr>
      <w:r>
        <w:rPr>
          <w:rFonts w:hint="eastAsia" w:ascii="Times New Roman"/>
          <w:szCs w:val="20"/>
        </w:rPr>
        <w:t>GB 50010</w:t>
      </w:r>
      <w:r>
        <w:rPr>
          <w:rFonts w:hint="eastAsia" w:ascii="Times New Roman"/>
          <w:szCs w:val="20"/>
        </w:rPr>
        <w:tab/>
      </w:r>
      <w:r>
        <w:rPr>
          <w:rFonts w:hint="eastAsia" w:ascii="Times New Roman"/>
          <w:szCs w:val="20"/>
        </w:rPr>
        <w:tab/>
      </w:r>
      <w:r>
        <w:rPr>
          <w:rFonts w:hint="eastAsia" w:ascii="Times New Roman"/>
          <w:szCs w:val="20"/>
        </w:rPr>
        <w:t>混凝土结构设计规范</w:t>
      </w:r>
    </w:p>
    <w:p w14:paraId="39489BCD">
      <w:pPr>
        <w:adjustRightInd/>
        <w:spacing w:line="240" w:lineRule="auto"/>
        <w:ind w:firstLine="420"/>
        <w:rPr>
          <w:rFonts w:ascii="Times New Roman"/>
          <w:szCs w:val="20"/>
        </w:rPr>
      </w:pPr>
      <w:r>
        <w:rPr>
          <w:rFonts w:hint="eastAsia" w:ascii="Times New Roman"/>
          <w:szCs w:val="20"/>
        </w:rPr>
        <w:t>GB 50017</w:t>
      </w:r>
      <w:r>
        <w:rPr>
          <w:rFonts w:hint="eastAsia" w:ascii="Times New Roman"/>
          <w:szCs w:val="20"/>
        </w:rPr>
        <w:tab/>
      </w:r>
      <w:r>
        <w:rPr>
          <w:rFonts w:hint="eastAsia" w:ascii="Times New Roman"/>
          <w:szCs w:val="20"/>
        </w:rPr>
        <w:tab/>
      </w:r>
      <w:r>
        <w:rPr>
          <w:rFonts w:hint="eastAsia" w:ascii="Times New Roman"/>
          <w:szCs w:val="20"/>
        </w:rPr>
        <w:t>钢结构设计标准</w:t>
      </w:r>
    </w:p>
    <w:p w14:paraId="056313E3">
      <w:pPr>
        <w:adjustRightInd/>
        <w:spacing w:line="240" w:lineRule="auto"/>
        <w:ind w:firstLine="420"/>
        <w:rPr>
          <w:rFonts w:ascii="Times New Roman"/>
          <w:szCs w:val="20"/>
        </w:rPr>
      </w:pPr>
      <w:r>
        <w:rPr>
          <w:rFonts w:hint="eastAsia" w:ascii="Times New Roman"/>
          <w:szCs w:val="20"/>
        </w:rPr>
        <w:t>GB 50204</w:t>
      </w:r>
      <w:r>
        <w:rPr>
          <w:rFonts w:hint="eastAsia" w:ascii="Times New Roman"/>
          <w:szCs w:val="20"/>
        </w:rPr>
        <w:tab/>
      </w:r>
      <w:r>
        <w:rPr>
          <w:rFonts w:hint="eastAsia" w:ascii="Times New Roman"/>
          <w:szCs w:val="20"/>
        </w:rPr>
        <w:tab/>
      </w:r>
      <w:r>
        <w:rPr>
          <w:rFonts w:hint="eastAsia" w:ascii="Times New Roman"/>
          <w:szCs w:val="20"/>
        </w:rPr>
        <w:t>混凝土结构工程施工质量验收规范</w:t>
      </w:r>
    </w:p>
    <w:p w14:paraId="041069E4">
      <w:pPr>
        <w:adjustRightInd/>
        <w:spacing w:line="240" w:lineRule="auto"/>
        <w:ind w:firstLine="420"/>
        <w:rPr>
          <w:rFonts w:ascii="Times New Roman"/>
          <w:szCs w:val="20"/>
        </w:rPr>
      </w:pPr>
      <w:r>
        <w:rPr>
          <w:rFonts w:hint="eastAsia" w:ascii="Times New Roman"/>
          <w:szCs w:val="20"/>
        </w:rPr>
        <w:t>GB 50666</w:t>
      </w:r>
      <w:r>
        <w:rPr>
          <w:rFonts w:hint="eastAsia" w:ascii="Times New Roman"/>
          <w:szCs w:val="20"/>
        </w:rPr>
        <w:tab/>
      </w:r>
      <w:r>
        <w:rPr>
          <w:rFonts w:hint="eastAsia" w:ascii="Times New Roman"/>
          <w:szCs w:val="20"/>
        </w:rPr>
        <w:tab/>
      </w:r>
      <w:r>
        <w:rPr>
          <w:rFonts w:hint="eastAsia" w:ascii="Times New Roman"/>
          <w:szCs w:val="20"/>
        </w:rPr>
        <w:t>混凝土结构工程施工规范</w:t>
      </w:r>
    </w:p>
    <w:p w14:paraId="063CA82B">
      <w:pPr>
        <w:adjustRightInd/>
        <w:spacing w:line="240" w:lineRule="auto"/>
        <w:ind w:firstLine="420"/>
        <w:rPr>
          <w:rFonts w:ascii="Times New Roman"/>
          <w:szCs w:val="20"/>
        </w:rPr>
      </w:pPr>
      <w:r>
        <w:rPr>
          <w:rFonts w:hint="eastAsia" w:ascii="Times New Roman"/>
          <w:szCs w:val="20"/>
        </w:rPr>
        <w:t>GB 55006</w:t>
      </w:r>
      <w:r>
        <w:rPr>
          <w:rFonts w:hint="eastAsia" w:ascii="Times New Roman"/>
          <w:szCs w:val="20"/>
        </w:rPr>
        <w:tab/>
      </w:r>
      <w:r>
        <w:rPr>
          <w:rFonts w:hint="eastAsia" w:ascii="Times New Roman"/>
          <w:szCs w:val="20"/>
        </w:rPr>
        <w:tab/>
      </w:r>
      <w:r>
        <w:rPr>
          <w:rFonts w:hint="eastAsia" w:ascii="Times New Roman"/>
          <w:szCs w:val="20"/>
        </w:rPr>
        <w:t>钢结构通用规范</w:t>
      </w:r>
    </w:p>
    <w:p w14:paraId="69E78654">
      <w:pPr>
        <w:adjustRightInd/>
        <w:spacing w:line="240" w:lineRule="auto"/>
        <w:ind w:firstLine="420"/>
        <w:rPr>
          <w:rFonts w:ascii="Times New Roman"/>
          <w:szCs w:val="20"/>
        </w:rPr>
      </w:pPr>
      <w:r>
        <w:rPr>
          <w:rFonts w:hint="eastAsia" w:ascii="Times New Roman"/>
          <w:szCs w:val="20"/>
        </w:rPr>
        <w:t>GB 55008</w:t>
      </w:r>
      <w:r>
        <w:rPr>
          <w:rFonts w:hint="eastAsia" w:ascii="Times New Roman"/>
          <w:szCs w:val="20"/>
        </w:rPr>
        <w:tab/>
      </w:r>
      <w:r>
        <w:rPr>
          <w:rFonts w:hint="eastAsia" w:ascii="Times New Roman"/>
          <w:szCs w:val="20"/>
        </w:rPr>
        <w:tab/>
      </w:r>
      <w:r>
        <w:rPr>
          <w:rFonts w:hint="eastAsia" w:ascii="Times New Roman"/>
          <w:szCs w:val="20"/>
        </w:rPr>
        <w:t>混凝土结构通用规范</w:t>
      </w:r>
    </w:p>
    <w:p w14:paraId="6C36F30B">
      <w:pPr>
        <w:adjustRightInd/>
        <w:spacing w:line="240" w:lineRule="auto"/>
        <w:ind w:firstLine="420"/>
        <w:rPr>
          <w:rFonts w:ascii="Times New Roman"/>
          <w:szCs w:val="20"/>
        </w:rPr>
      </w:pPr>
      <w:r>
        <w:rPr>
          <w:rFonts w:hint="eastAsia" w:ascii="Times New Roman"/>
          <w:szCs w:val="20"/>
        </w:rPr>
        <w:t>GB/T 50448</w:t>
      </w:r>
      <w:r>
        <w:rPr>
          <w:rFonts w:hint="eastAsia" w:ascii="Times New Roman"/>
          <w:szCs w:val="20"/>
        </w:rPr>
        <w:tab/>
      </w:r>
      <w:r>
        <w:rPr>
          <w:rFonts w:hint="eastAsia" w:ascii="Times New Roman"/>
          <w:szCs w:val="20"/>
        </w:rPr>
        <w:tab/>
      </w:r>
      <w:r>
        <w:rPr>
          <w:rFonts w:hint="eastAsia" w:ascii="Times New Roman"/>
          <w:szCs w:val="20"/>
        </w:rPr>
        <w:t>水泥基灌浆材料应用技术规范</w:t>
      </w:r>
    </w:p>
    <w:p w14:paraId="37D0B335">
      <w:pPr>
        <w:adjustRightInd/>
        <w:spacing w:line="240" w:lineRule="auto"/>
        <w:ind w:firstLine="420"/>
        <w:rPr>
          <w:rFonts w:ascii="Times New Roman"/>
          <w:szCs w:val="20"/>
        </w:rPr>
      </w:pPr>
      <w:r>
        <w:rPr>
          <w:rFonts w:hint="eastAsia" w:ascii="Times New Roman"/>
          <w:szCs w:val="20"/>
        </w:rPr>
        <w:t>GB/T 51408</w:t>
      </w:r>
      <w:r>
        <w:rPr>
          <w:rFonts w:hint="eastAsia" w:ascii="Times New Roman"/>
          <w:szCs w:val="20"/>
        </w:rPr>
        <w:tab/>
      </w:r>
      <w:r>
        <w:rPr>
          <w:rFonts w:hint="eastAsia" w:ascii="Times New Roman"/>
          <w:szCs w:val="20"/>
        </w:rPr>
        <w:tab/>
      </w:r>
      <w:r>
        <w:rPr>
          <w:rFonts w:hint="eastAsia" w:ascii="Times New Roman"/>
          <w:szCs w:val="20"/>
        </w:rPr>
        <w:t>建筑隔震设计标准</w:t>
      </w:r>
    </w:p>
    <w:p w14:paraId="01BA12D4">
      <w:pPr>
        <w:adjustRightInd/>
        <w:spacing w:line="240" w:lineRule="auto"/>
        <w:ind w:firstLine="420"/>
        <w:rPr>
          <w:rFonts w:ascii="Times New Roman"/>
          <w:szCs w:val="20"/>
        </w:rPr>
      </w:pPr>
      <w:r>
        <w:rPr>
          <w:rFonts w:hint="eastAsia" w:ascii="Times New Roman"/>
          <w:szCs w:val="20"/>
        </w:rPr>
        <w:t>GB/T 700</w:t>
      </w:r>
      <w:r>
        <w:rPr>
          <w:rFonts w:hint="eastAsia" w:ascii="Times New Roman"/>
          <w:szCs w:val="20"/>
        </w:rPr>
        <w:tab/>
      </w:r>
      <w:r>
        <w:rPr>
          <w:rFonts w:hint="eastAsia" w:ascii="Times New Roman"/>
          <w:szCs w:val="20"/>
        </w:rPr>
        <w:tab/>
      </w:r>
      <w:r>
        <w:rPr>
          <w:rFonts w:hint="eastAsia" w:ascii="Times New Roman"/>
          <w:szCs w:val="20"/>
        </w:rPr>
        <w:t>碳素结构钢</w:t>
      </w:r>
    </w:p>
    <w:p w14:paraId="1DC24255">
      <w:pPr>
        <w:adjustRightInd/>
        <w:spacing w:line="240" w:lineRule="auto"/>
        <w:ind w:firstLine="420"/>
        <w:rPr>
          <w:rFonts w:ascii="Times New Roman"/>
          <w:szCs w:val="20"/>
        </w:rPr>
      </w:pPr>
      <w:r>
        <w:rPr>
          <w:rFonts w:hint="eastAsia" w:ascii="Times New Roman"/>
          <w:szCs w:val="20"/>
        </w:rPr>
        <w:t>GB/T 5223</w:t>
      </w:r>
      <w:r>
        <w:rPr>
          <w:rFonts w:hint="eastAsia" w:ascii="Times New Roman"/>
          <w:szCs w:val="20"/>
        </w:rPr>
        <w:tab/>
      </w:r>
      <w:r>
        <w:rPr>
          <w:rFonts w:hint="eastAsia" w:ascii="Times New Roman"/>
          <w:szCs w:val="20"/>
        </w:rPr>
        <w:tab/>
      </w:r>
      <w:r>
        <w:rPr>
          <w:rFonts w:hint="eastAsia" w:ascii="Times New Roman"/>
          <w:szCs w:val="20"/>
        </w:rPr>
        <w:t>预应力混凝土用钢丝</w:t>
      </w:r>
    </w:p>
    <w:p w14:paraId="770671E5">
      <w:pPr>
        <w:adjustRightInd/>
        <w:spacing w:line="240" w:lineRule="auto"/>
        <w:ind w:firstLine="420"/>
        <w:rPr>
          <w:rFonts w:ascii="Times New Roman"/>
          <w:szCs w:val="20"/>
        </w:rPr>
      </w:pPr>
      <w:r>
        <w:rPr>
          <w:rFonts w:hint="eastAsia" w:ascii="Times New Roman"/>
          <w:szCs w:val="20"/>
        </w:rPr>
        <w:t>GB/T 14370</w:t>
      </w:r>
      <w:r>
        <w:rPr>
          <w:rFonts w:hint="eastAsia" w:ascii="Times New Roman"/>
          <w:szCs w:val="20"/>
        </w:rPr>
        <w:tab/>
      </w:r>
      <w:r>
        <w:rPr>
          <w:rFonts w:hint="eastAsia" w:ascii="Times New Roman"/>
          <w:szCs w:val="20"/>
        </w:rPr>
        <w:tab/>
      </w:r>
      <w:r>
        <w:rPr>
          <w:rFonts w:hint="eastAsia" w:ascii="Times New Roman"/>
          <w:szCs w:val="20"/>
        </w:rPr>
        <w:t>预应力筋用锚具、夹具和连接器</w:t>
      </w:r>
    </w:p>
    <w:p w14:paraId="418DDE36">
      <w:pPr>
        <w:adjustRightInd/>
        <w:spacing w:line="240" w:lineRule="auto"/>
        <w:ind w:firstLine="420"/>
        <w:rPr>
          <w:rFonts w:ascii="Times New Roman"/>
          <w:szCs w:val="20"/>
        </w:rPr>
      </w:pPr>
      <w:r>
        <w:rPr>
          <w:rFonts w:hint="eastAsia" w:ascii="Times New Roman"/>
          <w:szCs w:val="20"/>
        </w:rPr>
        <w:t>GB/T 14683</w:t>
      </w:r>
      <w:r>
        <w:rPr>
          <w:rFonts w:hint="eastAsia" w:ascii="Times New Roman"/>
          <w:szCs w:val="20"/>
        </w:rPr>
        <w:tab/>
      </w:r>
      <w:r>
        <w:rPr>
          <w:rFonts w:hint="eastAsia" w:ascii="Times New Roman"/>
          <w:szCs w:val="20"/>
        </w:rPr>
        <w:tab/>
      </w:r>
      <w:r>
        <w:rPr>
          <w:rFonts w:hint="eastAsia" w:ascii="Times New Roman"/>
          <w:szCs w:val="20"/>
        </w:rPr>
        <w:t>硅酮和改性硅酮建筑密封胶</w:t>
      </w:r>
    </w:p>
    <w:p w14:paraId="05523AB7">
      <w:pPr>
        <w:adjustRightInd/>
        <w:spacing w:line="240" w:lineRule="auto"/>
        <w:ind w:firstLine="420"/>
        <w:rPr>
          <w:rFonts w:ascii="Times New Roman"/>
          <w:szCs w:val="20"/>
        </w:rPr>
      </w:pPr>
      <w:r>
        <w:rPr>
          <w:rFonts w:hint="eastAsia" w:ascii="Times New Roman"/>
          <w:szCs w:val="20"/>
        </w:rPr>
        <w:t>GB/T 20688.3</w:t>
      </w:r>
      <w:r>
        <w:rPr>
          <w:rFonts w:hint="eastAsia" w:ascii="Times New Roman"/>
          <w:szCs w:val="20"/>
        </w:rPr>
        <w:tab/>
      </w:r>
      <w:r>
        <w:rPr>
          <w:rFonts w:hint="eastAsia" w:ascii="Times New Roman"/>
          <w:szCs w:val="20"/>
        </w:rPr>
        <w:tab/>
      </w:r>
      <w:r>
        <w:rPr>
          <w:rFonts w:hint="eastAsia" w:ascii="Times New Roman"/>
          <w:szCs w:val="20"/>
        </w:rPr>
        <w:t>橡胶支座第3部分：建筑隔震橡胶支座</w:t>
      </w:r>
    </w:p>
    <w:p w14:paraId="673E2937">
      <w:pPr>
        <w:adjustRightInd/>
        <w:spacing w:line="240" w:lineRule="auto"/>
        <w:ind w:firstLine="420"/>
        <w:rPr>
          <w:rFonts w:ascii="Times New Roman"/>
          <w:szCs w:val="20"/>
        </w:rPr>
      </w:pPr>
      <w:r>
        <w:rPr>
          <w:rFonts w:hint="eastAsia" w:ascii="Times New Roman"/>
          <w:szCs w:val="20"/>
        </w:rPr>
        <w:t>JGJ 33</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建筑机械使用安全技术规程</w:t>
      </w:r>
    </w:p>
    <w:p w14:paraId="45A558F2">
      <w:pPr>
        <w:adjustRightInd/>
        <w:spacing w:line="240" w:lineRule="auto"/>
        <w:ind w:firstLine="420"/>
        <w:rPr>
          <w:rFonts w:ascii="Times New Roman"/>
          <w:szCs w:val="20"/>
        </w:rPr>
      </w:pPr>
      <w:r>
        <w:rPr>
          <w:rFonts w:hint="eastAsia" w:ascii="Times New Roman"/>
          <w:szCs w:val="20"/>
        </w:rPr>
        <w:t>JGJ 55</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普通混凝土配合比设计规程</w:t>
      </w:r>
    </w:p>
    <w:p w14:paraId="05F60DF9">
      <w:pPr>
        <w:adjustRightInd/>
        <w:spacing w:line="240" w:lineRule="auto"/>
        <w:ind w:firstLine="420"/>
        <w:rPr>
          <w:rFonts w:ascii="Times New Roman"/>
          <w:szCs w:val="20"/>
        </w:rPr>
      </w:pPr>
      <w:r>
        <w:rPr>
          <w:rFonts w:hint="eastAsia" w:ascii="Times New Roman"/>
          <w:szCs w:val="20"/>
        </w:rPr>
        <w:t>JGJ 85</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预应力筋用锚具、夹具和连接器应用技术规程</w:t>
      </w:r>
    </w:p>
    <w:p w14:paraId="0F769973">
      <w:pPr>
        <w:adjustRightInd/>
        <w:spacing w:line="240" w:lineRule="auto"/>
        <w:ind w:firstLine="420"/>
        <w:rPr>
          <w:rFonts w:ascii="Times New Roman"/>
          <w:szCs w:val="20"/>
        </w:rPr>
      </w:pPr>
      <w:r>
        <w:rPr>
          <w:rFonts w:hint="eastAsia" w:ascii="Times New Roman"/>
          <w:szCs w:val="20"/>
        </w:rPr>
        <w:t>JGJ 95</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冷轧带肋钢筋混凝土结构技术规程</w:t>
      </w:r>
    </w:p>
    <w:p w14:paraId="47249CFA">
      <w:pPr>
        <w:adjustRightInd/>
        <w:spacing w:line="240" w:lineRule="auto"/>
        <w:ind w:firstLine="420"/>
        <w:rPr>
          <w:rFonts w:ascii="Times New Roman"/>
          <w:szCs w:val="20"/>
        </w:rPr>
      </w:pPr>
      <w:r>
        <w:rPr>
          <w:rFonts w:hint="eastAsia" w:ascii="Times New Roman"/>
          <w:szCs w:val="20"/>
        </w:rPr>
        <w:t>JGJ 360</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建筑隔震工程施工及验收规范</w:t>
      </w:r>
    </w:p>
    <w:p w14:paraId="54EA45D4">
      <w:pPr>
        <w:adjustRightInd/>
        <w:spacing w:line="240" w:lineRule="auto"/>
        <w:ind w:firstLine="420"/>
        <w:rPr>
          <w:rFonts w:ascii="Times New Roman"/>
          <w:szCs w:val="20"/>
        </w:rPr>
      </w:pPr>
      <w:r>
        <w:rPr>
          <w:rFonts w:hint="eastAsia" w:ascii="Times New Roman"/>
          <w:szCs w:val="20"/>
        </w:rPr>
        <w:t>JGJ/T 223</w:t>
      </w:r>
      <w:r>
        <w:rPr>
          <w:rFonts w:hint="eastAsia" w:ascii="Times New Roman"/>
          <w:szCs w:val="20"/>
        </w:rPr>
        <w:tab/>
      </w:r>
      <w:r>
        <w:rPr>
          <w:rFonts w:hint="eastAsia" w:ascii="Times New Roman"/>
          <w:szCs w:val="20"/>
        </w:rPr>
        <w:tab/>
      </w:r>
      <w:r>
        <w:rPr>
          <w:rFonts w:hint="eastAsia" w:ascii="Times New Roman"/>
          <w:szCs w:val="20"/>
        </w:rPr>
        <w:t>预拌砂浆应用技术规程</w:t>
      </w:r>
    </w:p>
    <w:p w14:paraId="0B13CF7D">
      <w:pPr>
        <w:adjustRightInd/>
        <w:spacing w:line="240" w:lineRule="auto"/>
        <w:ind w:firstLine="420"/>
        <w:rPr>
          <w:rFonts w:ascii="Times New Roman"/>
          <w:szCs w:val="20"/>
        </w:rPr>
      </w:pPr>
      <w:r>
        <w:rPr>
          <w:rFonts w:hint="eastAsia" w:ascii="Times New Roman"/>
          <w:szCs w:val="20"/>
        </w:rPr>
        <w:t>JGJ/T 251</w:t>
      </w:r>
      <w:r>
        <w:rPr>
          <w:rFonts w:hint="eastAsia" w:ascii="Times New Roman"/>
          <w:szCs w:val="20"/>
        </w:rPr>
        <w:tab/>
      </w:r>
      <w:r>
        <w:rPr>
          <w:rFonts w:hint="eastAsia" w:ascii="Times New Roman"/>
          <w:szCs w:val="20"/>
        </w:rPr>
        <w:tab/>
      </w:r>
      <w:r>
        <w:rPr>
          <w:rFonts w:hint="eastAsia" w:ascii="Times New Roman"/>
          <w:szCs w:val="20"/>
        </w:rPr>
        <w:t>建筑钢结构防腐蚀技术规程</w:t>
      </w:r>
    </w:p>
    <w:p w14:paraId="609FC690">
      <w:pPr>
        <w:adjustRightInd/>
        <w:spacing w:line="240" w:lineRule="auto"/>
        <w:ind w:firstLine="420"/>
        <w:rPr>
          <w:rFonts w:ascii="Times New Roman"/>
          <w:szCs w:val="20"/>
        </w:rPr>
      </w:pPr>
      <w:r>
        <w:rPr>
          <w:rFonts w:hint="eastAsia" w:ascii="Times New Roman"/>
          <w:szCs w:val="20"/>
        </w:rPr>
        <w:t>JG/T 118</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建筑隔震橡胶支座</w:t>
      </w:r>
    </w:p>
    <w:p w14:paraId="32670A91">
      <w:pPr>
        <w:adjustRightInd/>
        <w:spacing w:line="240" w:lineRule="auto"/>
        <w:ind w:firstLine="420"/>
        <w:rPr>
          <w:rFonts w:ascii="Times New Roman"/>
          <w:szCs w:val="20"/>
        </w:rPr>
      </w:pPr>
      <w:r>
        <w:rPr>
          <w:rFonts w:hint="eastAsia" w:ascii="Times New Roman"/>
          <w:szCs w:val="20"/>
        </w:rPr>
        <w:t>JC/T 482</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聚氨酯建筑密封胶</w:t>
      </w:r>
    </w:p>
    <w:p w14:paraId="62D45604">
      <w:pPr>
        <w:adjustRightInd/>
        <w:spacing w:line="240" w:lineRule="auto"/>
        <w:ind w:firstLine="420"/>
        <w:rPr>
          <w:rFonts w:ascii="Times New Roman"/>
          <w:szCs w:val="20"/>
        </w:rPr>
      </w:pPr>
      <w:r>
        <w:rPr>
          <w:rFonts w:hint="eastAsia" w:ascii="Times New Roman"/>
          <w:szCs w:val="20"/>
        </w:rPr>
        <w:t>JC/T 483</w:t>
      </w:r>
      <w:r>
        <w:rPr>
          <w:rFonts w:hint="eastAsia" w:ascii="Times New Roman"/>
          <w:szCs w:val="20"/>
        </w:rPr>
        <w:tab/>
      </w:r>
      <w:r>
        <w:rPr>
          <w:rFonts w:hint="eastAsia" w:ascii="Times New Roman"/>
          <w:szCs w:val="20"/>
        </w:rPr>
        <w:tab/>
      </w:r>
      <w:r>
        <w:rPr>
          <w:rFonts w:hint="eastAsia" w:ascii="Times New Roman" w:hAnsi="Times New Roman"/>
          <w:szCs w:val="24"/>
        </w:rPr>
        <w:tab/>
      </w:r>
      <w:r>
        <w:rPr>
          <w:rFonts w:hint="eastAsia" w:ascii="Times New Roman"/>
          <w:szCs w:val="20"/>
        </w:rPr>
        <w:t>聚硫建筑密封胶</w:t>
      </w:r>
    </w:p>
    <w:p w14:paraId="67CA652C">
      <w:pPr>
        <w:numPr>
          <w:ilvl w:val="0"/>
          <w:numId w:val="32"/>
        </w:numPr>
        <w:adjustRightInd/>
        <w:spacing w:beforeLines="100" w:afterLines="100" w:line="240" w:lineRule="auto"/>
        <w:ind w:left="0"/>
        <w:outlineLvl w:val="0"/>
        <w:rPr>
          <w:rFonts w:eastAsia="黑体"/>
          <w:szCs w:val="22"/>
        </w:rPr>
      </w:pPr>
      <w:bookmarkStart w:id="55" w:name="_Toc27930"/>
      <w:bookmarkStart w:id="56" w:name="_Toc13514"/>
      <w:bookmarkStart w:id="57" w:name="_Toc92637189"/>
      <w:bookmarkStart w:id="58" w:name="_Toc16473"/>
      <w:bookmarkStart w:id="59" w:name="_Toc27238"/>
      <w:bookmarkStart w:id="60" w:name="_Toc26410"/>
      <w:bookmarkStart w:id="61" w:name="_Toc134516823"/>
      <w:bookmarkStart w:id="62" w:name="_Toc6076"/>
      <w:bookmarkStart w:id="63" w:name="_Toc16572"/>
      <w:r>
        <w:rPr>
          <w:rFonts w:eastAsia="黑体"/>
          <w:szCs w:val="22"/>
        </w:rPr>
        <w:t>术语和定义</w:t>
      </w:r>
      <w:bookmarkEnd w:id="55"/>
      <w:bookmarkEnd w:id="56"/>
      <w:bookmarkEnd w:id="57"/>
      <w:bookmarkEnd w:id="58"/>
      <w:bookmarkEnd w:id="59"/>
      <w:bookmarkEnd w:id="60"/>
      <w:bookmarkEnd w:id="61"/>
      <w:bookmarkEnd w:id="62"/>
      <w:bookmarkEnd w:id="63"/>
    </w:p>
    <w:p w14:paraId="1C1AB485">
      <w:pPr>
        <w:ind w:firstLine="420" w:firstLineChars="200"/>
      </w:pPr>
      <w:r>
        <w:t>下列术语和定义适用于本文件。</w:t>
      </w:r>
    </w:p>
    <w:p w14:paraId="3D6CE79B">
      <w:pPr>
        <w:numPr>
          <w:ilvl w:val="1"/>
          <w:numId w:val="32"/>
        </w:numPr>
        <w:spacing w:beforeLines="50" w:afterLines="50"/>
      </w:pPr>
    </w:p>
    <w:p w14:paraId="7A1A3AD6">
      <w:pPr>
        <w:ind w:firstLine="420" w:firstLineChars="200"/>
        <w:rPr>
          <w:rFonts w:ascii="黑体" w:hAnsi="黑体" w:eastAsia="黑体" w:cs="黑体"/>
        </w:rPr>
      </w:pPr>
      <w:r>
        <w:rPr>
          <w:rFonts w:hint="eastAsia" w:ascii="黑体" w:hAnsi="黑体" w:eastAsia="黑体" w:cs="黑体"/>
        </w:rPr>
        <w:t>装配式混凝土楼梯　precast concrete stair　</w:t>
      </w:r>
    </w:p>
    <w:p w14:paraId="0C091D60">
      <w:pPr>
        <w:ind w:firstLine="420" w:firstLineChars="200"/>
      </w:pPr>
      <w:r>
        <w:rPr>
          <w:rFonts w:hint="eastAsia"/>
        </w:rPr>
        <w:t>在工厂制作的两个平台之间若干连续踏步或若干连续踏步和平板组合的预制混凝土构件。按结构形式分为装配式板式楼梯和装配式梁式楼梯，按是否配置受力的预应力筋分为装配式钢筋混凝土楼梯和装配式预应力混凝土楼梯。</w:t>
      </w:r>
    </w:p>
    <w:p w14:paraId="7B5382A4">
      <w:pPr>
        <w:numPr>
          <w:ilvl w:val="1"/>
          <w:numId w:val="32"/>
        </w:numPr>
        <w:spacing w:beforeLines="50" w:afterLines="50"/>
      </w:pPr>
    </w:p>
    <w:p w14:paraId="38A56AC2">
      <w:pPr>
        <w:ind w:firstLine="420" w:firstLineChars="200"/>
        <w:rPr>
          <w:rFonts w:ascii="黑体" w:hAnsi="黑体" w:eastAsia="黑体" w:cs="黑体"/>
        </w:rPr>
      </w:pPr>
      <w:r>
        <w:rPr>
          <w:rFonts w:hint="eastAsia" w:ascii="黑体" w:hAnsi="黑体" w:eastAsia="黑体" w:cs="黑体"/>
        </w:rPr>
        <w:t>装配式板式楼梯　precast slab stair　</w:t>
      </w:r>
    </w:p>
    <w:p w14:paraId="325EDEA2">
      <w:pPr>
        <w:ind w:firstLine="420" w:firstLineChars="200"/>
      </w:pPr>
      <w:r>
        <w:rPr>
          <w:rFonts w:hint="eastAsia"/>
        </w:rPr>
        <w:t>由梯段板承受该梯段全部荷载，并将荷载传递至两端平台梁上的预制混凝土楼梯。</w:t>
      </w:r>
    </w:p>
    <w:p w14:paraId="0F4F9A24">
      <w:pPr>
        <w:numPr>
          <w:ilvl w:val="1"/>
          <w:numId w:val="32"/>
        </w:numPr>
        <w:spacing w:beforeLines="50" w:afterLines="50"/>
      </w:pPr>
    </w:p>
    <w:p w14:paraId="7DFAB914">
      <w:pPr>
        <w:ind w:firstLine="420" w:firstLineChars="200"/>
        <w:rPr>
          <w:rFonts w:ascii="黑体" w:hAnsi="黑体" w:eastAsia="黑体" w:cs="黑体"/>
        </w:rPr>
      </w:pPr>
      <w:r>
        <w:rPr>
          <w:rFonts w:hint="eastAsia" w:ascii="黑体" w:hAnsi="黑体" w:eastAsia="黑体" w:cs="黑体"/>
        </w:rPr>
        <w:t>装配式梁式楼梯　precast beam stair　</w:t>
      </w:r>
    </w:p>
    <w:p w14:paraId="3F1D2308">
      <w:pPr>
        <w:ind w:firstLine="420" w:firstLineChars="200"/>
      </w:pPr>
      <w:r>
        <w:rPr>
          <w:rFonts w:hint="eastAsia"/>
        </w:rPr>
        <w:t>踏步板直接搁置在斜梁上，斜梁支承在两端平台梁上的预制混凝土楼梯。</w:t>
      </w:r>
    </w:p>
    <w:p w14:paraId="434DE8EC">
      <w:pPr>
        <w:numPr>
          <w:ilvl w:val="1"/>
          <w:numId w:val="32"/>
        </w:numPr>
        <w:spacing w:beforeLines="50" w:afterLines="50"/>
      </w:pPr>
    </w:p>
    <w:p w14:paraId="0A0F4EC6">
      <w:pPr>
        <w:ind w:firstLine="420" w:firstLineChars="200"/>
        <w:rPr>
          <w:rFonts w:ascii="黑体" w:hAnsi="黑体" w:eastAsia="黑体" w:cs="黑体"/>
        </w:rPr>
      </w:pPr>
      <w:r>
        <w:rPr>
          <w:rFonts w:hint="eastAsia" w:ascii="黑体" w:hAnsi="黑体" w:eastAsia="黑体" w:cs="黑体"/>
        </w:rPr>
        <w:t>装配式预应力混凝土楼梯　precast prestressed concrete stair　</w:t>
      </w:r>
    </w:p>
    <w:p w14:paraId="31C76BB5">
      <w:pPr>
        <w:ind w:firstLine="420" w:firstLineChars="200"/>
      </w:pPr>
      <w:r>
        <w:rPr>
          <w:rFonts w:hint="eastAsia"/>
        </w:rPr>
        <w:t>楼梯底部配置预应力筋，并采用先张法施加预应力的预制混凝土楼梯。</w:t>
      </w:r>
    </w:p>
    <w:p w14:paraId="7C507D05">
      <w:pPr>
        <w:numPr>
          <w:ilvl w:val="1"/>
          <w:numId w:val="32"/>
        </w:numPr>
        <w:spacing w:beforeLines="50" w:afterLines="50"/>
      </w:pPr>
    </w:p>
    <w:p w14:paraId="3AEEAB02">
      <w:pPr>
        <w:ind w:firstLine="420" w:firstLineChars="200"/>
        <w:rPr>
          <w:rFonts w:ascii="黑体" w:hAnsi="黑体" w:eastAsia="黑体" w:cs="黑体"/>
        </w:rPr>
      </w:pPr>
      <w:r>
        <w:rPr>
          <w:rFonts w:hint="eastAsia" w:ascii="黑体" w:hAnsi="黑体" w:eastAsia="黑体" w:cs="黑体"/>
        </w:rPr>
        <w:t>隔震橡胶支座　elastomer seismic protection isolation for buildings　</w:t>
      </w:r>
    </w:p>
    <w:p w14:paraId="7C061A40">
      <w:pPr>
        <w:ind w:firstLine="420" w:firstLineChars="200"/>
      </w:pPr>
      <w:r>
        <w:rPr>
          <w:rFonts w:hint="eastAsia"/>
        </w:rPr>
        <w:t>由多层橡胶和多层钢板或其他材料交替叠置结合而成的隔震装置，包括天然橡胶支座(LNR)、铅芯橡胶支座(LRB)和高阻尼橡胶支座(HDR)。</w:t>
      </w:r>
    </w:p>
    <w:p w14:paraId="55B7D696">
      <w:pPr>
        <w:numPr>
          <w:ilvl w:val="0"/>
          <w:numId w:val="32"/>
        </w:numPr>
        <w:adjustRightInd/>
        <w:spacing w:beforeLines="100" w:afterLines="100" w:line="240" w:lineRule="auto"/>
        <w:ind w:left="0"/>
        <w:outlineLvl w:val="0"/>
        <w:rPr>
          <w:rFonts w:eastAsia="黑体"/>
          <w:szCs w:val="22"/>
        </w:rPr>
      </w:pPr>
      <w:bookmarkStart w:id="64" w:name="_Toc26481"/>
      <w:r>
        <w:rPr>
          <w:rFonts w:hint="eastAsia" w:eastAsia="黑体"/>
          <w:szCs w:val="22"/>
        </w:rPr>
        <w:t>材料</w:t>
      </w:r>
      <w:bookmarkEnd w:id="64"/>
    </w:p>
    <w:p w14:paraId="2940079C">
      <w:pPr>
        <w:pStyle w:val="235"/>
        <w:spacing w:before="156" w:after="156"/>
        <w:ind w:left="0"/>
        <w:jc w:val="both"/>
        <w:rPr>
          <w:rFonts w:ascii="Times New Roman" w:eastAsia="宋体"/>
          <w:szCs w:val="20"/>
        </w:rPr>
      </w:pPr>
      <w:r>
        <w:rPr>
          <w:rFonts w:hint="eastAsia" w:ascii="Times New Roman" w:eastAsia="宋体"/>
          <w:szCs w:val="20"/>
        </w:rPr>
        <w:t>装配式混凝土楼梯所用混凝土材料的力学性能指标和耐久性要求等应符合《混凝土结构通用规范》GB 55008、《混凝土结构设计规范》GB 50010的有关规定。</w:t>
      </w:r>
    </w:p>
    <w:p w14:paraId="554D0660">
      <w:pPr>
        <w:pStyle w:val="235"/>
        <w:spacing w:before="156" w:after="156"/>
        <w:ind w:left="0"/>
        <w:jc w:val="both"/>
        <w:rPr>
          <w:rFonts w:ascii="Times New Roman" w:eastAsia="宋体"/>
          <w:szCs w:val="20"/>
        </w:rPr>
      </w:pPr>
      <w:r>
        <w:rPr>
          <w:rFonts w:hint="eastAsia" w:ascii="Times New Roman" w:eastAsia="宋体"/>
          <w:szCs w:val="20"/>
        </w:rPr>
        <w:t>装配式钢筋混凝土楼梯的混凝土强度等级宜不低于C30，装配式预应力混凝土楼梯的混凝土强度等级应不低于C40。装配式梁式楼梯宜采用自密实混凝土。</w:t>
      </w:r>
    </w:p>
    <w:p w14:paraId="669B0D85">
      <w:pPr>
        <w:pStyle w:val="235"/>
        <w:spacing w:before="156" w:after="156"/>
        <w:ind w:left="0"/>
        <w:jc w:val="both"/>
        <w:rPr>
          <w:rFonts w:ascii="Times New Roman" w:eastAsia="宋体"/>
          <w:szCs w:val="20"/>
        </w:rPr>
      </w:pPr>
      <w:r>
        <w:rPr>
          <w:rFonts w:hint="eastAsia" w:ascii="Times New Roman" w:eastAsia="宋体"/>
          <w:szCs w:val="20"/>
        </w:rPr>
        <w:t>钢筋和钢材的力学性能和工艺性能等应符合《混凝土结构通用规范》GB 55008、《混凝土结构设计规范》GB 50010、《冷轧带肋钢筋混凝土结构技术规程》JGJ 95、《预应力混凝土用钢丝》GB/T 5223、《钢结构通用规范》GB 55006和《钢结构设计标准》GB 50017的有关规定。</w:t>
      </w:r>
    </w:p>
    <w:p w14:paraId="386488B9">
      <w:pPr>
        <w:pStyle w:val="235"/>
        <w:spacing w:before="156" w:after="156"/>
        <w:ind w:left="0"/>
        <w:jc w:val="both"/>
        <w:rPr>
          <w:rFonts w:ascii="Times New Roman" w:eastAsia="宋体"/>
          <w:szCs w:val="20"/>
        </w:rPr>
      </w:pPr>
      <w:r>
        <w:rPr>
          <w:rFonts w:hint="eastAsia" w:ascii="Times New Roman" w:eastAsia="宋体"/>
          <w:szCs w:val="20"/>
        </w:rPr>
        <w:t>装配式混凝土楼梯普通受力钢筋宜采用HRB400、HRB500钢筋，装配式预应力混凝土楼梯的预应力筋宜采用预应力钢丝。</w:t>
      </w:r>
    </w:p>
    <w:p w14:paraId="7991A1D2">
      <w:pPr>
        <w:pStyle w:val="235"/>
        <w:spacing w:before="156" w:after="156"/>
        <w:ind w:left="0"/>
        <w:jc w:val="both"/>
        <w:rPr>
          <w:rFonts w:ascii="Times New Roman" w:eastAsia="宋体"/>
          <w:szCs w:val="20"/>
        </w:rPr>
      </w:pPr>
      <w:r>
        <w:rPr>
          <w:rFonts w:hint="eastAsia" w:ascii="Times New Roman" w:eastAsia="宋体"/>
          <w:szCs w:val="20"/>
        </w:rPr>
        <w:t>预应力筋用锚具和连接器的性能应符合《预应力筋用锚具、夹具和连接器》GB/T 14370和《预应力筋用锚具、夹具和连接器应用技术规程》JGJ 85的规定。</w:t>
      </w:r>
    </w:p>
    <w:p w14:paraId="6DCA448F">
      <w:pPr>
        <w:pStyle w:val="235"/>
        <w:spacing w:before="156" w:after="156"/>
        <w:ind w:left="0"/>
        <w:jc w:val="both"/>
        <w:rPr>
          <w:rFonts w:ascii="Times New Roman" w:eastAsia="宋体"/>
          <w:szCs w:val="20"/>
        </w:rPr>
      </w:pPr>
      <w:r>
        <w:rPr>
          <w:rFonts w:hint="eastAsia" w:ascii="Times New Roman" w:eastAsia="宋体"/>
          <w:szCs w:val="20"/>
        </w:rPr>
        <w:t>预埋钢板宜采用Q235B碳素结构钢，钢材的性能指标应符合《碳素结构钢》GB/T 700的规定，钢板的防腐、防锈应符合《建筑钢结构防腐蚀技术规程》JGJ/T 251的规定。</w:t>
      </w:r>
    </w:p>
    <w:p w14:paraId="56707550">
      <w:pPr>
        <w:pStyle w:val="235"/>
        <w:spacing w:before="156" w:after="156"/>
        <w:ind w:left="0"/>
        <w:jc w:val="both"/>
        <w:rPr>
          <w:rFonts w:ascii="Times New Roman" w:eastAsia="宋体"/>
          <w:szCs w:val="20"/>
        </w:rPr>
      </w:pPr>
      <w:r>
        <w:rPr>
          <w:rFonts w:hint="eastAsia" w:ascii="Times New Roman" w:eastAsia="宋体"/>
          <w:szCs w:val="20"/>
        </w:rPr>
        <w:t>预埋件的锚筋、吊环等应符合《混凝土结构设计规范》GB 50010的有关规定，严禁采用冷加工钢筋。</w:t>
      </w:r>
    </w:p>
    <w:p w14:paraId="2394C5D2">
      <w:pPr>
        <w:pStyle w:val="235"/>
        <w:spacing w:before="156" w:after="156"/>
        <w:ind w:left="0"/>
        <w:jc w:val="both"/>
        <w:rPr>
          <w:rFonts w:ascii="Times New Roman" w:eastAsia="宋体"/>
          <w:szCs w:val="20"/>
        </w:rPr>
      </w:pPr>
      <w:r>
        <w:rPr>
          <w:rFonts w:hint="eastAsia" w:ascii="Times New Roman" w:eastAsia="宋体"/>
          <w:szCs w:val="20"/>
        </w:rPr>
        <w:t>装配式混凝土楼梯脱模、翻转、吊装用内埋式螺母或内埋式吊杆及配套的吊具，应符合相应产品标准和应用技术标准的规定。</w:t>
      </w:r>
    </w:p>
    <w:p w14:paraId="6D78D6D8">
      <w:pPr>
        <w:pStyle w:val="235"/>
        <w:spacing w:before="156" w:after="156"/>
        <w:ind w:left="0"/>
        <w:jc w:val="both"/>
        <w:rPr>
          <w:rFonts w:ascii="Times New Roman" w:eastAsia="宋体"/>
          <w:szCs w:val="20"/>
        </w:rPr>
      </w:pPr>
      <w:r>
        <w:rPr>
          <w:rFonts w:hint="eastAsia" w:ascii="Times New Roman" w:eastAsia="宋体"/>
          <w:szCs w:val="20"/>
        </w:rPr>
        <w:t>装配式混凝土楼梯端部接缝处密封胶应符合下列规定：</w:t>
      </w:r>
    </w:p>
    <w:p w14:paraId="57BE9C51">
      <w:pPr>
        <w:pStyle w:val="248"/>
        <w:numPr>
          <w:ilvl w:val="0"/>
          <w:numId w:val="33"/>
        </w:numPr>
        <w:ind w:left="735" w:leftChars="150" w:hanging="420" w:hangingChars="200"/>
      </w:pPr>
      <w:r>
        <w:rPr>
          <w:rFonts w:hint="eastAsia"/>
        </w:rPr>
        <w:t>密封胶应与混凝土具有相容性，以及规定的抗剪切和伸缩变形能力；密封胶</w:t>
      </w:r>
      <w:r>
        <w:rPr>
          <w:rFonts w:hint="eastAsia"/>
          <w:lang w:val="en-US" w:eastAsia="zh-CN"/>
        </w:rPr>
        <w:t>还</w:t>
      </w:r>
      <w:r>
        <w:rPr>
          <w:rFonts w:hint="eastAsia"/>
        </w:rPr>
        <w:t>应满足防霉、防水、防火、耐火等性能要求；</w:t>
      </w:r>
    </w:p>
    <w:p w14:paraId="4026A608">
      <w:pPr>
        <w:pStyle w:val="248"/>
        <w:numPr>
          <w:ilvl w:val="0"/>
          <w:numId w:val="33"/>
        </w:numPr>
        <w:ind w:left="735" w:leftChars="150" w:hanging="420" w:hangingChars="200"/>
      </w:pPr>
      <w:r>
        <w:rPr>
          <w:rFonts w:hint="eastAsia"/>
        </w:rPr>
        <w:t>硅酮、聚氨酯、聚硫建筑密封胶应分别符合《硅酮和改性硅酮建筑密封胶》GB/T 14683和《聚氨酯建筑密封胶》JC/T 482、《聚硫建筑密封胶》JC/T 483的规定。</w:t>
      </w:r>
    </w:p>
    <w:p w14:paraId="26AE9AB0">
      <w:pPr>
        <w:pStyle w:val="235"/>
        <w:spacing w:before="156" w:after="156"/>
        <w:ind w:left="0"/>
        <w:jc w:val="both"/>
        <w:rPr>
          <w:rFonts w:ascii="Times New Roman" w:eastAsia="宋体"/>
          <w:szCs w:val="20"/>
        </w:rPr>
      </w:pPr>
      <w:r>
        <w:rPr>
          <w:rFonts w:hint="eastAsia" w:ascii="Times New Roman" w:eastAsia="宋体"/>
          <w:szCs w:val="20"/>
        </w:rPr>
        <w:t>装配式混凝土楼梯安装孔的灌浆料、封堵砂浆的物理力学性能应满足《水泥基灌浆材料应用技术规范》GB/T 50448和《预拌砂浆应用技术规程》JGJ/T 223的有关规定。</w:t>
      </w:r>
    </w:p>
    <w:p w14:paraId="7B7AC8B9">
      <w:pPr>
        <w:pStyle w:val="235"/>
        <w:spacing w:before="156" w:after="156"/>
        <w:ind w:left="0"/>
        <w:jc w:val="both"/>
        <w:rPr>
          <w:rFonts w:ascii="Times New Roman" w:eastAsia="宋体"/>
          <w:szCs w:val="20"/>
        </w:rPr>
      </w:pPr>
      <w:r>
        <w:rPr>
          <w:rFonts w:hint="eastAsia" w:ascii="Times New Roman" w:eastAsia="宋体"/>
          <w:szCs w:val="20"/>
        </w:rPr>
        <w:t>装配式混凝土楼梯隔震橡胶支座的形状系数、外观质量、力学性能、尺寸偏差、钢板材质、橡胶物理机械性能、耐久性及相关性能应满足《建筑隔震设计标准》GB/T 51408和《建筑隔震橡胶支座》JG/T 118的有关规定。</w:t>
      </w:r>
    </w:p>
    <w:p w14:paraId="586B5983">
      <w:pPr>
        <w:numPr>
          <w:ilvl w:val="0"/>
          <w:numId w:val="32"/>
        </w:numPr>
        <w:adjustRightInd/>
        <w:spacing w:beforeLines="100" w:afterLines="100" w:line="240" w:lineRule="auto"/>
        <w:ind w:left="0"/>
        <w:outlineLvl w:val="0"/>
        <w:rPr>
          <w:rFonts w:eastAsia="黑体"/>
          <w:szCs w:val="22"/>
        </w:rPr>
      </w:pPr>
      <w:bookmarkStart w:id="65" w:name="_Toc17734"/>
      <w:r>
        <w:rPr>
          <w:rFonts w:hint="eastAsia" w:eastAsia="黑体"/>
          <w:szCs w:val="22"/>
        </w:rPr>
        <w:t>生产</w:t>
      </w:r>
      <w:r>
        <w:rPr>
          <w:rFonts w:hint="eastAsia" w:eastAsia="黑体"/>
          <w:szCs w:val="22"/>
          <w:lang w:eastAsia="zh-CN"/>
        </w:rPr>
        <w:t>、</w:t>
      </w:r>
      <w:r>
        <w:rPr>
          <w:rFonts w:hint="eastAsia" w:eastAsia="黑体"/>
          <w:szCs w:val="22"/>
        </w:rPr>
        <w:t>运输</w:t>
      </w:r>
      <w:r>
        <w:rPr>
          <w:rFonts w:hint="eastAsia" w:eastAsia="黑体"/>
          <w:szCs w:val="22"/>
          <w:lang w:val="en-US" w:eastAsia="zh-CN"/>
        </w:rPr>
        <w:t>与堆放</w:t>
      </w:r>
      <w:bookmarkEnd w:id="65"/>
    </w:p>
    <w:p w14:paraId="18671161">
      <w:pPr>
        <w:numPr>
          <w:ilvl w:val="1"/>
          <w:numId w:val="32"/>
        </w:numPr>
        <w:spacing w:beforeLines="50" w:afterLines="50"/>
        <w:outlineLvl w:val="1"/>
        <w:rPr>
          <w:rFonts w:eastAsia="黑体"/>
          <w:szCs w:val="22"/>
        </w:rPr>
      </w:pPr>
      <w:bookmarkStart w:id="66" w:name="_Toc30333"/>
      <w:bookmarkStart w:id="67" w:name="_Toc3355"/>
      <w:r>
        <w:rPr>
          <w:rFonts w:hint="eastAsia" w:eastAsia="黑体"/>
          <w:szCs w:val="22"/>
        </w:rPr>
        <w:t>一般规定</w:t>
      </w:r>
      <w:bookmarkEnd w:id="66"/>
      <w:bookmarkEnd w:id="67"/>
    </w:p>
    <w:p w14:paraId="0636F67A">
      <w:pPr>
        <w:pStyle w:val="235"/>
        <w:spacing w:before="156" w:after="156"/>
        <w:ind w:left="0"/>
        <w:jc w:val="both"/>
        <w:rPr>
          <w:rFonts w:ascii="Times New Roman" w:eastAsia="宋体"/>
          <w:szCs w:val="20"/>
        </w:rPr>
      </w:pPr>
      <w:r>
        <w:rPr>
          <w:rFonts w:hint="eastAsia" w:ascii="Times New Roman" w:eastAsia="宋体"/>
          <w:szCs w:val="20"/>
        </w:rPr>
        <w:t>装配式混凝土楼梯生产前，应由建设单位组织设计单位、生产企业、施工单位、监理单位进行设计文件交底和图纸会审。当设计文件深度不足以指导生产时，应根据批准的设计文件、拟定的生产工艺、运输吊装方案等编制构件加工详图。</w:t>
      </w:r>
    </w:p>
    <w:p w14:paraId="486FB117">
      <w:pPr>
        <w:pStyle w:val="235"/>
        <w:spacing w:before="156" w:after="156"/>
        <w:ind w:left="0"/>
        <w:jc w:val="both"/>
        <w:rPr>
          <w:rFonts w:ascii="Times New Roman" w:eastAsia="宋体"/>
          <w:szCs w:val="20"/>
        </w:rPr>
      </w:pPr>
      <w:r>
        <w:rPr>
          <w:rFonts w:hint="eastAsia" w:ascii="Times New Roman" w:eastAsia="宋体"/>
          <w:szCs w:val="20"/>
        </w:rPr>
        <w:t>装配式混凝土楼梯的原材料质量、钢筋力学性能、混凝土强度等均应按照国家现行有关标准进行检查和检验，并应具有生产操作规程和质量检验记录。</w:t>
      </w:r>
    </w:p>
    <w:p w14:paraId="62C23908">
      <w:pPr>
        <w:pStyle w:val="235"/>
        <w:spacing w:before="156" w:after="156"/>
        <w:ind w:left="0"/>
        <w:jc w:val="both"/>
        <w:rPr>
          <w:rFonts w:ascii="Times New Roman" w:eastAsia="宋体"/>
          <w:szCs w:val="20"/>
        </w:rPr>
      </w:pPr>
      <w:r>
        <w:rPr>
          <w:rFonts w:hint="eastAsia" w:ascii="Times New Roman" w:eastAsia="宋体"/>
          <w:szCs w:val="20"/>
        </w:rPr>
        <w:t>装配式混凝土楼梯生产的质量检验应按照模具、钢筋、混凝土、预应力、预制构件等检验进行。预制构件的质量评定应根据钢筋、混凝土、预应力、预制构件的试验、检验资料等项目进行。当上述各检验项目的质量均合格时，评定为合格产品。</w:t>
      </w:r>
    </w:p>
    <w:p w14:paraId="12ACE796">
      <w:pPr>
        <w:pStyle w:val="235"/>
        <w:spacing w:before="156" w:after="156"/>
        <w:ind w:left="0"/>
        <w:jc w:val="both"/>
        <w:rPr>
          <w:rFonts w:ascii="Times New Roman" w:eastAsia="宋体"/>
          <w:szCs w:val="20"/>
        </w:rPr>
      </w:pPr>
      <w:r>
        <w:rPr>
          <w:rFonts w:hint="eastAsia" w:ascii="Times New Roman" w:eastAsia="宋体"/>
          <w:szCs w:val="20"/>
        </w:rPr>
        <w:t>装配式混凝土楼梯经检查合格后，应设置表面标识。装配式混凝土楼梯进厂时，应出示质量证明文件。</w:t>
      </w:r>
    </w:p>
    <w:p w14:paraId="5E5A736F">
      <w:pPr>
        <w:pStyle w:val="235"/>
        <w:spacing w:before="156" w:after="156"/>
        <w:ind w:left="0"/>
        <w:jc w:val="both"/>
      </w:pPr>
      <w:r>
        <w:rPr>
          <w:rFonts w:hint="eastAsia" w:ascii="Times New Roman" w:eastAsia="宋体"/>
          <w:szCs w:val="20"/>
        </w:rPr>
        <w:t>装配式混凝土楼梯装车前应进行检查，吊具、专用运输架应完好、齐全；吊具与装配式混凝土楼梯规格应匹配，吊装时，不应错挂、漏挂。</w:t>
      </w:r>
    </w:p>
    <w:p w14:paraId="00FED170">
      <w:pPr>
        <w:pStyle w:val="235"/>
        <w:spacing w:before="156" w:after="156"/>
        <w:ind w:left="0"/>
        <w:jc w:val="both"/>
        <w:rPr>
          <w:rFonts w:ascii="Times New Roman" w:eastAsia="宋体"/>
          <w:szCs w:val="20"/>
        </w:rPr>
      </w:pPr>
      <w:r>
        <w:rPr>
          <w:rFonts w:hint="eastAsia" w:ascii="Times New Roman" w:eastAsia="宋体"/>
          <w:szCs w:val="20"/>
        </w:rPr>
        <w:t>装配式混凝土楼梯的质量检查与验收应符合国家现行有关标准的规定。</w:t>
      </w:r>
    </w:p>
    <w:p w14:paraId="1E18E1E2">
      <w:pPr>
        <w:numPr>
          <w:ilvl w:val="1"/>
          <w:numId w:val="32"/>
        </w:numPr>
        <w:spacing w:beforeLines="50" w:afterLines="50"/>
        <w:outlineLvl w:val="1"/>
        <w:rPr>
          <w:rFonts w:eastAsia="黑体"/>
          <w:szCs w:val="22"/>
        </w:rPr>
      </w:pPr>
      <w:bookmarkStart w:id="68" w:name="_Toc30994"/>
      <w:r>
        <w:rPr>
          <w:rFonts w:hint="eastAsia" w:eastAsia="黑体"/>
          <w:szCs w:val="22"/>
          <w:lang w:val="en-US" w:eastAsia="zh-CN"/>
        </w:rPr>
        <w:t>生产</w:t>
      </w:r>
      <w:bookmarkEnd w:id="68"/>
    </w:p>
    <w:p w14:paraId="36A598ED">
      <w:pPr>
        <w:pStyle w:val="235"/>
        <w:spacing w:before="156" w:after="156"/>
        <w:ind w:left="0"/>
        <w:jc w:val="both"/>
        <w:rPr>
          <w:rFonts w:ascii="Times New Roman" w:eastAsia="宋体"/>
          <w:szCs w:val="20"/>
        </w:rPr>
      </w:pPr>
      <w:r>
        <w:rPr>
          <w:rFonts w:hint="eastAsia" w:ascii="Times New Roman" w:eastAsia="宋体"/>
          <w:szCs w:val="20"/>
        </w:rPr>
        <w:t>模具配置方案应与装配式混凝土楼梯的类型、生产计划、生产工艺相适应。预制预应力混凝土楼梯模具应能满足各阶段作业荷载和制作工艺的要求。</w:t>
      </w:r>
    </w:p>
    <w:p w14:paraId="1A3E12FD">
      <w:pPr>
        <w:pStyle w:val="235"/>
        <w:spacing w:before="156" w:after="156"/>
        <w:ind w:left="0"/>
        <w:jc w:val="both"/>
        <w:rPr>
          <w:rFonts w:ascii="Times New Roman" w:eastAsia="宋体"/>
          <w:szCs w:val="20"/>
        </w:rPr>
      </w:pPr>
      <w:r>
        <w:rPr>
          <w:rFonts w:hint="eastAsia" w:ascii="Times New Roman" w:eastAsia="宋体"/>
          <w:szCs w:val="20"/>
        </w:rPr>
        <w:t>装配式混凝土楼梯模具的尺寸偏差和检验方法应符合表1的规定。</w:t>
      </w:r>
    </w:p>
    <w:p w14:paraId="50CB0F12">
      <w:pPr>
        <w:pStyle w:val="246"/>
      </w:pPr>
      <w:r>
        <w:rPr>
          <w:rFonts w:hint="eastAsia"/>
        </w:rPr>
        <w:t>表1　模具尺寸允许偏差和检验方法</w:t>
      </w:r>
    </w:p>
    <w:p w14:paraId="3A4CC203">
      <w:pPr>
        <w:spacing w:line="37" w:lineRule="exact"/>
      </w:pPr>
    </w:p>
    <w:tbl>
      <w:tblPr>
        <w:tblStyle w:val="251"/>
        <w:tblW w:w="50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1"/>
        <w:gridCol w:w="1332"/>
        <w:gridCol w:w="1051"/>
        <w:gridCol w:w="2017"/>
        <w:gridCol w:w="4357"/>
      </w:tblGrid>
      <w:tr w14:paraId="18B5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56E9671A">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项次</w:t>
            </w:r>
          </w:p>
        </w:tc>
        <w:tc>
          <w:tcPr>
            <w:tcW w:w="1265" w:type="pct"/>
            <w:gridSpan w:val="2"/>
            <w:vAlign w:val="center"/>
          </w:tcPr>
          <w:p w14:paraId="15443A76">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检验项目、内容</w:t>
            </w:r>
          </w:p>
        </w:tc>
        <w:tc>
          <w:tcPr>
            <w:tcW w:w="1071" w:type="pct"/>
            <w:vAlign w:val="center"/>
          </w:tcPr>
          <w:p w14:paraId="4AE1E9E4">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允许偏差(mm)</w:t>
            </w:r>
          </w:p>
        </w:tc>
        <w:tc>
          <w:tcPr>
            <w:tcW w:w="2313" w:type="pct"/>
            <w:vAlign w:val="center"/>
          </w:tcPr>
          <w:p w14:paraId="56C037BE">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检验方法</w:t>
            </w:r>
          </w:p>
        </w:tc>
      </w:tr>
      <w:tr w14:paraId="35F6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Merge w:val="restart"/>
            <w:tcBorders>
              <w:bottom w:val="nil"/>
            </w:tcBorders>
            <w:vAlign w:val="center"/>
          </w:tcPr>
          <w:p w14:paraId="011D0E5B">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707" w:type="pct"/>
            <w:vMerge w:val="restart"/>
            <w:tcBorders>
              <w:bottom w:val="nil"/>
            </w:tcBorders>
            <w:vAlign w:val="center"/>
          </w:tcPr>
          <w:p w14:paraId="37B9D1B2">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长度</w:t>
            </w:r>
          </w:p>
        </w:tc>
        <w:tc>
          <w:tcPr>
            <w:tcW w:w="558" w:type="pct"/>
            <w:vAlign w:val="center"/>
          </w:tcPr>
          <w:p w14:paraId="63FEC0F3">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≤6m</w:t>
            </w:r>
          </w:p>
        </w:tc>
        <w:tc>
          <w:tcPr>
            <w:tcW w:w="1071" w:type="pct"/>
            <w:vAlign w:val="center"/>
          </w:tcPr>
          <w:p w14:paraId="6F0F8D02">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-2</w:t>
            </w:r>
          </w:p>
        </w:tc>
        <w:tc>
          <w:tcPr>
            <w:tcW w:w="2313" w:type="pct"/>
            <w:vMerge w:val="restart"/>
            <w:tcBorders>
              <w:bottom w:val="nil"/>
            </w:tcBorders>
            <w:vAlign w:val="center"/>
          </w:tcPr>
          <w:p w14:paraId="0CA6AFDC">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用尺量两侧边长度，取其中偏差绝对值较大值</w:t>
            </w:r>
          </w:p>
        </w:tc>
      </w:tr>
      <w:tr w14:paraId="26CB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Merge w:val="continue"/>
            <w:tcBorders>
              <w:top w:val="nil"/>
            </w:tcBorders>
            <w:vAlign w:val="center"/>
          </w:tcPr>
          <w:p w14:paraId="6C976A62">
            <w:pPr>
              <w:pStyle w:val="244"/>
              <w:spacing w:line="240" w:lineRule="auto"/>
              <w:rPr>
                <w:rFonts w:ascii="Times New Roman" w:hAnsi="Times New Roman" w:cs="Times New Roman"/>
                <w:sz w:val="21"/>
                <w:szCs w:val="21"/>
                <w:lang w:eastAsia="zh-CN"/>
              </w:rPr>
            </w:pPr>
          </w:p>
        </w:tc>
        <w:tc>
          <w:tcPr>
            <w:tcW w:w="707" w:type="pct"/>
            <w:vMerge w:val="continue"/>
            <w:tcBorders>
              <w:top w:val="nil"/>
            </w:tcBorders>
            <w:vAlign w:val="center"/>
          </w:tcPr>
          <w:p w14:paraId="546DB41B">
            <w:pPr>
              <w:pStyle w:val="244"/>
              <w:spacing w:line="240" w:lineRule="auto"/>
              <w:rPr>
                <w:rFonts w:ascii="Times New Roman" w:hAnsi="Times New Roman" w:cs="Times New Roman"/>
                <w:sz w:val="21"/>
                <w:szCs w:val="21"/>
                <w:lang w:eastAsia="zh-CN"/>
              </w:rPr>
            </w:pPr>
          </w:p>
        </w:tc>
        <w:tc>
          <w:tcPr>
            <w:tcW w:w="558" w:type="pct"/>
            <w:vAlign w:val="center"/>
          </w:tcPr>
          <w:p w14:paraId="448D766C">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&gt;6m</w:t>
            </w:r>
          </w:p>
        </w:tc>
        <w:tc>
          <w:tcPr>
            <w:tcW w:w="1071" w:type="pct"/>
            <w:vAlign w:val="center"/>
          </w:tcPr>
          <w:p w14:paraId="56BD585A">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-4</w:t>
            </w:r>
          </w:p>
        </w:tc>
        <w:tc>
          <w:tcPr>
            <w:tcW w:w="2313" w:type="pct"/>
            <w:vMerge w:val="continue"/>
            <w:tcBorders>
              <w:top w:val="nil"/>
            </w:tcBorders>
            <w:vAlign w:val="center"/>
          </w:tcPr>
          <w:p w14:paraId="68FB7028">
            <w:pPr>
              <w:pStyle w:val="244"/>
              <w:spacing w:line="240" w:lineRule="auto"/>
              <w:rPr>
                <w:rFonts w:ascii="Times New Roman" w:hAnsi="Times New Roman" w:cs="Times New Roman"/>
                <w:sz w:val="21"/>
                <w:szCs w:val="21"/>
                <w:lang w:eastAsia="zh-CN"/>
              </w:rPr>
            </w:pPr>
          </w:p>
        </w:tc>
      </w:tr>
      <w:tr w14:paraId="2871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06BA22BB">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265" w:type="pct"/>
            <w:gridSpan w:val="2"/>
            <w:vAlign w:val="center"/>
          </w:tcPr>
          <w:p w14:paraId="0B7A1AF2">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宽度、高</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厚</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度</w:t>
            </w:r>
          </w:p>
        </w:tc>
        <w:tc>
          <w:tcPr>
            <w:tcW w:w="1071" w:type="pct"/>
            <w:vAlign w:val="center"/>
          </w:tcPr>
          <w:p w14:paraId="1D19A21C">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-4</w:t>
            </w:r>
          </w:p>
        </w:tc>
        <w:tc>
          <w:tcPr>
            <w:tcW w:w="2313" w:type="pct"/>
            <w:vAlign w:val="center"/>
          </w:tcPr>
          <w:p w14:paraId="674130FC">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用尺量两端，取其中偏差绝对值较大值</w:t>
            </w:r>
          </w:p>
        </w:tc>
      </w:tr>
      <w:tr w14:paraId="64196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778E8763">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265" w:type="pct"/>
            <w:gridSpan w:val="2"/>
            <w:vAlign w:val="center"/>
          </w:tcPr>
          <w:p w14:paraId="6EF3B2F2">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表面平整度</w:t>
            </w:r>
          </w:p>
        </w:tc>
        <w:tc>
          <w:tcPr>
            <w:tcW w:w="1071" w:type="pct"/>
            <w:vAlign w:val="center"/>
          </w:tcPr>
          <w:p w14:paraId="526E4A49">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313" w:type="pct"/>
            <w:vAlign w:val="center"/>
          </w:tcPr>
          <w:p w14:paraId="6E2B9EF4">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用靠尺和塞尺量</w:t>
            </w:r>
          </w:p>
        </w:tc>
      </w:tr>
      <w:tr w14:paraId="541D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79A9780F">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1265" w:type="pct"/>
            <w:gridSpan w:val="2"/>
            <w:vAlign w:val="center"/>
          </w:tcPr>
          <w:p w14:paraId="2A05DC54">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对角线差</w:t>
            </w:r>
          </w:p>
        </w:tc>
        <w:tc>
          <w:tcPr>
            <w:tcW w:w="1071" w:type="pct"/>
            <w:vAlign w:val="center"/>
          </w:tcPr>
          <w:p w14:paraId="537DB021">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313" w:type="pct"/>
            <w:vAlign w:val="center"/>
          </w:tcPr>
          <w:p w14:paraId="109A4DCF">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用尺量两对角线，计算差值</w:t>
            </w:r>
          </w:p>
        </w:tc>
      </w:tr>
      <w:tr w14:paraId="3C4D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2E2BA59A">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1265" w:type="pct"/>
            <w:gridSpan w:val="2"/>
            <w:vAlign w:val="center"/>
          </w:tcPr>
          <w:p w14:paraId="60C16481">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侧向弯曲</w:t>
            </w:r>
          </w:p>
        </w:tc>
        <w:tc>
          <w:tcPr>
            <w:tcW w:w="1071" w:type="pct"/>
            <w:vAlign w:val="center"/>
          </w:tcPr>
          <w:p w14:paraId="7C2F2A6C">
            <w:pPr>
              <w:pStyle w:val="244"/>
              <w:spacing w:line="240" w:lineRule="auto"/>
              <w:rPr>
                <w:rFonts w:ascii="Times New Roman" w:hAnsi="Times New Roman" w:cs="Times New Roman"/>
                <w:sz w:val="21"/>
                <w:szCs w:val="21"/>
                <w:lang w:eastAsia="zh-CN"/>
              </w:rPr>
            </w:pPr>
            <w:r>
              <w:rPr>
                <w:rFonts w:hint="eastAsia" w:ascii="Times New Roman" w:hAnsi="Times New Roman" w:cs="Times New Roman"/>
                <w:i/>
                <w:iCs/>
                <w:sz w:val="21"/>
                <w:szCs w:val="21"/>
                <w:lang w:val="en-US" w:eastAsia="zh-CN"/>
              </w:rPr>
              <w:t>l</w:t>
            </w:r>
            <w:r>
              <w:rPr>
                <w:rFonts w:ascii="Times New Roman" w:hAnsi="Times New Roman" w:cs="Times New Roman"/>
                <w:sz w:val="21"/>
                <w:szCs w:val="21"/>
                <w:lang w:eastAsia="zh-CN"/>
              </w:rPr>
              <w:t>/1500且≤5</w:t>
            </w:r>
          </w:p>
        </w:tc>
        <w:tc>
          <w:tcPr>
            <w:tcW w:w="2313" w:type="pct"/>
            <w:vAlign w:val="center"/>
          </w:tcPr>
          <w:p w14:paraId="1439D3D1">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拉线，用尺量侧向弯曲最大处</w:t>
            </w:r>
          </w:p>
        </w:tc>
      </w:tr>
      <w:tr w14:paraId="5900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450F2791">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6</w:t>
            </w:r>
          </w:p>
        </w:tc>
        <w:tc>
          <w:tcPr>
            <w:tcW w:w="1265" w:type="pct"/>
            <w:gridSpan w:val="2"/>
            <w:vAlign w:val="center"/>
          </w:tcPr>
          <w:p w14:paraId="5AAFD80B">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翘曲</w:t>
            </w:r>
          </w:p>
        </w:tc>
        <w:tc>
          <w:tcPr>
            <w:tcW w:w="1071" w:type="pct"/>
            <w:vAlign w:val="center"/>
          </w:tcPr>
          <w:p w14:paraId="17C001AF">
            <w:pPr>
              <w:pStyle w:val="244"/>
              <w:spacing w:line="240" w:lineRule="auto"/>
              <w:rPr>
                <w:rFonts w:ascii="Times New Roman" w:hAnsi="Times New Roman" w:cs="Times New Roman"/>
                <w:sz w:val="21"/>
                <w:szCs w:val="21"/>
                <w:lang w:eastAsia="zh-CN"/>
              </w:rPr>
            </w:pPr>
            <w:r>
              <w:rPr>
                <w:rFonts w:ascii="Times New Roman" w:hAnsi="Times New Roman" w:cs="Times New Roman"/>
                <w:i/>
                <w:iCs/>
                <w:sz w:val="21"/>
                <w:szCs w:val="21"/>
                <w:lang w:eastAsia="zh-CN"/>
              </w:rPr>
              <w:t>L</w:t>
            </w:r>
            <w:r>
              <w:rPr>
                <w:rFonts w:ascii="Times New Roman" w:hAnsi="Times New Roman" w:cs="Times New Roman"/>
                <w:sz w:val="21"/>
                <w:szCs w:val="21"/>
                <w:lang w:eastAsia="zh-CN"/>
              </w:rPr>
              <w:t>/1500</w:t>
            </w:r>
          </w:p>
        </w:tc>
        <w:tc>
          <w:tcPr>
            <w:tcW w:w="2313" w:type="pct"/>
            <w:vAlign w:val="center"/>
          </w:tcPr>
          <w:p w14:paraId="4F055220">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对角拉线，用尺量拉线交点间距离，其值的2倍为翘曲值</w:t>
            </w:r>
          </w:p>
        </w:tc>
      </w:tr>
      <w:tr w14:paraId="3DAB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1" w:type="pct"/>
            <w:vAlign w:val="center"/>
          </w:tcPr>
          <w:p w14:paraId="4E915D4A">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7</w:t>
            </w:r>
          </w:p>
        </w:tc>
        <w:tc>
          <w:tcPr>
            <w:tcW w:w="1265" w:type="pct"/>
            <w:gridSpan w:val="2"/>
            <w:vAlign w:val="center"/>
          </w:tcPr>
          <w:p w14:paraId="3F6EAFAB">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组装缝隙</w:t>
            </w:r>
          </w:p>
        </w:tc>
        <w:tc>
          <w:tcPr>
            <w:tcW w:w="1071" w:type="pct"/>
            <w:vAlign w:val="center"/>
          </w:tcPr>
          <w:p w14:paraId="135D33AC">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2313" w:type="pct"/>
            <w:vAlign w:val="center"/>
          </w:tcPr>
          <w:p w14:paraId="4D460757">
            <w:pPr>
              <w:pStyle w:val="244"/>
              <w:spacing w:line="240" w:lineRule="auto"/>
              <w:rPr>
                <w:rFonts w:ascii="Times New Roman" w:hAnsi="Times New Roman" w:cs="Times New Roman"/>
                <w:sz w:val="21"/>
                <w:szCs w:val="21"/>
                <w:lang w:eastAsia="zh-CN"/>
              </w:rPr>
            </w:pPr>
            <w:r>
              <w:rPr>
                <w:rFonts w:ascii="Times New Roman" w:hAnsi="Times New Roman" w:cs="Times New Roman"/>
                <w:sz w:val="21"/>
                <w:szCs w:val="21"/>
                <w:lang w:eastAsia="zh-CN"/>
              </w:rPr>
              <w:t>用塞尺量测，取最大值</w:t>
            </w:r>
          </w:p>
        </w:tc>
      </w:tr>
      <w:tr w14:paraId="1F892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00" w:type="pct"/>
            <w:gridSpan w:val="5"/>
            <w:vAlign w:val="center"/>
          </w:tcPr>
          <w:p w14:paraId="636C1F3E">
            <w:pPr>
              <w:pStyle w:val="235"/>
              <w:numPr>
                <w:ilvl w:val="0"/>
                <w:numId w:val="0"/>
              </w:numPr>
              <w:spacing w:before="156" w:after="156" w:line="240" w:lineRule="auto"/>
              <w:ind w:firstLine="420" w:firstLineChars="200"/>
              <w:jc w:val="both"/>
              <w:rPr>
                <w:rFonts w:ascii="Times New Roman" w:eastAsia="宋体"/>
                <w:szCs w:val="20"/>
              </w:rPr>
            </w:pPr>
            <w:r>
              <w:rPr>
                <w:rFonts w:hint="eastAsia" w:ascii="Times New Roman"/>
              </w:rPr>
              <w:t>注</w:t>
            </w:r>
            <w:r>
              <w:rPr>
                <w:rFonts w:hint="eastAsia" w:ascii="宋体" w:hAnsi="宋体" w:eastAsia="宋体"/>
              </w:rPr>
              <w:t>：</w:t>
            </w:r>
            <w:r>
              <w:rPr>
                <w:rFonts w:hint="eastAsia" w:ascii="宋体" w:hAnsi="宋体" w:eastAsia="宋体"/>
                <w:i/>
                <w:iCs/>
              </w:rPr>
              <w:t>l</w:t>
            </w:r>
            <w:r>
              <w:rPr>
                <w:rFonts w:hint="eastAsia" w:ascii="宋体" w:hAnsi="宋体" w:eastAsia="宋体"/>
              </w:rPr>
              <w:t>为模具与混凝土接触面中最长边的尺寸。</w:t>
            </w:r>
          </w:p>
        </w:tc>
      </w:tr>
    </w:tbl>
    <w:p w14:paraId="7BD64F1C">
      <w:pPr>
        <w:pStyle w:val="235"/>
        <w:spacing w:before="156" w:after="156"/>
        <w:ind w:left="0"/>
        <w:jc w:val="both"/>
        <w:rPr>
          <w:rFonts w:ascii="Times New Roman" w:eastAsia="宋体"/>
          <w:szCs w:val="20"/>
        </w:rPr>
      </w:pPr>
      <w:r>
        <w:rPr>
          <w:rFonts w:hint="eastAsia" w:ascii="Times New Roman" w:eastAsia="宋体"/>
          <w:szCs w:val="20"/>
        </w:rPr>
        <w:t>装配式混凝土楼梯的预埋件和预留孔洞宜通过模具进行定位，并安装牢固，其安装偏差应符合表2的规定。</w:t>
      </w:r>
    </w:p>
    <w:p w14:paraId="622C00B4">
      <w:pPr>
        <w:pStyle w:val="246"/>
      </w:pPr>
      <w:r>
        <w:rPr>
          <w:rFonts w:hint="eastAsia"/>
        </w:rPr>
        <w:t>表2　模具上预埋件、预留孔洞安装允许偏差</w:t>
      </w:r>
    </w:p>
    <w:tbl>
      <w:tblPr>
        <w:tblStyle w:val="251"/>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3"/>
        <w:gridCol w:w="1115"/>
        <w:gridCol w:w="1693"/>
        <w:gridCol w:w="1573"/>
        <w:gridCol w:w="4347"/>
      </w:tblGrid>
      <w:tr w14:paraId="7460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348" w:type="pct"/>
            <w:vAlign w:val="center"/>
          </w:tcPr>
          <w:p w14:paraId="59DB907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项次</w:t>
            </w:r>
          </w:p>
        </w:tc>
        <w:tc>
          <w:tcPr>
            <w:tcW w:w="1496" w:type="pct"/>
            <w:gridSpan w:val="2"/>
            <w:vAlign w:val="center"/>
          </w:tcPr>
          <w:p w14:paraId="34A5F08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检验项目、内容</w:t>
            </w:r>
          </w:p>
        </w:tc>
        <w:tc>
          <w:tcPr>
            <w:tcW w:w="838" w:type="pct"/>
            <w:vAlign w:val="center"/>
          </w:tcPr>
          <w:p w14:paraId="7FF435E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允许偏差(mm)</w:t>
            </w:r>
          </w:p>
        </w:tc>
        <w:tc>
          <w:tcPr>
            <w:tcW w:w="2316" w:type="pct"/>
            <w:vAlign w:val="center"/>
          </w:tcPr>
          <w:p w14:paraId="13E7B07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检验方法</w:t>
            </w:r>
          </w:p>
        </w:tc>
      </w:tr>
      <w:tr w14:paraId="5A17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restart"/>
            <w:tcBorders>
              <w:bottom w:val="nil"/>
            </w:tcBorders>
            <w:vAlign w:val="center"/>
          </w:tcPr>
          <w:p w14:paraId="6B8E04A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594" w:type="pct"/>
            <w:vMerge w:val="restart"/>
            <w:tcBorders>
              <w:bottom w:val="nil"/>
            </w:tcBorders>
            <w:vAlign w:val="center"/>
          </w:tcPr>
          <w:p w14:paraId="450551F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预埋钢板、预埋组件</w:t>
            </w:r>
          </w:p>
        </w:tc>
        <w:tc>
          <w:tcPr>
            <w:tcW w:w="901" w:type="pct"/>
            <w:vAlign w:val="center"/>
          </w:tcPr>
          <w:p w14:paraId="4D8139A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838" w:type="pct"/>
            <w:vAlign w:val="center"/>
          </w:tcPr>
          <w:p w14:paraId="4C4BB15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316" w:type="pct"/>
            <w:vAlign w:val="center"/>
          </w:tcPr>
          <w:p w14:paraId="5A5F4FE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用尺量测纵横两个方向的中心线位置，取较大值</w:t>
            </w:r>
          </w:p>
        </w:tc>
      </w:tr>
      <w:tr w14:paraId="1576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continue"/>
            <w:tcBorders>
              <w:top w:val="nil"/>
            </w:tcBorders>
            <w:vAlign w:val="center"/>
          </w:tcPr>
          <w:p w14:paraId="5C67A03E">
            <w:pPr>
              <w:pStyle w:val="244"/>
              <w:rPr>
                <w:rFonts w:ascii="Times New Roman" w:hAnsi="Times New Roman" w:cs="Times New Roman"/>
                <w:sz w:val="21"/>
                <w:szCs w:val="21"/>
                <w:lang w:eastAsia="zh-CN"/>
              </w:rPr>
            </w:pPr>
          </w:p>
        </w:tc>
        <w:tc>
          <w:tcPr>
            <w:tcW w:w="594" w:type="pct"/>
            <w:vMerge w:val="continue"/>
            <w:tcBorders>
              <w:top w:val="nil"/>
            </w:tcBorders>
            <w:vAlign w:val="center"/>
          </w:tcPr>
          <w:p w14:paraId="07ED0099">
            <w:pPr>
              <w:pStyle w:val="244"/>
              <w:rPr>
                <w:rFonts w:ascii="Times New Roman" w:hAnsi="Times New Roman" w:cs="Times New Roman"/>
                <w:sz w:val="21"/>
                <w:szCs w:val="21"/>
                <w:lang w:eastAsia="zh-CN"/>
              </w:rPr>
            </w:pPr>
          </w:p>
        </w:tc>
        <w:tc>
          <w:tcPr>
            <w:tcW w:w="901" w:type="pct"/>
            <w:vAlign w:val="center"/>
          </w:tcPr>
          <w:p w14:paraId="2654CB1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平面高差</w:t>
            </w:r>
          </w:p>
        </w:tc>
        <w:tc>
          <w:tcPr>
            <w:tcW w:w="838" w:type="pct"/>
            <w:vAlign w:val="center"/>
          </w:tcPr>
          <w:p w14:paraId="2D5A7E1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316" w:type="pct"/>
            <w:vAlign w:val="center"/>
          </w:tcPr>
          <w:p w14:paraId="0A8A751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钢直尺和塞尺检查</w:t>
            </w:r>
          </w:p>
        </w:tc>
      </w:tr>
      <w:tr w14:paraId="1F50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restart"/>
            <w:tcBorders>
              <w:bottom w:val="nil"/>
            </w:tcBorders>
            <w:vAlign w:val="center"/>
          </w:tcPr>
          <w:p w14:paraId="5A199F5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594" w:type="pct"/>
            <w:vMerge w:val="restart"/>
            <w:tcBorders>
              <w:bottom w:val="nil"/>
            </w:tcBorders>
            <w:vAlign w:val="center"/>
          </w:tcPr>
          <w:p w14:paraId="3CA415C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预留孔、洞</w:t>
            </w:r>
          </w:p>
        </w:tc>
        <w:tc>
          <w:tcPr>
            <w:tcW w:w="901" w:type="pct"/>
            <w:vAlign w:val="center"/>
          </w:tcPr>
          <w:p w14:paraId="47D4793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838" w:type="pct"/>
            <w:vAlign w:val="center"/>
          </w:tcPr>
          <w:p w14:paraId="2F90AF2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316" w:type="pct"/>
            <w:vAlign w:val="center"/>
          </w:tcPr>
          <w:p w14:paraId="0EC4179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用尺量测纵横两个方向的中心线位置，取较大值</w:t>
            </w:r>
          </w:p>
        </w:tc>
      </w:tr>
      <w:tr w14:paraId="0DE1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continue"/>
            <w:tcBorders>
              <w:top w:val="nil"/>
            </w:tcBorders>
            <w:vAlign w:val="center"/>
          </w:tcPr>
          <w:p w14:paraId="6B3353CC">
            <w:pPr>
              <w:pStyle w:val="244"/>
              <w:rPr>
                <w:rFonts w:ascii="Times New Roman" w:hAnsi="Times New Roman" w:cs="Times New Roman"/>
                <w:sz w:val="21"/>
                <w:szCs w:val="21"/>
                <w:lang w:eastAsia="zh-CN"/>
              </w:rPr>
            </w:pPr>
          </w:p>
        </w:tc>
        <w:tc>
          <w:tcPr>
            <w:tcW w:w="594" w:type="pct"/>
            <w:vMerge w:val="continue"/>
            <w:tcBorders>
              <w:top w:val="nil"/>
            </w:tcBorders>
            <w:vAlign w:val="center"/>
          </w:tcPr>
          <w:p w14:paraId="19AD451F">
            <w:pPr>
              <w:pStyle w:val="244"/>
              <w:rPr>
                <w:rFonts w:ascii="Times New Roman" w:hAnsi="Times New Roman" w:cs="Times New Roman"/>
                <w:sz w:val="21"/>
                <w:szCs w:val="21"/>
                <w:lang w:eastAsia="zh-CN"/>
              </w:rPr>
            </w:pPr>
          </w:p>
        </w:tc>
        <w:tc>
          <w:tcPr>
            <w:tcW w:w="901" w:type="pct"/>
            <w:vAlign w:val="center"/>
          </w:tcPr>
          <w:p w14:paraId="71F3523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尺寸</w:t>
            </w:r>
          </w:p>
        </w:tc>
        <w:tc>
          <w:tcPr>
            <w:tcW w:w="838" w:type="pct"/>
            <w:vAlign w:val="center"/>
          </w:tcPr>
          <w:p w14:paraId="1C8BBCA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0</w:t>
            </w:r>
          </w:p>
        </w:tc>
        <w:tc>
          <w:tcPr>
            <w:tcW w:w="2316" w:type="pct"/>
            <w:vAlign w:val="center"/>
          </w:tcPr>
          <w:p w14:paraId="378C0FF7">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用尺量测纵横两个方向尺寸，取较大值</w:t>
            </w:r>
          </w:p>
        </w:tc>
      </w:tr>
      <w:tr w14:paraId="701F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restart"/>
            <w:tcBorders>
              <w:bottom w:val="nil"/>
            </w:tcBorders>
            <w:vAlign w:val="center"/>
          </w:tcPr>
          <w:p w14:paraId="0252998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594" w:type="pct"/>
            <w:vMerge w:val="restart"/>
            <w:tcBorders>
              <w:bottom w:val="nil"/>
            </w:tcBorders>
            <w:vAlign w:val="center"/>
          </w:tcPr>
          <w:p w14:paraId="43EEA89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预埋螺栓</w:t>
            </w:r>
          </w:p>
        </w:tc>
        <w:tc>
          <w:tcPr>
            <w:tcW w:w="901" w:type="pct"/>
            <w:vAlign w:val="center"/>
          </w:tcPr>
          <w:p w14:paraId="1D85967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838" w:type="pct"/>
            <w:vAlign w:val="center"/>
          </w:tcPr>
          <w:p w14:paraId="46243AD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316" w:type="pct"/>
            <w:vAlign w:val="center"/>
          </w:tcPr>
          <w:p w14:paraId="03A6076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用尺量测纵横两个方向的中心线位置，取较大值</w:t>
            </w:r>
          </w:p>
        </w:tc>
      </w:tr>
      <w:tr w14:paraId="1FEA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continue"/>
            <w:tcBorders>
              <w:top w:val="nil"/>
            </w:tcBorders>
            <w:vAlign w:val="center"/>
          </w:tcPr>
          <w:p w14:paraId="3C1D5D49">
            <w:pPr>
              <w:pStyle w:val="244"/>
              <w:rPr>
                <w:rFonts w:ascii="Times New Roman" w:hAnsi="Times New Roman" w:cs="Times New Roman"/>
                <w:sz w:val="21"/>
                <w:szCs w:val="21"/>
                <w:lang w:eastAsia="zh-CN"/>
              </w:rPr>
            </w:pPr>
          </w:p>
        </w:tc>
        <w:tc>
          <w:tcPr>
            <w:tcW w:w="594" w:type="pct"/>
            <w:vMerge w:val="continue"/>
            <w:tcBorders>
              <w:top w:val="nil"/>
            </w:tcBorders>
            <w:vAlign w:val="center"/>
          </w:tcPr>
          <w:p w14:paraId="1DFDFE78">
            <w:pPr>
              <w:pStyle w:val="244"/>
              <w:rPr>
                <w:rFonts w:ascii="Times New Roman" w:hAnsi="Times New Roman" w:cs="Times New Roman"/>
                <w:sz w:val="21"/>
                <w:szCs w:val="21"/>
                <w:lang w:eastAsia="zh-CN"/>
              </w:rPr>
            </w:pPr>
          </w:p>
        </w:tc>
        <w:tc>
          <w:tcPr>
            <w:tcW w:w="901" w:type="pct"/>
            <w:vAlign w:val="center"/>
          </w:tcPr>
          <w:p w14:paraId="3E15CE3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外露长度</w:t>
            </w:r>
          </w:p>
        </w:tc>
        <w:tc>
          <w:tcPr>
            <w:tcW w:w="838" w:type="pct"/>
            <w:vAlign w:val="center"/>
          </w:tcPr>
          <w:p w14:paraId="54B8960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0</w:t>
            </w:r>
          </w:p>
        </w:tc>
        <w:tc>
          <w:tcPr>
            <w:tcW w:w="2316" w:type="pct"/>
            <w:vAlign w:val="center"/>
          </w:tcPr>
          <w:p w14:paraId="08750CD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w:t>
            </w:r>
          </w:p>
        </w:tc>
      </w:tr>
      <w:tr w14:paraId="3989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restart"/>
            <w:tcBorders>
              <w:bottom w:val="nil"/>
            </w:tcBorders>
            <w:vAlign w:val="center"/>
          </w:tcPr>
          <w:p w14:paraId="45B94C8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594" w:type="pct"/>
            <w:vMerge w:val="restart"/>
            <w:tcBorders>
              <w:bottom w:val="nil"/>
            </w:tcBorders>
            <w:vAlign w:val="center"/>
          </w:tcPr>
          <w:p w14:paraId="3BEACC0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预埋螺母</w:t>
            </w:r>
          </w:p>
        </w:tc>
        <w:tc>
          <w:tcPr>
            <w:tcW w:w="901" w:type="pct"/>
            <w:vAlign w:val="center"/>
          </w:tcPr>
          <w:p w14:paraId="308FB55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838" w:type="pct"/>
            <w:vAlign w:val="center"/>
          </w:tcPr>
          <w:p w14:paraId="0816BB5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316" w:type="pct"/>
            <w:vAlign w:val="center"/>
          </w:tcPr>
          <w:p w14:paraId="03D939D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用尺量测纵横两个方向的中心线位置，取较大值</w:t>
            </w:r>
          </w:p>
        </w:tc>
      </w:tr>
      <w:tr w14:paraId="54EC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continue"/>
            <w:tcBorders>
              <w:top w:val="nil"/>
            </w:tcBorders>
            <w:vAlign w:val="center"/>
          </w:tcPr>
          <w:p w14:paraId="1AAAA6BA">
            <w:pPr>
              <w:pStyle w:val="244"/>
              <w:rPr>
                <w:rFonts w:ascii="Times New Roman" w:hAnsi="Times New Roman" w:cs="Times New Roman"/>
                <w:sz w:val="21"/>
                <w:szCs w:val="21"/>
                <w:lang w:eastAsia="zh-CN"/>
              </w:rPr>
            </w:pPr>
          </w:p>
        </w:tc>
        <w:tc>
          <w:tcPr>
            <w:tcW w:w="594" w:type="pct"/>
            <w:vMerge w:val="continue"/>
            <w:tcBorders>
              <w:top w:val="nil"/>
            </w:tcBorders>
            <w:vAlign w:val="center"/>
          </w:tcPr>
          <w:p w14:paraId="5F980308">
            <w:pPr>
              <w:pStyle w:val="244"/>
              <w:rPr>
                <w:rFonts w:ascii="Times New Roman" w:hAnsi="Times New Roman" w:cs="Times New Roman"/>
                <w:sz w:val="21"/>
                <w:szCs w:val="21"/>
                <w:lang w:eastAsia="zh-CN"/>
              </w:rPr>
            </w:pPr>
          </w:p>
        </w:tc>
        <w:tc>
          <w:tcPr>
            <w:tcW w:w="901" w:type="pct"/>
            <w:vAlign w:val="center"/>
          </w:tcPr>
          <w:p w14:paraId="0947A8A7">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平面高差</w:t>
            </w:r>
          </w:p>
        </w:tc>
        <w:tc>
          <w:tcPr>
            <w:tcW w:w="838" w:type="pct"/>
            <w:vAlign w:val="center"/>
          </w:tcPr>
          <w:p w14:paraId="5A5525D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2316" w:type="pct"/>
            <w:vAlign w:val="center"/>
          </w:tcPr>
          <w:p w14:paraId="7E04C24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钢直尺和塞尺检查</w:t>
            </w:r>
          </w:p>
        </w:tc>
      </w:tr>
      <w:tr w14:paraId="45EF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restart"/>
            <w:tcBorders>
              <w:bottom w:val="nil"/>
            </w:tcBorders>
            <w:vAlign w:val="center"/>
          </w:tcPr>
          <w:p w14:paraId="6AC08C9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594" w:type="pct"/>
            <w:vMerge w:val="restart"/>
            <w:tcBorders>
              <w:bottom w:val="nil"/>
            </w:tcBorders>
            <w:vAlign w:val="center"/>
          </w:tcPr>
          <w:p w14:paraId="00BDA40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吊环</w:t>
            </w:r>
          </w:p>
        </w:tc>
        <w:tc>
          <w:tcPr>
            <w:tcW w:w="901" w:type="pct"/>
            <w:vAlign w:val="center"/>
          </w:tcPr>
          <w:p w14:paraId="34871E6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838" w:type="pct"/>
            <w:vAlign w:val="center"/>
          </w:tcPr>
          <w:p w14:paraId="2A3A81D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316" w:type="pct"/>
            <w:vAlign w:val="center"/>
          </w:tcPr>
          <w:p w14:paraId="1E0E215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用尺量测纵横两个方向的中心线位置，取较大值</w:t>
            </w:r>
          </w:p>
        </w:tc>
      </w:tr>
      <w:tr w14:paraId="780E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8" w:type="pct"/>
            <w:vMerge w:val="continue"/>
            <w:tcBorders>
              <w:top w:val="nil"/>
            </w:tcBorders>
            <w:vAlign w:val="center"/>
          </w:tcPr>
          <w:p w14:paraId="2196552A">
            <w:pPr>
              <w:pStyle w:val="244"/>
              <w:rPr>
                <w:rFonts w:ascii="Times New Roman" w:hAnsi="Times New Roman" w:cs="Times New Roman"/>
                <w:sz w:val="21"/>
                <w:szCs w:val="21"/>
                <w:lang w:eastAsia="zh-CN"/>
              </w:rPr>
            </w:pPr>
          </w:p>
        </w:tc>
        <w:tc>
          <w:tcPr>
            <w:tcW w:w="594" w:type="pct"/>
            <w:vMerge w:val="continue"/>
            <w:tcBorders>
              <w:top w:val="nil"/>
            </w:tcBorders>
            <w:vAlign w:val="center"/>
          </w:tcPr>
          <w:p w14:paraId="02C752C8">
            <w:pPr>
              <w:pStyle w:val="244"/>
              <w:rPr>
                <w:rFonts w:ascii="Times New Roman" w:hAnsi="Times New Roman" w:cs="Times New Roman"/>
                <w:sz w:val="21"/>
                <w:szCs w:val="21"/>
                <w:lang w:eastAsia="zh-CN"/>
              </w:rPr>
            </w:pPr>
          </w:p>
        </w:tc>
        <w:tc>
          <w:tcPr>
            <w:tcW w:w="901" w:type="pct"/>
            <w:vAlign w:val="center"/>
          </w:tcPr>
          <w:p w14:paraId="2BA6576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外露长度</w:t>
            </w:r>
          </w:p>
        </w:tc>
        <w:tc>
          <w:tcPr>
            <w:tcW w:w="838" w:type="pct"/>
            <w:vAlign w:val="center"/>
          </w:tcPr>
          <w:p w14:paraId="5A2E19D6">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-5</w:t>
            </w:r>
          </w:p>
        </w:tc>
        <w:tc>
          <w:tcPr>
            <w:tcW w:w="2316" w:type="pct"/>
            <w:vAlign w:val="center"/>
          </w:tcPr>
          <w:p w14:paraId="48CF1B1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w:t>
            </w:r>
          </w:p>
        </w:tc>
      </w:tr>
    </w:tbl>
    <w:p w14:paraId="67721CD9">
      <w:pPr>
        <w:pStyle w:val="235"/>
        <w:spacing w:before="156" w:after="156"/>
        <w:ind w:left="0"/>
        <w:jc w:val="both"/>
        <w:rPr>
          <w:rFonts w:ascii="Times New Roman" w:eastAsia="宋体"/>
          <w:szCs w:val="20"/>
        </w:rPr>
      </w:pPr>
      <w:r>
        <w:rPr>
          <w:rFonts w:hint="eastAsia" w:ascii="Times New Roman" w:eastAsia="宋体"/>
          <w:szCs w:val="20"/>
        </w:rPr>
        <w:t>钢筋应安装牢固、定位准确，入模后的钢筋发生变形、歪斜应及时扶正修理，并应采取措施保证钢筋的混凝土保护层厚度符合设计要求。严禁在入模后的钢筋上踩踏或行走，不得在钢筋上放置杂物。</w:t>
      </w:r>
    </w:p>
    <w:p w14:paraId="6E257C73">
      <w:pPr>
        <w:pStyle w:val="235"/>
        <w:spacing w:before="156" w:after="156"/>
        <w:ind w:left="0"/>
        <w:jc w:val="both"/>
        <w:rPr>
          <w:rFonts w:ascii="Times New Roman" w:eastAsia="宋体"/>
          <w:szCs w:val="20"/>
        </w:rPr>
      </w:pPr>
      <w:r>
        <w:rPr>
          <w:rFonts w:hint="eastAsia" w:ascii="Times New Roman" w:eastAsia="宋体"/>
          <w:szCs w:val="20"/>
        </w:rPr>
        <w:t>预埋件加工允许偏差应符合表3的规定。</w:t>
      </w:r>
    </w:p>
    <w:p w14:paraId="0E53CA66">
      <w:pPr>
        <w:pStyle w:val="246"/>
      </w:pPr>
      <w:r>
        <w:rPr>
          <w:rFonts w:hint="eastAsia"/>
        </w:rPr>
        <w:t>表3　预埋件加工允许偏差和检验方法</w:t>
      </w:r>
    </w:p>
    <w:p w14:paraId="1F80FBD5">
      <w:pPr>
        <w:spacing w:line="41" w:lineRule="exact"/>
      </w:pPr>
    </w:p>
    <w:tbl>
      <w:tblPr>
        <w:tblStyle w:val="25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5"/>
        <w:gridCol w:w="1590"/>
        <w:gridCol w:w="1826"/>
        <w:gridCol w:w="2120"/>
        <w:gridCol w:w="2919"/>
      </w:tblGrid>
      <w:tr w14:paraId="0982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83" w:type="pct"/>
            <w:vAlign w:val="center"/>
          </w:tcPr>
          <w:p w14:paraId="6CDF30B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项次</w:t>
            </w:r>
          </w:p>
        </w:tc>
        <w:tc>
          <w:tcPr>
            <w:tcW w:w="1824" w:type="pct"/>
            <w:gridSpan w:val="2"/>
            <w:vAlign w:val="center"/>
          </w:tcPr>
          <w:p w14:paraId="3AFAA39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项目</w:t>
            </w:r>
          </w:p>
        </w:tc>
        <w:tc>
          <w:tcPr>
            <w:tcW w:w="1132" w:type="pct"/>
            <w:vAlign w:val="center"/>
          </w:tcPr>
          <w:p w14:paraId="360E89F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允许偏差(mm)</w:t>
            </w:r>
          </w:p>
        </w:tc>
        <w:tc>
          <w:tcPr>
            <w:tcW w:w="1558" w:type="pct"/>
            <w:vAlign w:val="center"/>
          </w:tcPr>
          <w:p w14:paraId="0F0956C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检验方法</w:t>
            </w:r>
          </w:p>
        </w:tc>
      </w:tr>
      <w:tr w14:paraId="35E8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83" w:type="pct"/>
            <w:vAlign w:val="center"/>
          </w:tcPr>
          <w:p w14:paraId="3CACF1A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824" w:type="pct"/>
            <w:gridSpan w:val="2"/>
            <w:vAlign w:val="center"/>
          </w:tcPr>
          <w:p w14:paraId="21FBC15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预埋件锚板的边长</w:t>
            </w:r>
          </w:p>
        </w:tc>
        <w:tc>
          <w:tcPr>
            <w:tcW w:w="1132" w:type="pct"/>
            <w:vAlign w:val="center"/>
          </w:tcPr>
          <w:p w14:paraId="54D275B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-5</w:t>
            </w:r>
          </w:p>
        </w:tc>
        <w:tc>
          <w:tcPr>
            <w:tcW w:w="1558" w:type="pct"/>
            <w:vAlign w:val="center"/>
          </w:tcPr>
          <w:p w14:paraId="3E797B8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用钢尺量测</w:t>
            </w:r>
          </w:p>
        </w:tc>
      </w:tr>
      <w:tr w14:paraId="2A31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83" w:type="pct"/>
            <w:vAlign w:val="center"/>
          </w:tcPr>
          <w:p w14:paraId="788634F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824" w:type="pct"/>
            <w:gridSpan w:val="2"/>
            <w:vAlign w:val="center"/>
          </w:tcPr>
          <w:p w14:paraId="16ECD3C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预埋件锚板的平整度</w:t>
            </w:r>
          </w:p>
        </w:tc>
        <w:tc>
          <w:tcPr>
            <w:tcW w:w="1132" w:type="pct"/>
            <w:vAlign w:val="center"/>
          </w:tcPr>
          <w:p w14:paraId="1A01D4F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558" w:type="pct"/>
            <w:vAlign w:val="center"/>
          </w:tcPr>
          <w:p w14:paraId="072B795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用直尺和塞尺量测</w:t>
            </w:r>
          </w:p>
        </w:tc>
      </w:tr>
      <w:tr w14:paraId="498F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83" w:type="pct"/>
            <w:vMerge w:val="restart"/>
            <w:tcBorders>
              <w:bottom w:val="nil"/>
            </w:tcBorders>
            <w:vAlign w:val="center"/>
          </w:tcPr>
          <w:p w14:paraId="292FC7B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849" w:type="pct"/>
            <w:vMerge w:val="restart"/>
            <w:tcBorders>
              <w:bottom w:val="nil"/>
            </w:tcBorders>
            <w:vAlign w:val="center"/>
          </w:tcPr>
          <w:p w14:paraId="7683118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锚筋</w:t>
            </w:r>
          </w:p>
        </w:tc>
        <w:tc>
          <w:tcPr>
            <w:tcW w:w="975" w:type="pct"/>
            <w:vAlign w:val="center"/>
          </w:tcPr>
          <w:p w14:paraId="28F406B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长度</w:t>
            </w:r>
          </w:p>
        </w:tc>
        <w:tc>
          <w:tcPr>
            <w:tcW w:w="1132" w:type="pct"/>
            <w:vAlign w:val="center"/>
          </w:tcPr>
          <w:p w14:paraId="7B09BEA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-5</w:t>
            </w:r>
          </w:p>
        </w:tc>
        <w:tc>
          <w:tcPr>
            <w:tcW w:w="1558" w:type="pct"/>
            <w:vAlign w:val="center"/>
          </w:tcPr>
          <w:p w14:paraId="3F3CC72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用钢尺量测</w:t>
            </w:r>
          </w:p>
        </w:tc>
      </w:tr>
      <w:tr w14:paraId="33B2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83" w:type="pct"/>
            <w:vMerge w:val="continue"/>
            <w:tcBorders>
              <w:top w:val="nil"/>
            </w:tcBorders>
            <w:vAlign w:val="center"/>
          </w:tcPr>
          <w:p w14:paraId="0F7DF0B9">
            <w:pPr>
              <w:pStyle w:val="244"/>
              <w:rPr>
                <w:rFonts w:ascii="Times New Roman" w:hAnsi="Times New Roman" w:cs="Times New Roman"/>
                <w:sz w:val="21"/>
                <w:szCs w:val="21"/>
                <w:lang w:eastAsia="zh-CN"/>
              </w:rPr>
            </w:pPr>
          </w:p>
        </w:tc>
        <w:tc>
          <w:tcPr>
            <w:tcW w:w="849" w:type="pct"/>
            <w:vMerge w:val="continue"/>
            <w:tcBorders>
              <w:top w:val="nil"/>
            </w:tcBorders>
            <w:vAlign w:val="center"/>
          </w:tcPr>
          <w:p w14:paraId="2EF2AEAA">
            <w:pPr>
              <w:pStyle w:val="244"/>
              <w:rPr>
                <w:rFonts w:ascii="Times New Roman" w:hAnsi="Times New Roman" w:cs="Times New Roman"/>
                <w:sz w:val="21"/>
                <w:szCs w:val="21"/>
                <w:lang w:eastAsia="zh-CN"/>
              </w:rPr>
            </w:pPr>
          </w:p>
        </w:tc>
        <w:tc>
          <w:tcPr>
            <w:tcW w:w="975" w:type="pct"/>
            <w:vAlign w:val="center"/>
          </w:tcPr>
          <w:p w14:paraId="153ACD1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间距偏差</w:t>
            </w:r>
          </w:p>
        </w:tc>
        <w:tc>
          <w:tcPr>
            <w:tcW w:w="1132" w:type="pct"/>
            <w:vAlign w:val="center"/>
          </w:tcPr>
          <w:p w14:paraId="790F5CD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±10</w:t>
            </w:r>
          </w:p>
        </w:tc>
        <w:tc>
          <w:tcPr>
            <w:tcW w:w="1558" w:type="pct"/>
            <w:vAlign w:val="center"/>
          </w:tcPr>
          <w:p w14:paraId="23FC2426">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用钢尺量测</w:t>
            </w:r>
          </w:p>
        </w:tc>
      </w:tr>
    </w:tbl>
    <w:p w14:paraId="5361DACA">
      <w:pPr>
        <w:pStyle w:val="235"/>
        <w:spacing w:before="156" w:after="156"/>
        <w:ind w:left="0"/>
        <w:jc w:val="both"/>
        <w:rPr>
          <w:rFonts w:ascii="Times New Roman" w:eastAsia="宋体"/>
          <w:szCs w:val="20"/>
        </w:rPr>
      </w:pPr>
      <w:r>
        <w:rPr>
          <w:rFonts w:hint="eastAsia" w:ascii="Times New Roman" w:eastAsia="宋体"/>
          <w:szCs w:val="20"/>
        </w:rPr>
        <w:t>装配式预应力混凝土楼梯应编制专项预应力生产方案，并应符合《混凝土结构工程施工规范》GB 50666的有关规定。</w:t>
      </w:r>
    </w:p>
    <w:p w14:paraId="2436AA7A">
      <w:pPr>
        <w:pStyle w:val="235"/>
        <w:spacing w:before="156" w:after="156"/>
        <w:ind w:left="0"/>
        <w:jc w:val="both"/>
        <w:rPr>
          <w:rFonts w:ascii="Times New Roman" w:eastAsia="宋体"/>
          <w:szCs w:val="20"/>
        </w:rPr>
      </w:pPr>
      <w:r>
        <w:rPr>
          <w:rFonts w:hint="eastAsia" w:ascii="Times New Roman" w:eastAsia="宋体"/>
          <w:szCs w:val="20"/>
        </w:rPr>
        <w:t>混凝土工作性能指标应根据装配式混凝土楼梯的生产工艺确定，混凝土配合比设计应符合《混凝土结构工程施工规范》GB 50666和《普通混凝土配合比设计规程》JGJ 55的有关规定。</w:t>
      </w:r>
    </w:p>
    <w:p w14:paraId="1D8F5E59">
      <w:pPr>
        <w:pStyle w:val="235"/>
        <w:spacing w:before="156" w:after="156"/>
        <w:ind w:left="0"/>
        <w:jc w:val="both"/>
        <w:rPr>
          <w:rFonts w:ascii="Times New Roman" w:eastAsia="宋体"/>
          <w:szCs w:val="20"/>
        </w:rPr>
      </w:pPr>
      <w:r>
        <w:rPr>
          <w:rFonts w:hint="eastAsia" w:ascii="Times New Roman" w:eastAsia="宋体"/>
          <w:szCs w:val="20"/>
        </w:rPr>
        <w:t>混凝土养护应根据生产计划选择自然养护、自然养护加养护剂或加热养护等方式。当采用加热养护时，应建立加热养护制度，加热养护制度应通过试验确定；宜采用加热养护温度自动控制装置，严格控制升降温速度和最高温度，并做好温控记录。</w:t>
      </w:r>
    </w:p>
    <w:p w14:paraId="4B651238">
      <w:pPr>
        <w:pStyle w:val="235"/>
        <w:spacing w:before="156" w:after="156"/>
        <w:ind w:left="0"/>
        <w:jc w:val="both"/>
        <w:rPr>
          <w:rFonts w:ascii="Times New Roman" w:eastAsia="宋体"/>
          <w:szCs w:val="20"/>
        </w:rPr>
      </w:pPr>
      <w:r>
        <w:rPr>
          <w:rFonts w:hint="eastAsia" w:ascii="Times New Roman" w:eastAsia="宋体"/>
          <w:szCs w:val="20"/>
        </w:rPr>
        <w:t>装配式混凝土楼梯脱模时，同条件养护的混凝土立方体试块抗压强度应满足设计要求。</w:t>
      </w:r>
    </w:p>
    <w:p w14:paraId="67BD6094">
      <w:pPr>
        <w:pStyle w:val="235"/>
        <w:spacing w:before="156" w:after="156"/>
        <w:ind w:left="0"/>
        <w:jc w:val="both"/>
        <w:rPr>
          <w:rFonts w:ascii="Times New Roman" w:eastAsia="宋体"/>
          <w:szCs w:val="20"/>
        </w:rPr>
      </w:pPr>
      <w:r>
        <w:rPr>
          <w:rFonts w:hint="eastAsia" w:ascii="Times New Roman" w:eastAsia="宋体"/>
          <w:szCs w:val="20"/>
        </w:rPr>
        <w:t>装配式混凝土楼梯脱模后，对不影响结构性能的局部破损或表面非受力细微裂缝，宜用修补浆料进行修补。</w:t>
      </w:r>
    </w:p>
    <w:p w14:paraId="63315580">
      <w:pPr>
        <w:pStyle w:val="235"/>
        <w:spacing w:before="156" w:after="156"/>
        <w:ind w:left="0"/>
        <w:jc w:val="both"/>
        <w:rPr>
          <w:rFonts w:ascii="Times New Roman" w:eastAsia="宋体"/>
          <w:szCs w:val="20"/>
        </w:rPr>
      </w:pPr>
      <w:r>
        <w:rPr>
          <w:rFonts w:hint="eastAsia" w:ascii="Times New Roman" w:eastAsia="宋体"/>
          <w:szCs w:val="20"/>
        </w:rPr>
        <w:t>装配式混凝土楼梯成品质量检查合格后，应及时在构件上设置产品标识及安装方向标识。</w:t>
      </w:r>
    </w:p>
    <w:p w14:paraId="661969DD">
      <w:pPr>
        <w:pStyle w:val="235"/>
        <w:spacing w:before="156" w:after="156"/>
        <w:ind w:left="0"/>
        <w:jc w:val="both"/>
        <w:rPr>
          <w:rFonts w:ascii="Times New Roman" w:eastAsia="宋体"/>
          <w:szCs w:val="20"/>
        </w:rPr>
      </w:pPr>
      <w:r>
        <w:rPr>
          <w:rFonts w:hint="eastAsia" w:ascii="Times New Roman" w:eastAsia="宋体"/>
          <w:szCs w:val="20"/>
        </w:rPr>
        <w:t>装配式混凝土楼梯产品标识宜包括工程名称、构件编号、构件规格、构件重量、生产企业、制作日期、质检员等信息。</w:t>
      </w:r>
    </w:p>
    <w:p w14:paraId="5D220A91">
      <w:pPr>
        <w:numPr>
          <w:ilvl w:val="1"/>
          <w:numId w:val="32"/>
        </w:numPr>
        <w:spacing w:beforeLines="50" w:afterLines="50"/>
        <w:outlineLvl w:val="1"/>
        <w:rPr>
          <w:rFonts w:eastAsia="黑体"/>
          <w:szCs w:val="22"/>
        </w:rPr>
      </w:pPr>
      <w:bookmarkStart w:id="69" w:name="_Toc29817"/>
      <w:r>
        <w:rPr>
          <w:rFonts w:hint="eastAsia" w:eastAsia="黑体"/>
          <w:szCs w:val="22"/>
        </w:rPr>
        <w:t>运输与堆放</w:t>
      </w:r>
      <w:bookmarkEnd w:id="69"/>
    </w:p>
    <w:p w14:paraId="264A7F47">
      <w:pPr>
        <w:pStyle w:val="235"/>
        <w:spacing w:before="156" w:after="156"/>
        <w:ind w:left="0"/>
        <w:jc w:val="both"/>
        <w:rPr>
          <w:rFonts w:ascii="Times New Roman" w:eastAsia="宋体"/>
          <w:szCs w:val="20"/>
        </w:rPr>
      </w:pPr>
      <w:r>
        <w:rPr>
          <w:rFonts w:hint="eastAsia" w:ascii="Times New Roman" w:eastAsia="宋体"/>
          <w:szCs w:val="20"/>
        </w:rPr>
        <w:t>装配式混凝土楼梯的运输与堆放应制定专项方案。专项方案包括堆放场地、固定要求、堆放支垫、运输时间、运输次序、运输路线及成品保护措施等。</w:t>
      </w:r>
    </w:p>
    <w:p w14:paraId="2B4C5F65">
      <w:pPr>
        <w:pStyle w:val="235"/>
        <w:spacing w:before="156" w:after="156"/>
        <w:ind w:left="0"/>
        <w:jc w:val="both"/>
        <w:rPr>
          <w:rFonts w:ascii="Times New Roman" w:eastAsia="宋体"/>
          <w:szCs w:val="20"/>
        </w:rPr>
      </w:pPr>
      <w:r>
        <w:rPr>
          <w:rFonts w:hint="eastAsia" w:ascii="Times New Roman" w:eastAsia="宋体"/>
          <w:szCs w:val="20"/>
        </w:rPr>
        <w:t>装配式混凝土楼梯吊运应符合下列规定：</w:t>
      </w:r>
    </w:p>
    <w:p w14:paraId="7EA37A7A">
      <w:pPr>
        <w:pStyle w:val="248"/>
        <w:numPr>
          <w:ilvl w:val="0"/>
          <w:numId w:val="34"/>
        </w:numPr>
        <w:ind w:left="735" w:leftChars="150" w:hanging="420" w:hangingChars="200"/>
      </w:pPr>
      <w:r>
        <w:rPr>
          <w:rFonts w:hint="eastAsia"/>
        </w:rPr>
        <w:t>应根据装配式混凝土楼梯尺寸、重量和起重设备作业半径等选择吊具和起重设备。所采用的吊具、起重设备及其操作，应符合国家现行有关标准及产品应用技术手册的规定；</w:t>
      </w:r>
    </w:p>
    <w:p w14:paraId="1318AE6C">
      <w:pPr>
        <w:pStyle w:val="248"/>
        <w:numPr>
          <w:ilvl w:val="0"/>
          <w:numId w:val="34"/>
        </w:numPr>
        <w:ind w:left="735" w:leftChars="150" w:hanging="420" w:hangingChars="200"/>
      </w:pPr>
      <w:r>
        <w:rPr>
          <w:rFonts w:hint="eastAsia"/>
        </w:rPr>
        <w:t>吊点数量、位置应经计算确定；</w:t>
      </w:r>
    </w:p>
    <w:p w14:paraId="5FCE0B36">
      <w:pPr>
        <w:pStyle w:val="248"/>
        <w:numPr>
          <w:ilvl w:val="0"/>
          <w:numId w:val="34"/>
        </w:numPr>
        <w:ind w:left="735" w:leftChars="150" w:hanging="420" w:hangingChars="200"/>
      </w:pPr>
      <w:r>
        <w:rPr>
          <w:rFonts w:hint="eastAsia"/>
        </w:rPr>
        <w:t>应保证吊具连接可靠，并应采取措施保证起重设备的主钩位置、吊具及装配式混凝土楼梯重心在竖直方向上重合；</w:t>
      </w:r>
    </w:p>
    <w:p w14:paraId="23EC0118">
      <w:pPr>
        <w:pStyle w:val="248"/>
        <w:numPr>
          <w:ilvl w:val="0"/>
          <w:numId w:val="34"/>
        </w:numPr>
        <w:ind w:left="735" w:leftChars="150" w:hanging="420" w:hangingChars="200"/>
      </w:pPr>
      <w:r>
        <w:rPr>
          <w:rFonts w:hint="eastAsia"/>
        </w:rPr>
        <w:t>吊索水平夹角不宜小于60°，且不应小于45°；</w:t>
      </w:r>
    </w:p>
    <w:p w14:paraId="781A7F1B">
      <w:pPr>
        <w:pStyle w:val="248"/>
        <w:numPr>
          <w:ilvl w:val="0"/>
          <w:numId w:val="34"/>
        </w:numPr>
        <w:ind w:left="735" w:leftChars="150" w:hanging="420" w:hangingChars="200"/>
      </w:pPr>
      <w:r>
        <w:rPr>
          <w:rFonts w:hint="eastAsia"/>
        </w:rPr>
        <w:t>应采用慢起、稳升、缓放的操作方式，吊运过程中应保持稳定，不得偏斜、摇摆和扭转，严禁吊运构件长时间悬停在空中；</w:t>
      </w:r>
    </w:p>
    <w:p w14:paraId="2C8CF375">
      <w:pPr>
        <w:pStyle w:val="248"/>
        <w:numPr>
          <w:ilvl w:val="0"/>
          <w:numId w:val="34"/>
        </w:numPr>
        <w:ind w:left="735" w:leftChars="150" w:hanging="420" w:hangingChars="200"/>
      </w:pPr>
      <w:r>
        <w:rPr>
          <w:rFonts w:hint="eastAsia"/>
        </w:rPr>
        <w:t>对尺寸较大、形状复杂的装配式混凝土楼梯，应采用分配梁或分配桁架等吊具，并应采取避免构件变形和损伤的临时加固措施。</w:t>
      </w:r>
    </w:p>
    <w:p w14:paraId="7F6AC3B4">
      <w:pPr>
        <w:pStyle w:val="235"/>
        <w:spacing w:before="156" w:after="156"/>
        <w:ind w:left="0"/>
        <w:jc w:val="both"/>
        <w:rPr>
          <w:rFonts w:ascii="Times New Roman" w:eastAsia="宋体"/>
          <w:szCs w:val="20"/>
        </w:rPr>
      </w:pPr>
      <w:r>
        <w:rPr>
          <w:rFonts w:hint="eastAsia" w:ascii="Times New Roman" w:eastAsia="宋体"/>
          <w:szCs w:val="20"/>
        </w:rPr>
        <w:t>装配式混凝土楼梯的运输应符合下列规定：</w:t>
      </w:r>
    </w:p>
    <w:p w14:paraId="21485C1F">
      <w:pPr>
        <w:pStyle w:val="248"/>
        <w:numPr>
          <w:ilvl w:val="0"/>
          <w:numId w:val="35"/>
        </w:numPr>
        <w:ind w:left="735" w:leftChars="150" w:hanging="420" w:hangingChars="200"/>
      </w:pPr>
      <w:r>
        <w:rPr>
          <w:rFonts w:hint="eastAsia"/>
        </w:rPr>
        <w:t>宜采用专用运输车进行运输；当采用非专用运输车时，应采取相应的加固、保护措施；</w:t>
      </w:r>
    </w:p>
    <w:p w14:paraId="1507A376">
      <w:pPr>
        <w:pStyle w:val="248"/>
        <w:numPr>
          <w:ilvl w:val="0"/>
          <w:numId w:val="35"/>
        </w:numPr>
        <w:ind w:left="735" w:leftChars="150" w:hanging="420" w:hangingChars="200"/>
      </w:pPr>
      <w:r>
        <w:rPr>
          <w:rFonts w:hint="eastAsia"/>
        </w:rPr>
        <w:t>装配式混凝土楼梯应平放，并绑扎牢固；楼梯边角和绑扎接触部位应采用柔性垫衬材料保护；车厢板和楼梯间应放入柔性材料；</w:t>
      </w:r>
    </w:p>
    <w:p w14:paraId="7F4D7351">
      <w:pPr>
        <w:pStyle w:val="248"/>
        <w:numPr>
          <w:ilvl w:val="0"/>
          <w:numId w:val="35"/>
        </w:numPr>
        <w:ind w:left="735" w:leftChars="150" w:hanging="420" w:hangingChars="200"/>
      </w:pPr>
      <w:r>
        <w:rPr>
          <w:rFonts w:hint="eastAsia"/>
        </w:rPr>
        <w:t>装配式混凝土楼梯堆放高度不应超过运输路线的限高要求。</w:t>
      </w:r>
    </w:p>
    <w:p w14:paraId="735B5938">
      <w:pPr>
        <w:pStyle w:val="235"/>
        <w:spacing w:before="156" w:after="156"/>
        <w:ind w:left="0"/>
        <w:jc w:val="both"/>
        <w:rPr>
          <w:rFonts w:ascii="Times New Roman" w:eastAsia="宋体"/>
          <w:szCs w:val="20"/>
        </w:rPr>
      </w:pPr>
      <w:r>
        <w:rPr>
          <w:rFonts w:hint="eastAsia" w:ascii="Times New Roman" w:eastAsia="宋体"/>
          <w:szCs w:val="20"/>
        </w:rPr>
        <w:t>装配式混凝土楼梯的堆放应符合下列规定：</w:t>
      </w:r>
    </w:p>
    <w:p w14:paraId="7150DE92">
      <w:pPr>
        <w:pStyle w:val="248"/>
        <w:numPr>
          <w:ilvl w:val="0"/>
          <w:numId w:val="36"/>
        </w:numPr>
        <w:ind w:left="735" w:leftChars="150" w:hanging="420" w:hangingChars="200"/>
      </w:pPr>
      <w:r>
        <w:rPr>
          <w:rFonts w:hint="eastAsia"/>
        </w:rPr>
        <w:t>堆放场地应平整、坚实，并应有排水措施，堆放时装配式混凝土楼梯与地面之间应有一定的间隙；</w:t>
      </w:r>
    </w:p>
    <w:p w14:paraId="331547EA">
      <w:pPr>
        <w:pStyle w:val="248"/>
        <w:numPr>
          <w:ilvl w:val="0"/>
          <w:numId w:val="36"/>
        </w:numPr>
        <w:ind w:left="735" w:leftChars="150" w:hanging="420" w:hangingChars="200"/>
      </w:pPr>
      <w:r>
        <w:rPr>
          <w:rFonts w:hint="eastAsia"/>
        </w:rPr>
        <w:t>存放库区宜实行分区管理和信息化台账管理；</w:t>
      </w:r>
    </w:p>
    <w:p w14:paraId="68779DD1">
      <w:pPr>
        <w:pStyle w:val="248"/>
        <w:numPr>
          <w:ilvl w:val="0"/>
          <w:numId w:val="36"/>
        </w:numPr>
        <w:ind w:left="735" w:leftChars="150" w:hanging="420" w:hangingChars="200"/>
      </w:pPr>
      <w:r>
        <w:rPr>
          <w:rFonts w:hint="eastAsia"/>
        </w:rPr>
        <w:t>应按产品品种、规格型号、检验状态分类存放，严禁混放；</w:t>
      </w:r>
    </w:p>
    <w:p w14:paraId="5AF94194">
      <w:pPr>
        <w:pStyle w:val="248"/>
        <w:numPr>
          <w:ilvl w:val="0"/>
          <w:numId w:val="36"/>
        </w:numPr>
        <w:ind w:left="735" w:leftChars="150" w:hanging="420" w:hangingChars="200"/>
      </w:pPr>
      <w:r>
        <w:rPr>
          <w:rFonts w:hint="eastAsia"/>
        </w:rPr>
        <w:t>标识应清晰、明确、永久；</w:t>
      </w:r>
    </w:p>
    <w:p w14:paraId="7FC81ECB">
      <w:pPr>
        <w:pStyle w:val="248"/>
        <w:numPr>
          <w:ilvl w:val="0"/>
          <w:numId w:val="36"/>
        </w:numPr>
        <w:ind w:left="735" w:leftChars="150" w:hanging="420" w:hangingChars="200"/>
      </w:pPr>
      <w:r>
        <w:rPr>
          <w:rFonts w:hint="eastAsia"/>
        </w:rPr>
        <w:t>应平放，严禁倒置；</w:t>
      </w:r>
    </w:p>
    <w:p w14:paraId="35F987C5">
      <w:pPr>
        <w:pStyle w:val="248"/>
        <w:numPr>
          <w:ilvl w:val="0"/>
          <w:numId w:val="36"/>
        </w:numPr>
        <w:ind w:left="735" w:leftChars="150" w:hanging="420" w:hangingChars="200"/>
      </w:pPr>
      <w:r>
        <w:rPr>
          <w:rFonts w:hint="eastAsia"/>
        </w:rPr>
        <w:t>应合理布置装配式混凝土楼梯垫块，垫块位置宜与吊点位置一致；</w:t>
      </w:r>
    </w:p>
    <w:p w14:paraId="2A59203F">
      <w:pPr>
        <w:pStyle w:val="248"/>
        <w:numPr>
          <w:ilvl w:val="0"/>
          <w:numId w:val="36"/>
        </w:numPr>
        <w:ind w:left="735" w:leftChars="150" w:hanging="420" w:hangingChars="200"/>
      </w:pPr>
      <w:r>
        <w:rPr>
          <w:rFonts w:hint="eastAsia"/>
        </w:rPr>
        <w:t>装配式混凝土楼梯多层叠放时，各层垫块应上下对齐。装配式混凝土楼梯的叠放层数不宜大于6层，并采取防止倾覆的措施。</w:t>
      </w:r>
    </w:p>
    <w:p w14:paraId="24B9A451">
      <w:pPr>
        <w:numPr>
          <w:ilvl w:val="1"/>
          <w:numId w:val="32"/>
        </w:numPr>
        <w:spacing w:beforeLines="50" w:afterLines="50"/>
        <w:outlineLvl w:val="1"/>
        <w:rPr>
          <w:rFonts w:hint="eastAsia" w:eastAsia="黑体"/>
          <w:szCs w:val="22"/>
        </w:rPr>
      </w:pPr>
      <w:bookmarkStart w:id="70" w:name="_Toc26448"/>
      <w:r>
        <w:rPr>
          <w:rFonts w:hint="eastAsia" w:eastAsia="黑体"/>
          <w:szCs w:val="22"/>
        </w:rPr>
        <w:t>构件检验</w:t>
      </w:r>
      <w:bookmarkEnd w:id="70"/>
    </w:p>
    <w:p w14:paraId="5D81D880">
      <w:pPr>
        <w:pStyle w:val="235"/>
        <w:spacing w:before="156" w:after="156"/>
        <w:ind w:left="0"/>
        <w:jc w:val="both"/>
        <w:rPr>
          <w:rFonts w:hint="eastAsia" w:ascii="Times New Roman" w:eastAsia="宋体"/>
          <w:szCs w:val="20"/>
        </w:rPr>
      </w:pPr>
      <w:r>
        <w:rPr>
          <w:rFonts w:hint="eastAsia" w:ascii="Times New Roman" w:eastAsia="宋体"/>
          <w:szCs w:val="20"/>
        </w:rPr>
        <w:t>装配式混凝土楼梯的外观不应有露筋、蜂窝、孔洞、夹渣、疏松、裂缝、沾污等质量缺陷。</w:t>
      </w:r>
    </w:p>
    <w:p w14:paraId="7BA32F96">
      <w:pPr>
        <w:pStyle w:val="235"/>
        <w:spacing w:before="156" w:after="156"/>
        <w:ind w:left="0"/>
        <w:jc w:val="both"/>
        <w:rPr>
          <w:rFonts w:hint="eastAsia" w:ascii="Times New Roman" w:eastAsia="宋体"/>
          <w:szCs w:val="20"/>
        </w:rPr>
      </w:pPr>
      <w:r>
        <w:rPr>
          <w:rFonts w:hint="eastAsia" w:ascii="Times New Roman" w:eastAsia="宋体"/>
          <w:szCs w:val="20"/>
        </w:rPr>
        <w:t>装配式混凝土楼梯尺寸偏差及预留孔、预留洞、预埋件、预留插筋的位置和检验方法应符合表4的规定。</w:t>
      </w:r>
    </w:p>
    <w:p w14:paraId="17A111E1">
      <w:pPr>
        <w:pStyle w:val="246"/>
      </w:pPr>
      <w:r>
        <w:rPr>
          <w:rFonts w:hint="eastAsia"/>
        </w:rPr>
        <w:t>表4　装配式混凝土楼梯尺寸允许偏差及检验方法</w:t>
      </w:r>
    </w:p>
    <w:p w14:paraId="1C802D29">
      <w:pPr>
        <w:spacing w:line="58" w:lineRule="exact"/>
      </w:pPr>
    </w:p>
    <w:tbl>
      <w:tblPr>
        <w:tblStyle w:val="251"/>
        <w:tblW w:w="50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6"/>
        <w:gridCol w:w="746"/>
        <w:gridCol w:w="1568"/>
        <w:gridCol w:w="2386"/>
        <w:gridCol w:w="4069"/>
        <w:gridCol w:w="28"/>
      </w:tblGrid>
      <w:tr w14:paraId="3D41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23D713B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项次</w:t>
            </w:r>
          </w:p>
        </w:tc>
        <w:tc>
          <w:tcPr>
            <w:tcW w:w="1222" w:type="pct"/>
            <w:gridSpan w:val="2"/>
            <w:vAlign w:val="center"/>
          </w:tcPr>
          <w:p w14:paraId="4B5868E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检查项目</w:t>
            </w:r>
          </w:p>
        </w:tc>
        <w:tc>
          <w:tcPr>
            <w:tcW w:w="1260" w:type="pct"/>
            <w:vAlign w:val="center"/>
          </w:tcPr>
          <w:p w14:paraId="59CA7957">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允许偏差(mm)</w:t>
            </w:r>
          </w:p>
        </w:tc>
        <w:tc>
          <w:tcPr>
            <w:tcW w:w="2164" w:type="pct"/>
            <w:gridSpan w:val="2"/>
            <w:vAlign w:val="center"/>
          </w:tcPr>
          <w:p w14:paraId="402E99D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检验方法</w:t>
            </w:r>
          </w:p>
        </w:tc>
      </w:tr>
      <w:tr w14:paraId="0DE8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56F69A1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222" w:type="pct"/>
            <w:gridSpan w:val="2"/>
            <w:vAlign w:val="center"/>
          </w:tcPr>
          <w:p w14:paraId="603AB33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长度</w:t>
            </w:r>
          </w:p>
        </w:tc>
        <w:tc>
          <w:tcPr>
            <w:tcW w:w="1260" w:type="pct"/>
            <w:vAlign w:val="center"/>
          </w:tcPr>
          <w:p w14:paraId="04F7398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164" w:type="pct"/>
            <w:gridSpan w:val="2"/>
            <w:vAlign w:val="center"/>
          </w:tcPr>
          <w:p w14:paraId="07F2853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用尺量两端及中间部，取偏差绝对值较大值</w:t>
            </w:r>
          </w:p>
        </w:tc>
      </w:tr>
      <w:tr w14:paraId="3398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6DE19BB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222" w:type="pct"/>
            <w:gridSpan w:val="2"/>
            <w:vAlign w:val="center"/>
          </w:tcPr>
          <w:p w14:paraId="09D64B9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宽度</w:t>
            </w:r>
          </w:p>
        </w:tc>
        <w:tc>
          <w:tcPr>
            <w:tcW w:w="1260" w:type="pct"/>
            <w:vAlign w:val="center"/>
          </w:tcPr>
          <w:p w14:paraId="0D6620D6">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164" w:type="pct"/>
            <w:gridSpan w:val="2"/>
            <w:vAlign w:val="center"/>
          </w:tcPr>
          <w:p w14:paraId="47FFD37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用尺量两端及中间部，取偏差绝对值较大值</w:t>
            </w:r>
          </w:p>
        </w:tc>
      </w:tr>
      <w:tr w14:paraId="7E23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36CA209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222" w:type="pct"/>
            <w:gridSpan w:val="2"/>
            <w:vAlign w:val="center"/>
          </w:tcPr>
          <w:p w14:paraId="32AC496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侧向弯曲</w:t>
            </w:r>
          </w:p>
        </w:tc>
        <w:tc>
          <w:tcPr>
            <w:tcW w:w="1260" w:type="pct"/>
            <w:vAlign w:val="center"/>
          </w:tcPr>
          <w:p w14:paraId="737BCAA0">
            <w:pPr>
              <w:pStyle w:val="244"/>
              <w:rPr>
                <w:rFonts w:ascii="Times New Roman" w:hAnsi="Times New Roman" w:cs="Times New Roman"/>
                <w:sz w:val="21"/>
                <w:szCs w:val="21"/>
                <w:lang w:eastAsia="zh-CN"/>
              </w:rPr>
            </w:pPr>
            <w:r>
              <w:rPr>
                <w:rFonts w:ascii="Times New Roman" w:hAnsi="Times New Roman" w:cs="Times New Roman"/>
                <w:i/>
                <w:iCs/>
                <w:sz w:val="21"/>
                <w:szCs w:val="21"/>
                <w:lang w:eastAsia="zh-CN"/>
              </w:rPr>
              <w:t>L</w:t>
            </w:r>
            <w:r>
              <w:rPr>
                <w:rFonts w:ascii="Times New Roman" w:hAnsi="Times New Roman" w:cs="Times New Roman"/>
                <w:sz w:val="21"/>
                <w:szCs w:val="21"/>
                <w:lang w:eastAsia="zh-CN"/>
              </w:rPr>
              <w:t>/750且≤10mm</w:t>
            </w:r>
          </w:p>
        </w:tc>
        <w:tc>
          <w:tcPr>
            <w:tcW w:w="2164" w:type="pct"/>
            <w:gridSpan w:val="2"/>
            <w:vAlign w:val="center"/>
          </w:tcPr>
          <w:p w14:paraId="7AE43BF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拉线，钢尺量最大弯曲处</w:t>
            </w:r>
          </w:p>
        </w:tc>
      </w:tr>
      <w:tr w14:paraId="404A6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6E2002B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1222" w:type="pct"/>
            <w:gridSpan w:val="2"/>
            <w:vAlign w:val="center"/>
          </w:tcPr>
          <w:p w14:paraId="3D396F6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扭翘</w:t>
            </w:r>
          </w:p>
        </w:tc>
        <w:tc>
          <w:tcPr>
            <w:tcW w:w="1260" w:type="pct"/>
            <w:vAlign w:val="center"/>
          </w:tcPr>
          <w:p w14:paraId="3677252C">
            <w:pPr>
              <w:pStyle w:val="244"/>
              <w:rPr>
                <w:rFonts w:ascii="Times New Roman" w:hAnsi="Times New Roman" w:cs="Times New Roman"/>
                <w:sz w:val="21"/>
                <w:szCs w:val="21"/>
                <w:lang w:eastAsia="zh-CN"/>
              </w:rPr>
            </w:pPr>
            <w:r>
              <w:rPr>
                <w:rFonts w:ascii="Times New Roman" w:hAnsi="Times New Roman" w:cs="Times New Roman"/>
                <w:i/>
                <w:iCs/>
                <w:sz w:val="21"/>
                <w:szCs w:val="21"/>
                <w:lang w:eastAsia="zh-CN"/>
              </w:rPr>
              <w:t>L</w:t>
            </w:r>
            <w:r>
              <w:rPr>
                <w:rFonts w:ascii="Times New Roman" w:hAnsi="Times New Roman" w:cs="Times New Roman"/>
                <w:sz w:val="21"/>
                <w:szCs w:val="21"/>
                <w:lang w:eastAsia="zh-CN"/>
              </w:rPr>
              <w:t>/750</w:t>
            </w:r>
          </w:p>
        </w:tc>
        <w:tc>
          <w:tcPr>
            <w:tcW w:w="2164" w:type="pct"/>
            <w:gridSpan w:val="2"/>
            <w:vAlign w:val="center"/>
          </w:tcPr>
          <w:p w14:paraId="3ED9204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四对角拉两条线，量测两线交点之间的距离，其值的2倍为扭翘值</w:t>
            </w:r>
          </w:p>
        </w:tc>
      </w:tr>
      <w:tr w14:paraId="7C1C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2D0D3DA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1222" w:type="pct"/>
            <w:gridSpan w:val="2"/>
            <w:vAlign w:val="center"/>
          </w:tcPr>
          <w:p w14:paraId="6972DDB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表面平整度</w:t>
            </w:r>
          </w:p>
        </w:tc>
        <w:tc>
          <w:tcPr>
            <w:tcW w:w="1260" w:type="pct"/>
            <w:vAlign w:val="center"/>
          </w:tcPr>
          <w:p w14:paraId="696FC54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164" w:type="pct"/>
            <w:gridSpan w:val="2"/>
            <w:vAlign w:val="center"/>
          </w:tcPr>
          <w:p w14:paraId="42DA52E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用2m靠尺安放在构件表面上，用楔形塞尺量测靠尺与表面之间的最大缝隙</w:t>
            </w:r>
          </w:p>
        </w:tc>
      </w:tr>
      <w:tr w14:paraId="54072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5E9594A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6</w:t>
            </w:r>
          </w:p>
        </w:tc>
        <w:tc>
          <w:tcPr>
            <w:tcW w:w="1222" w:type="pct"/>
            <w:gridSpan w:val="2"/>
            <w:vAlign w:val="center"/>
          </w:tcPr>
          <w:p w14:paraId="0412909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对角线差</w:t>
            </w:r>
          </w:p>
        </w:tc>
        <w:tc>
          <w:tcPr>
            <w:tcW w:w="1260" w:type="pct"/>
            <w:vAlign w:val="center"/>
          </w:tcPr>
          <w:p w14:paraId="3AB6888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6</w:t>
            </w:r>
          </w:p>
        </w:tc>
        <w:tc>
          <w:tcPr>
            <w:tcW w:w="2164" w:type="pct"/>
            <w:gridSpan w:val="2"/>
            <w:vAlign w:val="center"/>
          </w:tcPr>
          <w:p w14:paraId="20056D7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在构件表面，用尺量测两对角线的长度，取其绝对值的差值</w:t>
            </w:r>
          </w:p>
        </w:tc>
      </w:tr>
      <w:tr w14:paraId="00A1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44D70FA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7</w:t>
            </w:r>
          </w:p>
        </w:tc>
        <w:tc>
          <w:tcPr>
            <w:tcW w:w="1222" w:type="pct"/>
            <w:gridSpan w:val="2"/>
            <w:vAlign w:val="center"/>
          </w:tcPr>
          <w:p w14:paraId="3C3402B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踏步高</w:t>
            </w:r>
          </w:p>
        </w:tc>
        <w:tc>
          <w:tcPr>
            <w:tcW w:w="1260" w:type="pct"/>
            <w:vAlign w:val="center"/>
          </w:tcPr>
          <w:p w14:paraId="34F9173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相邻踏步高度差≤4</w:t>
            </w:r>
          </w:p>
        </w:tc>
        <w:tc>
          <w:tcPr>
            <w:tcW w:w="2164" w:type="pct"/>
            <w:gridSpan w:val="2"/>
            <w:vAlign w:val="center"/>
          </w:tcPr>
          <w:p w14:paraId="4F5E3107">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用尺量两端及中间部，取偏差绝对值较大值</w:t>
            </w:r>
          </w:p>
        </w:tc>
      </w:tr>
      <w:tr w14:paraId="7C77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50" w:type="pct"/>
            <w:vAlign w:val="center"/>
          </w:tcPr>
          <w:p w14:paraId="006F789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8</w:t>
            </w:r>
          </w:p>
        </w:tc>
        <w:tc>
          <w:tcPr>
            <w:tcW w:w="1222" w:type="pct"/>
            <w:gridSpan w:val="2"/>
            <w:vAlign w:val="center"/>
          </w:tcPr>
          <w:p w14:paraId="7DBF910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踏步宽</w:t>
            </w:r>
          </w:p>
        </w:tc>
        <w:tc>
          <w:tcPr>
            <w:tcW w:w="1260" w:type="pct"/>
            <w:vAlign w:val="center"/>
          </w:tcPr>
          <w:p w14:paraId="05C44EB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164" w:type="pct"/>
            <w:gridSpan w:val="2"/>
            <w:vAlign w:val="center"/>
          </w:tcPr>
          <w:p w14:paraId="1FD06FB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用尺量两端及中间部，取偏差绝对值较大值</w:t>
            </w:r>
          </w:p>
        </w:tc>
      </w:tr>
      <w:tr w14:paraId="520A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pct"/>
          <w:trHeight w:val="363" w:hRule="atLeast"/>
        </w:trPr>
        <w:tc>
          <w:tcPr>
            <w:tcW w:w="352" w:type="pct"/>
            <w:vMerge w:val="restart"/>
            <w:tcBorders>
              <w:bottom w:val="nil"/>
            </w:tcBorders>
            <w:vAlign w:val="center"/>
          </w:tcPr>
          <w:p w14:paraId="201FFDB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9</w:t>
            </w:r>
          </w:p>
        </w:tc>
        <w:tc>
          <w:tcPr>
            <w:tcW w:w="394" w:type="pct"/>
            <w:vMerge w:val="restart"/>
            <w:tcBorders>
              <w:bottom w:val="nil"/>
            </w:tcBorders>
            <w:vAlign w:val="center"/>
          </w:tcPr>
          <w:p w14:paraId="32EEDCF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预埋件</w:t>
            </w:r>
          </w:p>
        </w:tc>
        <w:tc>
          <w:tcPr>
            <w:tcW w:w="828" w:type="pct"/>
            <w:vAlign w:val="center"/>
          </w:tcPr>
          <w:p w14:paraId="748562D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中心线位置偏移</w:t>
            </w:r>
          </w:p>
        </w:tc>
        <w:tc>
          <w:tcPr>
            <w:tcW w:w="1260" w:type="pct"/>
            <w:vAlign w:val="center"/>
          </w:tcPr>
          <w:p w14:paraId="572375E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149" w:type="pct"/>
            <w:vAlign w:val="center"/>
          </w:tcPr>
          <w:p w14:paraId="73DE164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用尺量测纵横两个方向的中心线位置，记录较大值</w:t>
            </w:r>
          </w:p>
        </w:tc>
      </w:tr>
      <w:tr w14:paraId="5491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pct"/>
          <w:trHeight w:val="363" w:hRule="atLeast"/>
        </w:trPr>
        <w:tc>
          <w:tcPr>
            <w:tcW w:w="352" w:type="pct"/>
            <w:vMerge w:val="continue"/>
            <w:tcBorders>
              <w:top w:val="nil"/>
            </w:tcBorders>
            <w:vAlign w:val="center"/>
          </w:tcPr>
          <w:p w14:paraId="00ABBA25">
            <w:pPr>
              <w:pStyle w:val="244"/>
              <w:rPr>
                <w:rFonts w:ascii="Times New Roman" w:hAnsi="Times New Roman" w:cs="Times New Roman"/>
                <w:sz w:val="21"/>
                <w:szCs w:val="21"/>
                <w:lang w:eastAsia="zh-CN"/>
              </w:rPr>
            </w:pPr>
          </w:p>
        </w:tc>
        <w:tc>
          <w:tcPr>
            <w:tcW w:w="394" w:type="pct"/>
            <w:vMerge w:val="continue"/>
            <w:tcBorders>
              <w:top w:val="nil"/>
            </w:tcBorders>
            <w:vAlign w:val="center"/>
          </w:tcPr>
          <w:p w14:paraId="10CFEE43">
            <w:pPr>
              <w:pStyle w:val="244"/>
              <w:rPr>
                <w:rFonts w:ascii="Times New Roman" w:hAnsi="Times New Roman" w:cs="Times New Roman"/>
                <w:sz w:val="21"/>
                <w:szCs w:val="21"/>
                <w:lang w:eastAsia="zh-CN"/>
              </w:rPr>
            </w:pPr>
          </w:p>
        </w:tc>
        <w:tc>
          <w:tcPr>
            <w:tcW w:w="828" w:type="pct"/>
            <w:vAlign w:val="center"/>
          </w:tcPr>
          <w:p w14:paraId="69DF3FC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外露长度</w:t>
            </w:r>
          </w:p>
        </w:tc>
        <w:tc>
          <w:tcPr>
            <w:tcW w:w="1260" w:type="pct"/>
            <w:vAlign w:val="center"/>
          </w:tcPr>
          <w:p w14:paraId="4A23B54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149" w:type="pct"/>
            <w:vAlign w:val="center"/>
          </w:tcPr>
          <w:p w14:paraId="231283D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w:t>
            </w:r>
          </w:p>
        </w:tc>
      </w:tr>
      <w:tr w14:paraId="6B3A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pct"/>
          <w:trHeight w:val="363" w:hRule="atLeast"/>
        </w:trPr>
        <w:tc>
          <w:tcPr>
            <w:tcW w:w="352" w:type="pct"/>
            <w:vMerge w:val="restart"/>
            <w:tcBorders>
              <w:bottom w:val="nil"/>
            </w:tcBorders>
            <w:vAlign w:val="center"/>
          </w:tcPr>
          <w:p w14:paraId="67214F9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10</w:t>
            </w:r>
          </w:p>
        </w:tc>
        <w:tc>
          <w:tcPr>
            <w:tcW w:w="394" w:type="pct"/>
            <w:vMerge w:val="restart"/>
            <w:tcBorders>
              <w:bottom w:val="nil"/>
            </w:tcBorders>
            <w:vAlign w:val="center"/>
          </w:tcPr>
          <w:p w14:paraId="3134BE8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预留孔洞</w:t>
            </w:r>
          </w:p>
        </w:tc>
        <w:tc>
          <w:tcPr>
            <w:tcW w:w="828" w:type="pct"/>
            <w:vAlign w:val="center"/>
          </w:tcPr>
          <w:p w14:paraId="72E6EAA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中心线位置偏移</w:t>
            </w:r>
          </w:p>
        </w:tc>
        <w:tc>
          <w:tcPr>
            <w:tcW w:w="1260" w:type="pct"/>
            <w:vAlign w:val="center"/>
          </w:tcPr>
          <w:p w14:paraId="61A1B3E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149" w:type="pct"/>
            <w:vAlign w:val="center"/>
          </w:tcPr>
          <w:p w14:paraId="13ED2F9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用尺量测纵横两个方向的中心线位置，记录较大值</w:t>
            </w:r>
          </w:p>
        </w:tc>
      </w:tr>
      <w:tr w14:paraId="5978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pct"/>
          <w:trHeight w:val="363" w:hRule="atLeast"/>
        </w:trPr>
        <w:tc>
          <w:tcPr>
            <w:tcW w:w="352" w:type="pct"/>
            <w:vMerge w:val="continue"/>
            <w:tcBorders>
              <w:top w:val="nil"/>
            </w:tcBorders>
            <w:vAlign w:val="center"/>
          </w:tcPr>
          <w:p w14:paraId="74ACB434">
            <w:pPr>
              <w:pStyle w:val="244"/>
              <w:rPr>
                <w:rFonts w:ascii="Times New Roman" w:hAnsi="Times New Roman" w:cs="Times New Roman"/>
                <w:sz w:val="21"/>
                <w:szCs w:val="21"/>
                <w:lang w:eastAsia="zh-CN"/>
              </w:rPr>
            </w:pPr>
          </w:p>
        </w:tc>
        <w:tc>
          <w:tcPr>
            <w:tcW w:w="394" w:type="pct"/>
            <w:vMerge w:val="continue"/>
            <w:tcBorders>
              <w:top w:val="nil"/>
            </w:tcBorders>
            <w:vAlign w:val="center"/>
          </w:tcPr>
          <w:p w14:paraId="7DA4CA97">
            <w:pPr>
              <w:pStyle w:val="244"/>
              <w:rPr>
                <w:rFonts w:ascii="Times New Roman" w:hAnsi="Times New Roman" w:cs="Times New Roman"/>
                <w:sz w:val="21"/>
                <w:szCs w:val="21"/>
                <w:lang w:eastAsia="zh-CN"/>
              </w:rPr>
            </w:pPr>
          </w:p>
        </w:tc>
        <w:tc>
          <w:tcPr>
            <w:tcW w:w="828" w:type="pct"/>
            <w:vAlign w:val="center"/>
          </w:tcPr>
          <w:p w14:paraId="4DD5FE0D">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孔尺寸</w:t>
            </w:r>
          </w:p>
        </w:tc>
        <w:tc>
          <w:tcPr>
            <w:tcW w:w="1260" w:type="pct"/>
            <w:vAlign w:val="center"/>
          </w:tcPr>
          <w:p w14:paraId="275040A6">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+5</w:t>
            </w:r>
          </w:p>
        </w:tc>
        <w:tc>
          <w:tcPr>
            <w:tcW w:w="2149" w:type="pct"/>
            <w:vAlign w:val="center"/>
          </w:tcPr>
          <w:p w14:paraId="0403166A">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用尺量测纵横两个方向尺寸，取最大值</w:t>
            </w:r>
          </w:p>
        </w:tc>
      </w:tr>
    </w:tbl>
    <w:p w14:paraId="00B666D2">
      <w:pPr>
        <w:pStyle w:val="235"/>
        <w:spacing w:before="156" w:after="156"/>
        <w:ind w:left="0"/>
        <w:jc w:val="both"/>
        <w:rPr>
          <w:rFonts w:hint="eastAsia" w:ascii="Times New Roman" w:eastAsia="宋体"/>
          <w:szCs w:val="20"/>
        </w:rPr>
      </w:pPr>
      <w:r>
        <w:rPr>
          <w:rFonts w:hint="eastAsia" w:ascii="Times New Roman" w:eastAsia="宋体"/>
          <w:szCs w:val="20"/>
        </w:rPr>
        <w:t>装配式混凝土楼梯出厂前应进行质量检验，并形成质量证明文件。质量检验内容应包括外观质量、尺寸偏差、混凝土强度和结构性能检验。</w:t>
      </w:r>
    </w:p>
    <w:p w14:paraId="444B96EE">
      <w:pPr>
        <w:pStyle w:val="235"/>
        <w:spacing w:before="156" w:after="156"/>
        <w:ind w:left="0"/>
        <w:jc w:val="both"/>
        <w:rPr>
          <w:rFonts w:hint="eastAsia" w:ascii="Times New Roman" w:eastAsia="宋体"/>
          <w:szCs w:val="20"/>
        </w:rPr>
      </w:pPr>
      <w:r>
        <w:rPr>
          <w:rFonts w:hint="eastAsia" w:ascii="Times New Roman" w:eastAsia="宋体"/>
          <w:szCs w:val="20"/>
        </w:rPr>
        <w:t>装配式混凝土楼梯的质量证明文件应包括下列内容：</w:t>
      </w:r>
    </w:p>
    <w:p w14:paraId="7229D548">
      <w:pPr>
        <w:pStyle w:val="248"/>
        <w:numPr>
          <w:ilvl w:val="0"/>
          <w:numId w:val="37"/>
        </w:numPr>
        <w:ind w:left="735" w:leftChars="150" w:hanging="420" w:hangingChars="200"/>
      </w:pPr>
      <w:r>
        <w:rPr>
          <w:rFonts w:hint="eastAsia"/>
        </w:rPr>
        <w:t>出厂合格证；</w:t>
      </w:r>
    </w:p>
    <w:p w14:paraId="3DB7A698">
      <w:pPr>
        <w:pStyle w:val="248"/>
        <w:numPr>
          <w:ilvl w:val="0"/>
          <w:numId w:val="37"/>
        </w:numPr>
        <w:ind w:left="735" w:leftChars="150" w:hanging="420" w:hangingChars="200"/>
      </w:pPr>
      <w:r>
        <w:rPr>
          <w:rFonts w:hint="eastAsia"/>
        </w:rPr>
        <w:t>钢筋检验报告；</w:t>
      </w:r>
    </w:p>
    <w:p w14:paraId="4BBDDF3D">
      <w:pPr>
        <w:pStyle w:val="248"/>
        <w:numPr>
          <w:ilvl w:val="0"/>
          <w:numId w:val="37"/>
        </w:numPr>
        <w:ind w:left="735" w:leftChars="150" w:hanging="420" w:hangingChars="200"/>
      </w:pPr>
      <w:r>
        <w:rPr>
          <w:rFonts w:hint="eastAsia"/>
        </w:rPr>
        <w:t>混凝土强度检验报告；</w:t>
      </w:r>
    </w:p>
    <w:p w14:paraId="2594969D">
      <w:pPr>
        <w:pStyle w:val="248"/>
        <w:numPr>
          <w:ilvl w:val="0"/>
          <w:numId w:val="37"/>
        </w:numPr>
        <w:ind w:left="735" w:leftChars="150" w:hanging="420" w:hangingChars="200"/>
      </w:pPr>
      <w:r>
        <w:rPr>
          <w:rFonts w:hint="eastAsia"/>
        </w:rPr>
        <w:t>结构性能检验报告；</w:t>
      </w:r>
    </w:p>
    <w:p w14:paraId="64B53683">
      <w:pPr>
        <w:pStyle w:val="248"/>
        <w:numPr>
          <w:ilvl w:val="0"/>
          <w:numId w:val="37"/>
        </w:numPr>
        <w:ind w:left="735" w:leftChars="150" w:hanging="420" w:hangingChars="200"/>
      </w:pPr>
      <w:r>
        <w:rPr>
          <w:rFonts w:hint="eastAsia"/>
        </w:rPr>
        <w:t>合同要求的其他质量证明文件。</w:t>
      </w:r>
    </w:p>
    <w:p w14:paraId="17B568B2">
      <w:pPr>
        <w:numPr>
          <w:ilvl w:val="0"/>
          <w:numId w:val="32"/>
        </w:numPr>
        <w:adjustRightInd/>
        <w:spacing w:beforeLines="100" w:afterLines="100" w:line="240" w:lineRule="auto"/>
        <w:ind w:left="0"/>
        <w:outlineLvl w:val="0"/>
        <w:rPr>
          <w:rFonts w:hint="eastAsia" w:eastAsia="黑体"/>
          <w:szCs w:val="22"/>
        </w:rPr>
      </w:pPr>
      <w:bookmarkStart w:id="71" w:name="_Toc14038"/>
      <w:r>
        <w:rPr>
          <w:rFonts w:hint="eastAsia" w:eastAsia="黑体"/>
          <w:szCs w:val="22"/>
        </w:rPr>
        <w:t>施工</w:t>
      </w:r>
      <w:bookmarkEnd w:id="71"/>
    </w:p>
    <w:p w14:paraId="6D39F2DB">
      <w:pPr>
        <w:numPr>
          <w:ilvl w:val="1"/>
          <w:numId w:val="38"/>
        </w:numPr>
        <w:spacing w:beforeLines="50" w:afterLines="50"/>
        <w:outlineLvl w:val="1"/>
        <w:rPr>
          <w:rFonts w:eastAsia="黑体"/>
          <w:szCs w:val="22"/>
        </w:rPr>
      </w:pPr>
      <w:bookmarkStart w:id="72" w:name="_Toc2706"/>
      <w:r>
        <w:rPr>
          <w:rFonts w:hint="eastAsia" w:eastAsia="黑体"/>
          <w:szCs w:val="22"/>
        </w:rPr>
        <w:t>一般规定</w:t>
      </w:r>
      <w:bookmarkEnd w:id="72"/>
    </w:p>
    <w:p w14:paraId="04FDDD09">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装配式混凝土楼梯安装施工前应编制专项施工方案，并对施工人员进行安全技术交底。专项施工方案中应有保障安全的措施。</w:t>
      </w:r>
    </w:p>
    <w:p w14:paraId="6082A5E3">
      <w:pPr>
        <w:pStyle w:val="235"/>
        <w:numPr>
          <w:ilvl w:val="2"/>
          <w:numId w:val="38"/>
        </w:numPr>
        <w:spacing w:before="156" w:after="156"/>
        <w:ind w:left="0"/>
        <w:jc w:val="both"/>
        <w:rPr>
          <w:rFonts w:ascii="Times New Roman" w:eastAsia="宋体"/>
          <w:szCs w:val="20"/>
        </w:rPr>
      </w:pPr>
      <w:r>
        <w:rPr>
          <w:rFonts w:hint="eastAsia" w:ascii="Times New Roman" w:eastAsia="宋体"/>
          <w:szCs w:val="20"/>
        </w:rPr>
        <w:t>施工现场应根据施工平面规划设置运输道路和堆放场地。运输道路及场地应平整、坚实，并设有排水措施。堆放场地应在吊装设备有效起重范围内。</w:t>
      </w:r>
    </w:p>
    <w:p w14:paraId="28C4C887">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装配式混凝土楼梯卸放、吊装工作范围内不得有障碍物，不应影响运输道路的正常使用。</w:t>
      </w:r>
    </w:p>
    <w:p w14:paraId="6AC743F9">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装配式混凝土楼梯的安装宜与结构楼层施工进度一致。</w:t>
      </w:r>
    </w:p>
    <w:p w14:paraId="4D6F7690">
      <w:pPr>
        <w:numPr>
          <w:ilvl w:val="1"/>
          <w:numId w:val="38"/>
        </w:numPr>
        <w:spacing w:beforeLines="50" w:afterLines="50"/>
        <w:outlineLvl w:val="1"/>
        <w:rPr>
          <w:rFonts w:eastAsia="黑体"/>
          <w:szCs w:val="22"/>
        </w:rPr>
      </w:pPr>
      <w:bookmarkStart w:id="73" w:name="_Toc22824"/>
      <w:r>
        <w:rPr>
          <w:rFonts w:hint="eastAsia" w:eastAsia="黑体"/>
          <w:szCs w:val="22"/>
        </w:rPr>
        <w:t>施工准备</w:t>
      </w:r>
      <w:bookmarkEnd w:id="73"/>
    </w:p>
    <w:p w14:paraId="3590BA0E">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装配式混凝土楼梯安装用材料及配件等应符合国家现行相关标准及产品应用技术手册的规定，并应按照国家现行相关标准的规定进行进场验收，未经验收或验收不合格的产品不得使用。</w:t>
      </w:r>
    </w:p>
    <w:p w14:paraId="7BFF979B">
      <w:pPr>
        <w:pStyle w:val="235"/>
        <w:numPr>
          <w:ilvl w:val="2"/>
          <w:numId w:val="38"/>
        </w:numPr>
        <w:spacing w:before="156" w:after="156"/>
        <w:ind w:left="0"/>
        <w:jc w:val="both"/>
        <w:rPr>
          <w:rFonts w:ascii="Times New Roman" w:eastAsia="宋体"/>
          <w:szCs w:val="20"/>
        </w:rPr>
      </w:pPr>
      <w:r>
        <w:rPr>
          <w:rFonts w:hint="eastAsia" w:ascii="Times New Roman" w:eastAsia="宋体"/>
          <w:szCs w:val="20"/>
        </w:rPr>
        <w:t>安装施工前，应核对已施工完成结构的混凝土强度、外观质量、预留预埋的尺寸偏差等，并应核对装配式混凝土楼梯混凝土强度及配件的型号、规格、数量等符合设计要求。</w:t>
      </w:r>
    </w:p>
    <w:p w14:paraId="0CB62BF7">
      <w:pPr>
        <w:pStyle w:val="235"/>
        <w:numPr>
          <w:ilvl w:val="2"/>
          <w:numId w:val="38"/>
        </w:numPr>
        <w:spacing w:before="156" w:after="156"/>
        <w:ind w:left="0"/>
        <w:jc w:val="both"/>
        <w:rPr>
          <w:rFonts w:ascii="Times New Roman" w:eastAsia="宋体"/>
          <w:szCs w:val="20"/>
        </w:rPr>
      </w:pPr>
      <w:r>
        <w:rPr>
          <w:rFonts w:hint="eastAsia" w:ascii="Times New Roman" w:eastAsia="宋体"/>
          <w:szCs w:val="20"/>
        </w:rPr>
        <w:t>安装施工前，应复核吊装设备的吊装能力。应按《建筑机械使用安全技术规程》JGJ 33的有关规定，检查复核吊装设备及吊具处于安全操作状态，并核实现场环境、天气、道路状况等满足吊装施工要求。</w:t>
      </w:r>
    </w:p>
    <w:p w14:paraId="045B8AE5">
      <w:pPr>
        <w:pStyle w:val="235"/>
        <w:numPr>
          <w:ilvl w:val="2"/>
          <w:numId w:val="38"/>
        </w:numPr>
        <w:spacing w:before="156" w:after="156"/>
        <w:ind w:left="0"/>
        <w:jc w:val="both"/>
        <w:rPr>
          <w:rFonts w:ascii="Times New Roman" w:eastAsia="宋体"/>
          <w:szCs w:val="20"/>
        </w:rPr>
      </w:pPr>
      <w:r>
        <w:rPr>
          <w:rFonts w:hint="eastAsia" w:ascii="Times New Roman" w:eastAsia="宋体"/>
          <w:szCs w:val="20"/>
        </w:rPr>
        <w:t>安装施工前，防护系统应按照施工方案进行搭设、验收。高处作业人员应正确使用安全防护用品，宜使用工具式操作架进行安全安装作业。</w:t>
      </w:r>
    </w:p>
    <w:p w14:paraId="1A913DB4">
      <w:pPr>
        <w:pStyle w:val="235"/>
        <w:numPr>
          <w:ilvl w:val="2"/>
          <w:numId w:val="38"/>
        </w:numPr>
        <w:spacing w:before="156" w:after="156"/>
        <w:ind w:left="0"/>
        <w:jc w:val="both"/>
        <w:rPr>
          <w:rFonts w:ascii="Times New Roman" w:eastAsia="宋体"/>
          <w:szCs w:val="20"/>
        </w:rPr>
      </w:pPr>
      <w:r>
        <w:rPr>
          <w:rFonts w:hint="eastAsia" w:ascii="Times New Roman" w:eastAsia="宋体"/>
          <w:szCs w:val="20"/>
        </w:rPr>
        <w:t>吊装作业区应实施隔离封闭管理，并应设置警戒线和警戒标识；对无法隔离封闭的，应采取专项防护措施。</w:t>
      </w:r>
    </w:p>
    <w:p w14:paraId="6F5E2707">
      <w:pPr>
        <w:numPr>
          <w:ilvl w:val="1"/>
          <w:numId w:val="38"/>
        </w:numPr>
        <w:spacing w:beforeLines="50" w:afterLines="50"/>
        <w:outlineLvl w:val="1"/>
        <w:rPr>
          <w:rFonts w:eastAsia="黑体"/>
          <w:szCs w:val="22"/>
        </w:rPr>
      </w:pPr>
      <w:bookmarkStart w:id="74" w:name="_Toc7669"/>
      <w:r>
        <w:rPr>
          <w:rFonts w:hint="eastAsia" w:eastAsia="黑体"/>
          <w:szCs w:val="22"/>
        </w:rPr>
        <w:t>现场安装</w:t>
      </w:r>
      <w:bookmarkEnd w:id="74"/>
    </w:p>
    <w:p w14:paraId="146E15DF">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装配式混凝土楼梯安装用材料及配件等应符合国家现行相关标准及产品应用技术手册的规定，并应按照国家现行相关标准的规定进行进场验收，未经验收或验收不合格的产品不得使用。</w:t>
      </w:r>
    </w:p>
    <w:p w14:paraId="133F682B">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装配式混凝土楼梯每班吊装作业前应试吊一次，确认起重设备与通信设施工作正常、吊具连接可靠。</w:t>
      </w:r>
    </w:p>
    <w:p w14:paraId="47151CC0">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装配式混凝土楼梯每次起吊脱离运输车辆或堆放点时，应适当停顿，确认起吊系统安全可靠后继续提升。</w:t>
      </w:r>
    </w:p>
    <w:p w14:paraId="417CE895">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装配式混凝土楼梯起吊、移动、就位的全过程中，信号工、司索工、起重机械司机应保持通讯畅通并协调一致。信号不明时不得吊运和安装。</w:t>
      </w:r>
    </w:p>
    <w:p w14:paraId="277801C4">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装配式混凝土楼梯吊装应符合下列规定：</w:t>
      </w:r>
    </w:p>
    <w:p w14:paraId="7DD0FC5E">
      <w:pPr>
        <w:pStyle w:val="248"/>
        <w:numPr>
          <w:ilvl w:val="0"/>
          <w:numId w:val="39"/>
        </w:numPr>
        <w:ind w:left="735" w:leftChars="150" w:hanging="420" w:hangingChars="200"/>
      </w:pPr>
      <w:r>
        <w:rPr>
          <w:rFonts w:hint="eastAsia"/>
        </w:rPr>
        <w:t>应按国家现行有关标准的规定和设计方案的要求对吊具进行检查，同时应根据当天的作业内容进行班前安全技术交底；</w:t>
      </w:r>
    </w:p>
    <w:p w14:paraId="26E19151">
      <w:pPr>
        <w:pStyle w:val="248"/>
        <w:numPr>
          <w:ilvl w:val="0"/>
          <w:numId w:val="39"/>
        </w:numPr>
        <w:ind w:left="735" w:leftChars="150" w:hanging="420" w:hangingChars="200"/>
      </w:pPr>
      <w:r>
        <w:rPr>
          <w:rFonts w:hint="eastAsia"/>
        </w:rPr>
        <w:t>使用专用吊具，保证每个吊点受力均匀一致；</w:t>
      </w:r>
    </w:p>
    <w:p w14:paraId="5D9B0AA4">
      <w:pPr>
        <w:pStyle w:val="248"/>
        <w:numPr>
          <w:ilvl w:val="0"/>
          <w:numId w:val="39"/>
        </w:numPr>
        <w:ind w:left="735" w:leftChars="150" w:hanging="420" w:hangingChars="200"/>
      </w:pPr>
      <w:r>
        <w:rPr>
          <w:rFonts w:hint="eastAsia"/>
        </w:rPr>
        <w:t>应核对装配式混凝土楼梯的规格和编号，吊装过程应严格按编号顺序进行；</w:t>
      </w:r>
    </w:p>
    <w:p w14:paraId="42BA18A2">
      <w:pPr>
        <w:pStyle w:val="248"/>
        <w:numPr>
          <w:ilvl w:val="0"/>
          <w:numId w:val="39"/>
        </w:numPr>
        <w:ind w:left="735" w:leftChars="150" w:hanging="420" w:hangingChars="200"/>
      </w:pPr>
      <w:r>
        <w:rPr>
          <w:rFonts w:hint="eastAsia"/>
        </w:rPr>
        <w:t>应垂直吊运，严禁斜拉、斜吊；</w:t>
      </w:r>
    </w:p>
    <w:p w14:paraId="7EB5E17A">
      <w:pPr>
        <w:pStyle w:val="248"/>
        <w:numPr>
          <w:ilvl w:val="0"/>
          <w:numId w:val="39"/>
        </w:numPr>
        <w:ind w:left="735" w:leftChars="150" w:hanging="420" w:hangingChars="200"/>
      </w:pPr>
      <w:r>
        <w:rPr>
          <w:rFonts w:hint="eastAsia"/>
        </w:rPr>
        <w:t>优先采用从运输车辆上直接吊装，以避免二次倒运；</w:t>
      </w:r>
    </w:p>
    <w:p w14:paraId="63CBDA25">
      <w:pPr>
        <w:pStyle w:val="248"/>
        <w:numPr>
          <w:ilvl w:val="0"/>
          <w:numId w:val="39"/>
        </w:numPr>
        <w:ind w:left="735" w:leftChars="150" w:hanging="420" w:hangingChars="200"/>
      </w:pPr>
      <w:r>
        <w:rPr>
          <w:rFonts w:hint="eastAsia"/>
        </w:rPr>
        <w:t>在吊装过程中，宜设置缆风绳控制楼梯转动。</w:t>
      </w:r>
    </w:p>
    <w:p w14:paraId="4083E0C3">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装配式混凝土楼梯吊装就位后，应及时对安装位置、安装标高、平整度、高低差及拼缝尺寸进行校核与调整。</w:t>
      </w:r>
    </w:p>
    <w:p w14:paraId="6E9EFB5C">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装配式混凝土楼梯安装应符合下列规定：</w:t>
      </w:r>
    </w:p>
    <w:p w14:paraId="25B2514E">
      <w:pPr>
        <w:pStyle w:val="248"/>
        <w:numPr>
          <w:ilvl w:val="0"/>
          <w:numId w:val="40"/>
        </w:numPr>
        <w:ind w:left="735" w:leftChars="150" w:hanging="420" w:hangingChars="200"/>
      </w:pPr>
      <w:r>
        <w:rPr>
          <w:rFonts w:hint="eastAsia"/>
        </w:rPr>
        <w:t>安装前应检查支座顶面标高及支撑面的平整度是否符合设计要求；</w:t>
      </w:r>
    </w:p>
    <w:p w14:paraId="54E52EE5">
      <w:pPr>
        <w:pStyle w:val="248"/>
        <w:numPr>
          <w:ilvl w:val="0"/>
          <w:numId w:val="40"/>
        </w:numPr>
        <w:ind w:left="735" w:leftChars="150" w:hanging="420" w:hangingChars="200"/>
      </w:pPr>
      <w:r>
        <w:rPr>
          <w:rFonts w:hint="eastAsia"/>
        </w:rPr>
        <w:t>装配式混凝土楼梯端部的搁置长度应符合设计要求，端部与支承构件之间宜坐浆或设置支承垫块，坐浆或支承垫块厚度不宜大于20mm；</w:t>
      </w:r>
    </w:p>
    <w:p w14:paraId="7F41C34E">
      <w:pPr>
        <w:pStyle w:val="248"/>
        <w:numPr>
          <w:ilvl w:val="0"/>
          <w:numId w:val="40"/>
        </w:numPr>
        <w:ind w:left="735" w:leftChars="150" w:hanging="420" w:hangingChars="200"/>
      </w:pPr>
      <w:r>
        <w:rPr>
          <w:rFonts w:hint="eastAsia"/>
        </w:rPr>
        <w:t>装配式混凝土楼梯的安装孔应穿过主体结构支撑构件上的预埋锚筋或锚栓，预埋锚筋或锚栓的长度、规格、位置应满足设计要求；</w:t>
      </w:r>
    </w:p>
    <w:p w14:paraId="100E95BE">
      <w:pPr>
        <w:pStyle w:val="248"/>
        <w:numPr>
          <w:ilvl w:val="0"/>
          <w:numId w:val="40"/>
        </w:numPr>
        <w:ind w:left="735" w:leftChars="150" w:hanging="420" w:hangingChars="200"/>
      </w:pPr>
      <w:r>
        <w:rPr>
          <w:rFonts w:hint="eastAsia"/>
        </w:rPr>
        <w:t>装配式混凝土楼梯端部接缝宽度应满足设计要求；</w:t>
      </w:r>
    </w:p>
    <w:p w14:paraId="0BA0735F">
      <w:pPr>
        <w:pStyle w:val="248"/>
        <w:numPr>
          <w:ilvl w:val="0"/>
          <w:numId w:val="40"/>
        </w:numPr>
        <w:ind w:left="735" w:leftChars="150" w:hanging="420" w:hangingChars="200"/>
      </w:pPr>
      <w:r>
        <w:rPr>
          <w:rFonts w:hint="eastAsia"/>
        </w:rPr>
        <w:t>装配式混凝土楼梯吊装完后应对板底接缝高差进行校核。如板底接缝高差不满足设计要求，应将构件重新起吊，通过可调托座进行调节。</w:t>
      </w:r>
    </w:p>
    <w:p w14:paraId="5D77E1D3">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采用隔震橡胶支座的装配式混凝土楼梯，隔震支座的安装施工应符合《建筑隔震工程施工及验收规范》JGJ 360的有关规定。</w:t>
      </w:r>
    </w:p>
    <w:p w14:paraId="427321D7">
      <w:pPr>
        <w:numPr>
          <w:ilvl w:val="0"/>
          <w:numId w:val="32"/>
        </w:numPr>
        <w:adjustRightInd/>
        <w:spacing w:beforeLines="100" w:afterLines="100" w:line="240" w:lineRule="auto"/>
        <w:ind w:left="0"/>
        <w:outlineLvl w:val="0"/>
        <w:rPr>
          <w:rFonts w:hint="eastAsia" w:eastAsia="黑体"/>
          <w:szCs w:val="22"/>
        </w:rPr>
      </w:pPr>
      <w:bookmarkStart w:id="75" w:name="_Toc21520"/>
      <w:r>
        <w:rPr>
          <w:rFonts w:hint="eastAsia" w:eastAsia="黑体"/>
          <w:szCs w:val="22"/>
        </w:rPr>
        <w:t>质量检验</w:t>
      </w:r>
      <w:bookmarkEnd w:id="75"/>
    </w:p>
    <w:p w14:paraId="5510EC2A">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装配式混凝土楼梯的质量检验应符合《混凝土结构工程施工质量验收规范》GB 50204的有关规定。</w:t>
      </w:r>
    </w:p>
    <w:p w14:paraId="58218B33">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装配式混凝土楼梯隔震支座的检验应符合《建筑隔震工程施工及验收规范》JGJ 360的有关规定。</w:t>
      </w:r>
    </w:p>
    <w:p w14:paraId="6DD4FB39">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装配式混凝土楼梯端部接缝和安装孔封堵前，应进行隐蔽工程检验。隐蔽工程检验应包含下列内容：</w:t>
      </w:r>
    </w:p>
    <w:p w14:paraId="78E9B0BE">
      <w:pPr>
        <w:pStyle w:val="248"/>
        <w:numPr>
          <w:ilvl w:val="0"/>
          <w:numId w:val="41"/>
        </w:numPr>
        <w:ind w:left="735" w:leftChars="150" w:hanging="420" w:hangingChars="200"/>
      </w:pPr>
      <w:r>
        <w:rPr>
          <w:rFonts w:hint="eastAsia"/>
        </w:rPr>
        <w:t>装配式混凝土楼梯的搁置长度；</w:t>
      </w:r>
    </w:p>
    <w:p w14:paraId="165E4A89">
      <w:pPr>
        <w:pStyle w:val="248"/>
        <w:numPr>
          <w:ilvl w:val="0"/>
          <w:numId w:val="41"/>
        </w:numPr>
        <w:ind w:left="735" w:leftChars="150" w:hanging="420" w:hangingChars="200"/>
      </w:pPr>
      <w:r>
        <w:rPr>
          <w:rFonts w:hint="eastAsia"/>
        </w:rPr>
        <w:t>装配式混凝土楼梯端部安装孔内预埋锚筋或锚栓的长度、规格、位置；</w:t>
      </w:r>
    </w:p>
    <w:p w14:paraId="4BBC0622">
      <w:pPr>
        <w:pStyle w:val="248"/>
        <w:numPr>
          <w:ilvl w:val="0"/>
          <w:numId w:val="41"/>
        </w:numPr>
        <w:ind w:left="735" w:leftChars="150" w:hanging="420" w:hangingChars="200"/>
      </w:pPr>
      <w:r>
        <w:rPr>
          <w:rFonts w:hint="eastAsia"/>
        </w:rPr>
        <w:t>装配式混凝土楼梯端部接缝宽度。</w:t>
      </w:r>
    </w:p>
    <w:p w14:paraId="6B762C8A">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装配式混凝土楼梯进场时，应检查质量证明文件和标识。</w:t>
      </w:r>
    </w:p>
    <w:p w14:paraId="2AF65CC5">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装配式混凝土楼梯的外观不应有严重缺陷，不应有影响结构性能和安装、使用功能的尺寸偏差。</w:t>
      </w:r>
    </w:p>
    <w:p w14:paraId="04641F86">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装配式混凝土楼梯上的预埋件、预留孔、预留洞等规格型号、数量应符合设计要求。</w:t>
      </w:r>
    </w:p>
    <w:p w14:paraId="015446FA">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隔震橡胶支座应进行见证检验，见证检验的技术内容和要求应符合《橡胶支座第3部分：建筑隔震橡胶支座》GB/T 20688.3和《建筑隔震橡胶支座》JG/T 118的有关规定。</w:t>
      </w:r>
    </w:p>
    <w:p w14:paraId="020460EC">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隔震橡胶支座的外观质量应符合表5的规定。</w:t>
      </w:r>
    </w:p>
    <w:p w14:paraId="14A55483">
      <w:pPr>
        <w:pStyle w:val="246"/>
      </w:pPr>
      <w:r>
        <w:rPr>
          <w:rFonts w:hint="eastAsia"/>
        </w:rPr>
        <w:t>表5　隔震橡胶支座外观质量要求</w:t>
      </w:r>
    </w:p>
    <w:tbl>
      <w:tblPr>
        <w:tblStyle w:val="25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62"/>
        <w:gridCol w:w="6800"/>
      </w:tblGrid>
      <w:tr w14:paraId="4903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3516BCA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缺陷名称</w:t>
            </w:r>
          </w:p>
        </w:tc>
        <w:tc>
          <w:tcPr>
            <w:tcW w:w="3631" w:type="pct"/>
            <w:vAlign w:val="center"/>
          </w:tcPr>
          <w:p w14:paraId="1B483A3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质量指标</w:t>
            </w:r>
          </w:p>
        </w:tc>
      </w:tr>
      <w:tr w14:paraId="1DD5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01B7203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表面</w:t>
            </w:r>
          </w:p>
        </w:tc>
        <w:tc>
          <w:tcPr>
            <w:tcW w:w="3631" w:type="pct"/>
            <w:vAlign w:val="center"/>
          </w:tcPr>
          <w:p w14:paraId="252533D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光滑平整，防腐涂层均匀光洁，无漏刷</w:t>
            </w:r>
          </w:p>
        </w:tc>
      </w:tr>
      <w:tr w14:paraId="51BA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280A4C9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气泡</w:t>
            </w:r>
          </w:p>
        </w:tc>
        <w:tc>
          <w:tcPr>
            <w:tcW w:w="3631" w:type="pct"/>
            <w:vAlign w:val="center"/>
          </w:tcPr>
          <w:p w14:paraId="256796A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单个表面气泡面积不超过50mm²</w:t>
            </w:r>
          </w:p>
        </w:tc>
      </w:tr>
      <w:tr w14:paraId="4430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57BD88C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杂质</w:t>
            </w:r>
          </w:p>
        </w:tc>
        <w:tc>
          <w:tcPr>
            <w:tcW w:w="3631" w:type="pct"/>
            <w:vAlign w:val="center"/>
          </w:tcPr>
          <w:p w14:paraId="0086987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杂质面积不超过30mm²</w:t>
            </w:r>
          </w:p>
        </w:tc>
      </w:tr>
      <w:tr w14:paraId="283C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1CA755B4">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缺胶</w:t>
            </w:r>
          </w:p>
        </w:tc>
        <w:tc>
          <w:tcPr>
            <w:tcW w:w="3631" w:type="pct"/>
            <w:vAlign w:val="center"/>
          </w:tcPr>
          <w:p w14:paraId="069217F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缺胶面积不超过150mm²</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不得多于2处，且内部嵌件不得外露</w:t>
            </w:r>
          </w:p>
        </w:tc>
      </w:tr>
      <w:tr w14:paraId="278E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192DE44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凹凸不平</w:t>
            </w:r>
          </w:p>
        </w:tc>
        <w:tc>
          <w:tcPr>
            <w:tcW w:w="3631" w:type="pct"/>
            <w:vAlign w:val="center"/>
          </w:tcPr>
          <w:p w14:paraId="06EAC00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凹凸不超过5mm</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面积不超过50mm²</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不得多于3处</w:t>
            </w:r>
          </w:p>
        </w:tc>
      </w:tr>
      <w:tr w14:paraId="26B17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3C8FD8A8">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胶钢粘结不牢</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上、下端面</w:t>
            </w:r>
            <w:r>
              <w:rPr>
                <w:rFonts w:hint="eastAsia" w:ascii="Times New Roman" w:hAnsi="Times New Roman" w:cs="Times New Roman"/>
                <w:sz w:val="21"/>
                <w:szCs w:val="21"/>
                <w:lang w:eastAsia="zh-CN"/>
              </w:rPr>
              <w:t>）</w:t>
            </w:r>
          </w:p>
        </w:tc>
        <w:tc>
          <w:tcPr>
            <w:tcW w:w="3631" w:type="pct"/>
            <w:vAlign w:val="center"/>
          </w:tcPr>
          <w:p w14:paraId="5E34BF7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裂纹长度不超过30mm</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深度不超过3mm</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不得多于3处</w:t>
            </w:r>
          </w:p>
        </w:tc>
      </w:tr>
      <w:tr w14:paraId="31E9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08249983">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裂纹</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侧面</w:t>
            </w:r>
            <w:r>
              <w:rPr>
                <w:rFonts w:hint="eastAsia" w:ascii="Times New Roman" w:hAnsi="Times New Roman" w:cs="Times New Roman"/>
                <w:sz w:val="21"/>
                <w:szCs w:val="21"/>
                <w:lang w:eastAsia="zh-CN"/>
              </w:rPr>
              <w:t>）</w:t>
            </w:r>
          </w:p>
        </w:tc>
        <w:tc>
          <w:tcPr>
            <w:tcW w:w="3631" w:type="pct"/>
            <w:vAlign w:val="center"/>
          </w:tcPr>
          <w:p w14:paraId="434A0FC0">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不应出现</w:t>
            </w:r>
          </w:p>
        </w:tc>
      </w:tr>
      <w:tr w14:paraId="3A464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pct"/>
            <w:vAlign w:val="center"/>
          </w:tcPr>
          <w:p w14:paraId="33F5658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钢板外露</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侧面</w:t>
            </w:r>
            <w:r>
              <w:rPr>
                <w:rFonts w:hint="eastAsia" w:ascii="Times New Roman" w:hAnsi="Times New Roman" w:cs="Times New Roman"/>
                <w:sz w:val="21"/>
                <w:szCs w:val="21"/>
                <w:lang w:eastAsia="zh-CN"/>
              </w:rPr>
              <w:t>）</w:t>
            </w:r>
          </w:p>
        </w:tc>
        <w:tc>
          <w:tcPr>
            <w:tcW w:w="3631" w:type="pct"/>
            <w:vAlign w:val="center"/>
          </w:tcPr>
          <w:p w14:paraId="38FC33BF">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不应出现</w:t>
            </w:r>
          </w:p>
        </w:tc>
      </w:tr>
    </w:tbl>
    <w:p w14:paraId="6753E9B1">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隔震橡胶支座的尺寸偏差应符合《橡胶支座第3部分：建筑隔震橡胶支座》GB/T 20688.3中的有关规定。</w:t>
      </w:r>
    </w:p>
    <w:p w14:paraId="0A624654">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隔震橡胶支座连接件的尺寸偏差、平整度及机械性能应符合《建筑隔震工程施工及验收规范》JGJ 360的有关规定。</w:t>
      </w:r>
    </w:p>
    <w:p w14:paraId="5A5326E8">
      <w:pPr>
        <w:pStyle w:val="235"/>
        <w:numPr>
          <w:ilvl w:val="2"/>
          <w:numId w:val="38"/>
        </w:numPr>
        <w:spacing w:before="156" w:after="156"/>
        <w:ind w:left="0"/>
        <w:jc w:val="both"/>
        <w:rPr>
          <w:rFonts w:ascii="Times New Roman" w:eastAsia="宋体"/>
          <w:szCs w:val="20"/>
        </w:rPr>
      </w:pPr>
      <w:r>
        <w:rPr>
          <w:rFonts w:hint="eastAsia" w:ascii="Times New Roman" w:eastAsia="宋体"/>
          <w:szCs w:val="20"/>
        </w:rPr>
        <w:t>隔震橡胶支座型号、数量、安装位置应符合设计要求。</w:t>
      </w:r>
    </w:p>
    <w:p w14:paraId="51F4A676">
      <w:pPr>
        <w:pStyle w:val="235"/>
        <w:numPr>
          <w:ilvl w:val="2"/>
          <w:numId w:val="38"/>
        </w:numPr>
        <w:spacing w:before="156" w:after="156"/>
        <w:ind w:left="0"/>
        <w:jc w:val="both"/>
        <w:rPr>
          <w:rFonts w:ascii="Times New Roman" w:eastAsia="宋体"/>
          <w:szCs w:val="20"/>
        </w:rPr>
      </w:pPr>
      <w:bookmarkStart w:id="76" w:name="bookmark27"/>
      <w:bookmarkEnd w:id="76"/>
      <w:r>
        <w:rPr>
          <w:rFonts w:hint="eastAsia" w:ascii="Times New Roman" w:eastAsia="宋体"/>
          <w:szCs w:val="20"/>
        </w:rPr>
        <w:t>装配式混凝土楼梯安装后的尺寸偏差应符合表6要求。</w:t>
      </w:r>
    </w:p>
    <w:p w14:paraId="65C2B8F9">
      <w:pPr>
        <w:pStyle w:val="246"/>
      </w:pPr>
      <w:r>
        <w:rPr>
          <w:rFonts w:hint="eastAsia"/>
        </w:rPr>
        <w:t>表6　装配式混凝土楼梯安装允许偏差及检验方法</w:t>
      </w:r>
    </w:p>
    <w:p w14:paraId="234BB0B7">
      <w:pPr>
        <w:spacing w:line="52" w:lineRule="exact"/>
      </w:pPr>
    </w:p>
    <w:tbl>
      <w:tblPr>
        <w:tblStyle w:val="25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59"/>
        <w:gridCol w:w="3298"/>
        <w:gridCol w:w="3903"/>
      </w:tblGrid>
      <w:tr w14:paraId="5AC3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blHeader/>
        </w:trPr>
        <w:tc>
          <w:tcPr>
            <w:tcW w:w="1153" w:type="pct"/>
            <w:vAlign w:val="center"/>
          </w:tcPr>
          <w:p w14:paraId="5018148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项目</w:t>
            </w:r>
          </w:p>
        </w:tc>
        <w:tc>
          <w:tcPr>
            <w:tcW w:w="1761" w:type="pct"/>
            <w:vAlign w:val="center"/>
          </w:tcPr>
          <w:p w14:paraId="3BB11B17">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允许偏差(mm)</w:t>
            </w:r>
          </w:p>
        </w:tc>
        <w:tc>
          <w:tcPr>
            <w:tcW w:w="2084" w:type="pct"/>
            <w:vAlign w:val="center"/>
          </w:tcPr>
          <w:p w14:paraId="6D6F0CC6">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检验方法</w:t>
            </w:r>
          </w:p>
        </w:tc>
      </w:tr>
      <w:tr w14:paraId="70C5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53" w:type="pct"/>
            <w:vAlign w:val="center"/>
          </w:tcPr>
          <w:p w14:paraId="3ACBDEC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中心线位置</w:t>
            </w:r>
          </w:p>
        </w:tc>
        <w:tc>
          <w:tcPr>
            <w:tcW w:w="1761" w:type="pct"/>
            <w:vAlign w:val="center"/>
          </w:tcPr>
          <w:p w14:paraId="03F821AB">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084" w:type="pct"/>
            <w:vAlign w:val="center"/>
          </w:tcPr>
          <w:p w14:paraId="5A63723E">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尺量检查</w:t>
            </w:r>
          </w:p>
        </w:tc>
      </w:tr>
      <w:tr w14:paraId="5B734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53" w:type="pct"/>
            <w:vAlign w:val="center"/>
          </w:tcPr>
          <w:p w14:paraId="56DE4272">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标高</w:t>
            </w:r>
          </w:p>
        </w:tc>
        <w:tc>
          <w:tcPr>
            <w:tcW w:w="1761" w:type="pct"/>
            <w:vAlign w:val="center"/>
          </w:tcPr>
          <w:p w14:paraId="6BFC0501">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084" w:type="pct"/>
            <w:vAlign w:val="center"/>
          </w:tcPr>
          <w:p w14:paraId="6F063849">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水准仪或尺量检查</w:t>
            </w:r>
          </w:p>
        </w:tc>
      </w:tr>
      <w:tr w14:paraId="166CB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53" w:type="pct"/>
            <w:vAlign w:val="center"/>
          </w:tcPr>
          <w:p w14:paraId="15643C3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板搁置长度</w:t>
            </w:r>
          </w:p>
        </w:tc>
        <w:tc>
          <w:tcPr>
            <w:tcW w:w="1761" w:type="pct"/>
            <w:vAlign w:val="center"/>
          </w:tcPr>
          <w:p w14:paraId="68E7CDBC">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±10</w:t>
            </w:r>
          </w:p>
        </w:tc>
        <w:tc>
          <w:tcPr>
            <w:tcW w:w="2084" w:type="pct"/>
            <w:vAlign w:val="center"/>
          </w:tcPr>
          <w:p w14:paraId="7BBB6A45">
            <w:pPr>
              <w:pStyle w:val="244"/>
              <w:rPr>
                <w:rFonts w:ascii="Times New Roman" w:hAnsi="Times New Roman" w:cs="Times New Roman"/>
                <w:sz w:val="21"/>
                <w:szCs w:val="21"/>
                <w:lang w:eastAsia="zh-CN"/>
              </w:rPr>
            </w:pPr>
            <w:r>
              <w:rPr>
                <w:rFonts w:ascii="Times New Roman" w:hAnsi="Times New Roman" w:cs="Times New Roman"/>
                <w:sz w:val="21"/>
                <w:szCs w:val="21"/>
                <w:lang w:eastAsia="zh-CN"/>
              </w:rPr>
              <w:t>尺量检查</w:t>
            </w:r>
          </w:p>
        </w:tc>
      </w:tr>
    </w:tbl>
    <w:p w14:paraId="662D3DEB">
      <w:pPr>
        <w:pStyle w:val="235"/>
        <w:numPr>
          <w:ilvl w:val="2"/>
          <w:numId w:val="38"/>
        </w:numPr>
        <w:spacing w:before="156" w:after="156"/>
        <w:ind w:left="0"/>
        <w:jc w:val="both"/>
        <w:rPr>
          <w:rFonts w:ascii="Times New Roman" w:eastAsia="宋体"/>
          <w:szCs w:val="20"/>
        </w:rPr>
      </w:pPr>
      <w:r>
        <w:rPr>
          <w:rFonts w:hint="eastAsia" w:ascii="Times New Roman" w:eastAsia="宋体"/>
          <w:szCs w:val="20"/>
        </w:rPr>
        <w:t>装配式混凝土楼梯端部接缝和安装孔封堵应均匀、顺直、密实、表面平滑，不应漏填。</w:t>
      </w:r>
    </w:p>
    <w:p w14:paraId="79D809FA">
      <w:pPr>
        <w:pStyle w:val="231"/>
        <w:ind w:firstLine="512"/>
        <w:rPr>
          <w:rFonts w:hAnsi="宋体" w:cs="宋体"/>
          <w:spacing w:val="-2"/>
          <w:sz w:val="26"/>
          <w:szCs w:val="26"/>
        </w:rPr>
      </w:pPr>
    </w:p>
    <w:p w14:paraId="78FDD9FF">
      <w:pPr>
        <w:pStyle w:val="231"/>
        <w:ind w:firstLine="0" w:firstLineChars="0"/>
        <w:rPr>
          <w:rFonts w:hAnsi="宋体" w:cs="宋体"/>
          <w:spacing w:val="-2"/>
          <w:sz w:val="26"/>
          <w:szCs w:val="26"/>
        </w:rPr>
      </w:pPr>
    </w:p>
    <w:sectPr>
      <w:footerReference r:id="rId14" w:type="default"/>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2C8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803D">
    <w:pPr>
      <w:pStyle w:val="17"/>
    </w:pPr>
    <w:r>
      <w:fldChar w:fldCharType="begin"/>
    </w:r>
    <w:r>
      <w:instrText xml:space="preserve">PAGE   \* MERGEFORMAT</w:instrText>
    </w:r>
    <w:r>
      <w:fldChar w:fldCharType="separate"/>
    </w:r>
    <w:r>
      <w:rPr>
        <w:lang w:val="zh-CN"/>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C8E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62AA">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B0D4">
    <w:pPr>
      <w:spacing w:before="120" w:after="120" w:line="167" w:lineRule="auto"/>
      <w:ind w:left="4084"/>
      <w:rPr>
        <w:rFonts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CA3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91F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6E0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785E">
    <w:pPr>
      <w:pStyle w:val="62"/>
    </w:pPr>
    <w:r>
      <w:fldChar w:fldCharType="begin"/>
    </w:r>
    <w:r>
      <w:instrText xml:space="preserve"> STYLEREF  标准文件_文件编号  \* MERGEFORMAT </w:instrText>
    </w:r>
    <w:r>
      <w:fldChar w:fldCharType="separate"/>
    </w:r>
    <w:r>
      <w:t>T/CASMESXXX—2024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2088">
    <w:pPr>
      <w:pStyle w:val="18"/>
      <w:jc w:val="right"/>
    </w:pPr>
    <w:r>
      <w:fldChar w:fldCharType="begin"/>
    </w:r>
    <w:r>
      <w:instrText xml:space="preserve"> STYLEREF  标准文件_文件编号  \* MERGEFORMAT </w:instrText>
    </w:r>
    <w:r>
      <w:fldChar w:fldCharType="separate"/>
    </w:r>
    <w:r>
      <w:t>T/CASMESXXX—2024</w:t>
    </w:r>
    <w:r>
      <w:rPr>
        <w:rFonts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848AB"/>
    <w:multiLevelType w:val="singleLevel"/>
    <w:tmpl w:val="991848AB"/>
    <w:lvl w:ilvl="0" w:tentative="0">
      <w:start w:val="1"/>
      <w:numFmt w:val="lowerLetter"/>
      <w:suff w:val="nothing"/>
      <w:lvlText w:val="%1)　"/>
      <w:lvlJc w:val="left"/>
    </w:lvl>
  </w:abstractNum>
  <w:abstractNum w:abstractNumId="1">
    <w:nsid w:val="A960B24B"/>
    <w:multiLevelType w:val="singleLevel"/>
    <w:tmpl w:val="A960B24B"/>
    <w:lvl w:ilvl="0" w:tentative="0">
      <w:start w:val="1"/>
      <w:numFmt w:val="lowerLetter"/>
      <w:suff w:val="nothing"/>
      <w:lvlText w:val="%1)　"/>
      <w:lvlJc w:val="left"/>
    </w:lvl>
  </w:abstractNum>
  <w:abstractNum w:abstractNumId="2">
    <w:nsid w:val="CEFB1B47"/>
    <w:multiLevelType w:val="singleLevel"/>
    <w:tmpl w:val="CEFB1B47"/>
    <w:lvl w:ilvl="0" w:tentative="0">
      <w:start w:val="1"/>
      <w:numFmt w:val="lowerLetter"/>
      <w:suff w:val="nothing"/>
      <w:lvlText w:val="%1)　"/>
      <w:lvlJc w:val="left"/>
    </w:lvl>
  </w:abstractNum>
  <w:abstractNum w:abstractNumId="3">
    <w:nsid w:val="F465AFB2"/>
    <w:multiLevelType w:val="singleLevel"/>
    <w:tmpl w:val="F465AFB2"/>
    <w:lvl w:ilvl="0" w:tentative="0">
      <w:start w:val="1"/>
      <w:numFmt w:val="lowerLetter"/>
      <w:suff w:val="nothing"/>
      <w:lvlText w:val="%1)　"/>
      <w:lvlJc w:val="left"/>
    </w:lvl>
  </w:abstractNum>
  <w:abstractNum w:abstractNumId="4">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1FC91163"/>
    <w:multiLevelType w:val="multilevel"/>
    <w:tmpl w:val="1FC91163"/>
    <w:lvl w:ilvl="0" w:tentative="0">
      <w:start w:val="1"/>
      <w:numFmt w:val="decimal"/>
      <w:pStyle w:val="234"/>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5"/>
      <w:suff w:val="nothing"/>
      <w:lvlText w:val="%1.%2.%3　"/>
      <w:lvlJc w:val="left"/>
      <w:pPr>
        <w:ind w:left="2553"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142" w:firstLine="0"/>
      </w:pPr>
      <w:rPr>
        <w:rFonts w:hint="eastAsia" w:ascii="黑体" w:hAnsi="Times New Roman" w:eastAsia="黑体"/>
        <w:b w:val="0"/>
        <w:i w:val="0"/>
        <w:sz w:val="21"/>
      </w:rPr>
    </w:lvl>
    <w:lvl w:ilvl="5" w:tentative="0">
      <w:start w:val="1"/>
      <w:numFmt w:val="decimal"/>
      <w:pStyle w:val="238"/>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5">
    <w:nsid w:val="24D8EE85"/>
    <w:multiLevelType w:val="singleLevel"/>
    <w:tmpl w:val="24D8EE85"/>
    <w:lvl w:ilvl="0" w:tentative="0">
      <w:start w:val="1"/>
      <w:numFmt w:val="lowerLetter"/>
      <w:suff w:val="nothing"/>
      <w:lvlText w:val="%1)　"/>
      <w:lvlJc w:val="left"/>
    </w:lvl>
  </w:abstractNum>
  <w:abstractNum w:abstractNumId="16">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2DB2C57E"/>
    <w:multiLevelType w:val="singleLevel"/>
    <w:tmpl w:val="2DB2C57E"/>
    <w:lvl w:ilvl="0" w:tentative="0">
      <w:start w:val="1"/>
      <w:numFmt w:val="lowerLetter"/>
      <w:suff w:val="nothing"/>
      <w:lvlText w:val="%1)　"/>
      <w:lvlJc w:val="left"/>
    </w:lvl>
  </w:abstractNum>
  <w:abstractNum w:abstractNumId="18">
    <w:nsid w:val="2E96CC30"/>
    <w:multiLevelType w:val="singleLevel"/>
    <w:tmpl w:val="2E96CC30"/>
    <w:lvl w:ilvl="0" w:tentative="0">
      <w:start w:val="1"/>
      <w:numFmt w:val="lowerLetter"/>
      <w:suff w:val="nothing"/>
      <w:lvlText w:val="%1)　"/>
      <w:lvlJc w:val="left"/>
    </w:lvl>
  </w:abstractNum>
  <w:abstractNum w:abstractNumId="19">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508F5D9"/>
    <w:multiLevelType w:val="singleLevel"/>
    <w:tmpl w:val="4508F5D9"/>
    <w:lvl w:ilvl="0" w:tentative="0">
      <w:start w:val="1"/>
      <w:numFmt w:val="lowerLetter"/>
      <w:suff w:val="nothing"/>
      <w:lvlText w:val="%1)　"/>
      <w:lvlJc w:val="left"/>
    </w:lvl>
  </w:abstractNum>
  <w:abstractNum w:abstractNumId="22">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2">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6"/>
  </w:num>
  <w:num w:numId="3">
    <w:abstractNumId w:val="9"/>
  </w:num>
  <w:num w:numId="4">
    <w:abstractNumId w:val="32"/>
  </w:num>
  <w:num w:numId="5">
    <w:abstractNumId w:val="27"/>
  </w:num>
  <w:num w:numId="6">
    <w:abstractNumId w:val="22"/>
  </w:num>
  <w:num w:numId="7">
    <w:abstractNumId w:val="12"/>
  </w:num>
  <w:num w:numId="8">
    <w:abstractNumId w:val="7"/>
  </w:num>
  <w:num w:numId="9">
    <w:abstractNumId w:val="13"/>
  </w:num>
  <w:num w:numId="10">
    <w:abstractNumId w:val="25"/>
  </w:num>
  <w:num w:numId="11">
    <w:abstractNumId w:val="34"/>
  </w:num>
  <w:num w:numId="12">
    <w:abstractNumId w:val="19"/>
  </w:num>
  <w:num w:numId="13">
    <w:abstractNumId w:val="20"/>
  </w:num>
  <w:num w:numId="14">
    <w:abstractNumId w:val="11"/>
  </w:num>
  <w:num w:numId="15">
    <w:abstractNumId w:val="28"/>
  </w:num>
  <w:num w:numId="16">
    <w:abstractNumId w:val="30"/>
  </w:num>
  <w:num w:numId="17">
    <w:abstractNumId w:val="26"/>
  </w:num>
  <w:num w:numId="18">
    <w:abstractNumId w:val="38"/>
  </w:num>
  <w:num w:numId="19">
    <w:abstractNumId w:val="24"/>
  </w:num>
  <w:num w:numId="20">
    <w:abstractNumId w:val="5"/>
  </w:num>
  <w:num w:numId="21">
    <w:abstractNumId w:val="16"/>
  </w:num>
  <w:num w:numId="22">
    <w:abstractNumId w:val="39"/>
  </w:num>
  <w:num w:numId="23">
    <w:abstractNumId w:val="29"/>
  </w:num>
  <w:num w:numId="24">
    <w:abstractNumId w:val="10"/>
  </w:num>
  <w:num w:numId="25">
    <w:abstractNumId w:val="35"/>
  </w:num>
  <w:num w:numId="26">
    <w:abstractNumId w:val="37"/>
  </w:num>
  <w:num w:numId="27">
    <w:abstractNumId w:val="6"/>
  </w:num>
  <w:num w:numId="28">
    <w:abstractNumId w:val="8"/>
  </w:num>
  <w:num w:numId="29">
    <w:abstractNumId w:val="23"/>
  </w:num>
  <w:num w:numId="30">
    <w:abstractNumId w:val="33"/>
  </w:num>
  <w:num w:numId="31">
    <w:abstractNumId w:val="31"/>
  </w:num>
  <w:num w:numId="32">
    <w:abstractNumId w:val="14"/>
  </w:num>
  <w:num w:numId="33">
    <w:abstractNumId w:val="18"/>
  </w:num>
  <w:num w:numId="34">
    <w:abstractNumId w:val="0"/>
  </w:num>
  <w:num w:numId="35">
    <w:abstractNumId w:val="2"/>
  </w:num>
  <w:num w:numId="36">
    <w:abstractNumId w:val="21"/>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mYzU0Y2FlZDZmN2I5MmNjM2M0YmY3YThiZTEyNTI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438"/>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10"/>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1411"/>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3F8"/>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61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428"/>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861"/>
    <w:rsid w:val="001A4CF3"/>
    <w:rsid w:val="001A7D80"/>
    <w:rsid w:val="001B06E8"/>
    <w:rsid w:val="001B0E70"/>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37254"/>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54B5"/>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05B"/>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464"/>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141B"/>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07D"/>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1F40"/>
    <w:rsid w:val="0045240E"/>
    <w:rsid w:val="00452D6B"/>
    <w:rsid w:val="004534E4"/>
    <w:rsid w:val="00453904"/>
    <w:rsid w:val="00454484"/>
    <w:rsid w:val="0045517B"/>
    <w:rsid w:val="00455ED7"/>
    <w:rsid w:val="00456DE6"/>
    <w:rsid w:val="00457347"/>
    <w:rsid w:val="00462503"/>
    <w:rsid w:val="00462B02"/>
    <w:rsid w:val="00463B77"/>
    <w:rsid w:val="00463C7B"/>
    <w:rsid w:val="00464335"/>
    <w:rsid w:val="004644A6"/>
    <w:rsid w:val="00464A55"/>
    <w:rsid w:val="004659BD"/>
    <w:rsid w:val="00470775"/>
    <w:rsid w:val="00470C5C"/>
    <w:rsid w:val="00471C7D"/>
    <w:rsid w:val="00472E5D"/>
    <w:rsid w:val="0047323F"/>
    <w:rsid w:val="004746B1"/>
    <w:rsid w:val="0047583F"/>
    <w:rsid w:val="00475DE8"/>
    <w:rsid w:val="0047699B"/>
    <w:rsid w:val="0047777C"/>
    <w:rsid w:val="00481C44"/>
    <w:rsid w:val="00484936"/>
    <w:rsid w:val="004855B1"/>
    <w:rsid w:val="00485C89"/>
    <w:rsid w:val="00485FCB"/>
    <w:rsid w:val="00486BE3"/>
    <w:rsid w:val="0048724A"/>
    <w:rsid w:val="00487C6C"/>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0CD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0A"/>
    <w:rsid w:val="005073F0"/>
    <w:rsid w:val="005103A4"/>
    <w:rsid w:val="005103C9"/>
    <w:rsid w:val="00510A7B"/>
    <w:rsid w:val="00510BC6"/>
    <w:rsid w:val="00512F6E"/>
    <w:rsid w:val="00513038"/>
    <w:rsid w:val="00514174"/>
    <w:rsid w:val="0051538B"/>
    <w:rsid w:val="0051549D"/>
    <w:rsid w:val="00516088"/>
    <w:rsid w:val="00516B0B"/>
    <w:rsid w:val="00517C33"/>
    <w:rsid w:val="005220EC"/>
    <w:rsid w:val="0052394D"/>
    <w:rsid w:val="00523F95"/>
    <w:rsid w:val="00524690"/>
    <w:rsid w:val="00524D65"/>
    <w:rsid w:val="00525B16"/>
    <w:rsid w:val="005264FE"/>
    <w:rsid w:val="00530752"/>
    <w:rsid w:val="005314B6"/>
    <w:rsid w:val="00533A63"/>
    <w:rsid w:val="00533D04"/>
    <w:rsid w:val="00534804"/>
    <w:rsid w:val="00534BDF"/>
    <w:rsid w:val="005354EA"/>
    <w:rsid w:val="0053585F"/>
    <w:rsid w:val="00535EC4"/>
    <w:rsid w:val="00535ED9"/>
    <w:rsid w:val="0053692B"/>
    <w:rsid w:val="00536D7A"/>
    <w:rsid w:val="00536EAB"/>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32F"/>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0C0"/>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9608C"/>
    <w:rsid w:val="006A07AA"/>
    <w:rsid w:val="006A0CBF"/>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0A6"/>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6F7A22"/>
    <w:rsid w:val="007002C5"/>
    <w:rsid w:val="00701ED8"/>
    <w:rsid w:val="0070389A"/>
    <w:rsid w:val="00704045"/>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41E"/>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5CB"/>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2B3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0D7C"/>
    <w:rsid w:val="009C1E30"/>
    <w:rsid w:val="009C27F1"/>
    <w:rsid w:val="009C3152"/>
    <w:rsid w:val="009C451B"/>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D13"/>
    <w:rsid w:val="009E0F62"/>
    <w:rsid w:val="009E1688"/>
    <w:rsid w:val="009E3A73"/>
    <w:rsid w:val="009E4A58"/>
    <w:rsid w:val="009E5A2D"/>
    <w:rsid w:val="009E5AB2"/>
    <w:rsid w:val="009E5CBD"/>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3B8"/>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06"/>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A92"/>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58B2"/>
    <w:rsid w:val="00C163E4"/>
    <w:rsid w:val="00C16707"/>
    <w:rsid w:val="00C17304"/>
    <w:rsid w:val="00C17DA8"/>
    <w:rsid w:val="00C17EE7"/>
    <w:rsid w:val="00C21540"/>
    <w:rsid w:val="00C21906"/>
    <w:rsid w:val="00C21BFA"/>
    <w:rsid w:val="00C22148"/>
    <w:rsid w:val="00C22E6A"/>
    <w:rsid w:val="00C24C8D"/>
    <w:rsid w:val="00C25301"/>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09AB"/>
    <w:rsid w:val="00C9174C"/>
    <w:rsid w:val="00C92D03"/>
    <w:rsid w:val="00C9319C"/>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492"/>
    <w:rsid w:val="00DB38EE"/>
    <w:rsid w:val="00DB498B"/>
    <w:rsid w:val="00DB66CA"/>
    <w:rsid w:val="00DB6BCA"/>
    <w:rsid w:val="00DB73F7"/>
    <w:rsid w:val="00DB7B6D"/>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6D5"/>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933"/>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0792"/>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2445A7A"/>
    <w:rsid w:val="026D3DCB"/>
    <w:rsid w:val="04FF2A44"/>
    <w:rsid w:val="060519C4"/>
    <w:rsid w:val="0607634B"/>
    <w:rsid w:val="079E6DBB"/>
    <w:rsid w:val="0A88671E"/>
    <w:rsid w:val="0AF53DB5"/>
    <w:rsid w:val="0CC93333"/>
    <w:rsid w:val="0CC9374C"/>
    <w:rsid w:val="0CE40585"/>
    <w:rsid w:val="0F9E234A"/>
    <w:rsid w:val="13FF3EF7"/>
    <w:rsid w:val="14301BF6"/>
    <w:rsid w:val="150A2AD5"/>
    <w:rsid w:val="169D3553"/>
    <w:rsid w:val="1A6F63C1"/>
    <w:rsid w:val="1C3C7493"/>
    <w:rsid w:val="1CF24A3D"/>
    <w:rsid w:val="1F0F683B"/>
    <w:rsid w:val="1FDC50EC"/>
    <w:rsid w:val="213D3E29"/>
    <w:rsid w:val="214D5963"/>
    <w:rsid w:val="2326195D"/>
    <w:rsid w:val="243674C1"/>
    <w:rsid w:val="249F1D0A"/>
    <w:rsid w:val="29660278"/>
    <w:rsid w:val="2A84026B"/>
    <w:rsid w:val="2B83570A"/>
    <w:rsid w:val="2BE051DE"/>
    <w:rsid w:val="2CE35D0C"/>
    <w:rsid w:val="2DBA01FC"/>
    <w:rsid w:val="2DF16206"/>
    <w:rsid w:val="30703D5A"/>
    <w:rsid w:val="30714A44"/>
    <w:rsid w:val="31321010"/>
    <w:rsid w:val="342033A2"/>
    <w:rsid w:val="379F24D0"/>
    <w:rsid w:val="3B087BCE"/>
    <w:rsid w:val="3B546F29"/>
    <w:rsid w:val="435E7A42"/>
    <w:rsid w:val="4587143D"/>
    <w:rsid w:val="469D7FC7"/>
    <w:rsid w:val="49017B75"/>
    <w:rsid w:val="491D2E41"/>
    <w:rsid w:val="492E435B"/>
    <w:rsid w:val="4ABD75C0"/>
    <w:rsid w:val="4EBC619A"/>
    <w:rsid w:val="50151DD1"/>
    <w:rsid w:val="504A7CCC"/>
    <w:rsid w:val="50B213CE"/>
    <w:rsid w:val="5353270F"/>
    <w:rsid w:val="543C16DA"/>
    <w:rsid w:val="59701E26"/>
    <w:rsid w:val="5B105E0A"/>
    <w:rsid w:val="61693D2A"/>
    <w:rsid w:val="656E5DB3"/>
    <w:rsid w:val="65ED4F2A"/>
    <w:rsid w:val="66444FD8"/>
    <w:rsid w:val="69596EDD"/>
    <w:rsid w:val="6AA67D9D"/>
    <w:rsid w:val="6B5275DD"/>
    <w:rsid w:val="6C9124A9"/>
    <w:rsid w:val="71C36127"/>
    <w:rsid w:val="72E61D7D"/>
    <w:rsid w:val="73E32D58"/>
    <w:rsid w:val="74DD0860"/>
    <w:rsid w:val="76CF5C26"/>
    <w:rsid w:val="792C75B3"/>
    <w:rsid w:val="7A6441B7"/>
    <w:rsid w:val="7CD6006E"/>
    <w:rsid w:val="7CE05937"/>
    <w:rsid w:val="7D104E4C"/>
    <w:rsid w:val="7E257505"/>
    <w:rsid w:val="7EA172FE"/>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0"/>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4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link w:val="24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ind w:left="0"/>
      <w:outlineLvl w:val="5"/>
    </w:pPr>
  </w:style>
  <w:style w:type="paragraph" w:customStyle="1" w:styleId="238">
    <w:name w:val="五级条标题"/>
    <w:basedOn w:val="237"/>
    <w:next w:val="231"/>
    <w:qFormat/>
    <w:uiPriority w:val="0"/>
    <w:pPr>
      <w:numPr>
        <w:ilvl w:val="5"/>
      </w:numPr>
      <w:ind w:left="0"/>
      <w:outlineLvl w:val="6"/>
    </w:pPr>
  </w:style>
  <w:style w:type="paragraph" w:customStyle="1" w:styleId="239">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0">
    <w:name w:val="一级条标题 Char"/>
    <w:link w:val="233"/>
    <w:qFormat/>
    <w:uiPriority w:val="0"/>
    <w:rPr>
      <w:rFonts w:ascii="黑体" w:hAnsi="Times New Roman" w:eastAsia="黑体"/>
      <w:sz w:val="21"/>
      <w:szCs w:val="21"/>
    </w:rPr>
  </w:style>
  <w:style w:type="character" w:customStyle="1" w:styleId="241">
    <w:name w:val="二级条标题 Char"/>
    <w:basedOn w:val="240"/>
    <w:link w:val="235"/>
    <w:qFormat/>
    <w:uiPriority w:val="0"/>
    <w:rPr>
      <w:rFonts w:ascii="黑体" w:hAnsi="Times New Roman" w:eastAsia="黑体"/>
      <w:sz w:val="21"/>
      <w:szCs w:val="21"/>
    </w:rPr>
  </w:style>
  <w:style w:type="character" w:customStyle="1" w:styleId="242">
    <w:name w:val="二级无 Char"/>
    <w:link w:val="243"/>
    <w:qFormat/>
    <w:uiPriority w:val="0"/>
    <w:rPr>
      <w:rFonts w:ascii="宋体"/>
      <w:sz w:val="21"/>
      <w:szCs w:val="21"/>
    </w:rPr>
  </w:style>
  <w:style w:type="paragraph" w:customStyle="1" w:styleId="243">
    <w:name w:val="二级无"/>
    <w:basedOn w:val="1"/>
    <w:link w:val="242"/>
    <w:qFormat/>
    <w:uiPriority w:val="0"/>
    <w:pPr>
      <w:widowControl/>
      <w:adjustRightInd/>
      <w:spacing w:line="240" w:lineRule="auto"/>
      <w:jc w:val="left"/>
      <w:outlineLvl w:val="3"/>
    </w:pPr>
    <w:rPr>
      <w:rFonts w:ascii="宋体"/>
      <w:kern w:val="0"/>
    </w:rPr>
  </w:style>
  <w:style w:type="paragraph" w:customStyle="1" w:styleId="244">
    <w:name w:val="表格内文字"/>
    <w:basedOn w:val="1"/>
    <w:link w:val="245"/>
    <w:qFormat/>
    <w:uiPriority w:val="0"/>
    <w:pPr>
      <w:adjustRightInd/>
      <w:spacing w:line="240" w:lineRule="auto"/>
      <w:jc w:val="center"/>
    </w:pPr>
    <w:rPr>
      <w:rFonts w:ascii="宋体" w:hAnsi="宋体" w:cs="宋体"/>
      <w:kern w:val="0"/>
      <w:sz w:val="18"/>
      <w:szCs w:val="18"/>
      <w:shd w:val="clear" w:color="auto" w:fill="FFFFFF"/>
      <w:lang w:val="zh-TW" w:eastAsia="zh-TW"/>
    </w:rPr>
  </w:style>
  <w:style w:type="character" w:customStyle="1" w:styleId="245">
    <w:name w:val="表格内文字 Char"/>
    <w:link w:val="244"/>
    <w:qFormat/>
    <w:uiPriority w:val="0"/>
    <w:rPr>
      <w:rFonts w:ascii="宋体" w:hAnsi="宋体" w:cs="宋体"/>
      <w:sz w:val="18"/>
      <w:szCs w:val="18"/>
      <w:lang w:val="zh-TW" w:eastAsia="zh-TW"/>
    </w:rPr>
  </w:style>
  <w:style w:type="paragraph" w:customStyle="1" w:styleId="246">
    <w:name w:val="图表明"/>
    <w:basedOn w:val="231"/>
    <w:link w:val="247"/>
    <w:qFormat/>
    <w:uiPriority w:val="0"/>
    <w:pPr>
      <w:ind w:firstLine="0" w:firstLineChars="0"/>
      <w:jc w:val="center"/>
    </w:pPr>
    <w:rPr>
      <w:rFonts w:hAnsi="宋体"/>
      <w:szCs w:val="21"/>
    </w:rPr>
  </w:style>
  <w:style w:type="character" w:customStyle="1" w:styleId="247">
    <w:name w:val="图表明 Char"/>
    <w:link w:val="246"/>
    <w:qFormat/>
    <w:uiPriority w:val="0"/>
    <w:rPr>
      <w:rFonts w:ascii="宋体" w:hAnsi="宋体"/>
      <w:sz w:val="21"/>
      <w:szCs w:val="21"/>
    </w:rPr>
  </w:style>
  <w:style w:type="paragraph" w:customStyle="1" w:styleId="248">
    <w:name w:val="a)"/>
    <w:basedOn w:val="1"/>
    <w:link w:val="249"/>
    <w:qFormat/>
    <w:uiPriority w:val="0"/>
    <w:pPr>
      <w:adjustRightInd/>
      <w:spacing w:line="240" w:lineRule="auto"/>
      <w:ind w:firstLine="150" w:firstLineChars="150"/>
    </w:pPr>
    <w:rPr>
      <w:rFonts w:ascii="宋体" w:hAnsi="宋体"/>
      <w:szCs w:val="24"/>
    </w:rPr>
  </w:style>
  <w:style w:type="character" w:customStyle="1" w:styleId="249">
    <w:name w:val="a) Char"/>
    <w:link w:val="248"/>
    <w:qFormat/>
    <w:uiPriority w:val="0"/>
    <w:rPr>
      <w:rFonts w:ascii="宋体" w:hAnsi="宋体"/>
      <w:kern w:val="2"/>
      <w:sz w:val="21"/>
      <w:szCs w:val="24"/>
    </w:rPr>
  </w:style>
  <w:style w:type="paragraph" w:customStyle="1" w:styleId="250">
    <w:name w:val="Table Text"/>
    <w:basedOn w:val="1"/>
    <w:semiHidden/>
    <w:qFormat/>
    <w:uiPriority w:val="0"/>
    <w:rPr>
      <w:rFonts w:ascii="宋体" w:hAnsi="宋体" w:cs="宋体"/>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597A9-10B9-4D83-BE1A-B5BFB2EE01D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13</Pages>
  <Words>6577</Words>
  <Characters>7186</Characters>
  <Lines>82</Lines>
  <Paragraphs>23</Paragraphs>
  <TotalTime>34</TotalTime>
  <ScaleCrop>false</ScaleCrop>
  <LinksUpToDate>false</LinksUpToDate>
  <CharactersWithSpaces>7392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2023-05-09T05:20:00Z</dcterms:created>
  <dc:creator>17323</dc:creator>
  <dc:description>&lt;config cover="true" show_menu="true" version="1.0.0" doctype="SDKXY"&gt;
&lt;/config&gt;</dc:description>
  <cp:lastModifiedBy>一起看星星吧</cp:lastModifiedBy>
  <cp:lastPrinted>2022-08-18T04:31:00Z</cp:lastPrinted>
  <dcterms:modified xsi:type="dcterms:W3CDTF">2024-11-08T07:49:36Z</dcterms:modified>
  <dc:title>地方标准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0D817D59B9E74E6EB5FA9C926E952571_13</vt:lpwstr>
  </property>
</Properties>
</file>