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F2A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967594">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 xml:space="preserve">ICS </w:t>
            </w:r>
          </w:p>
        </w:tc>
        <w:tc>
          <w:tcPr>
            <w:tcW w:w="8855" w:type="dxa"/>
          </w:tcPr>
          <w:p w14:paraId="1B670F1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91</w:t>
            </w:r>
            <w:r>
              <w:rPr>
                <w:rFonts w:ascii="黑体" w:hAnsi="黑体" w:eastAsia="黑体"/>
                <w:sz w:val="21"/>
                <w:szCs w:val="21"/>
              </w:rPr>
              <w:t>.0</w:t>
            </w:r>
            <w:r>
              <w:rPr>
                <w:rFonts w:hint="eastAsia" w:ascii="黑体" w:hAnsi="黑体" w:eastAsia="黑体"/>
                <w:sz w:val="21"/>
                <w:szCs w:val="21"/>
              </w:rPr>
              <w:t>8</w:t>
            </w:r>
            <w:r>
              <w:rPr>
                <w:rFonts w:ascii="黑体" w:hAnsi="黑体" w:eastAsia="黑体"/>
                <w:sz w:val="21"/>
                <w:szCs w:val="21"/>
              </w:rPr>
              <w:t>0.40</w:t>
            </w:r>
          </w:p>
        </w:tc>
      </w:tr>
      <w:tr w14:paraId="3E2F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B7AF73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CCS</w:t>
            </w:r>
          </w:p>
        </w:tc>
        <w:tc>
          <w:tcPr>
            <w:tcW w:w="8855" w:type="dxa"/>
          </w:tcPr>
          <w:p w14:paraId="7E52EA2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 xml:space="preserve">P </w:t>
            </w:r>
            <w:r>
              <w:rPr>
                <w:rFonts w:hint="eastAsia" w:ascii="黑体" w:hAnsi="黑体" w:eastAsia="黑体"/>
                <w:sz w:val="21"/>
                <w:szCs w:val="21"/>
              </w:rPr>
              <w:t>25</w:t>
            </w:r>
          </w:p>
        </w:tc>
      </w:tr>
    </w:tbl>
    <w:p w14:paraId="5D40413C">
      <w:pPr>
        <w:pStyle w:val="51"/>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团体标准</w:t>
      </w:r>
    </w:p>
    <w:bookmarkEnd w:id="0"/>
    <w:p w14:paraId="17C5DD13">
      <w:pPr>
        <w:pStyle w:val="196"/>
      </w:pPr>
      <w:r>
        <w:t>T/CASMESXXX</w:t>
      </w:r>
      <w:r>
        <w:rPr>
          <w:rFonts w:hAnsi="黑体"/>
        </w:rPr>
        <w:t>—</w:t>
      </w:r>
      <w:r>
        <w:t>202</w:t>
      </w:r>
      <w:r>
        <w:rPr>
          <w:rFonts w:hint="eastAsia"/>
        </w:rPr>
        <w:t>4</w:t>
      </w:r>
    </w:p>
    <w:p w14:paraId="1DFBB78B">
      <w:pPr>
        <w:pStyle w:val="197"/>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3BBF2326">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14:paraId="473907D3">
      <w:pPr>
        <w:pStyle w:val="51"/>
        <w:framePr w:w="9639" w:h="6976" w:hRule="exact" w:hSpace="0" w:vSpace="0" w:wrap="around" w:hAnchor="page" w:y="6408"/>
        <w:jc w:val="center"/>
        <w:rPr>
          <w:rFonts w:ascii="黑体" w:hAnsi="黑体" w:eastAsia="黑体"/>
          <w:b w:val="0"/>
          <w:bCs w:val="0"/>
          <w:w w:val="100"/>
        </w:rPr>
      </w:pPr>
    </w:p>
    <w:p w14:paraId="6B4DD603">
      <w:pPr>
        <w:pStyle w:val="198"/>
        <w:framePr w:h="6974" w:hRule="exact" w:wrap="around" w:x="1419" w:anchorLock="1"/>
      </w:pPr>
      <w:r>
        <w:rPr>
          <w:rFonts w:hint="eastAsia"/>
        </w:rPr>
        <w:t>装配式混凝土结构</w:t>
      </w:r>
      <w:r>
        <w:rPr>
          <w:rFonts w:hint="eastAsia"/>
          <w:lang w:val="en-US" w:eastAsia="zh-CN"/>
        </w:rPr>
        <w:t>现浇</w:t>
      </w:r>
      <w:r>
        <w:rPr>
          <w:rFonts w:hint="eastAsia"/>
        </w:rPr>
        <w:t>结合面连接检测技术规程</w:t>
      </w:r>
    </w:p>
    <w:p w14:paraId="3929D4F5">
      <w:pPr>
        <w:pStyle w:val="198"/>
        <w:framePr w:h="6974" w:hRule="exact" w:wrap="around" w:x="1419" w:anchorLock="1"/>
        <w:rPr>
          <w:szCs w:val="28"/>
        </w:rPr>
      </w:pPr>
      <w:r>
        <w:rPr>
          <w:rFonts w:hint="eastAsia" w:ascii="Times New Roman" w:hAnsi="Times New Roman"/>
          <w:bCs w:val="0"/>
          <w:sz w:val="28"/>
          <w:szCs w:val="28"/>
        </w:rPr>
        <w:t>Technical specification for joint detection of prefabricated concrete structures</w:t>
      </w:r>
    </w:p>
    <w:p w14:paraId="336DBB07">
      <w:pPr>
        <w:framePr w:w="9639" w:h="6974" w:hRule="exact" w:wrap="around" w:vAnchor="page" w:hAnchor="page" w:x="1419" w:y="6408" w:anchorLock="1"/>
        <w:spacing w:line="760" w:lineRule="exact"/>
        <w:ind w:left="-1418"/>
      </w:pPr>
    </w:p>
    <w:p w14:paraId="57A0B8B5">
      <w:pPr>
        <w:pStyle w:val="126"/>
        <w:framePr w:w="9639" w:h="6974" w:hRule="exact" w:wrap="around" w:vAnchor="page" w:hAnchor="page" w:x="1419" w:y="6408" w:anchorLock="1"/>
        <w:textAlignment w:val="bottom"/>
        <w:rPr>
          <w:rFonts w:eastAsia="黑体"/>
          <w:szCs w:val="28"/>
        </w:rPr>
      </w:pPr>
    </w:p>
    <w:p w14:paraId="777C3F9E">
      <w:pPr>
        <w:pStyle w:val="126"/>
        <w:framePr w:w="9639" w:h="6974" w:hRule="exact" w:wrap="around" w:vAnchor="page" w:hAnchor="page" w:x="1419" w:y="6408" w:anchorLock="1"/>
        <w:spacing w:before="180" w:line="240" w:lineRule="atLeast"/>
        <w:textAlignment w:val="bottom"/>
        <w:rPr>
          <w:sz w:val="21"/>
          <w:szCs w:val="28"/>
        </w:rPr>
      </w:pPr>
    </w:p>
    <w:p w14:paraId="29037608">
      <w:pPr>
        <w:pStyle w:val="194"/>
        <w:framePr w:wrap="around" w:y="14176"/>
      </w:pPr>
      <w:r>
        <w:rPr>
          <w:rFonts w:ascii="黑体"/>
        </w:rPr>
        <w:t>xxx-xx-xx</w:t>
      </w:r>
      <w:r>
        <w:rPr>
          <w:rFonts w:hint="eastAsia"/>
        </w:rPr>
        <w:t>发布</w:t>
      </w:r>
    </w:p>
    <w:p w14:paraId="3EB6686B">
      <w:pPr>
        <w:pStyle w:val="195"/>
        <w:framePr w:wrap="around" w:y="14176"/>
      </w:pPr>
      <w:r>
        <w:rPr>
          <w:rFonts w:ascii="黑体"/>
        </w:rPr>
        <w:t>xxx-xx-xx</w:t>
      </w:r>
      <w:r>
        <w:rPr>
          <w:rFonts w:hint="eastAsia"/>
        </w:rPr>
        <w:t>实施</w:t>
      </w:r>
    </w:p>
    <w:p w14:paraId="3228578A">
      <w:pPr>
        <w:pStyle w:val="152"/>
        <w:framePr w:h="584" w:hRule="exact" w:hSpace="181" w:vSpace="181" w:wrap="around" w:y="15027"/>
        <w:rPr>
          <w:rFonts w:hAnsi="黑体"/>
        </w:rPr>
      </w:pPr>
      <w:r>
        <w:rPr>
          <w:rFonts w:hint="eastAsia" w:ascii="Times New Roman"/>
          <w:w w:val="100"/>
          <w:sz w:val="28"/>
        </w:rPr>
        <w:t>中国中小企业协会</w:t>
      </w:r>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034C0B5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2053" o:spid="_x0000_s2053"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14:paraId="0931AD94">
      <w:pPr>
        <w:widowControl/>
        <w:numPr>
          <w:ilvl w:val="0"/>
          <w:numId w:val="8"/>
        </w:numPr>
        <w:shd w:val="clear" w:color="FFFFFF" w:fill="FFFFFF"/>
        <w:adjustRightInd/>
        <w:spacing w:afterLines="150" w:line="240" w:lineRule="auto"/>
        <w:jc w:val="center"/>
        <w:outlineLvl w:val="0"/>
        <w:rPr>
          <w:rFonts w:ascii="黑体" w:eastAsia="黑体"/>
          <w:spacing w:val="320"/>
          <w:kern w:val="0"/>
          <w:sz w:val="32"/>
          <w:szCs w:val="20"/>
        </w:rPr>
      </w:pPr>
      <w:bookmarkStart w:id="2" w:name="_Toc10482"/>
      <w:bookmarkStart w:id="3" w:name="_Toc18829"/>
      <w:bookmarkStart w:id="4" w:name="_Toc4975"/>
      <w:bookmarkStart w:id="5" w:name="_Toc134467293"/>
      <w:bookmarkStart w:id="6" w:name="_Toc22336"/>
      <w:bookmarkStart w:id="7" w:name="_Toc134530865"/>
      <w:bookmarkStart w:id="8" w:name="_Toc68855871"/>
      <w:bookmarkStart w:id="9" w:name="_Toc70518821"/>
      <w:bookmarkStart w:id="10" w:name="_Toc67047417"/>
      <w:bookmarkStart w:id="11" w:name="_Toc68870194"/>
      <w:bookmarkStart w:id="12" w:name="_Toc66981424"/>
      <w:bookmarkStart w:id="13" w:name="_Toc67071479"/>
      <w:bookmarkStart w:id="14" w:name="_Toc66899194"/>
      <w:bookmarkStart w:id="15" w:name="_Toc109647439"/>
      <w:bookmarkStart w:id="16" w:name="_Toc67079596"/>
      <w:bookmarkStart w:id="17" w:name="_Toc68869488"/>
      <w:bookmarkStart w:id="18" w:name="_Toc74226207"/>
      <w:bookmarkStart w:id="19" w:name="_Toc67066418"/>
      <w:bookmarkStart w:id="20" w:name="_Toc67082537"/>
      <w:bookmarkStart w:id="21" w:name="_Toc67053156"/>
      <w:bookmarkStart w:id="22" w:name="_Toc72853454"/>
      <w:bookmarkStart w:id="23" w:name="_Toc74142077"/>
      <w:bookmarkStart w:id="24" w:name="_Toc74150045"/>
      <w:bookmarkStart w:id="25" w:name="_Toc111033543"/>
      <w:bookmarkStart w:id="26" w:name="_Toc67069577"/>
      <w:bookmarkStart w:id="27" w:name="_Toc67044875"/>
      <w:bookmarkStart w:id="28" w:name="_Toc67305561"/>
      <w:bookmarkStart w:id="29" w:name="_Toc111033569"/>
      <w:bookmarkStart w:id="30" w:name="BookMark2"/>
      <w:r>
        <w:rPr>
          <w:rFonts w:ascii="黑体" w:eastAsia="黑体"/>
          <w:spacing w:val="320"/>
          <w:kern w:val="0"/>
          <w:sz w:val="32"/>
          <w:szCs w:val="20"/>
        </w:rPr>
        <w:t>目次</w:t>
      </w:r>
      <w:bookmarkEnd w:id="2"/>
      <w:bookmarkEnd w:id="3"/>
      <w:bookmarkEnd w:id="4"/>
      <w:bookmarkEnd w:id="5"/>
      <w:bookmarkEnd w:id="6"/>
      <w:bookmarkEnd w:id="7"/>
    </w:p>
    <w:sdt>
      <w:sdtPr>
        <w:rPr>
          <w:rFonts w:eastAsia="黑体"/>
          <w:spacing w:val="320"/>
          <w:kern w:val="0"/>
          <w:sz w:val="32"/>
          <w:szCs w:val="20"/>
        </w:rPr>
        <w:id w:val="-2027708367"/>
        <w:docPartObj>
          <w:docPartGallery w:val="Table of Contents"/>
          <w:docPartUnique/>
        </w:docPartObj>
      </w:sdtPr>
      <w:sdtEndPr>
        <w:rPr>
          <w:rFonts w:hint="eastAsia" w:ascii="宋体" w:hAnsi="宋体" w:eastAsia="宋体" w:cs="宋体"/>
          <w:spacing w:val="0"/>
          <w:kern w:val="2"/>
          <w:sz w:val="21"/>
          <w:szCs w:val="21"/>
        </w:rPr>
      </w:sdtEndPr>
      <w:sdtContent>
        <w:p w14:paraId="3D4FE2D6">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p>
        <w:p w14:paraId="56D4CEA9">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_Toc1246 </w:instrText>
          </w:r>
          <w:r>
            <w:rPr>
              <w:rFonts w:hint="eastAsia" w:ascii="宋体" w:hAnsi="宋体" w:eastAsia="宋体" w:cs="宋体"/>
            </w:rPr>
            <w:fldChar w:fldCharType="separate"/>
          </w:r>
          <w:r>
            <w:rPr>
              <w:rFonts w:hint="eastAsia" w:ascii="宋体" w:hAnsi="宋体" w:eastAsia="宋体" w:cs="宋体"/>
              <w:spacing w:val="320"/>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_Toc1246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74A75BD2">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_Toc29907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szCs w:val="22"/>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_Toc29907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055C535">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_Toc30092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kern w:val="0"/>
              <w:szCs w:val="20"/>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_Toc30092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DEAB1DA">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_Toc28355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szCs w:val="22"/>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_Toc28355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C476A7D">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_Toc2404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szCs w:val="22"/>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6EF5F1C">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_Toc32097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4.1 </w:t>
          </w:r>
          <w:r>
            <w:rPr>
              <w:rFonts w:hint="eastAsia" w:ascii="宋体" w:hAnsi="宋体" w:eastAsia="宋体" w:cs="宋体"/>
              <w:szCs w:val="22"/>
            </w:rPr>
            <w:t>一般</w:t>
          </w:r>
          <w:r>
            <w:rPr>
              <w:rFonts w:hint="eastAsia" w:ascii="宋体" w:hAnsi="宋体" w:eastAsia="宋体" w:cs="宋体"/>
              <w:szCs w:val="22"/>
              <w:lang w:val="en-US" w:eastAsia="zh-CN"/>
            </w:rPr>
            <w:t>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_Toc32097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A540AB4">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_Toc4544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4.2 </w:t>
          </w:r>
          <w:r>
            <w:rPr>
              <w:rFonts w:hint="eastAsia" w:ascii="宋体" w:hAnsi="宋体" w:eastAsia="宋体" w:cs="宋体"/>
              <w:szCs w:val="22"/>
            </w:rPr>
            <w:t>检测程序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_Toc4544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582A71B">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_Toc4050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4.3 </w:t>
          </w:r>
          <w:r>
            <w:rPr>
              <w:rFonts w:hint="eastAsia" w:ascii="宋体" w:hAnsi="宋体" w:eastAsia="宋体" w:cs="宋体"/>
              <w:szCs w:val="22"/>
            </w:rPr>
            <w:t>抽样方法与判定规则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_Toc4050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79023D6">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_Toc32636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szCs w:val="22"/>
            </w:rPr>
            <w:t>结合面混凝土正拉粘结强度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_Toc32636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F77F283">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_Toc24718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5.1 </w:t>
          </w:r>
          <w:r>
            <w:rPr>
              <w:rFonts w:hint="eastAsia" w:ascii="宋体" w:hAnsi="宋体" w:eastAsia="宋体" w:cs="宋体"/>
              <w:szCs w:val="22"/>
            </w:rPr>
            <w:t>一般</w:t>
          </w:r>
          <w:r>
            <w:rPr>
              <w:rFonts w:hint="eastAsia" w:ascii="宋体" w:hAnsi="宋体" w:eastAsia="宋体" w:cs="宋体"/>
              <w:szCs w:val="22"/>
              <w:lang w:val="en-US" w:eastAsia="zh-CN"/>
            </w:rPr>
            <w:t>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_Toc24718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65A36F5">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_Toc9238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5.2 </w:t>
          </w:r>
          <w:r>
            <w:rPr>
              <w:rFonts w:hint="eastAsia" w:ascii="宋体" w:hAnsi="宋体" w:eastAsia="宋体" w:cs="宋体"/>
              <w:szCs w:val="22"/>
            </w:rPr>
            <w:t>检测设备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_Toc9238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199FCAE">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5.3 </w:t>
          </w:r>
          <w:r>
            <w:rPr>
              <w:rFonts w:hint="eastAsia" w:ascii="宋体" w:hAnsi="宋体" w:eastAsia="宋体" w:cs="宋体"/>
              <w:szCs w:val="22"/>
            </w:rPr>
            <w:t>测点布置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F1D1A14">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_Toc9436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5.4 </w:t>
          </w:r>
          <w:r>
            <w:rPr>
              <w:rFonts w:hint="eastAsia" w:ascii="宋体" w:hAnsi="宋体" w:eastAsia="宋体" w:cs="宋体"/>
              <w:szCs w:val="22"/>
            </w:rPr>
            <w:t>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_Toc9436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AF7E044">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_Toc16330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5.5 </w:t>
          </w:r>
          <w:r>
            <w:rPr>
              <w:rFonts w:hint="eastAsia" w:ascii="宋体" w:hAnsi="宋体" w:eastAsia="宋体" w:cs="宋体"/>
              <w:szCs w:val="22"/>
            </w:rPr>
            <w:t>判定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_Toc16330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61F82DB">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_Toc30863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szCs w:val="22"/>
            </w:rPr>
            <w:t>混凝土内部结合面连接缺陷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_Toc30863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1253C66">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_Toc3007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6.1 </w:t>
          </w:r>
          <w:r>
            <w:rPr>
              <w:rFonts w:hint="eastAsia" w:ascii="宋体" w:hAnsi="宋体" w:eastAsia="宋体" w:cs="宋体"/>
              <w:szCs w:val="22"/>
            </w:rPr>
            <w:t>一般</w:t>
          </w:r>
          <w:r>
            <w:rPr>
              <w:rFonts w:hint="eastAsia" w:ascii="宋体" w:hAnsi="宋体" w:eastAsia="宋体" w:cs="宋体"/>
              <w:szCs w:val="22"/>
              <w:lang w:val="en-US" w:eastAsia="zh-CN"/>
            </w:rPr>
            <w:t>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_Toc3007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4F60C043">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_Toc19239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6.2 </w:t>
          </w:r>
          <w:r>
            <w:rPr>
              <w:rFonts w:hint="eastAsia" w:ascii="宋体" w:hAnsi="宋体" w:eastAsia="宋体" w:cs="宋体"/>
              <w:szCs w:val="22"/>
            </w:rPr>
            <w:t>检测设备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_Toc19239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4B2920EE">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_Toc19897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6.3 </w:t>
          </w:r>
          <w:r>
            <w:rPr>
              <w:rFonts w:hint="eastAsia" w:ascii="宋体" w:hAnsi="宋体" w:eastAsia="宋体" w:cs="宋体"/>
              <w:szCs w:val="22"/>
            </w:rPr>
            <w:t>测点布置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_Toc19897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6813837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_Toc16533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6.4 </w:t>
          </w:r>
          <w:r>
            <w:rPr>
              <w:rFonts w:hint="eastAsia" w:ascii="宋体" w:hAnsi="宋体" w:eastAsia="宋体" w:cs="宋体"/>
              <w:szCs w:val="22"/>
            </w:rPr>
            <w:t>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_Toc16533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7550F724">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_Toc382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6.5 </w:t>
          </w:r>
          <w:r>
            <w:rPr>
              <w:rFonts w:hint="eastAsia" w:ascii="宋体" w:hAnsi="宋体" w:eastAsia="宋体" w:cs="宋体"/>
              <w:szCs w:val="22"/>
            </w:rPr>
            <w:t>判定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_Toc382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6FC804A6">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_Toc5814 </w:instrText>
          </w:r>
          <w:r>
            <w:rPr>
              <w:rFonts w:hint="eastAsia" w:ascii="宋体" w:hAnsi="宋体" w:eastAsia="宋体" w:cs="宋体"/>
            </w:rPr>
            <w:fldChar w:fldCharType="separate"/>
          </w:r>
          <w:r>
            <w:rPr>
              <w:rFonts w:hint="eastAsia" w:ascii="宋体" w:hAnsi="宋体" w:eastAsia="宋体" w:cs="宋体"/>
              <w:i w:val="0"/>
              <w:szCs w:val="21"/>
            </w:rPr>
            <w:t xml:space="preserve">7 </w:t>
          </w:r>
          <w:r>
            <w:rPr>
              <w:rFonts w:hint="eastAsia" w:ascii="宋体" w:hAnsi="宋体" w:eastAsia="宋体" w:cs="宋体"/>
              <w:szCs w:val="22"/>
            </w:rPr>
            <w:t>竖向构件底部接缝内部缺陷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_Toc5814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337320EC">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_Toc8672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7.1 </w:t>
          </w:r>
          <w:r>
            <w:rPr>
              <w:rFonts w:hint="eastAsia" w:ascii="宋体" w:hAnsi="宋体" w:eastAsia="宋体" w:cs="宋体"/>
              <w:szCs w:val="22"/>
            </w:rPr>
            <w:t>一般</w:t>
          </w:r>
          <w:r>
            <w:rPr>
              <w:rFonts w:hint="eastAsia" w:ascii="宋体" w:hAnsi="宋体" w:eastAsia="宋体" w:cs="宋体"/>
              <w:szCs w:val="22"/>
              <w:lang w:val="en-US" w:eastAsia="zh-CN"/>
            </w:rPr>
            <w:t>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_Toc8672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402FAFD9">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_Toc26590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7.2 </w:t>
          </w:r>
          <w:r>
            <w:rPr>
              <w:rFonts w:hint="eastAsia" w:ascii="宋体" w:hAnsi="宋体" w:eastAsia="宋体" w:cs="宋体"/>
              <w:szCs w:val="22"/>
            </w:rPr>
            <w:t>检测设备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_Toc26590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4B8FB2C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_Toc18336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7.3 </w:t>
          </w:r>
          <w:r>
            <w:rPr>
              <w:rFonts w:hint="eastAsia" w:ascii="宋体" w:hAnsi="宋体" w:eastAsia="宋体" w:cs="宋体"/>
              <w:szCs w:val="22"/>
            </w:rPr>
            <w:t>测点布置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_Toc18336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47E320D8">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_Toc6808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7.4 </w:t>
          </w:r>
          <w:r>
            <w:rPr>
              <w:rFonts w:hint="eastAsia" w:ascii="宋体" w:hAnsi="宋体" w:eastAsia="宋体" w:cs="宋体"/>
              <w:szCs w:val="22"/>
            </w:rPr>
            <w:t>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_Toc6808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0B25BFD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_Toc29861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7.5 </w:t>
          </w:r>
          <w:r>
            <w:rPr>
              <w:rFonts w:hint="eastAsia" w:ascii="宋体" w:hAnsi="宋体" w:eastAsia="宋体" w:cs="宋体"/>
              <w:szCs w:val="22"/>
            </w:rPr>
            <w:t>判定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_Toc29861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0BC0B17C">
          <w:pPr>
            <w:pStyle w:val="19"/>
            <w:tabs>
              <w:tab w:val="right" w:leader="dot" w:pos="9354"/>
            </w:tabs>
            <w:rPr>
              <w:rFonts w:hint="eastAsia" w:ascii="宋体" w:hAnsi="宋体" w:eastAsia="宋体" w:cs="宋体"/>
            </w:rPr>
          </w:pPr>
          <w:r>
            <w:rPr>
              <w:rFonts w:hint="eastAsia" w:ascii="宋体" w:hAnsi="宋体" w:eastAsia="宋体" w:cs="宋体"/>
            </w:rPr>
            <w:fldChar w:fldCharType="end"/>
          </w:r>
        </w:p>
      </w:sdtContent>
    </w:sdt>
    <w:p w14:paraId="63BD84F1">
      <w:pPr>
        <w:pStyle w:val="90"/>
        <w:spacing w:after="468"/>
        <w:rPr>
          <w:spacing w:val="320"/>
        </w:rPr>
      </w:pPr>
      <w:r>
        <w:rPr>
          <w:spacing w:val="320"/>
        </w:rPr>
        <w:br w:type="page"/>
      </w:r>
    </w:p>
    <w:p w14:paraId="5B7AFA42">
      <w:pPr>
        <w:pStyle w:val="90"/>
        <w:spacing w:after="468"/>
      </w:pPr>
      <w:bookmarkStart w:id="31" w:name="_Toc1246"/>
      <w:r>
        <w:rPr>
          <w:spacing w:val="320"/>
        </w:rPr>
        <w:t>前</w:t>
      </w:r>
      <w:r>
        <w:t>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1"/>
    </w:p>
    <w:p w14:paraId="66DB39DC">
      <w:pPr>
        <w:pStyle w:val="57"/>
        <w:ind w:firstLine="420"/>
      </w:pPr>
      <w:r>
        <w:rPr>
          <w:rFonts w:hint="eastAsia"/>
        </w:rPr>
        <w:t>本文件按照GB/T 1.1—2020《标准化工作导则 第1部分：标准化文件的结构和起草规则》的规定起草。</w:t>
      </w:r>
    </w:p>
    <w:p w14:paraId="080871CF">
      <w:pPr>
        <w:pStyle w:val="57"/>
        <w:ind w:firstLine="420"/>
      </w:pPr>
      <w:r>
        <w:rPr>
          <w:rFonts w:hint="eastAsia"/>
        </w:rPr>
        <w:t>本文件由浙江大</w:t>
      </w:r>
      <w:bookmarkStart w:id="92" w:name="_GoBack"/>
      <w:r>
        <w:rPr>
          <w:rFonts w:hint="eastAsia"/>
          <w:highlight w:val="none"/>
        </w:rPr>
        <w:t>豪建设有限公司提出。</w:t>
      </w:r>
      <w:bookmarkEnd w:id="92"/>
    </w:p>
    <w:p w14:paraId="092537F7">
      <w:pPr>
        <w:pStyle w:val="57"/>
        <w:ind w:firstLine="420"/>
      </w:pPr>
      <w:r>
        <w:rPr>
          <w:rFonts w:hint="eastAsia"/>
        </w:rPr>
        <w:t>本文件由中国中小企业协会归口。</w:t>
      </w:r>
    </w:p>
    <w:p w14:paraId="754880D0">
      <w:pPr>
        <w:pStyle w:val="57"/>
        <w:ind w:firstLine="420"/>
      </w:pPr>
      <w:r>
        <w:rPr>
          <w:rFonts w:hint="eastAsia"/>
        </w:rPr>
        <w:t>本文件起草单位：。</w:t>
      </w:r>
    </w:p>
    <w:p w14:paraId="0E31E1CE">
      <w:pPr>
        <w:pStyle w:val="57"/>
        <w:ind w:firstLine="420"/>
      </w:pPr>
      <w:r>
        <w:rPr>
          <w:rFonts w:hint="eastAsia"/>
        </w:rPr>
        <w:t>本文件主要起草人：。</w:t>
      </w:r>
    </w:p>
    <w:p w14:paraId="34B892C4">
      <w:pPr>
        <w:pStyle w:val="57"/>
        <w:ind w:firstLine="420"/>
      </w:pPr>
    </w:p>
    <w:p w14:paraId="15559498">
      <w:pPr>
        <w:pStyle w:val="57"/>
        <w:ind w:firstLine="420"/>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p>
    <w:bookmarkEnd w:id="30"/>
    <w:p w14:paraId="78D60EA0">
      <w:pPr>
        <w:spacing w:line="20" w:lineRule="exact"/>
        <w:jc w:val="center"/>
        <w:rPr>
          <w:rFonts w:ascii="黑体" w:hAnsi="黑体" w:eastAsia="黑体"/>
          <w:sz w:val="32"/>
          <w:szCs w:val="32"/>
        </w:rPr>
      </w:pPr>
      <w:bookmarkStart w:id="32" w:name="BookMark4"/>
    </w:p>
    <w:p w14:paraId="672ADDFA">
      <w:pPr>
        <w:spacing w:line="20" w:lineRule="exact"/>
        <w:jc w:val="center"/>
        <w:rPr>
          <w:rFonts w:ascii="黑体" w:hAnsi="黑体" w:eastAsia="黑体"/>
          <w:sz w:val="32"/>
          <w:szCs w:val="32"/>
        </w:rPr>
      </w:pPr>
    </w:p>
    <w:sdt>
      <w:sdtPr>
        <w:tag w:val="NEW_STAND_NAME"/>
        <w:id w:val="595910757"/>
        <w:lock w:val="sdtLocked"/>
        <w:placeholder>
          <w:docPart w:val="88D0A9E6ED8E41A5BC258D89F7A9C41B"/>
        </w:placeholder>
      </w:sdtPr>
      <w:sdtContent>
        <w:p w14:paraId="53573687">
          <w:pPr>
            <w:pStyle w:val="178"/>
            <w:spacing w:beforeLines="100" w:afterLines="220"/>
          </w:pPr>
          <w:bookmarkStart w:id="33" w:name="NEW_STAND_NAME"/>
          <w:r>
            <w:rPr>
              <w:rFonts w:hint="eastAsia"/>
            </w:rPr>
            <w:t>装配式混凝土结构</w:t>
          </w:r>
          <w:r>
            <w:rPr>
              <w:rFonts w:hint="eastAsia"/>
              <w:lang w:val="en-US" w:eastAsia="zh-CN"/>
            </w:rPr>
            <w:t>现浇</w:t>
          </w:r>
          <w:r>
            <w:rPr>
              <w:rFonts w:hint="eastAsia"/>
            </w:rPr>
            <w:t>结合面连接检测技术规程</w:t>
          </w:r>
        </w:p>
      </w:sdtContent>
    </w:sdt>
    <w:bookmarkEnd w:id="32"/>
    <w:bookmarkEnd w:id="33"/>
    <w:p w14:paraId="30246D3D">
      <w:pPr>
        <w:numPr>
          <w:ilvl w:val="0"/>
          <w:numId w:val="32"/>
        </w:numPr>
        <w:adjustRightInd/>
        <w:spacing w:beforeLines="100" w:afterLines="100" w:line="240" w:lineRule="auto"/>
        <w:ind w:left="0"/>
        <w:outlineLvl w:val="0"/>
        <w:rPr>
          <w:rFonts w:eastAsia="黑体"/>
          <w:szCs w:val="22"/>
        </w:rPr>
      </w:pPr>
      <w:bookmarkStart w:id="34" w:name="_Toc92637187"/>
      <w:bookmarkStart w:id="35" w:name="_Toc29907"/>
      <w:bookmarkStart w:id="36" w:name="_Toc134516821"/>
      <w:bookmarkStart w:id="37" w:name="_Toc10341"/>
      <w:r>
        <w:rPr>
          <w:rFonts w:eastAsia="黑体"/>
          <w:szCs w:val="22"/>
        </w:rPr>
        <w:t>范围</w:t>
      </w:r>
      <w:bookmarkEnd w:id="34"/>
      <w:bookmarkEnd w:id="35"/>
      <w:bookmarkEnd w:id="36"/>
      <w:bookmarkEnd w:id="37"/>
    </w:p>
    <w:p w14:paraId="44E63CD5">
      <w:pPr>
        <w:pStyle w:val="231"/>
        <w:rPr>
          <w:rFonts w:ascii="Times New Roman"/>
        </w:rPr>
      </w:pPr>
      <w:r>
        <w:rPr>
          <w:rFonts w:hint="eastAsia" w:ascii="Times New Roman"/>
        </w:rPr>
        <w:t>本文件规定了装配式混凝土结构</w:t>
      </w:r>
      <w:r>
        <w:rPr>
          <w:rFonts w:hint="eastAsia" w:ascii="Times New Roman"/>
          <w:lang w:val="en-US" w:eastAsia="zh-CN"/>
        </w:rPr>
        <w:t>现浇</w:t>
      </w:r>
      <w:r>
        <w:rPr>
          <w:rFonts w:hint="eastAsia" w:ascii="Times New Roman"/>
        </w:rPr>
        <w:t>结合面连接检测的基本要求、检测设备、测点布置、检测及判定等的技术要求。</w:t>
      </w:r>
    </w:p>
    <w:p w14:paraId="5757D0A2">
      <w:pPr>
        <w:pStyle w:val="231"/>
        <w:rPr>
          <w:rFonts w:ascii="Times New Roman"/>
        </w:rPr>
      </w:pPr>
      <w:r>
        <w:rPr>
          <w:rFonts w:hint="eastAsia" w:ascii="Times New Roman"/>
        </w:rPr>
        <w:t>本文件适用于装配式混凝土结构</w:t>
      </w:r>
      <w:r>
        <w:rPr>
          <w:rFonts w:hint="eastAsia" w:ascii="Times New Roman"/>
          <w:lang w:val="en-US" w:eastAsia="zh-CN"/>
        </w:rPr>
        <w:t>现浇</w:t>
      </w:r>
      <w:r>
        <w:rPr>
          <w:rFonts w:hint="eastAsia" w:ascii="Times New Roman"/>
        </w:rPr>
        <w:t>结合面连接中的结合面混凝土正拉粘结强度、混凝土内部结合面连接缺陷、竖向构件底部接缝内部缺陷的检测。</w:t>
      </w:r>
    </w:p>
    <w:p w14:paraId="320F11F6">
      <w:pPr>
        <w:numPr>
          <w:ilvl w:val="0"/>
          <w:numId w:val="32"/>
        </w:numPr>
        <w:adjustRightInd/>
        <w:spacing w:beforeLines="100" w:afterLines="100" w:line="240" w:lineRule="auto"/>
        <w:ind w:left="0"/>
        <w:outlineLvl w:val="0"/>
      </w:pPr>
      <w:bookmarkStart w:id="38" w:name="_Toc2321"/>
      <w:bookmarkStart w:id="39" w:name="_Toc92637188"/>
      <w:bookmarkStart w:id="40" w:name="_Toc134516822"/>
      <w:bookmarkStart w:id="41" w:name="_Toc15982598"/>
      <w:bookmarkStart w:id="42" w:name="_Toc15994906"/>
      <w:bookmarkStart w:id="43" w:name="_Toc15893202"/>
      <w:bookmarkStart w:id="44" w:name="_Toc15893419"/>
      <w:bookmarkStart w:id="45" w:name="_Toc26941"/>
      <w:bookmarkStart w:id="46" w:name="_Toc15985137"/>
      <w:bookmarkStart w:id="47" w:name="_Toc4744895"/>
      <w:bookmarkStart w:id="48" w:name="_Toc15895509"/>
      <w:bookmarkStart w:id="49" w:name="_Toc4748268"/>
      <w:bookmarkStart w:id="50" w:name="_Toc4748160"/>
      <w:bookmarkStart w:id="51" w:name="_Toc30092"/>
      <w:r>
        <w:rPr>
          <w:rFonts w:eastAsia="黑体"/>
          <w:kern w:val="0"/>
          <w:szCs w:val="20"/>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D18A42B">
      <w:pPr>
        <w:pStyle w:val="25"/>
        <w:tabs>
          <w:tab w:val="center" w:pos="4201"/>
          <w:tab w:val="right" w:leader="dot" w:pos="9298"/>
        </w:tabs>
        <w:autoSpaceDE w:val="0"/>
        <w:autoSpaceDN w:val="0"/>
        <w:spacing w:beforeAutospacing="0" w:afterAutospacing="0"/>
        <w:ind w:firstLine="420" w:firstLineChars="200"/>
        <w:rPr>
          <w:rFonts w:ascii="Times New Roman" w:hAnsi="Times New Roman"/>
          <w:sz w:val="21"/>
          <w:szCs w:val="20"/>
        </w:rPr>
      </w:pPr>
      <w:r>
        <w:rPr>
          <w:rFonts w:hint="eastAsia" w:ascii="Times New Roman" w:hAnsi="Times New Roman"/>
          <w:sz w:val="21"/>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E56023C">
      <w:pPr>
        <w:ind w:firstLine="420"/>
      </w:pPr>
      <w:r>
        <w:rPr>
          <w:rFonts w:hint="eastAsia"/>
        </w:rPr>
        <w:t>GB/T 4883</w:t>
      </w:r>
      <w:r>
        <w:tab/>
      </w:r>
      <w:r>
        <w:tab/>
      </w:r>
      <w:r>
        <w:rPr>
          <w:rFonts w:hint="eastAsia"/>
        </w:rPr>
        <w:t>数据的统计处理和解释正态样本离群值的判断和处理</w:t>
      </w:r>
    </w:p>
    <w:p w14:paraId="67E89C63">
      <w:pPr>
        <w:ind w:firstLine="420"/>
      </w:pPr>
      <w:r>
        <w:rPr>
          <w:rFonts w:hint="eastAsia"/>
        </w:rPr>
        <w:t>GB/T 50784</w:t>
      </w:r>
      <w:r>
        <w:tab/>
      </w:r>
      <w:r>
        <w:tab/>
      </w:r>
      <w:r>
        <w:rPr>
          <w:rFonts w:hint="eastAsia"/>
        </w:rPr>
        <w:t>混凝土结构现场检测技术标准</w:t>
      </w:r>
    </w:p>
    <w:p w14:paraId="05AB5B40">
      <w:pPr>
        <w:ind w:firstLine="420"/>
      </w:pPr>
      <w:r>
        <w:rPr>
          <w:rFonts w:hint="eastAsia"/>
        </w:rPr>
        <w:t>JGJ/T 384</w:t>
      </w:r>
      <w:r>
        <w:tab/>
      </w:r>
      <w:r>
        <w:tab/>
      </w:r>
      <w:r>
        <w:rPr>
          <w:rFonts w:hint="eastAsia"/>
        </w:rPr>
        <w:t>钻芯法检测混凝土强度技术规程</w:t>
      </w:r>
    </w:p>
    <w:p w14:paraId="07A0602D">
      <w:pPr>
        <w:ind w:firstLine="420"/>
      </w:pPr>
      <w:r>
        <w:rPr>
          <w:rFonts w:hint="eastAsia"/>
          <w:szCs w:val="20"/>
        </w:rPr>
        <w:t>JGJ/T 411</w:t>
      </w:r>
      <w:r>
        <w:tab/>
      </w:r>
      <w:r>
        <w:tab/>
      </w:r>
      <w:r>
        <w:rPr>
          <w:rFonts w:hint="eastAsia"/>
          <w:szCs w:val="20"/>
        </w:rPr>
        <w:t>冲击回波法检测混凝土缺陷技术规程</w:t>
      </w:r>
    </w:p>
    <w:p w14:paraId="7DE2F997">
      <w:pPr>
        <w:ind w:firstLine="420"/>
      </w:pPr>
      <w:r>
        <w:rPr>
          <w:rFonts w:hint="eastAsia"/>
        </w:rPr>
        <w:t>JGJ/T 456</w:t>
      </w:r>
      <w:r>
        <w:tab/>
      </w:r>
      <w:r>
        <w:tab/>
      </w:r>
      <w:r>
        <w:rPr>
          <w:rFonts w:hint="eastAsia"/>
        </w:rPr>
        <w:t>雷达法检测混凝土结构技术标准</w:t>
      </w:r>
    </w:p>
    <w:p w14:paraId="71718B6D">
      <w:pPr>
        <w:numPr>
          <w:ilvl w:val="0"/>
          <w:numId w:val="32"/>
        </w:numPr>
        <w:adjustRightInd/>
        <w:spacing w:beforeLines="100" w:afterLines="100" w:line="240" w:lineRule="auto"/>
        <w:ind w:left="0"/>
        <w:outlineLvl w:val="0"/>
        <w:rPr>
          <w:rFonts w:eastAsia="黑体"/>
          <w:szCs w:val="22"/>
        </w:rPr>
      </w:pPr>
      <w:bookmarkStart w:id="52" w:name="_Toc27238"/>
      <w:bookmarkStart w:id="53" w:name="_Toc13514"/>
      <w:bookmarkStart w:id="54" w:name="_Toc27930"/>
      <w:bookmarkStart w:id="55" w:name="_Toc92637189"/>
      <w:bookmarkStart w:id="56" w:name="_Toc28355"/>
      <w:bookmarkStart w:id="57" w:name="_Toc16473"/>
      <w:bookmarkStart w:id="58" w:name="_Toc26410"/>
      <w:bookmarkStart w:id="59" w:name="_Toc134516823"/>
      <w:bookmarkStart w:id="60" w:name="_Toc16572"/>
      <w:r>
        <w:rPr>
          <w:rFonts w:eastAsia="黑体"/>
          <w:szCs w:val="22"/>
        </w:rPr>
        <w:t>术语和定义</w:t>
      </w:r>
      <w:bookmarkEnd w:id="52"/>
      <w:bookmarkEnd w:id="53"/>
      <w:bookmarkEnd w:id="54"/>
      <w:bookmarkEnd w:id="55"/>
      <w:bookmarkEnd w:id="56"/>
      <w:bookmarkEnd w:id="57"/>
      <w:bookmarkEnd w:id="58"/>
      <w:bookmarkEnd w:id="59"/>
      <w:bookmarkEnd w:id="60"/>
    </w:p>
    <w:p w14:paraId="1285BB24">
      <w:pPr>
        <w:ind w:firstLine="420" w:firstLineChars="200"/>
      </w:pPr>
      <w:r>
        <w:t>下列术语和定义适用于本文件。</w:t>
      </w:r>
    </w:p>
    <w:p w14:paraId="40CF848C">
      <w:pPr>
        <w:numPr>
          <w:ilvl w:val="1"/>
          <w:numId w:val="32"/>
        </w:numPr>
        <w:adjustRightInd/>
        <w:spacing w:beforeLines="50" w:afterLines="50" w:line="240" w:lineRule="auto"/>
      </w:pPr>
    </w:p>
    <w:p w14:paraId="65E24D10">
      <w:pPr>
        <w:ind w:firstLine="420" w:firstLineChars="200"/>
        <w:rPr>
          <w:rFonts w:eastAsia="黑体"/>
        </w:rPr>
      </w:pPr>
      <w:r>
        <w:rPr>
          <w:rFonts w:hint="eastAsia" w:eastAsia="黑体"/>
        </w:rPr>
        <w:t>装配式混凝土结构</w:t>
      </w:r>
      <w:r>
        <w:rPr>
          <w:rFonts w:hint="eastAsia" w:eastAsia="黑体"/>
          <w:lang w:val="en-US" w:eastAsia="zh-CN"/>
        </w:rPr>
        <w:t>现浇</w:t>
      </w:r>
      <w:r>
        <w:rPr>
          <w:rFonts w:hint="eastAsia" w:eastAsia="黑体"/>
        </w:rPr>
        <w:t>结合面检测</w:t>
      </w:r>
      <w:r>
        <w:rPr>
          <w:rFonts w:eastAsia="黑体"/>
        </w:rPr>
        <w:t>　</w:t>
      </w:r>
      <w:r>
        <w:rPr>
          <w:rFonts w:hint="eastAsia" w:eastAsia="黑体"/>
        </w:rPr>
        <w:t>i</w:t>
      </w:r>
      <w:r>
        <w:rPr>
          <w:rFonts w:eastAsia="黑体"/>
        </w:rPr>
        <w:t>nspection of the joint surface of prefabricated concrete structures　</w:t>
      </w:r>
    </w:p>
    <w:p w14:paraId="7ACFABBB">
      <w:pPr>
        <w:ind w:firstLine="420" w:firstLineChars="200"/>
      </w:pPr>
      <w:r>
        <w:rPr>
          <w:rFonts w:hint="eastAsia"/>
        </w:rPr>
        <w:t>为判定装配式混凝土结构的</w:t>
      </w:r>
      <w:r>
        <w:rPr>
          <w:rFonts w:hint="eastAsia"/>
          <w:lang w:val="en-US" w:eastAsia="zh-CN"/>
        </w:rPr>
        <w:t>现浇</w:t>
      </w:r>
      <w:r>
        <w:rPr>
          <w:rFonts w:hint="eastAsia"/>
        </w:rPr>
        <w:t>结合面连接质量所实施的检测，包括结合面混凝土正拉粘结强度、混凝土内部结合面连接缺陷、竖向构件底部接缝内部缺陷的检测。</w:t>
      </w:r>
    </w:p>
    <w:p w14:paraId="7419496C">
      <w:pPr>
        <w:numPr>
          <w:ilvl w:val="1"/>
          <w:numId w:val="32"/>
        </w:numPr>
        <w:adjustRightInd/>
        <w:spacing w:beforeLines="50" w:afterLines="50" w:line="240" w:lineRule="auto"/>
      </w:pPr>
    </w:p>
    <w:p w14:paraId="1D0820AB">
      <w:pPr>
        <w:ind w:firstLine="420" w:firstLineChars="200"/>
        <w:rPr>
          <w:rFonts w:eastAsia="黑体"/>
        </w:rPr>
      </w:pPr>
      <w:r>
        <w:rPr>
          <w:rFonts w:hint="eastAsia" w:eastAsia="黑体"/>
        </w:rPr>
        <w:t>粗糙面　rough surface　</w:t>
      </w:r>
    </w:p>
    <w:p w14:paraId="3677686E">
      <w:pPr>
        <w:ind w:firstLine="420" w:firstLineChars="200"/>
      </w:pPr>
      <w:r>
        <w:rPr>
          <w:rFonts w:hint="eastAsia"/>
        </w:rPr>
        <w:t>采用特殊的工具或工艺形成预制构件混凝土凹凸不平或骨料显露的表面，实现预制构件和后浇筑混凝土的可靠结合。</w:t>
      </w:r>
    </w:p>
    <w:p w14:paraId="1AA8E53F">
      <w:pPr>
        <w:numPr>
          <w:ilvl w:val="1"/>
          <w:numId w:val="32"/>
        </w:numPr>
        <w:adjustRightInd/>
        <w:spacing w:beforeLines="50" w:afterLines="50" w:line="240" w:lineRule="auto"/>
      </w:pPr>
    </w:p>
    <w:p w14:paraId="1F1D3552">
      <w:pPr>
        <w:ind w:firstLine="420" w:firstLineChars="200"/>
        <w:rPr>
          <w:rFonts w:eastAsia="黑体"/>
        </w:rPr>
      </w:pPr>
      <w:r>
        <w:rPr>
          <w:rFonts w:hint="eastAsia" w:eastAsia="黑体"/>
        </w:rPr>
        <w:t>结合面正拉粘结强度　j</w:t>
      </w:r>
      <w:r>
        <w:rPr>
          <w:rFonts w:eastAsia="黑体"/>
        </w:rPr>
        <w:t>oint surface tensile bonding strength</w:t>
      </w:r>
      <w:r>
        <w:rPr>
          <w:rFonts w:hint="eastAsia" w:eastAsia="黑体"/>
        </w:rPr>
        <w:t>　</w:t>
      </w:r>
    </w:p>
    <w:p w14:paraId="77451EE8">
      <w:pPr>
        <w:ind w:firstLine="420" w:firstLineChars="200"/>
      </w:pPr>
      <w:r>
        <w:rPr>
          <w:rFonts w:hint="eastAsia"/>
        </w:rPr>
        <w:t>垂直于混凝土结合面施加外拉荷载，以极限荷载与结合面破断面积之比计算的结合面混凝土抗拉强度。</w:t>
      </w:r>
    </w:p>
    <w:p w14:paraId="77EF1198">
      <w:pPr>
        <w:numPr>
          <w:ilvl w:val="0"/>
          <w:numId w:val="32"/>
        </w:numPr>
        <w:adjustRightInd/>
        <w:spacing w:beforeLines="100" w:afterLines="100" w:line="240" w:lineRule="auto"/>
        <w:ind w:left="0"/>
        <w:outlineLvl w:val="0"/>
        <w:rPr>
          <w:rFonts w:ascii="Calibri" w:eastAsia="黑体"/>
          <w:szCs w:val="22"/>
        </w:rPr>
      </w:pPr>
      <w:bookmarkStart w:id="61" w:name="_Toc2404"/>
      <w:r>
        <w:rPr>
          <w:rFonts w:hint="eastAsia" w:ascii="Calibri" w:eastAsia="黑体"/>
          <w:szCs w:val="22"/>
        </w:rPr>
        <w:t>基本要求</w:t>
      </w:r>
      <w:bookmarkEnd w:id="61"/>
    </w:p>
    <w:p w14:paraId="7C37097F">
      <w:pPr>
        <w:numPr>
          <w:ilvl w:val="1"/>
          <w:numId w:val="32"/>
        </w:numPr>
        <w:adjustRightInd/>
        <w:spacing w:beforeLines="50" w:afterLines="50" w:line="240" w:lineRule="auto"/>
        <w:outlineLvl w:val="1"/>
        <w:rPr>
          <w:rFonts w:ascii="Calibri" w:eastAsia="黑体"/>
          <w:szCs w:val="22"/>
        </w:rPr>
      </w:pPr>
      <w:bookmarkStart w:id="62" w:name="_Toc32097"/>
      <w:r>
        <w:rPr>
          <w:rFonts w:hint="eastAsia" w:ascii="Calibri" w:eastAsia="黑体"/>
          <w:szCs w:val="22"/>
        </w:rPr>
        <w:t>一般</w:t>
      </w:r>
      <w:r>
        <w:rPr>
          <w:rFonts w:hint="eastAsia" w:ascii="Calibri" w:eastAsia="黑体"/>
          <w:szCs w:val="22"/>
          <w:lang w:val="en-US" w:eastAsia="zh-CN"/>
        </w:rPr>
        <w:t>规定</w:t>
      </w:r>
      <w:bookmarkEnd w:id="62"/>
    </w:p>
    <w:p w14:paraId="6B9DBD35">
      <w:pPr>
        <w:pStyle w:val="235"/>
        <w:spacing w:before="156" w:after="156"/>
        <w:rPr>
          <w:szCs w:val="20"/>
        </w:rPr>
      </w:pPr>
      <w:r>
        <w:rPr>
          <w:rFonts w:hint="eastAsia"/>
          <w:szCs w:val="20"/>
        </w:rPr>
        <w:t>混凝土</w:t>
      </w:r>
      <w:r>
        <w:rPr>
          <w:rFonts w:hint="eastAsia"/>
          <w:szCs w:val="20"/>
          <w:lang w:val="en-US" w:eastAsia="zh-CN"/>
        </w:rPr>
        <w:t>现浇</w:t>
      </w:r>
      <w:r>
        <w:rPr>
          <w:rFonts w:hint="eastAsia"/>
          <w:szCs w:val="20"/>
        </w:rPr>
        <w:t>结合面连接的检测项目应包括结合面混凝土正拉粘结强度、混凝土内部结合面连接缺陷和竖向构件底部接缝内部缺陷。</w:t>
      </w:r>
    </w:p>
    <w:p w14:paraId="2A46561A">
      <w:pPr>
        <w:pStyle w:val="235"/>
        <w:spacing w:before="156" w:after="156"/>
        <w:rPr>
          <w:szCs w:val="20"/>
        </w:rPr>
      </w:pPr>
      <w:r>
        <w:rPr>
          <w:rFonts w:hint="eastAsia"/>
          <w:szCs w:val="20"/>
        </w:rPr>
        <w:t>对混凝土内部结合面连接缺陷进行无损检测时，混凝土测试表面应平整、清洁、干燥，且不应有蜂窝、孔洞、疏松、浮浆、凸起等外观质量缺陷。当表面不平时，应打磨平整。</w:t>
      </w:r>
    </w:p>
    <w:p w14:paraId="6B946819">
      <w:pPr>
        <w:pStyle w:val="235"/>
        <w:spacing w:before="156" w:after="156"/>
        <w:rPr>
          <w:szCs w:val="20"/>
        </w:rPr>
      </w:pPr>
      <w:r>
        <w:rPr>
          <w:rFonts w:hint="eastAsia"/>
          <w:szCs w:val="20"/>
        </w:rPr>
        <w:t>对混凝土内部结合面连接缺陷和竖向构件底部接缝内部缺陷进行检测时，宜将同一楼层、同一施工条件、同类构件或同类部位划分为一个检测批，当专项检测技术未规定具体抽样方法时，按检测批最小样本容量随机抽样。</w:t>
      </w:r>
    </w:p>
    <w:p w14:paraId="56288147">
      <w:pPr>
        <w:numPr>
          <w:ilvl w:val="1"/>
          <w:numId w:val="32"/>
        </w:numPr>
        <w:adjustRightInd/>
        <w:spacing w:beforeLines="50" w:afterLines="50" w:line="240" w:lineRule="auto"/>
        <w:outlineLvl w:val="1"/>
        <w:rPr>
          <w:rFonts w:ascii="Calibri" w:eastAsia="黑体"/>
          <w:szCs w:val="22"/>
        </w:rPr>
      </w:pPr>
      <w:bookmarkStart w:id="63" w:name="_Toc4544"/>
      <w:r>
        <w:rPr>
          <w:rFonts w:hint="eastAsia" w:ascii="Calibri" w:eastAsia="黑体"/>
          <w:szCs w:val="22"/>
        </w:rPr>
        <w:t>检测程序</w:t>
      </w:r>
      <w:bookmarkEnd w:id="63"/>
    </w:p>
    <w:p w14:paraId="2E0DB16A">
      <w:pPr>
        <w:pStyle w:val="235"/>
        <w:spacing w:before="156" w:after="156"/>
        <w:rPr>
          <w:szCs w:val="20"/>
        </w:rPr>
      </w:pPr>
      <w:r>
        <w:rPr>
          <w:rFonts w:hint="eastAsia"/>
          <w:szCs w:val="20"/>
        </w:rPr>
        <w:t>装配式混凝土结构</w:t>
      </w:r>
      <w:r>
        <w:rPr>
          <w:rFonts w:hint="eastAsia"/>
          <w:szCs w:val="20"/>
          <w:lang w:val="en-US" w:eastAsia="zh-CN"/>
        </w:rPr>
        <w:t>现浇</w:t>
      </w:r>
      <w:r>
        <w:rPr>
          <w:rFonts w:hint="eastAsia"/>
          <w:szCs w:val="20"/>
        </w:rPr>
        <w:t>结合面连接检测工作宜按图1所示的流程进行。</w:t>
      </w:r>
    </w:p>
    <w:p w14:paraId="3E0DC8FC">
      <w:pPr>
        <w:pStyle w:val="13"/>
        <w:spacing w:before="115" w:line="219" w:lineRule="auto"/>
        <w:jc w:val="center"/>
        <w:rPr>
          <w:b/>
          <w:bCs/>
          <w:spacing w:val="-13"/>
          <w:sz w:val="22"/>
          <w:szCs w:val="22"/>
        </w:rPr>
      </w:pPr>
      <w:r>
        <w:rPr>
          <w:b/>
          <w:bCs/>
          <w:spacing w:val="-13"/>
          <w:sz w:val="22"/>
          <w:szCs w:val="22"/>
        </w:rPr>
        <w:object>
          <v:shape id="_x0000_i1025" o:spt="75" type="#_x0000_t75" style="height:200.25pt;width:201pt;" o:ole="t" filled="f" o:preferrelative="t" stroked="f" coordsize="21600,21600">
            <v:path/>
            <v:fill on="f" focussize="0,0"/>
            <v:stroke on="f" joinstyle="miter"/>
            <v:imagedata r:id="rId17" o:title=""/>
            <o:lock v:ext="edit" aspectratio="f"/>
            <w10:wrap type="none"/>
            <w10:anchorlock/>
          </v:shape>
          <o:OLEObject Type="Embed" ProgID="Visio.Drawing.11" ShapeID="_x0000_i1025" DrawAspect="Content" ObjectID="_1468075725" r:id="rId16">
            <o:LockedField>false</o:LockedField>
          </o:OLEObject>
        </w:object>
      </w:r>
    </w:p>
    <w:p w14:paraId="625CF07E">
      <w:pPr>
        <w:pStyle w:val="246"/>
      </w:pPr>
      <w:r>
        <w:rPr>
          <w:rFonts w:hint="eastAsia"/>
        </w:rPr>
        <w:t>图1　装配式混凝土结构</w:t>
      </w:r>
      <w:r>
        <w:rPr>
          <w:rFonts w:hint="eastAsia"/>
          <w:lang w:val="en-US" w:eastAsia="zh-CN"/>
        </w:rPr>
        <w:t>现浇</w:t>
      </w:r>
      <w:r>
        <w:rPr>
          <w:rFonts w:hint="eastAsia"/>
        </w:rPr>
        <w:t>结合面连接检测工作流程图</w:t>
      </w:r>
    </w:p>
    <w:p w14:paraId="7532CE96">
      <w:pPr>
        <w:pStyle w:val="235"/>
        <w:spacing w:before="156" w:after="156"/>
        <w:rPr>
          <w:szCs w:val="20"/>
        </w:rPr>
      </w:pPr>
      <w:r>
        <w:rPr>
          <w:rFonts w:hint="eastAsia"/>
          <w:szCs w:val="20"/>
        </w:rPr>
        <w:t>初步调查宜包括下列内容：</w:t>
      </w:r>
    </w:p>
    <w:p w14:paraId="72869805">
      <w:pPr>
        <w:pStyle w:val="248"/>
        <w:numPr>
          <w:ilvl w:val="0"/>
          <w:numId w:val="33"/>
        </w:numPr>
        <w:ind w:left="735" w:leftChars="150" w:hanging="420" w:hangingChars="200"/>
      </w:pPr>
      <w:r>
        <w:rPr>
          <w:rFonts w:hint="eastAsia"/>
        </w:rPr>
        <w:t>收集预制构件设计图纸和构件制作、养护、翻转、出厂、运输、进场、存放、吊装等相关资料；</w:t>
      </w:r>
    </w:p>
    <w:p w14:paraId="485B11DA">
      <w:pPr>
        <w:pStyle w:val="248"/>
        <w:numPr>
          <w:ilvl w:val="0"/>
          <w:numId w:val="33"/>
        </w:numPr>
        <w:ind w:left="735" w:leftChars="150" w:hanging="420" w:hangingChars="200"/>
      </w:pPr>
      <w:r>
        <w:rPr>
          <w:rFonts w:hint="eastAsia"/>
        </w:rPr>
        <w:t>收集结构施工图纸、连接安装记录与影像、验收记录等资料；</w:t>
      </w:r>
    </w:p>
    <w:p w14:paraId="71F48D46">
      <w:pPr>
        <w:pStyle w:val="248"/>
        <w:numPr>
          <w:ilvl w:val="0"/>
          <w:numId w:val="33"/>
        </w:numPr>
        <w:ind w:left="735" w:leftChars="150" w:hanging="420" w:hangingChars="200"/>
      </w:pPr>
      <w:r>
        <w:rPr>
          <w:rFonts w:hint="eastAsia"/>
        </w:rPr>
        <w:t>收集节点连接产品的合格证明和产品说明等资料；</w:t>
      </w:r>
    </w:p>
    <w:p w14:paraId="47AA8E44">
      <w:pPr>
        <w:pStyle w:val="248"/>
        <w:numPr>
          <w:ilvl w:val="0"/>
          <w:numId w:val="33"/>
        </w:numPr>
        <w:ind w:left="735" w:leftChars="150" w:hanging="420" w:hangingChars="200"/>
      </w:pPr>
      <w:r>
        <w:rPr>
          <w:rFonts w:hint="eastAsia"/>
        </w:rPr>
        <w:t>收集建筑结构使用期间的维修、检测、判定、加固和改造等资料；</w:t>
      </w:r>
    </w:p>
    <w:p w14:paraId="7478807F">
      <w:pPr>
        <w:pStyle w:val="248"/>
        <w:numPr>
          <w:ilvl w:val="0"/>
          <w:numId w:val="33"/>
        </w:numPr>
        <w:ind w:left="735" w:leftChars="150" w:hanging="420" w:hangingChars="200"/>
      </w:pPr>
      <w:r>
        <w:rPr>
          <w:rFonts w:hint="eastAsia"/>
        </w:rPr>
        <w:t>调查建筑结构的现状、缺陷、损伤、变形、维修和加固等实际状况；</w:t>
      </w:r>
    </w:p>
    <w:p w14:paraId="5A865279">
      <w:pPr>
        <w:pStyle w:val="248"/>
        <w:numPr>
          <w:ilvl w:val="0"/>
          <w:numId w:val="33"/>
        </w:numPr>
        <w:ind w:left="735" w:leftChars="150" w:hanging="420" w:hangingChars="200"/>
      </w:pPr>
      <w:r>
        <w:rPr>
          <w:rFonts w:hint="eastAsia"/>
        </w:rPr>
        <w:t>调查建筑结构的使用环境、用途或荷载等实际状况；</w:t>
      </w:r>
    </w:p>
    <w:p w14:paraId="7CA949EE">
      <w:pPr>
        <w:pStyle w:val="248"/>
        <w:numPr>
          <w:ilvl w:val="0"/>
          <w:numId w:val="33"/>
        </w:numPr>
        <w:ind w:left="735" w:leftChars="150" w:hanging="420" w:hangingChars="200"/>
      </w:pPr>
      <w:r>
        <w:rPr>
          <w:rFonts w:hint="eastAsia"/>
        </w:rPr>
        <w:t>向有关人员调查委托检测的原因以及资料调查和现场调查未能显现的问题；</w:t>
      </w:r>
    </w:p>
    <w:p w14:paraId="1AAC7149">
      <w:pPr>
        <w:pStyle w:val="248"/>
        <w:numPr>
          <w:ilvl w:val="0"/>
          <w:numId w:val="33"/>
        </w:numPr>
        <w:ind w:left="735" w:leftChars="150" w:hanging="420" w:hangingChars="200"/>
      </w:pPr>
      <w:r>
        <w:rPr>
          <w:rFonts w:hint="eastAsia"/>
        </w:rPr>
        <w:t>其他需要调查的情况。</w:t>
      </w:r>
    </w:p>
    <w:p w14:paraId="2F8CA90B">
      <w:pPr>
        <w:pStyle w:val="235"/>
        <w:spacing w:before="156" w:after="156"/>
        <w:rPr>
          <w:szCs w:val="20"/>
        </w:rPr>
      </w:pPr>
      <w:r>
        <w:rPr>
          <w:rFonts w:hint="eastAsia"/>
          <w:szCs w:val="20"/>
        </w:rPr>
        <w:t>检测方案应在初步调查的基础上编制，检测方案应征求委托方的意见，检测方案宜包括下列内容：</w:t>
      </w:r>
    </w:p>
    <w:p w14:paraId="0C1ABC34">
      <w:pPr>
        <w:pStyle w:val="248"/>
        <w:numPr>
          <w:ilvl w:val="0"/>
          <w:numId w:val="34"/>
        </w:numPr>
        <w:ind w:left="735" w:leftChars="150" w:hanging="420" w:hangingChars="200"/>
      </w:pPr>
      <w:r>
        <w:rPr>
          <w:rFonts w:hint="eastAsia"/>
        </w:rPr>
        <w:t>工程概况或结构概况；</w:t>
      </w:r>
    </w:p>
    <w:p w14:paraId="25C16E08">
      <w:pPr>
        <w:pStyle w:val="248"/>
        <w:numPr>
          <w:ilvl w:val="0"/>
          <w:numId w:val="34"/>
        </w:numPr>
        <w:ind w:left="735" w:leftChars="150" w:hanging="420" w:hangingChars="200"/>
      </w:pPr>
      <w:r>
        <w:rPr>
          <w:rFonts w:hint="eastAsia"/>
        </w:rPr>
        <w:t>检测目的或委托方的检测要求；</w:t>
      </w:r>
    </w:p>
    <w:p w14:paraId="55ED104C">
      <w:pPr>
        <w:pStyle w:val="248"/>
        <w:numPr>
          <w:ilvl w:val="0"/>
          <w:numId w:val="34"/>
        </w:numPr>
        <w:ind w:left="735" w:leftChars="150" w:hanging="420" w:hangingChars="200"/>
      </w:pPr>
      <w:r>
        <w:rPr>
          <w:rFonts w:hint="eastAsia"/>
        </w:rPr>
        <w:t>检测依据；</w:t>
      </w:r>
    </w:p>
    <w:p w14:paraId="4A6BEFAE">
      <w:pPr>
        <w:pStyle w:val="248"/>
        <w:numPr>
          <w:ilvl w:val="0"/>
          <w:numId w:val="34"/>
        </w:numPr>
        <w:ind w:left="735" w:leftChars="150" w:hanging="420" w:hangingChars="200"/>
      </w:pPr>
      <w:r>
        <w:rPr>
          <w:rFonts w:hint="eastAsia"/>
        </w:rPr>
        <w:t>检测项目、检测方法和检测数量；</w:t>
      </w:r>
    </w:p>
    <w:p w14:paraId="17B00754">
      <w:pPr>
        <w:pStyle w:val="248"/>
        <w:numPr>
          <w:ilvl w:val="0"/>
          <w:numId w:val="34"/>
        </w:numPr>
        <w:ind w:left="735" w:leftChars="150" w:hanging="420" w:hangingChars="200"/>
      </w:pPr>
      <w:r>
        <w:rPr>
          <w:rFonts w:hint="eastAsia"/>
        </w:rPr>
        <w:t>检测人员和仪器设备；</w:t>
      </w:r>
    </w:p>
    <w:p w14:paraId="35157344">
      <w:pPr>
        <w:pStyle w:val="248"/>
        <w:numPr>
          <w:ilvl w:val="0"/>
          <w:numId w:val="34"/>
        </w:numPr>
        <w:ind w:left="735" w:leftChars="150" w:hanging="420" w:hangingChars="200"/>
      </w:pPr>
      <w:r>
        <w:rPr>
          <w:rFonts w:hint="eastAsia"/>
        </w:rPr>
        <w:t>检测工作进度计划；</w:t>
      </w:r>
    </w:p>
    <w:p w14:paraId="377B0CC5">
      <w:pPr>
        <w:pStyle w:val="248"/>
        <w:numPr>
          <w:ilvl w:val="0"/>
          <w:numId w:val="34"/>
        </w:numPr>
        <w:ind w:left="735" w:leftChars="150" w:hanging="420" w:hangingChars="200"/>
      </w:pPr>
      <w:r>
        <w:rPr>
          <w:rFonts w:hint="eastAsia"/>
        </w:rPr>
        <w:t>需要的配合工作；</w:t>
      </w:r>
    </w:p>
    <w:p w14:paraId="40EFAC36">
      <w:pPr>
        <w:pStyle w:val="248"/>
        <w:numPr>
          <w:ilvl w:val="0"/>
          <w:numId w:val="34"/>
        </w:numPr>
        <w:ind w:left="735" w:leftChars="150" w:hanging="420" w:hangingChars="200"/>
      </w:pPr>
      <w:r>
        <w:rPr>
          <w:rFonts w:hint="eastAsia"/>
        </w:rPr>
        <w:t>检测中的安全措施和环保措施。</w:t>
      </w:r>
    </w:p>
    <w:p w14:paraId="4C78F6E5">
      <w:pPr>
        <w:pStyle w:val="235"/>
        <w:spacing w:before="156" w:after="156"/>
        <w:rPr>
          <w:szCs w:val="20"/>
        </w:rPr>
      </w:pPr>
      <w:r>
        <w:rPr>
          <w:rFonts w:hint="eastAsia"/>
          <w:szCs w:val="20"/>
        </w:rPr>
        <w:t>现场检测工作结束后，应及时修复因检测造成的结构或构件的局部损伤。</w:t>
      </w:r>
    </w:p>
    <w:p w14:paraId="084D66F8">
      <w:pPr>
        <w:pStyle w:val="235"/>
        <w:spacing w:before="156" w:after="156"/>
        <w:rPr>
          <w:szCs w:val="20"/>
        </w:rPr>
      </w:pPr>
      <w:r>
        <w:rPr>
          <w:rFonts w:hint="eastAsia"/>
          <w:szCs w:val="20"/>
        </w:rPr>
        <w:t>当发现检测样本数量不足或检测数据出现异常时，应补充检测或重新检测。</w:t>
      </w:r>
    </w:p>
    <w:p w14:paraId="7549758A">
      <w:pPr>
        <w:pStyle w:val="235"/>
        <w:spacing w:before="156" w:after="156"/>
        <w:rPr>
          <w:szCs w:val="20"/>
        </w:rPr>
      </w:pPr>
      <w:r>
        <w:rPr>
          <w:rFonts w:hint="eastAsia"/>
          <w:szCs w:val="20"/>
        </w:rPr>
        <w:t>检测报告应结论明确、用词规范、文字简练，对于容易混淆的术语和概念应以文字解释或图例进行说明。</w:t>
      </w:r>
    </w:p>
    <w:p w14:paraId="25B19DDE">
      <w:pPr>
        <w:pStyle w:val="235"/>
        <w:spacing w:before="156" w:after="156"/>
        <w:rPr>
          <w:szCs w:val="20"/>
        </w:rPr>
      </w:pPr>
      <w:r>
        <w:rPr>
          <w:rFonts w:hint="eastAsia"/>
          <w:szCs w:val="20"/>
        </w:rPr>
        <w:t>检测报告应包括下列内容：</w:t>
      </w:r>
    </w:p>
    <w:p w14:paraId="16BDA137">
      <w:pPr>
        <w:pStyle w:val="248"/>
        <w:numPr>
          <w:ilvl w:val="0"/>
          <w:numId w:val="35"/>
        </w:numPr>
        <w:ind w:left="735" w:leftChars="150" w:hanging="420" w:hangingChars="200"/>
      </w:pPr>
      <w:r>
        <w:rPr>
          <w:rFonts w:hint="eastAsia"/>
        </w:rPr>
        <w:t>委托方名称；</w:t>
      </w:r>
    </w:p>
    <w:p w14:paraId="718946FA">
      <w:pPr>
        <w:pStyle w:val="248"/>
        <w:numPr>
          <w:ilvl w:val="0"/>
          <w:numId w:val="35"/>
        </w:numPr>
        <w:ind w:left="735" w:leftChars="150" w:hanging="420" w:hangingChars="200"/>
      </w:pPr>
      <w:r>
        <w:rPr>
          <w:rFonts w:hint="eastAsia"/>
        </w:rPr>
        <w:t>工程概况，包括工程名称、地址、结构类型、规模、设计单位、预制构件生产单位、施工单位、监理单位、施工日期、结构现状等；</w:t>
      </w:r>
    </w:p>
    <w:p w14:paraId="65E93EBD">
      <w:pPr>
        <w:pStyle w:val="248"/>
        <w:numPr>
          <w:ilvl w:val="0"/>
          <w:numId w:val="35"/>
        </w:numPr>
        <w:ind w:left="735" w:leftChars="150" w:hanging="420" w:hangingChars="200"/>
      </w:pPr>
      <w:r>
        <w:rPr>
          <w:rFonts w:hint="eastAsia"/>
        </w:rPr>
        <w:t>检测原因、检测目的及以往相关检测情况概述；</w:t>
      </w:r>
    </w:p>
    <w:p w14:paraId="54844C0C">
      <w:pPr>
        <w:pStyle w:val="248"/>
        <w:numPr>
          <w:ilvl w:val="0"/>
          <w:numId w:val="35"/>
        </w:numPr>
        <w:ind w:left="735" w:leftChars="150" w:hanging="420" w:hangingChars="200"/>
      </w:pPr>
      <w:r>
        <w:rPr>
          <w:rFonts w:hint="eastAsia"/>
        </w:rPr>
        <w:t>检测项目、检测方法及检测依据；</w:t>
      </w:r>
    </w:p>
    <w:p w14:paraId="76A59622">
      <w:pPr>
        <w:pStyle w:val="248"/>
        <w:numPr>
          <w:ilvl w:val="0"/>
          <w:numId w:val="35"/>
        </w:numPr>
        <w:ind w:left="735" w:leftChars="150" w:hanging="420" w:hangingChars="200"/>
      </w:pPr>
      <w:r>
        <w:rPr>
          <w:rFonts w:hint="eastAsia"/>
        </w:rPr>
        <w:t>检测方式、抽样方法、检测数量、检测部位；</w:t>
      </w:r>
    </w:p>
    <w:p w14:paraId="72A292CE">
      <w:pPr>
        <w:pStyle w:val="248"/>
        <w:numPr>
          <w:ilvl w:val="0"/>
          <w:numId w:val="35"/>
        </w:numPr>
        <w:ind w:left="735" w:leftChars="150" w:hanging="420" w:hangingChars="200"/>
      </w:pPr>
      <w:r>
        <w:rPr>
          <w:rFonts w:hint="eastAsia"/>
        </w:rPr>
        <w:t>检测数据、检测结果、判定方法、检测结论；</w:t>
      </w:r>
    </w:p>
    <w:p w14:paraId="121D8AEB">
      <w:pPr>
        <w:pStyle w:val="248"/>
        <w:numPr>
          <w:ilvl w:val="0"/>
          <w:numId w:val="35"/>
        </w:numPr>
        <w:ind w:left="735" w:leftChars="150" w:hanging="420" w:hangingChars="200"/>
      </w:pPr>
      <w:r>
        <w:rPr>
          <w:rFonts w:hint="eastAsia"/>
        </w:rPr>
        <w:t>检测日期、报告完成日期；</w:t>
      </w:r>
    </w:p>
    <w:p w14:paraId="00007341">
      <w:pPr>
        <w:pStyle w:val="248"/>
        <w:numPr>
          <w:ilvl w:val="0"/>
          <w:numId w:val="35"/>
        </w:numPr>
        <w:ind w:left="735" w:leftChars="150" w:hanging="420" w:hangingChars="200"/>
      </w:pPr>
      <w:r>
        <w:rPr>
          <w:rFonts w:hint="eastAsia"/>
        </w:rPr>
        <w:t>主检、审核和批准人员的签名；</w:t>
      </w:r>
    </w:p>
    <w:p w14:paraId="6ADD6CF1">
      <w:pPr>
        <w:pStyle w:val="248"/>
        <w:numPr>
          <w:ilvl w:val="0"/>
          <w:numId w:val="35"/>
        </w:numPr>
        <w:ind w:left="735" w:leftChars="150" w:hanging="420" w:hangingChars="200"/>
      </w:pPr>
      <w:r>
        <w:rPr>
          <w:rFonts w:hint="eastAsia"/>
        </w:rPr>
        <w:t>检测机构的有效印章。</w:t>
      </w:r>
    </w:p>
    <w:p w14:paraId="0A1860BE">
      <w:pPr>
        <w:numPr>
          <w:ilvl w:val="1"/>
          <w:numId w:val="32"/>
        </w:numPr>
        <w:adjustRightInd/>
        <w:spacing w:beforeLines="50" w:afterLines="50" w:line="240" w:lineRule="auto"/>
        <w:outlineLvl w:val="1"/>
        <w:rPr>
          <w:rFonts w:ascii="Calibri" w:eastAsia="黑体"/>
          <w:szCs w:val="22"/>
        </w:rPr>
      </w:pPr>
      <w:bookmarkStart w:id="64" w:name="bookmark9"/>
      <w:bookmarkEnd w:id="64"/>
      <w:bookmarkStart w:id="65" w:name="_Toc4050"/>
      <w:r>
        <w:rPr>
          <w:rFonts w:hint="eastAsia" w:ascii="Calibri" w:eastAsia="黑体"/>
          <w:szCs w:val="22"/>
        </w:rPr>
        <w:t>抽样方法与判定规则</w:t>
      </w:r>
      <w:bookmarkEnd w:id="65"/>
    </w:p>
    <w:p w14:paraId="7975D1D7">
      <w:pPr>
        <w:pStyle w:val="235"/>
        <w:spacing w:before="156" w:after="156"/>
        <w:rPr>
          <w:szCs w:val="20"/>
        </w:rPr>
      </w:pPr>
      <w:r>
        <w:rPr>
          <w:rFonts w:hint="eastAsia"/>
          <w:szCs w:val="20"/>
        </w:rPr>
        <w:t>装配式混凝土结构</w:t>
      </w:r>
      <w:r>
        <w:rPr>
          <w:rFonts w:hint="eastAsia"/>
          <w:szCs w:val="20"/>
          <w:lang w:val="en-US" w:eastAsia="zh-CN"/>
        </w:rPr>
        <w:t>现浇</w:t>
      </w:r>
      <w:r>
        <w:rPr>
          <w:rFonts w:hint="eastAsia"/>
          <w:szCs w:val="20"/>
        </w:rPr>
        <w:t>结合面连接的检测应根据检测目的、检测项目、结构状况和现场条件选择适用的抽样方式，宜采用全数检测或抽样检测。抽样检测宜采用随机抽样，当不具备随机抽样条件时宜按合同双方约定的方法抽样。</w:t>
      </w:r>
    </w:p>
    <w:p w14:paraId="53D614CC">
      <w:pPr>
        <w:pStyle w:val="235"/>
        <w:spacing w:before="156" w:after="156"/>
        <w:rPr>
          <w:szCs w:val="20"/>
        </w:rPr>
      </w:pPr>
      <w:r>
        <w:rPr>
          <w:rFonts w:hint="eastAsia"/>
          <w:szCs w:val="20"/>
        </w:rPr>
        <w:t>当遇到下列情况之一时，宜采用全数检测：</w:t>
      </w:r>
    </w:p>
    <w:p w14:paraId="7210B115">
      <w:pPr>
        <w:pStyle w:val="248"/>
        <w:numPr>
          <w:ilvl w:val="0"/>
          <w:numId w:val="36"/>
        </w:numPr>
        <w:ind w:left="735" w:leftChars="150" w:hanging="420" w:hangingChars="200"/>
      </w:pPr>
      <w:r>
        <w:rPr>
          <w:rFonts w:hint="eastAsia"/>
        </w:rPr>
        <w:t>外观缺陷或结构损伤的检测；</w:t>
      </w:r>
    </w:p>
    <w:p w14:paraId="550A176B">
      <w:pPr>
        <w:pStyle w:val="248"/>
        <w:numPr>
          <w:ilvl w:val="0"/>
          <w:numId w:val="36"/>
        </w:numPr>
        <w:ind w:left="735" w:leftChars="150" w:hanging="420" w:hangingChars="200"/>
      </w:pPr>
      <w:r>
        <w:rPr>
          <w:rFonts w:hint="eastAsia"/>
        </w:rPr>
        <w:t>受检范围较小、构件数量较少或节点数量较少；</w:t>
      </w:r>
    </w:p>
    <w:p w14:paraId="0D9F3982">
      <w:pPr>
        <w:pStyle w:val="248"/>
        <w:numPr>
          <w:ilvl w:val="0"/>
          <w:numId w:val="36"/>
        </w:numPr>
        <w:ind w:left="735" w:leftChars="150" w:hanging="420" w:hangingChars="200"/>
      </w:pPr>
      <w:r>
        <w:rPr>
          <w:rFonts w:hint="eastAsia"/>
        </w:rPr>
        <w:t>构件或节点的质量状况差异性较大。</w:t>
      </w:r>
    </w:p>
    <w:p w14:paraId="5AA0855A">
      <w:pPr>
        <w:pStyle w:val="235"/>
        <w:spacing w:before="156" w:after="156"/>
        <w:rPr>
          <w:szCs w:val="20"/>
        </w:rPr>
      </w:pPr>
      <w:r>
        <w:rPr>
          <w:rFonts w:hint="eastAsia"/>
          <w:szCs w:val="20"/>
        </w:rPr>
        <w:t>批量检测应根据结合面连接检测项目的实际情况采取计数抽样方法或计量抽样方法，结合面连接检测项目适用的抽样方法应按表1确定。</w:t>
      </w:r>
    </w:p>
    <w:p w14:paraId="597E1B86">
      <w:pPr>
        <w:pStyle w:val="246"/>
      </w:pPr>
      <w:r>
        <w:rPr>
          <w:rFonts w:hint="eastAsia"/>
        </w:rPr>
        <w:t>表1　检测项目适用的抽样方法</w:t>
      </w:r>
    </w:p>
    <w:p w14:paraId="57FC5EF9">
      <w:pPr>
        <w:pStyle w:val="246"/>
      </w:pPr>
    </w:p>
    <w:tbl>
      <w:tblPr>
        <w:tblStyle w:val="251"/>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2"/>
        <w:gridCol w:w="4891"/>
        <w:gridCol w:w="3137"/>
      </w:tblGrid>
      <w:tr w14:paraId="083B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blHeader/>
        </w:trPr>
        <w:tc>
          <w:tcPr>
            <w:tcW w:w="716" w:type="pct"/>
            <w:vAlign w:val="center"/>
          </w:tcPr>
          <w:p w14:paraId="7EB67908">
            <w:pPr>
              <w:pStyle w:val="244"/>
              <w:rPr>
                <w:rFonts w:eastAsia="Times New Roman" w:cs="Times New Roman"/>
                <w:szCs w:val="21"/>
                <w:lang w:eastAsia="zh-CN"/>
              </w:rPr>
            </w:pPr>
            <w:r>
              <w:rPr>
                <w:rFonts w:hint="eastAsia" w:eastAsia="Times New Roman" w:cs="Times New Roman"/>
                <w:szCs w:val="21"/>
                <w:lang w:eastAsia="zh-CN"/>
              </w:rPr>
              <w:t>序号</w:t>
            </w:r>
          </w:p>
        </w:tc>
        <w:tc>
          <w:tcPr>
            <w:tcW w:w="2609" w:type="pct"/>
            <w:vAlign w:val="center"/>
          </w:tcPr>
          <w:p w14:paraId="6BFDBC51">
            <w:pPr>
              <w:pStyle w:val="244"/>
              <w:rPr>
                <w:rFonts w:eastAsia="Times New Roman" w:cs="Times New Roman"/>
                <w:szCs w:val="21"/>
                <w:lang w:eastAsia="zh-CN"/>
              </w:rPr>
            </w:pPr>
            <w:r>
              <w:rPr>
                <w:rFonts w:hint="eastAsia" w:eastAsia="Times New Roman" w:cs="Times New Roman"/>
                <w:szCs w:val="21"/>
                <w:lang w:eastAsia="zh-CN"/>
              </w:rPr>
              <w:t>检测项目</w:t>
            </w:r>
          </w:p>
        </w:tc>
        <w:tc>
          <w:tcPr>
            <w:tcW w:w="1673" w:type="pct"/>
            <w:vAlign w:val="center"/>
          </w:tcPr>
          <w:p w14:paraId="5625458B">
            <w:pPr>
              <w:pStyle w:val="244"/>
              <w:rPr>
                <w:rFonts w:eastAsia="Times New Roman" w:cs="Times New Roman"/>
                <w:szCs w:val="21"/>
                <w:lang w:eastAsia="zh-CN"/>
              </w:rPr>
            </w:pPr>
            <w:r>
              <w:rPr>
                <w:rFonts w:hint="eastAsia" w:eastAsia="Times New Roman" w:cs="Times New Roman"/>
                <w:szCs w:val="21"/>
                <w:lang w:eastAsia="zh-CN"/>
              </w:rPr>
              <w:t>抽样方法</w:t>
            </w:r>
          </w:p>
        </w:tc>
      </w:tr>
      <w:tr w14:paraId="76EB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716" w:type="pct"/>
            <w:vAlign w:val="center"/>
          </w:tcPr>
          <w:p w14:paraId="4F51C556">
            <w:pPr>
              <w:pStyle w:val="244"/>
              <w:rPr>
                <w:rFonts w:eastAsia="Times New Roman" w:cs="Times New Roman"/>
                <w:szCs w:val="21"/>
                <w:lang w:eastAsia="zh-CN"/>
              </w:rPr>
            </w:pPr>
            <w:r>
              <w:rPr>
                <w:rFonts w:hint="eastAsia" w:eastAsia="Times New Roman" w:cs="Times New Roman"/>
                <w:szCs w:val="21"/>
                <w:lang w:val="en-US" w:eastAsia="zh-CN"/>
              </w:rPr>
              <w:t>1</w:t>
            </w:r>
          </w:p>
        </w:tc>
        <w:tc>
          <w:tcPr>
            <w:tcW w:w="2609" w:type="pct"/>
            <w:vAlign w:val="center"/>
          </w:tcPr>
          <w:p w14:paraId="34436687">
            <w:pPr>
              <w:pStyle w:val="244"/>
              <w:rPr>
                <w:rFonts w:eastAsia="Times New Roman" w:cs="Times New Roman"/>
                <w:szCs w:val="21"/>
                <w:lang w:eastAsia="zh-CN"/>
              </w:rPr>
            </w:pPr>
            <w:r>
              <w:rPr>
                <w:rFonts w:hint="eastAsia" w:eastAsia="Times New Roman" w:cs="Times New Roman"/>
                <w:szCs w:val="21"/>
                <w:lang w:eastAsia="zh-CN"/>
              </w:rPr>
              <w:t>结合面混凝土正拉粘结强度</w:t>
            </w:r>
          </w:p>
        </w:tc>
        <w:tc>
          <w:tcPr>
            <w:tcW w:w="1673" w:type="pct"/>
            <w:vAlign w:val="center"/>
          </w:tcPr>
          <w:p w14:paraId="207F61AC">
            <w:pPr>
              <w:pStyle w:val="244"/>
              <w:rPr>
                <w:rFonts w:eastAsia="Times New Roman" w:cs="Times New Roman"/>
                <w:szCs w:val="21"/>
                <w:lang w:eastAsia="zh-CN"/>
              </w:rPr>
            </w:pPr>
            <w:r>
              <w:rPr>
                <w:rFonts w:hint="eastAsia" w:eastAsia="Times New Roman" w:cs="Times New Roman"/>
                <w:szCs w:val="21"/>
                <w:lang w:eastAsia="zh-CN"/>
              </w:rPr>
              <w:t>计</w:t>
            </w:r>
            <w:r>
              <w:rPr>
                <w:rFonts w:hint="eastAsia" w:eastAsia="Times New Roman" w:cs="Times New Roman"/>
                <w:szCs w:val="21"/>
                <w:lang w:val="en-US" w:eastAsia="zh-CN"/>
              </w:rPr>
              <w:t>量</w:t>
            </w:r>
            <w:r>
              <w:rPr>
                <w:rFonts w:hint="eastAsia" w:eastAsia="Times New Roman" w:cs="Times New Roman"/>
                <w:szCs w:val="21"/>
                <w:lang w:eastAsia="zh-CN"/>
              </w:rPr>
              <w:t>抽样</w:t>
            </w:r>
          </w:p>
        </w:tc>
      </w:tr>
      <w:tr w14:paraId="1F32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716" w:type="pct"/>
            <w:vAlign w:val="center"/>
          </w:tcPr>
          <w:p w14:paraId="734BA4C4">
            <w:pPr>
              <w:pStyle w:val="244"/>
              <w:rPr>
                <w:rFonts w:eastAsia="Times New Roman" w:cs="Times New Roman"/>
                <w:szCs w:val="21"/>
                <w:lang w:eastAsia="zh-CN"/>
              </w:rPr>
            </w:pPr>
            <w:r>
              <w:rPr>
                <w:rFonts w:hint="eastAsia" w:eastAsia="Times New Roman" w:cs="Times New Roman"/>
                <w:szCs w:val="21"/>
                <w:lang w:val="en-US" w:eastAsia="zh-CN"/>
              </w:rPr>
              <w:t>2</w:t>
            </w:r>
          </w:p>
        </w:tc>
        <w:tc>
          <w:tcPr>
            <w:tcW w:w="2609" w:type="pct"/>
            <w:vAlign w:val="center"/>
          </w:tcPr>
          <w:p w14:paraId="4E5E79E9">
            <w:pPr>
              <w:pStyle w:val="244"/>
              <w:rPr>
                <w:rFonts w:eastAsia="Times New Roman" w:cs="Times New Roman"/>
                <w:szCs w:val="21"/>
                <w:lang w:eastAsia="zh-CN"/>
              </w:rPr>
            </w:pPr>
            <w:r>
              <w:rPr>
                <w:rFonts w:hint="eastAsia" w:eastAsia="Times New Roman" w:cs="Times New Roman"/>
                <w:szCs w:val="21"/>
                <w:lang w:eastAsia="zh-CN"/>
              </w:rPr>
              <w:t>混凝土内部结合面连接缺陷</w:t>
            </w:r>
          </w:p>
        </w:tc>
        <w:tc>
          <w:tcPr>
            <w:tcW w:w="1673" w:type="pct"/>
            <w:vMerge w:val="restart"/>
            <w:vAlign w:val="center"/>
          </w:tcPr>
          <w:p w14:paraId="2A4F1C91">
            <w:pPr>
              <w:pStyle w:val="244"/>
              <w:rPr>
                <w:rFonts w:eastAsia="Times New Roman" w:cs="Times New Roman"/>
                <w:szCs w:val="21"/>
                <w:lang w:eastAsia="zh-CN"/>
              </w:rPr>
            </w:pPr>
            <w:r>
              <w:rPr>
                <w:rFonts w:hint="eastAsia" w:eastAsia="Times New Roman" w:cs="Times New Roman"/>
                <w:szCs w:val="21"/>
                <w:lang w:eastAsia="zh-CN"/>
              </w:rPr>
              <w:t>计数抽样</w:t>
            </w:r>
          </w:p>
        </w:tc>
      </w:tr>
      <w:tr w14:paraId="612C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716" w:type="pct"/>
            <w:vAlign w:val="center"/>
          </w:tcPr>
          <w:p w14:paraId="578F3299">
            <w:pPr>
              <w:pStyle w:val="244"/>
              <w:rPr>
                <w:rFonts w:eastAsia="Times New Roman" w:cs="Times New Roman"/>
                <w:szCs w:val="21"/>
                <w:lang w:eastAsia="zh-CN"/>
              </w:rPr>
            </w:pPr>
            <w:r>
              <w:rPr>
                <w:rFonts w:hint="eastAsia" w:eastAsia="Times New Roman" w:cs="Times New Roman"/>
                <w:szCs w:val="21"/>
                <w:lang w:val="en-US" w:eastAsia="zh-CN"/>
              </w:rPr>
              <w:t>3</w:t>
            </w:r>
          </w:p>
        </w:tc>
        <w:tc>
          <w:tcPr>
            <w:tcW w:w="2609" w:type="pct"/>
            <w:vAlign w:val="center"/>
          </w:tcPr>
          <w:p w14:paraId="726E0479">
            <w:pPr>
              <w:pStyle w:val="244"/>
              <w:rPr>
                <w:rFonts w:eastAsia="Times New Roman" w:cs="Times New Roman"/>
                <w:szCs w:val="21"/>
                <w:lang w:eastAsia="zh-CN"/>
              </w:rPr>
            </w:pPr>
            <w:r>
              <w:rPr>
                <w:rFonts w:hint="eastAsia" w:eastAsia="Times New Roman" w:cs="Times New Roman"/>
                <w:szCs w:val="21"/>
                <w:lang w:eastAsia="zh-CN"/>
              </w:rPr>
              <w:t>竖向构件底部接缝内部缺陷</w:t>
            </w:r>
          </w:p>
        </w:tc>
        <w:tc>
          <w:tcPr>
            <w:tcW w:w="1673" w:type="pct"/>
            <w:vMerge w:val="continue"/>
            <w:vAlign w:val="center"/>
          </w:tcPr>
          <w:p w14:paraId="186C49A6">
            <w:pPr>
              <w:rPr>
                <w:rFonts w:ascii="Arial" w:eastAsia="Times New Roman"/>
              </w:rPr>
            </w:pPr>
          </w:p>
        </w:tc>
      </w:tr>
    </w:tbl>
    <w:p w14:paraId="6809158E">
      <w:pPr>
        <w:pStyle w:val="235"/>
        <w:spacing w:before="156" w:after="156"/>
        <w:rPr>
          <w:szCs w:val="20"/>
        </w:rPr>
      </w:pPr>
      <w:r>
        <w:rPr>
          <w:rFonts w:hint="eastAsia"/>
          <w:szCs w:val="20"/>
        </w:rPr>
        <w:t>对于计量抽样检测的项目，检测批的抽样数量应满足检测方法要求的最小样本容量。</w:t>
      </w:r>
    </w:p>
    <w:p w14:paraId="4C3064C5">
      <w:pPr>
        <w:pStyle w:val="235"/>
        <w:spacing w:before="156" w:after="156"/>
        <w:rPr>
          <w:szCs w:val="20"/>
        </w:rPr>
      </w:pPr>
      <w:r>
        <w:rPr>
          <w:rFonts w:hint="eastAsia"/>
          <w:szCs w:val="20"/>
        </w:rPr>
        <w:t>对于计数抽样检测的项目，当专项检测技术未规定具体抽样方法时，检测批的最小样本容量宜按表2规定的数量随机抽样。</w:t>
      </w:r>
    </w:p>
    <w:p w14:paraId="6EB8BD9B">
      <w:pPr>
        <w:pStyle w:val="246"/>
      </w:pPr>
      <w:r>
        <w:rPr>
          <w:rFonts w:hint="eastAsia"/>
        </w:rPr>
        <w:t>表2　检测批的最小样本容量</w:t>
      </w:r>
    </w:p>
    <w:tbl>
      <w:tblPr>
        <w:tblStyle w:val="251"/>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06"/>
        <w:gridCol w:w="1070"/>
        <w:gridCol w:w="968"/>
        <w:gridCol w:w="1081"/>
        <w:gridCol w:w="1469"/>
        <w:gridCol w:w="1120"/>
        <w:gridCol w:w="1120"/>
        <w:gridCol w:w="1149"/>
      </w:tblGrid>
      <w:tr w14:paraId="0BFAE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blHeader/>
        </w:trPr>
        <w:tc>
          <w:tcPr>
            <w:tcW w:w="749" w:type="pct"/>
            <w:vMerge w:val="restart"/>
            <w:tcBorders>
              <w:top w:val="single" w:color="auto" w:sz="4" w:space="0"/>
              <w:left w:val="single" w:color="auto" w:sz="4" w:space="0"/>
              <w:bottom w:val="single" w:color="auto" w:sz="4" w:space="0"/>
              <w:right w:val="single" w:color="auto" w:sz="4" w:space="0"/>
            </w:tcBorders>
            <w:vAlign w:val="center"/>
          </w:tcPr>
          <w:p w14:paraId="2CEE338E">
            <w:pPr>
              <w:pStyle w:val="244"/>
              <w:rPr>
                <w:rFonts w:eastAsia="Times New Roman" w:cs="Times New Roman"/>
                <w:szCs w:val="21"/>
              </w:rPr>
            </w:pPr>
            <w:r>
              <w:rPr>
                <w:rFonts w:eastAsia="Times New Roman" w:cs="Times New Roman"/>
                <w:szCs w:val="21"/>
              </w:rPr>
              <w:t>检</w:t>
            </w:r>
            <w:r>
              <w:rPr>
                <w:rFonts w:hint="eastAsia" w:eastAsia="Times New Roman" w:cs="Times New Roman"/>
                <w:szCs w:val="21"/>
                <w:lang w:val="en-US" w:eastAsia="zh-CN"/>
              </w:rPr>
              <w:t>测</w:t>
            </w:r>
            <w:r>
              <w:rPr>
                <w:rFonts w:eastAsia="Times New Roman" w:cs="Times New Roman"/>
                <w:szCs w:val="21"/>
              </w:rPr>
              <w:t>批的容量</w:t>
            </w:r>
          </w:p>
        </w:tc>
        <w:tc>
          <w:tcPr>
            <w:tcW w:w="1662" w:type="pct"/>
            <w:gridSpan w:val="3"/>
            <w:tcBorders>
              <w:top w:val="single" w:color="auto" w:sz="4" w:space="0"/>
              <w:left w:val="single" w:color="auto" w:sz="4" w:space="0"/>
              <w:bottom w:val="single" w:color="auto" w:sz="4" w:space="0"/>
              <w:right w:val="single" w:color="auto" w:sz="4" w:space="0"/>
            </w:tcBorders>
            <w:vAlign w:val="center"/>
          </w:tcPr>
          <w:p w14:paraId="724E46EB">
            <w:pPr>
              <w:pStyle w:val="244"/>
              <w:rPr>
                <w:rFonts w:eastAsia="Times New Roman" w:cs="Times New Roman"/>
                <w:szCs w:val="21"/>
              </w:rPr>
            </w:pPr>
            <w:r>
              <w:rPr>
                <w:rFonts w:eastAsia="Times New Roman" w:cs="Times New Roman"/>
                <w:spacing w:val="-1"/>
                <w:szCs w:val="21"/>
              </w:rPr>
              <w:t>检测类别和样本最小容量</w:t>
            </w:r>
          </w:p>
        </w:tc>
        <w:tc>
          <w:tcPr>
            <w:tcW w:w="783" w:type="pct"/>
            <w:vMerge w:val="restart"/>
            <w:tcBorders>
              <w:top w:val="single" w:color="auto" w:sz="4" w:space="0"/>
              <w:left w:val="single" w:color="auto" w:sz="4" w:space="0"/>
              <w:bottom w:val="single" w:color="auto" w:sz="4" w:space="0"/>
              <w:right w:val="single" w:color="auto" w:sz="4" w:space="0"/>
            </w:tcBorders>
            <w:vAlign w:val="center"/>
          </w:tcPr>
          <w:p w14:paraId="489AFC9E">
            <w:pPr>
              <w:pStyle w:val="244"/>
              <w:rPr>
                <w:rFonts w:eastAsia="Times New Roman" w:cs="Times New Roman"/>
                <w:szCs w:val="21"/>
              </w:rPr>
            </w:pPr>
            <w:r>
              <w:rPr>
                <w:rFonts w:eastAsia="Times New Roman" w:cs="Times New Roman"/>
                <w:szCs w:val="21"/>
              </w:rPr>
              <w:t>检</w:t>
            </w:r>
            <w:r>
              <w:rPr>
                <w:rFonts w:hint="eastAsia" w:eastAsia="Times New Roman" w:cs="Times New Roman"/>
                <w:szCs w:val="21"/>
                <w:lang w:val="en-US" w:eastAsia="zh-CN"/>
              </w:rPr>
              <w:t>测</w:t>
            </w:r>
            <w:r>
              <w:rPr>
                <w:rFonts w:eastAsia="Times New Roman" w:cs="Times New Roman"/>
                <w:szCs w:val="21"/>
              </w:rPr>
              <w:t>批的容量</w:t>
            </w:r>
          </w:p>
        </w:tc>
        <w:tc>
          <w:tcPr>
            <w:tcW w:w="1805" w:type="pct"/>
            <w:gridSpan w:val="3"/>
            <w:tcBorders>
              <w:top w:val="single" w:color="auto" w:sz="4" w:space="0"/>
              <w:left w:val="single" w:color="auto" w:sz="4" w:space="0"/>
              <w:bottom w:val="single" w:color="auto" w:sz="4" w:space="0"/>
              <w:right w:val="single" w:color="auto" w:sz="4" w:space="0"/>
            </w:tcBorders>
            <w:vAlign w:val="center"/>
          </w:tcPr>
          <w:p w14:paraId="100DE15D">
            <w:pPr>
              <w:pStyle w:val="244"/>
              <w:rPr>
                <w:rFonts w:eastAsia="Times New Roman" w:cs="Times New Roman"/>
                <w:szCs w:val="21"/>
              </w:rPr>
            </w:pPr>
            <w:r>
              <w:rPr>
                <w:rFonts w:eastAsia="Times New Roman" w:cs="Times New Roman"/>
                <w:spacing w:val="-1"/>
                <w:szCs w:val="21"/>
              </w:rPr>
              <w:t>检测类别和样本最小容量</w:t>
            </w:r>
          </w:p>
        </w:tc>
      </w:tr>
      <w:tr w14:paraId="76CFC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blHeader/>
        </w:trPr>
        <w:tc>
          <w:tcPr>
            <w:tcW w:w="749" w:type="pct"/>
            <w:vMerge w:val="continue"/>
            <w:tcBorders>
              <w:top w:val="single" w:color="auto" w:sz="4" w:space="0"/>
              <w:left w:val="single" w:color="auto" w:sz="4" w:space="0"/>
              <w:bottom w:val="single" w:color="auto" w:sz="4" w:space="0"/>
              <w:right w:val="single" w:color="auto" w:sz="4" w:space="0"/>
            </w:tcBorders>
            <w:vAlign w:val="center"/>
          </w:tcPr>
          <w:p w14:paraId="373533BE">
            <w:pPr>
              <w:pStyle w:val="244"/>
              <w:rPr>
                <w:rFonts w:eastAsia="Times New Roman" w:cs="Times New Roman"/>
                <w:szCs w:val="21"/>
              </w:rPr>
            </w:pPr>
          </w:p>
        </w:tc>
        <w:tc>
          <w:tcPr>
            <w:tcW w:w="570" w:type="pct"/>
            <w:tcBorders>
              <w:top w:val="single" w:color="auto" w:sz="4" w:space="0"/>
              <w:left w:val="single" w:color="auto" w:sz="4" w:space="0"/>
              <w:bottom w:val="single" w:color="auto" w:sz="4" w:space="0"/>
              <w:right w:val="single" w:color="auto" w:sz="4" w:space="0"/>
            </w:tcBorders>
            <w:vAlign w:val="center"/>
          </w:tcPr>
          <w:p w14:paraId="7C7B65B1">
            <w:pPr>
              <w:pStyle w:val="244"/>
              <w:rPr>
                <w:rFonts w:eastAsia="Times New Roman" w:cs="Times New Roman"/>
                <w:szCs w:val="21"/>
              </w:rPr>
            </w:pPr>
            <w:r>
              <w:rPr>
                <w:rFonts w:eastAsia="Times New Roman" w:cs="Times New Roman"/>
                <w:szCs w:val="21"/>
              </w:rPr>
              <w:t>A</w:t>
            </w:r>
          </w:p>
        </w:tc>
        <w:tc>
          <w:tcPr>
            <w:tcW w:w="516" w:type="pct"/>
            <w:tcBorders>
              <w:top w:val="single" w:color="auto" w:sz="4" w:space="0"/>
              <w:left w:val="single" w:color="auto" w:sz="4" w:space="0"/>
              <w:bottom w:val="single" w:color="auto" w:sz="4" w:space="0"/>
              <w:right w:val="single" w:color="auto" w:sz="4" w:space="0"/>
            </w:tcBorders>
            <w:vAlign w:val="center"/>
          </w:tcPr>
          <w:p w14:paraId="641962F9">
            <w:pPr>
              <w:pStyle w:val="244"/>
              <w:rPr>
                <w:rFonts w:eastAsia="Times New Roman" w:cs="Times New Roman"/>
                <w:szCs w:val="21"/>
              </w:rPr>
            </w:pPr>
            <w:r>
              <w:rPr>
                <w:rFonts w:eastAsia="Times New Roman" w:cs="Times New Roman"/>
                <w:szCs w:val="21"/>
              </w:rPr>
              <w:t>B</w:t>
            </w:r>
          </w:p>
        </w:tc>
        <w:tc>
          <w:tcPr>
            <w:tcW w:w="575" w:type="pct"/>
            <w:tcBorders>
              <w:top w:val="single" w:color="auto" w:sz="4" w:space="0"/>
              <w:left w:val="single" w:color="auto" w:sz="4" w:space="0"/>
              <w:bottom w:val="single" w:color="auto" w:sz="4" w:space="0"/>
              <w:right w:val="single" w:color="auto" w:sz="4" w:space="0"/>
            </w:tcBorders>
            <w:vAlign w:val="center"/>
          </w:tcPr>
          <w:p w14:paraId="21225201">
            <w:pPr>
              <w:pStyle w:val="244"/>
              <w:rPr>
                <w:rFonts w:eastAsia="Times New Roman" w:cs="Times New Roman"/>
                <w:szCs w:val="21"/>
              </w:rPr>
            </w:pPr>
            <w:r>
              <w:rPr>
                <w:rFonts w:hint="eastAsia" w:eastAsia="Times New Roman" w:cs="Times New Roman"/>
                <w:szCs w:val="21"/>
                <w:lang w:eastAsia="zh-CN"/>
              </w:rPr>
              <w:t>3</w:t>
            </w:r>
          </w:p>
        </w:tc>
        <w:tc>
          <w:tcPr>
            <w:tcW w:w="783" w:type="pct"/>
            <w:vMerge w:val="continue"/>
            <w:tcBorders>
              <w:top w:val="single" w:color="auto" w:sz="4" w:space="0"/>
              <w:left w:val="single" w:color="auto" w:sz="4" w:space="0"/>
              <w:bottom w:val="single" w:color="auto" w:sz="4" w:space="0"/>
              <w:right w:val="single" w:color="auto" w:sz="4" w:space="0"/>
            </w:tcBorders>
            <w:vAlign w:val="center"/>
          </w:tcPr>
          <w:p w14:paraId="4C2A83E8">
            <w:pPr>
              <w:pStyle w:val="244"/>
              <w:rPr>
                <w:rFonts w:eastAsia="Times New Roman" w:cs="Times New Roman"/>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5DE8A43A">
            <w:pPr>
              <w:pStyle w:val="244"/>
              <w:rPr>
                <w:rFonts w:eastAsia="Times New Roman" w:cs="Times New Roman"/>
                <w:szCs w:val="21"/>
              </w:rPr>
            </w:pPr>
            <w:r>
              <w:rPr>
                <w:rFonts w:eastAsia="Times New Roman" w:cs="Times New Roman"/>
                <w:szCs w:val="21"/>
              </w:rPr>
              <w:t>A</w:t>
            </w:r>
          </w:p>
        </w:tc>
        <w:tc>
          <w:tcPr>
            <w:tcW w:w="597" w:type="pct"/>
            <w:tcBorders>
              <w:top w:val="single" w:color="auto" w:sz="4" w:space="0"/>
              <w:left w:val="single" w:color="auto" w:sz="4" w:space="0"/>
              <w:bottom w:val="single" w:color="auto" w:sz="4" w:space="0"/>
              <w:right w:val="single" w:color="auto" w:sz="4" w:space="0"/>
            </w:tcBorders>
            <w:vAlign w:val="center"/>
          </w:tcPr>
          <w:p w14:paraId="7A58F84B">
            <w:pPr>
              <w:pStyle w:val="244"/>
              <w:rPr>
                <w:rFonts w:eastAsia="Times New Roman" w:cs="Times New Roman"/>
                <w:szCs w:val="21"/>
              </w:rPr>
            </w:pPr>
            <w:r>
              <w:rPr>
                <w:rFonts w:eastAsia="Times New Roman" w:cs="Times New Roman"/>
                <w:szCs w:val="21"/>
              </w:rPr>
              <w:t>B</w:t>
            </w:r>
          </w:p>
        </w:tc>
        <w:tc>
          <w:tcPr>
            <w:tcW w:w="609" w:type="pct"/>
            <w:tcBorders>
              <w:top w:val="single" w:color="auto" w:sz="4" w:space="0"/>
              <w:left w:val="single" w:color="auto" w:sz="4" w:space="0"/>
              <w:bottom w:val="single" w:color="auto" w:sz="4" w:space="0"/>
              <w:right w:val="single" w:color="auto" w:sz="4" w:space="0"/>
            </w:tcBorders>
            <w:vAlign w:val="center"/>
          </w:tcPr>
          <w:p w14:paraId="3D2C588F">
            <w:pPr>
              <w:pStyle w:val="244"/>
              <w:rPr>
                <w:rFonts w:eastAsia="Times New Roman" w:cs="Times New Roman"/>
                <w:szCs w:val="21"/>
              </w:rPr>
            </w:pPr>
            <w:r>
              <w:rPr>
                <w:rFonts w:hint="eastAsia" w:eastAsia="Times New Roman" w:cs="Times New Roman"/>
                <w:szCs w:val="21"/>
                <w:lang w:eastAsia="zh-CN"/>
              </w:rPr>
              <w:t>80</w:t>
            </w:r>
          </w:p>
        </w:tc>
      </w:tr>
      <w:tr w14:paraId="34B20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rPr>
        <w:tc>
          <w:tcPr>
            <w:tcW w:w="749" w:type="pct"/>
            <w:tcBorders>
              <w:top w:val="single" w:color="auto" w:sz="4" w:space="0"/>
              <w:left w:val="single" w:color="auto" w:sz="4" w:space="0"/>
              <w:bottom w:val="single" w:color="auto" w:sz="4" w:space="0"/>
              <w:right w:val="single" w:color="auto" w:sz="4" w:space="0"/>
            </w:tcBorders>
            <w:vAlign w:val="center"/>
          </w:tcPr>
          <w:p w14:paraId="24A12AC6">
            <w:pPr>
              <w:pStyle w:val="244"/>
              <w:rPr>
                <w:rFonts w:eastAsia="Times New Roman" w:cs="Times New Roman"/>
                <w:szCs w:val="21"/>
              </w:rPr>
            </w:pPr>
            <w:r>
              <w:rPr>
                <w:rFonts w:hint="eastAsia" w:eastAsia="Times New Roman" w:cs="Times New Roman"/>
                <w:szCs w:val="21"/>
                <w:lang w:eastAsia="zh-CN"/>
              </w:rPr>
              <w:t>3~8</w:t>
            </w:r>
          </w:p>
        </w:tc>
        <w:tc>
          <w:tcPr>
            <w:tcW w:w="570" w:type="pct"/>
            <w:tcBorders>
              <w:top w:val="single" w:color="auto" w:sz="4" w:space="0"/>
              <w:left w:val="single" w:color="auto" w:sz="4" w:space="0"/>
              <w:bottom w:val="single" w:color="auto" w:sz="4" w:space="0"/>
              <w:right w:val="single" w:color="auto" w:sz="4" w:space="0"/>
            </w:tcBorders>
            <w:vAlign w:val="center"/>
          </w:tcPr>
          <w:p w14:paraId="29D5CA22">
            <w:pPr>
              <w:pStyle w:val="244"/>
              <w:rPr>
                <w:rFonts w:eastAsia="Times New Roman" w:cs="Times New Roman"/>
                <w:spacing w:val="-1"/>
                <w:szCs w:val="21"/>
              </w:rPr>
            </w:pPr>
            <w:r>
              <w:rPr>
                <w:rFonts w:hint="eastAsia" w:eastAsia="Times New Roman" w:cs="Times New Roman"/>
                <w:spacing w:val="-1"/>
                <w:szCs w:val="21"/>
                <w:lang w:eastAsia="zh-CN"/>
              </w:rPr>
              <w:t>2</w:t>
            </w:r>
          </w:p>
        </w:tc>
        <w:tc>
          <w:tcPr>
            <w:tcW w:w="516" w:type="pct"/>
            <w:tcBorders>
              <w:top w:val="single" w:color="auto" w:sz="4" w:space="0"/>
              <w:left w:val="single" w:color="auto" w:sz="4" w:space="0"/>
              <w:bottom w:val="single" w:color="auto" w:sz="4" w:space="0"/>
              <w:right w:val="single" w:color="auto" w:sz="4" w:space="0"/>
            </w:tcBorders>
            <w:vAlign w:val="center"/>
          </w:tcPr>
          <w:p w14:paraId="4C20F122">
            <w:pPr>
              <w:pStyle w:val="244"/>
              <w:rPr>
                <w:rFonts w:eastAsia="Times New Roman" w:cs="Times New Roman"/>
                <w:spacing w:val="-1"/>
                <w:szCs w:val="21"/>
              </w:rPr>
            </w:pPr>
            <w:r>
              <w:rPr>
                <w:rFonts w:hint="eastAsia" w:eastAsia="Times New Roman" w:cs="Times New Roman"/>
                <w:spacing w:val="-1"/>
                <w:szCs w:val="21"/>
                <w:lang w:eastAsia="zh-CN"/>
              </w:rPr>
              <w:t>2</w:t>
            </w:r>
          </w:p>
        </w:tc>
        <w:tc>
          <w:tcPr>
            <w:tcW w:w="575" w:type="pct"/>
            <w:tcBorders>
              <w:top w:val="single" w:color="auto" w:sz="4" w:space="0"/>
              <w:left w:val="single" w:color="auto" w:sz="4" w:space="0"/>
              <w:bottom w:val="single" w:color="auto" w:sz="4" w:space="0"/>
              <w:right w:val="single" w:color="auto" w:sz="4" w:space="0"/>
            </w:tcBorders>
            <w:vAlign w:val="center"/>
          </w:tcPr>
          <w:p w14:paraId="2DCA3C0D">
            <w:pPr>
              <w:pStyle w:val="244"/>
              <w:rPr>
                <w:rFonts w:eastAsia="Times New Roman" w:cs="Times New Roman"/>
                <w:spacing w:val="-1"/>
                <w:szCs w:val="21"/>
              </w:rPr>
            </w:pPr>
            <w:r>
              <w:rPr>
                <w:rFonts w:hint="eastAsia" w:eastAsia="Times New Roman" w:cs="Times New Roman"/>
                <w:spacing w:val="-1"/>
                <w:szCs w:val="21"/>
                <w:lang w:eastAsia="zh-CN"/>
              </w:rPr>
              <w:t>5</w:t>
            </w:r>
          </w:p>
        </w:tc>
        <w:tc>
          <w:tcPr>
            <w:tcW w:w="783" w:type="pct"/>
            <w:tcBorders>
              <w:top w:val="single" w:color="auto" w:sz="4" w:space="0"/>
              <w:left w:val="single" w:color="auto" w:sz="4" w:space="0"/>
              <w:bottom w:val="single" w:color="auto" w:sz="4" w:space="0"/>
              <w:right w:val="single" w:color="auto" w:sz="4" w:space="0"/>
            </w:tcBorders>
            <w:vAlign w:val="center"/>
          </w:tcPr>
          <w:p w14:paraId="6C9CC1DE">
            <w:pPr>
              <w:pStyle w:val="244"/>
              <w:rPr>
                <w:rFonts w:eastAsia="Times New Roman" w:cs="Times New Roman"/>
                <w:spacing w:val="-1"/>
                <w:szCs w:val="21"/>
                <w:lang w:eastAsia="zh-CN"/>
              </w:rPr>
            </w:pPr>
            <w:r>
              <w:rPr>
                <w:rFonts w:hint="eastAsia" w:eastAsia="Times New Roman" w:cs="Times New Roman"/>
                <w:spacing w:val="-1"/>
                <w:szCs w:val="21"/>
                <w:lang w:eastAsia="zh-CN"/>
              </w:rPr>
              <w:t>281~500</w:t>
            </w:r>
          </w:p>
        </w:tc>
        <w:tc>
          <w:tcPr>
            <w:tcW w:w="597" w:type="pct"/>
            <w:tcBorders>
              <w:top w:val="single" w:color="auto" w:sz="4" w:space="0"/>
              <w:left w:val="single" w:color="auto" w:sz="4" w:space="0"/>
              <w:bottom w:val="single" w:color="auto" w:sz="4" w:space="0"/>
              <w:right w:val="single" w:color="auto" w:sz="4" w:space="0"/>
            </w:tcBorders>
            <w:vAlign w:val="center"/>
          </w:tcPr>
          <w:p w14:paraId="750D2479">
            <w:pPr>
              <w:pStyle w:val="244"/>
              <w:rPr>
                <w:rFonts w:eastAsia="Times New Roman" w:cs="Times New Roman"/>
                <w:spacing w:val="-1"/>
                <w:szCs w:val="21"/>
                <w:lang w:eastAsia="zh-CN"/>
              </w:rPr>
            </w:pPr>
            <w:r>
              <w:rPr>
                <w:rFonts w:hint="eastAsia" w:eastAsia="Times New Roman" w:cs="Times New Roman"/>
                <w:spacing w:val="-1"/>
                <w:szCs w:val="21"/>
                <w:lang w:eastAsia="zh-CN"/>
              </w:rPr>
              <w:t>20</w:t>
            </w:r>
          </w:p>
        </w:tc>
        <w:tc>
          <w:tcPr>
            <w:tcW w:w="597" w:type="pct"/>
            <w:tcBorders>
              <w:top w:val="single" w:color="auto" w:sz="4" w:space="0"/>
              <w:left w:val="single" w:color="auto" w:sz="4" w:space="0"/>
              <w:bottom w:val="single" w:color="auto" w:sz="4" w:space="0"/>
              <w:right w:val="single" w:color="auto" w:sz="4" w:space="0"/>
            </w:tcBorders>
            <w:vAlign w:val="center"/>
          </w:tcPr>
          <w:p w14:paraId="634B7FA7">
            <w:pPr>
              <w:pStyle w:val="244"/>
              <w:rPr>
                <w:rFonts w:eastAsia="Times New Roman" w:cs="Times New Roman"/>
                <w:spacing w:val="-1"/>
                <w:szCs w:val="21"/>
                <w:lang w:eastAsia="zh-CN"/>
              </w:rPr>
            </w:pPr>
            <w:r>
              <w:rPr>
                <w:rFonts w:hint="eastAsia" w:eastAsia="Times New Roman" w:cs="Times New Roman"/>
                <w:spacing w:val="-1"/>
                <w:szCs w:val="21"/>
                <w:lang w:eastAsia="zh-CN"/>
              </w:rPr>
              <w:t>50</w:t>
            </w:r>
          </w:p>
        </w:tc>
        <w:tc>
          <w:tcPr>
            <w:tcW w:w="609" w:type="pct"/>
            <w:tcBorders>
              <w:top w:val="single" w:color="auto" w:sz="4" w:space="0"/>
              <w:left w:val="single" w:color="auto" w:sz="4" w:space="0"/>
              <w:bottom w:val="single" w:color="auto" w:sz="4" w:space="0"/>
              <w:right w:val="single" w:color="auto" w:sz="4" w:space="0"/>
            </w:tcBorders>
            <w:vAlign w:val="center"/>
          </w:tcPr>
          <w:p w14:paraId="7C4A8AC3">
            <w:pPr>
              <w:pStyle w:val="244"/>
              <w:rPr>
                <w:rFonts w:eastAsia="Times New Roman" w:cs="Times New Roman"/>
                <w:spacing w:val="-1"/>
                <w:szCs w:val="21"/>
                <w:lang w:eastAsia="zh-CN"/>
              </w:rPr>
            </w:pPr>
            <w:r>
              <w:rPr>
                <w:rFonts w:hint="eastAsia" w:eastAsia="Times New Roman" w:cs="Times New Roman"/>
                <w:spacing w:val="-1"/>
                <w:szCs w:val="21"/>
                <w:lang w:eastAsia="zh-CN"/>
              </w:rPr>
              <w:t>125</w:t>
            </w:r>
          </w:p>
        </w:tc>
      </w:tr>
      <w:tr w14:paraId="66A43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rPr>
        <w:tc>
          <w:tcPr>
            <w:tcW w:w="749" w:type="pct"/>
            <w:tcBorders>
              <w:top w:val="single" w:color="auto" w:sz="4" w:space="0"/>
              <w:left w:val="single" w:color="auto" w:sz="4" w:space="0"/>
              <w:bottom w:val="single" w:color="auto" w:sz="4" w:space="0"/>
              <w:right w:val="single" w:color="auto" w:sz="4" w:space="0"/>
            </w:tcBorders>
            <w:vAlign w:val="center"/>
          </w:tcPr>
          <w:p w14:paraId="4635C0A3">
            <w:pPr>
              <w:pStyle w:val="244"/>
              <w:rPr>
                <w:rFonts w:eastAsia="Times New Roman" w:cs="Times New Roman"/>
                <w:szCs w:val="21"/>
              </w:rPr>
            </w:pPr>
            <w:r>
              <w:rPr>
                <w:rFonts w:hint="eastAsia" w:eastAsia="Times New Roman" w:cs="Times New Roman"/>
                <w:szCs w:val="21"/>
                <w:lang w:eastAsia="zh-CN"/>
              </w:rPr>
              <w:t>9~15</w:t>
            </w:r>
          </w:p>
        </w:tc>
        <w:tc>
          <w:tcPr>
            <w:tcW w:w="570" w:type="pct"/>
            <w:tcBorders>
              <w:top w:val="single" w:color="auto" w:sz="4" w:space="0"/>
              <w:left w:val="single" w:color="auto" w:sz="4" w:space="0"/>
              <w:bottom w:val="single" w:color="auto" w:sz="4" w:space="0"/>
              <w:right w:val="single" w:color="auto" w:sz="4" w:space="0"/>
            </w:tcBorders>
            <w:vAlign w:val="center"/>
          </w:tcPr>
          <w:p w14:paraId="55F6C897">
            <w:pPr>
              <w:pStyle w:val="244"/>
              <w:rPr>
                <w:rFonts w:eastAsia="Times New Roman" w:cs="Times New Roman"/>
                <w:spacing w:val="-1"/>
                <w:szCs w:val="21"/>
              </w:rPr>
            </w:pPr>
            <w:r>
              <w:rPr>
                <w:rFonts w:hint="eastAsia" w:eastAsia="Times New Roman" w:cs="Times New Roman"/>
                <w:spacing w:val="-1"/>
                <w:szCs w:val="21"/>
                <w:lang w:eastAsia="zh-CN"/>
              </w:rPr>
              <w:t>2</w:t>
            </w:r>
          </w:p>
        </w:tc>
        <w:tc>
          <w:tcPr>
            <w:tcW w:w="516" w:type="pct"/>
            <w:tcBorders>
              <w:top w:val="single" w:color="auto" w:sz="4" w:space="0"/>
              <w:left w:val="single" w:color="auto" w:sz="4" w:space="0"/>
              <w:bottom w:val="single" w:color="auto" w:sz="4" w:space="0"/>
              <w:right w:val="single" w:color="auto" w:sz="4" w:space="0"/>
            </w:tcBorders>
            <w:vAlign w:val="center"/>
          </w:tcPr>
          <w:p w14:paraId="2FA459A0">
            <w:pPr>
              <w:pStyle w:val="244"/>
              <w:rPr>
                <w:rFonts w:eastAsia="Times New Roman" w:cs="Times New Roman"/>
                <w:spacing w:val="-1"/>
                <w:szCs w:val="21"/>
              </w:rPr>
            </w:pPr>
            <w:r>
              <w:rPr>
                <w:rFonts w:hint="eastAsia" w:eastAsia="Times New Roman" w:cs="Times New Roman"/>
                <w:spacing w:val="-1"/>
                <w:szCs w:val="21"/>
                <w:lang w:eastAsia="zh-CN"/>
              </w:rPr>
              <w:t>3</w:t>
            </w:r>
          </w:p>
        </w:tc>
        <w:tc>
          <w:tcPr>
            <w:tcW w:w="575" w:type="pct"/>
            <w:tcBorders>
              <w:top w:val="single" w:color="auto" w:sz="4" w:space="0"/>
              <w:left w:val="single" w:color="auto" w:sz="4" w:space="0"/>
              <w:bottom w:val="single" w:color="auto" w:sz="4" w:space="0"/>
              <w:right w:val="single" w:color="auto" w:sz="4" w:space="0"/>
            </w:tcBorders>
            <w:vAlign w:val="center"/>
          </w:tcPr>
          <w:p w14:paraId="12269726">
            <w:pPr>
              <w:pStyle w:val="244"/>
              <w:rPr>
                <w:rFonts w:eastAsia="Times New Roman" w:cs="Times New Roman"/>
                <w:spacing w:val="-1"/>
                <w:szCs w:val="21"/>
              </w:rPr>
            </w:pPr>
            <w:r>
              <w:rPr>
                <w:rFonts w:hint="eastAsia" w:eastAsia="Times New Roman" w:cs="Times New Roman"/>
                <w:spacing w:val="-1"/>
                <w:szCs w:val="21"/>
                <w:lang w:eastAsia="zh-CN"/>
              </w:rPr>
              <w:t>8</w:t>
            </w:r>
          </w:p>
        </w:tc>
        <w:tc>
          <w:tcPr>
            <w:tcW w:w="783" w:type="pct"/>
            <w:tcBorders>
              <w:top w:val="single" w:color="auto" w:sz="4" w:space="0"/>
              <w:left w:val="single" w:color="auto" w:sz="4" w:space="0"/>
              <w:bottom w:val="single" w:color="auto" w:sz="4" w:space="0"/>
              <w:right w:val="single" w:color="auto" w:sz="4" w:space="0"/>
            </w:tcBorders>
            <w:vAlign w:val="center"/>
          </w:tcPr>
          <w:p w14:paraId="601C50C0">
            <w:pPr>
              <w:pStyle w:val="244"/>
              <w:rPr>
                <w:rFonts w:eastAsia="Times New Roman" w:cs="Times New Roman"/>
                <w:spacing w:val="-1"/>
                <w:szCs w:val="21"/>
                <w:lang w:eastAsia="zh-CN"/>
              </w:rPr>
            </w:pPr>
            <w:r>
              <w:rPr>
                <w:rFonts w:hint="eastAsia" w:eastAsia="Times New Roman" w:cs="Times New Roman"/>
                <w:spacing w:val="-1"/>
                <w:szCs w:val="21"/>
                <w:lang w:eastAsia="zh-CN"/>
              </w:rPr>
              <w:t>501~1200</w:t>
            </w:r>
          </w:p>
        </w:tc>
        <w:tc>
          <w:tcPr>
            <w:tcW w:w="597" w:type="pct"/>
            <w:tcBorders>
              <w:top w:val="single" w:color="auto" w:sz="4" w:space="0"/>
              <w:left w:val="single" w:color="auto" w:sz="4" w:space="0"/>
              <w:bottom w:val="single" w:color="auto" w:sz="4" w:space="0"/>
              <w:right w:val="single" w:color="auto" w:sz="4" w:space="0"/>
            </w:tcBorders>
            <w:vAlign w:val="center"/>
          </w:tcPr>
          <w:p w14:paraId="0FCF5869">
            <w:pPr>
              <w:pStyle w:val="244"/>
              <w:rPr>
                <w:rFonts w:eastAsia="Times New Roman" w:cs="Times New Roman"/>
                <w:spacing w:val="-1"/>
                <w:szCs w:val="21"/>
                <w:lang w:eastAsia="zh-CN"/>
              </w:rPr>
            </w:pPr>
            <w:r>
              <w:rPr>
                <w:rFonts w:hint="eastAsia" w:eastAsia="Times New Roman" w:cs="Times New Roman"/>
                <w:spacing w:val="-1"/>
                <w:szCs w:val="21"/>
                <w:lang w:eastAsia="zh-CN"/>
              </w:rPr>
              <w:t>32</w:t>
            </w:r>
          </w:p>
        </w:tc>
        <w:tc>
          <w:tcPr>
            <w:tcW w:w="597" w:type="pct"/>
            <w:tcBorders>
              <w:top w:val="single" w:color="auto" w:sz="4" w:space="0"/>
              <w:left w:val="single" w:color="auto" w:sz="4" w:space="0"/>
              <w:bottom w:val="single" w:color="auto" w:sz="4" w:space="0"/>
              <w:right w:val="single" w:color="auto" w:sz="4" w:space="0"/>
            </w:tcBorders>
            <w:vAlign w:val="center"/>
          </w:tcPr>
          <w:p w14:paraId="30700CEA">
            <w:pPr>
              <w:pStyle w:val="244"/>
              <w:rPr>
                <w:rFonts w:eastAsia="Times New Roman" w:cs="Times New Roman"/>
                <w:spacing w:val="-1"/>
                <w:szCs w:val="21"/>
                <w:lang w:eastAsia="zh-CN"/>
              </w:rPr>
            </w:pPr>
            <w:r>
              <w:rPr>
                <w:rFonts w:hint="eastAsia" w:eastAsia="Times New Roman" w:cs="Times New Roman"/>
                <w:spacing w:val="-1"/>
                <w:szCs w:val="21"/>
                <w:lang w:eastAsia="zh-CN"/>
              </w:rPr>
              <w:t>80</w:t>
            </w:r>
          </w:p>
        </w:tc>
        <w:tc>
          <w:tcPr>
            <w:tcW w:w="609" w:type="pct"/>
            <w:tcBorders>
              <w:top w:val="single" w:color="auto" w:sz="4" w:space="0"/>
              <w:left w:val="single" w:color="auto" w:sz="4" w:space="0"/>
              <w:bottom w:val="single" w:color="auto" w:sz="4" w:space="0"/>
              <w:right w:val="single" w:color="auto" w:sz="4" w:space="0"/>
            </w:tcBorders>
            <w:vAlign w:val="center"/>
          </w:tcPr>
          <w:p w14:paraId="5FAF3FF9">
            <w:pPr>
              <w:pStyle w:val="244"/>
              <w:rPr>
                <w:rFonts w:eastAsia="Times New Roman" w:cs="Times New Roman"/>
                <w:spacing w:val="-1"/>
                <w:szCs w:val="21"/>
                <w:lang w:eastAsia="zh-CN"/>
              </w:rPr>
            </w:pPr>
            <w:r>
              <w:rPr>
                <w:rFonts w:hint="eastAsia" w:eastAsia="Times New Roman" w:cs="Times New Roman"/>
                <w:spacing w:val="-1"/>
                <w:szCs w:val="21"/>
                <w:lang w:eastAsia="zh-CN"/>
              </w:rPr>
              <w:t>200</w:t>
            </w:r>
          </w:p>
        </w:tc>
      </w:tr>
      <w:tr w14:paraId="6114B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rPr>
        <w:tc>
          <w:tcPr>
            <w:tcW w:w="749" w:type="pct"/>
            <w:tcBorders>
              <w:top w:val="single" w:color="auto" w:sz="4" w:space="0"/>
              <w:left w:val="single" w:color="auto" w:sz="4" w:space="0"/>
              <w:bottom w:val="single" w:color="auto" w:sz="4" w:space="0"/>
              <w:right w:val="single" w:color="auto" w:sz="4" w:space="0"/>
            </w:tcBorders>
            <w:vAlign w:val="center"/>
          </w:tcPr>
          <w:p w14:paraId="71832FA7">
            <w:pPr>
              <w:pStyle w:val="244"/>
              <w:rPr>
                <w:rFonts w:eastAsia="Times New Roman" w:cs="Times New Roman"/>
                <w:szCs w:val="21"/>
              </w:rPr>
            </w:pPr>
            <w:r>
              <w:rPr>
                <w:rFonts w:hint="eastAsia" w:eastAsia="Times New Roman" w:cs="Times New Roman"/>
                <w:szCs w:val="21"/>
                <w:lang w:eastAsia="zh-CN"/>
              </w:rPr>
              <w:t>16~25</w:t>
            </w:r>
          </w:p>
        </w:tc>
        <w:tc>
          <w:tcPr>
            <w:tcW w:w="570" w:type="pct"/>
            <w:tcBorders>
              <w:top w:val="single" w:color="auto" w:sz="4" w:space="0"/>
              <w:left w:val="single" w:color="auto" w:sz="4" w:space="0"/>
              <w:bottom w:val="single" w:color="auto" w:sz="4" w:space="0"/>
              <w:right w:val="single" w:color="auto" w:sz="4" w:space="0"/>
            </w:tcBorders>
            <w:vAlign w:val="center"/>
          </w:tcPr>
          <w:p w14:paraId="218187FC">
            <w:pPr>
              <w:pStyle w:val="244"/>
              <w:rPr>
                <w:rFonts w:eastAsia="Times New Roman" w:cs="Times New Roman"/>
                <w:spacing w:val="-1"/>
                <w:szCs w:val="21"/>
              </w:rPr>
            </w:pPr>
            <w:r>
              <w:rPr>
                <w:rFonts w:hint="eastAsia" w:eastAsia="Times New Roman" w:cs="Times New Roman"/>
                <w:spacing w:val="-1"/>
                <w:szCs w:val="21"/>
                <w:lang w:eastAsia="zh-CN"/>
              </w:rPr>
              <w:t>3</w:t>
            </w:r>
          </w:p>
        </w:tc>
        <w:tc>
          <w:tcPr>
            <w:tcW w:w="516" w:type="pct"/>
            <w:tcBorders>
              <w:top w:val="single" w:color="auto" w:sz="4" w:space="0"/>
              <w:left w:val="single" w:color="auto" w:sz="4" w:space="0"/>
              <w:bottom w:val="single" w:color="auto" w:sz="4" w:space="0"/>
              <w:right w:val="single" w:color="auto" w:sz="4" w:space="0"/>
            </w:tcBorders>
            <w:vAlign w:val="center"/>
          </w:tcPr>
          <w:p w14:paraId="6C24842E">
            <w:pPr>
              <w:pStyle w:val="244"/>
              <w:rPr>
                <w:rFonts w:eastAsia="Times New Roman" w:cs="Times New Roman"/>
                <w:spacing w:val="-1"/>
                <w:szCs w:val="21"/>
              </w:rPr>
            </w:pPr>
            <w:r>
              <w:rPr>
                <w:rFonts w:hint="eastAsia" w:eastAsia="Times New Roman" w:cs="Times New Roman"/>
                <w:spacing w:val="-1"/>
                <w:szCs w:val="21"/>
                <w:lang w:eastAsia="zh-CN"/>
              </w:rPr>
              <w:t>5</w:t>
            </w:r>
          </w:p>
        </w:tc>
        <w:tc>
          <w:tcPr>
            <w:tcW w:w="575" w:type="pct"/>
            <w:tcBorders>
              <w:top w:val="single" w:color="auto" w:sz="4" w:space="0"/>
              <w:left w:val="single" w:color="auto" w:sz="4" w:space="0"/>
              <w:bottom w:val="single" w:color="auto" w:sz="4" w:space="0"/>
              <w:right w:val="single" w:color="auto" w:sz="4" w:space="0"/>
            </w:tcBorders>
            <w:vAlign w:val="center"/>
          </w:tcPr>
          <w:p w14:paraId="35D6D3F5">
            <w:pPr>
              <w:pStyle w:val="244"/>
              <w:rPr>
                <w:rFonts w:eastAsia="Times New Roman" w:cs="Times New Roman"/>
                <w:spacing w:val="-1"/>
                <w:szCs w:val="21"/>
              </w:rPr>
            </w:pPr>
            <w:r>
              <w:rPr>
                <w:rFonts w:hint="eastAsia" w:eastAsia="Times New Roman" w:cs="Times New Roman"/>
                <w:spacing w:val="-1"/>
                <w:szCs w:val="21"/>
                <w:lang w:eastAsia="zh-CN"/>
              </w:rPr>
              <w:t>13</w:t>
            </w:r>
          </w:p>
        </w:tc>
        <w:tc>
          <w:tcPr>
            <w:tcW w:w="783" w:type="pct"/>
            <w:tcBorders>
              <w:top w:val="single" w:color="auto" w:sz="4" w:space="0"/>
              <w:left w:val="single" w:color="auto" w:sz="4" w:space="0"/>
              <w:bottom w:val="single" w:color="auto" w:sz="4" w:space="0"/>
              <w:right w:val="single" w:color="auto" w:sz="4" w:space="0"/>
            </w:tcBorders>
            <w:vAlign w:val="center"/>
          </w:tcPr>
          <w:p w14:paraId="65182A04">
            <w:pPr>
              <w:pStyle w:val="244"/>
              <w:rPr>
                <w:rFonts w:eastAsia="Times New Roman" w:cs="Times New Roman"/>
                <w:spacing w:val="-1"/>
                <w:szCs w:val="21"/>
                <w:lang w:eastAsia="zh-CN"/>
              </w:rPr>
            </w:pPr>
            <w:r>
              <w:rPr>
                <w:rFonts w:hint="eastAsia" w:eastAsia="Times New Roman" w:cs="Times New Roman"/>
                <w:spacing w:val="-1"/>
                <w:szCs w:val="21"/>
                <w:lang w:eastAsia="zh-CN"/>
              </w:rPr>
              <w:t>1201~3200</w:t>
            </w:r>
          </w:p>
        </w:tc>
        <w:tc>
          <w:tcPr>
            <w:tcW w:w="597" w:type="pct"/>
            <w:tcBorders>
              <w:top w:val="single" w:color="auto" w:sz="4" w:space="0"/>
              <w:left w:val="single" w:color="auto" w:sz="4" w:space="0"/>
              <w:bottom w:val="single" w:color="auto" w:sz="4" w:space="0"/>
              <w:right w:val="single" w:color="auto" w:sz="4" w:space="0"/>
            </w:tcBorders>
            <w:vAlign w:val="center"/>
          </w:tcPr>
          <w:p w14:paraId="7E5FF89B">
            <w:pPr>
              <w:pStyle w:val="244"/>
              <w:rPr>
                <w:rFonts w:eastAsia="Times New Roman" w:cs="Times New Roman"/>
                <w:spacing w:val="-1"/>
                <w:szCs w:val="21"/>
                <w:lang w:eastAsia="zh-CN"/>
              </w:rPr>
            </w:pPr>
            <w:r>
              <w:rPr>
                <w:rFonts w:hint="eastAsia" w:eastAsia="Times New Roman" w:cs="Times New Roman"/>
                <w:spacing w:val="-1"/>
                <w:szCs w:val="21"/>
                <w:lang w:eastAsia="zh-CN"/>
              </w:rPr>
              <w:t>50</w:t>
            </w:r>
          </w:p>
        </w:tc>
        <w:tc>
          <w:tcPr>
            <w:tcW w:w="597" w:type="pct"/>
            <w:tcBorders>
              <w:top w:val="single" w:color="auto" w:sz="4" w:space="0"/>
              <w:left w:val="single" w:color="auto" w:sz="4" w:space="0"/>
              <w:bottom w:val="single" w:color="auto" w:sz="4" w:space="0"/>
              <w:right w:val="single" w:color="auto" w:sz="4" w:space="0"/>
            </w:tcBorders>
            <w:vAlign w:val="center"/>
          </w:tcPr>
          <w:p w14:paraId="1F77347B">
            <w:pPr>
              <w:pStyle w:val="244"/>
              <w:rPr>
                <w:rFonts w:eastAsia="Times New Roman" w:cs="Times New Roman"/>
                <w:spacing w:val="-1"/>
                <w:szCs w:val="21"/>
                <w:lang w:eastAsia="zh-CN"/>
              </w:rPr>
            </w:pPr>
            <w:r>
              <w:rPr>
                <w:rFonts w:hint="eastAsia" w:eastAsia="Times New Roman" w:cs="Times New Roman"/>
                <w:spacing w:val="-1"/>
                <w:szCs w:val="21"/>
                <w:lang w:eastAsia="zh-CN"/>
              </w:rPr>
              <w:t>125</w:t>
            </w:r>
          </w:p>
        </w:tc>
        <w:tc>
          <w:tcPr>
            <w:tcW w:w="609" w:type="pct"/>
            <w:tcBorders>
              <w:top w:val="single" w:color="auto" w:sz="4" w:space="0"/>
              <w:left w:val="single" w:color="auto" w:sz="4" w:space="0"/>
              <w:bottom w:val="single" w:color="auto" w:sz="4" w:space="0"/>
              <w:right w:val="single" w:color="auto" w:sz="4" w:space="0"/>
            </w:tcBorders>
            <w:vAlign w:val="center"/>
          </w:tcPr>
          <w:p w14:paraId="6BF598C9">
            <w:pPr>
              <w:pStyle w:val="244"/>
              <w:rPr>
                <w:rFonts w:eastAsia="Times New Roman" w:cs="Times New Roman"/>
                <w:spacing w:val="-1"/>
                <w:szCs w:val="21"/>
                <w:lang w:eastAsia="zh-CN"/>
              </w:rPr>
            </w:pPr>
            <w:r>
              <w:rPr>
                <w:rFonts w:hint="eastAsia" w:eastAsia="Times New Roman" w:cs="Times New Roman"/>
                <w:spacing w:val="-1"/>
                <w:szCs w:val="21"/>
                <w:lang w:eastAsia="zh-CN"/>
              </w:rPr>
              <w:t>315</w:t>
            </w:r>
          </w:p>
        </w:tc>
      </w:tr>
      <w:tr w14:paraId="0A893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rPr>
        <w:tc>
          <w:tcPr>
            <w:tcW w:w="749" w:type="pct"/>
            <w:tcBorders>
              <w:top w:val="single" w:color="auto" w:sz="4" w:space="0"/>
              <w:left w:val="single" w:color="auto" w:sz="4" w:space="0"/>
              <w:bottom w:val="single" w:color="auto" w:sz="4" w:space="0"/>
              <w:right w:val="single" w:color="auto" w:sz="4" w:space="0"/>
            </w:tcBorders>
            <w:vAlign w:val="center"/>
          </w:tcPr>
          <w:p w14:paraId="10D981D3">
            <w:pPr>
              <w:pStyle w:val="244"/>
              <w:rPr>
                <w:rFonts w:eastAsia="Times New Roman" w:cs="Times New Roman"/>
                <w:szCs w:val="21"/>
              </w:rPr>
            </w:pPr>
            <w:r>
              <w:rPr>
                <w:rFonts w:hint="eastAsia" w:eastAsia="Times New Roman" w:cs="Times New Roman"/>
                <w:szCs w:val="21"/>
                <w:lang w:eastAsia="zh-CN"/>
              </w:rPr>
              <w:t>26~50</w:t>
            </w:r>
          </w:p>
        </w:tc>
        <w:tc>
          <w:tcPr>
            <w:tcW w:w="570" w:type="pct"/>
            <w:tcBorders>
              <w:top w:val="single" w:color="auto" w:sz="4" w:space="0"/>
              <w:left w:val="single" w:color="auto" w:sz="4" w:space="0"/>
              <w:bottom w:val="single" w:color="auto" w:sz="4" w:space="0"/>
              <w:right w:val="single" w:color="auto" w:sz="4" w:space="0"/>
            </w:tcBorders>
            <w:vAlign w:val="center"/>
          </w:tcPr>
          <w:p w14:paraId="15540D44">
            <w:pPr>
              <w:pStyle w:val="244"/>
              <w:rPr>
                <w:rFonts w:eastAsia="Times New Roman" w:cs="Times New Roman"/>
                <w:spacing w:val="-1"/>
                <w:szCs w:val="21"/>
              </w:rPr>
            </w:pPr>
            <w:r>
              <w:rPr>
                <w:rFonts w:hint="eastAsia" w:eastAsia="Times New Roman" w:cs="Times New Roman"/>
                <w:spacing w:val="-1"/>
                <w:szCs w:val="21"/>
                <w:lang w:eastAsia="zh-CN"/>
              </w:rPr>
              <w:t>5</w:t>
            </w:r>
          </w:p>
        </w:tc>
        <w:tc>
          <w:tcPr>
            <w:tcW w:w="516" w:type="pct"/>
            <w:tcBorders>
              <w:top w:val="single" w:color="auto" w:sz="4" w:space="0"/>
              <w:left w:val="single" w:color="auto" w:sz="4" w:space="0"/>
              <w:bottom w:val="single" w:color="auto" w:sz="4" w:space="0"/>
              <w:right w:val="single" w:color="auto" w:sz="4" w:space="0"/>
            </w:tcBorders>
            <w:vAlign w:val="center"/>
          </w:tcPr>
          <w:p w14:paraId="638D7AAC">
            <w:pPr>
              <w:pStyle w:val="244"/>
              <w:rPr>
                <w:rFonts w:eastAsia="Times New Roman" w:cs="Times New Roman"/>
                <w:spacing w:val="-1"/>
                <w:szCs w:val="21"/>
              </w:rPr>
            </w:pPr>
            <w:r>
              <w:rPr>
                <w:rFonts w:hint="eastAsia" w:eastAsia="Times New Roman" w:cs="Times New Roman"/>
                <w:spacing w:val="-1"/>
                <w:szCs w:val="21"/>
                <w:lang w:eastAsia="zh-CN"/>
              </w:rPr>
              <w:t>8</w:t>
            </w:r>
          </w:p>
        </w:tc>
        <w:tc>
          <w:tcPr>
            <w:tcW w:w="575" w:type="pct"/>
            <w:tcBorders>
              <w:top w:val="single" w:color="auto" w:sz="4" w:space="0"/>
              <w:left w:val="single" w:color="auto" w:sz="4" w:space="0"/>
              <w:bottom w:val="single" w:color="auto" w:sz="4" w:space="0"/>
              <w:right w:val="single" w:color="auto" w:sz="4" w:space="0"/>
            </w:tcBorders>
            <w:vAlign w:val="center"/>
          </w:tcPr>
          <w:p w14:paraId="21435CDB">
            <w:pPr>
              <w:pStyle w:val="244"/>
              <w:rPr>
                <w:rFonts w:eastAsia="Times New Roman" w:cs="Times New Roman"/>
                <w:spacing w:val="-1"/>
                <w:szCs w:val="21"/>
              </w:rPr>
            </w:pPr>
            <w:r>
              <w:rPr>
                <w:rFonts w:hint="eastAsia" w:eastAsia="Times New Roman" w:cs="Times New Roman"/>
                <w:spacing w:val="-1"/>
                <w:szCs w:val="21"/>
                <w:lang w:eastAsia="zh-CN"/>
              </w:rPr>
              <w:t>20</w:t>
            </w:r>
          </w:p>
        </w:tc>
        <w:tc>
          <w:tcPr>
            <w:tcW w:w="783" w:type="pct"/>
            <w:tcBorders>
              <w:top w:val="single" w:color="auto" w:sz="4" w:space="0"/>
              <w:left w:val="single" w:color="auto" w:sz="4" w:space="0"/>
              <w:bottom w:val="single" w:color="auto" w:sz="4" w:space="0"/>
              <w:right w:val="single" w:color="auto" w:sz="4" w:space="0"/>
            </w:tcBorders>
            <w:vAlign w:val="center"/>
          </w:tcPr>
          <w:p w14:paraId="0BABACF1">
            <w:pPr>
              <w:pStyle w:val="244"/>
              <w:rPr>
                <w:rFonts w:eastAsia="Times New Roman" w:cs="Times New Roman"/>
                <w:spacing w:val="-1"/>
                <w:szCs w:val="21"/>
                <w:lang w:eastAsia="zh-CN"/>
              </w:rPr>
            </w:pPr>
            <w:r>
              <w:rPr>
                <w:rFonts w:hint="eastAsia" w:eastAsia="Times New Roman" w:cs="Times New Roman"/>
                <w:spacing w:val="-1"/>
                <w:szCs w:val="21"/>
                <w:lang w:eastAsia="zh-CN"/>
              </w:rPr>
              <w:t>3201~10000</w:t>
            </w:r>
          </w:p>
        </w:tc>
        <w:tc>
          <w:tcPr>
            <w:tcW w:w="597" w:type="pct"/>
            <w:tcBorders>
              <w:top w:val="single" w:color="auto" w:sz="4" w:space="0"/>
              <w:left w:val="single" w:color="auto" w:sz="4" w:space="0"/>
              <w:bottom w:val="single" w:color="auto" w:sz="4" w:space="0"/>
              <w:right w:val="single" w:color="auto" w:sz="4" w:space="0"/>
            </w:tcBorders>
            <w:vAlign w:val="center"/>
          </w:tcPr>
          <w:p w14:paraId="33653E24">
            <w:pPr>
              <w:pStyle w:val="244"/>
              <w:rPr>
                <w:rFonts w:eastAsia="Times New Roman" w:cs="Times New Roman"/>
                <w:spacing w:val="-1"/>
                <w:szCs w:val="21"/>
                <w:lang w:eastAsia="zh-CN"/>
              </w:rPr>
            </w:pPr>
            <w:r>
              <w:rPr>
                <w:rFonts w:hint="eastAsia" w:eastAsia="Times New Roman" w:cs="Times New Roman"/>
                <w:spacing w:val="-1"/>
                <w:szCs w:val="21"/>
                <w:lang w:eastAsia="zh-CN"/>
              </w:rPr>
              <w:t>80</w:t>
            </w:r>
          </w:p>
        </w:tc>
        <w:tc>
          <w:tcPr>
            <w:tcW w:w="597" w:type="pct"/>
            <w:tcBorders>
              <w:top w:val="single" w:color="auto" w:sz="4" w:space="0"/>
              <w:left w:val="single" w:color="auto" w:sz="4" w:space="0"/>
              <w:bottom w:val="single" w:color="auto" w:sz="4" w:space="0"/>
              <w:right w:val="single" w:color="auto" w:sz="4" w:space="0"/>
            </w:tcBorders>
            <w:vAlign w:val="center"/>
          </w:tcPr>
          <w:p w14:paraId="4E9007BF">
            <w:pPr>
              <w:pStyle w:val="244"/>
              <w:rPr>
                <w:rFonts w:eastAsia="Times New Roman" w:cs="Times New Roman"/>
                <w:spacing w:val="-1"/>
                <w:szCs w:val="21"/>
                <w:lang w:eastAsia="zh-CN"/>
              </w:rPr>
            </w:pPr>
            <w:r>
              <w:rPr>
                <w:rFonts w:hint="eastAsia" w:eastAsia="Times New Roman" w:cs="Times New Roman"/>
                <w:spacing w:val="-1"/>
                <w:szCs w:val="21"/>
                <w:lang w:eastAsia="zh-CN"/>
              </w:rPr>
              <w:t>200</w:t>
            </w:r>
          </w:p>
        </w:tc>
        <w:tc>
          <w:tcPr>
            <w:tcW w:w="609" w:type="pct"/>
            <w:tcBorders>
              <w:top w:val="single" w:color="auto" w:sz="4" w:space="0"/>
              <w:left w:val="single" w:color="auto" w:sz="4" w:space="0"/>
              <w:bottom w:val="single" w:color="auto" w:sz="4" w:space="0"/>
              <w:right w:val="single" w:color="auto" w:sz="4" w:space="0"/>
            </w:tcBorders>
            <w:vAlign w:val="center"/>
          </w:tcPr>
          <w:p w14:paraId="75F08AF4">
            <w:pPr>
              <w:pStyle w:val="244"/>
              <w:rPr>
                <w:rFonts w:eastAsia="Times New Roman" w:cs="Times New Roman"/>
                <w:spacing w:val="-1"/>
                <w:szCs w:val="21"/>
                <w:lang w:eastAsia="zh-CN"/>
              </w:rPr>
            </w:pPr>
            <w:r>
              <w:rPr>
                <w:rFonts w:hint="eastAsia" w:eastAsia="Times New Roman" w:cs="Times New Roman"/>
                <w:spacing w:val="-1"/>
                <w:szCs w:val="21"/>
                <w:lang w:eastAsia="zh-CN"/>
              </w:rPr>
              <w:t>500</w:t>
            </w:r>
          </w:p>
        </w:tc>
      </w:tr>
      <w:tr w14:paraId="157F6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rPr>
        <w:tc>
          <w:tcPr>
            <w:tcW w:w="749" w:type="pct"/>
            <w:tcBorders>
              <w:top w:val="single" w:color="auto" w:sz="4" w:space="0"/>
              <w:left w:val="single" w:color="auto" w:sz="4" w:space="0"/>
              <w:bottom w:val="single" w:color="auto" w:sz="4" w:space="0"/>
              <w:right w:val="single" w:color="auto" w:sz="4" w:space="0"/>
            </w:tcBorders>
            <w:vAlign w:val="center"/>
          </w:tcPr>
          <w:p w14:paraId="39735C44">
            <w:pPr>
              <w:pStyle w:val="244"/>
              <w:rPr>
                <w:rFonts w:eastAsia="Times New Roman" w:cs="Times New Roman"/>
                <w:szCs w:val="21"/>
              </w:rPr>
            </w:pPr>
            <w:r>
              <w:rPr>
                <w:rFonts w:hint="eastAsia" w:eastAsia="Times New Roman" w:cs="Times New Roman"/>
                <w:szCs w:val="21"/>
                <w:lang w:eastAsia="zh-CN"/>
              </w:rPr>
              <w:t>51~90</w:t>
            </w:r>
          </w:p>
        </w:tc>
        <w:tc>
          <w:tcPr>
            <w:tcW w:w="570" w:type="pct"/>
            <w:tcBorders>
              <w:top w:val="single" w:color="auto" w:sz="4" w:space="0"/>
              <w:left w:val="single" w:color="auto" w:sz="4" w:space="0"/>
              <w:bottom w:val="single" w:color="auto" w:sz="4" w:space="0"/>
              <w:right w:val="single" w:color="auto" w:sz="4" w:space="0"/>
            </w:tcBorders>
            <w:vAlign w:val="center"/>
          </w:tcPr>
          <w:p w14:paraId="678A8A69">
            <w:pPr>
              <w:pStyle w:val="244"/>
              <w:rPr>
                <w:rFonts w:eastAsia="Times New Roman" w:cs="Times New Roman"/>
                <w:spacing w:val="-1"/>
                <w:szCs w:val="21"/>
              </w:rPr>
            </w:pPr>
            <w:r>
              <w:rPr>
                <w:rFonts w:hint="eastAsia" w:eastAsia="Times New Roman" w:cs="Times New Roman"/>
                <w:spacing w:val="-1"/>
                <w:szCs w:val="21"/>
                <w:lang w:eastAsia="zh-CN"/>
              </w:rPr>
              <w:t>5</w:t>
            </w:r>
          </w:p>
        </w:tc>
        <w:tc>
          <w:tcPr>
            <w:tcW w:w="516" w:type="pct"/>
            <w:tcBorders>
              <w:top w:val="single" w:color="auto" w:sz="4" w:space="0"/>
              <w:left w:val="single" w:color="auto" w:sz="4" w:space="0"/>
              <w:bottom w:val="single" w:color="auto" w:sz="4" w:space="0"/>
              <w:right w:val="single" w:color="auto" w:sz="4" w:space="0"/>
            </w:tcBorders>
            <w:vAlign w:val="center"/>
          </w:tcPr>
          <w:p w14:paraId="56A36F2A">
            <w:pPr>
              <w:pStyle w:val="244"/>
              <w:rPr>
                <w:rFonts w:eastAsia="Times New Roman" w:cs="Times New Roman"/>
                <w:spacing w:val="-1"/>
                <w:szCs w:val="21"/>
              </w:rPr>
            </w:pPr>
            <w:r>
              <w:rPr>
                <w:rFonts w:hint="eastAsia" w:eastAsia="Times New Roman" w:cs="Times New Roman"/>
                <w:spacing w:val="-1"/>
                <w:szCs w:val="21"/>
                <w:lang w:eastAsia="zh-CN"/>
              </w:rPr>
              <w:t>13</w:t>
            </w:r>
          </w:p>
        </w:tc>
        <w:tc>
          <w:tcPr>
            <w:tcW w:w="575" w:type="pct"/>
            <w:tcBorders>
              <w:top w:val="single" w:color="auto" w:sz="4" w:space="0"/>
              <w:left w:val="single" w:color="auto" w:sz="4" w:space="0"/>
              <w:bottom w:val="single" w:color="auto" w:sz="4" w:space="0"/>
              <w:right w:val="single" w:color="auto" w:sz="4" w:space="0"/>
            </w:tcBorders>
            <w:vAlign w:val="center"/>
          </w:tcPr>
          <w:p w14:paraId="1A6B922B">
            <w:pPr>
              <w:pStyle w:val="244"/>
              <w:rPr>
                <w:rFonts w:eastAsia="Times New Roman" w:cs="Times New Roman"/>
                <w:spacing w:val="-1"/>
                <w:szCs w:val="21"/>
              </w:rPr>
            </w:pPr>
            <w:r>
              <w:rPr>
                <w:rFonts w:hint="eastAsia" w:eastAsia="Times New Roman" w:cs="Times New Roman"/>
                <w:spacing w:val="-1"/>
                <w:szCs w:val="21"/>
                <w:lang w:eastAsia="zh-CN"/>
              </w:rPr>
              <w:t>32</w:t>
            </w:r>
          </w:p>
        </w:tc>
        <w:tc>
          <w:tcPr>
            <w:tcW w:w="783" w:type="pct"/>
            <w:tcBorders>
              <w:top w:val="single" w:color="auto" w:sz="4" w:space="0"/>
              <w:left w:val="single" w:color="auto" w:sz="4" w:space="0"/>
              <w:bottom w:val="single" w:color="auto" w:sz="4" w:space="0"/>
              <w:right w:val="single" w:color="auto" w:sz="4" w:space="0"/>
            </w:tcBorders>
            <w:vAlign w:val="center"/>
          </w:tcPr>
          <w:p w14:paraId="582590F1">
            <w:pPr>
              <w:pStyle w:val="244"/>
              <w:rPr>
                <w:rFonts w:eastAsia="Times New Roman" w:cs="Times New Roman"/>
                <w:spacing w:val="-1"/>
                <w:szCs w:val="21"/>
                <w:lang w:eastAsia="zh-CN"/>
              </w:rPr>
            </w:pPr>
            <w:r>
              <w:rPr>
                <w:rFonts w:hint="eastAsia" w:eastAsia="Times New Roman" w:cs="Times New Roman"/>
                <w:spacing w:val="-1"/>
                <w:szCs w:val="21"/>
                <w:lang w:eastAsia="zh-CN"/>
              </w:rPr>
              <w:t>10001~35000</w:t>
            </w:r>
          </w:p>
        </w:tc>
        <w:tc>
          <w:tcPr>
            <w:tcW w:w="597" w:type="pct"/>
            <w:tcBorders>
              <w:top w:val="single" w:color="auto" w:sz="4" w:space="0"/>
              <w:left w:val="single" w:color="auto" w:sz="4" w:space="0"/>
              <w:bottom w:val="single" w:color="auto" w:sz="4" w:space="0"/>
              <w:right w:val="single" w:color="auto" w:sz="4" w:space="0"/>
            </w:tcBorders>
            <w:vAlign w:val="center"/>
          </w:tcPr>
          <w:p w14:paraId="29BB6655">
            <w:pPr>
              <w:pStyle w:val="244"/>
              <w:rPr>
                <w:rFonts w:eastAsia="Times New Roman" w:cs="Times New Roman"/>
                <w:spacing w:val="-1"/>
                <w:szCs w:val="21"/>
                <w:lang w:eastAsia="zh-CN"/>
              </w:rPr>
            </w:pPr>
            <w:r>
              <w:rPr>
                <w:rFonts w:hint="eastAsia" w:eastAsia="Times New Roman" w:cs="Times New Roman"/>
                <w:spacing w:val="-1"/>
                <w:szCs w:val="21"/>
                <w:lang w:eastAsia="zh-CN"/>
              </w:rPr>
              <w:t>125</w:t>
            </w:r>
          </w:p>
        </w:tc>
        <w:tc>
          <w:tcPr>
            <w:tcW w:w="597" w:type="pct"/>
            <w:tcBorders>
              <w:top w:val="single" w:color="auto" w:sz="4" w:space="0"/>
              <w:left w:val="single" w:color="auto" w:sz="4" w:space="0"/>
              <w:bottom w:val="single" w:color="auto" w:sz="4" w:space="0"/>
              <w:right w:val="single" w:color="auto" w:sz="4" w:space="0"/>
            </w:tcBorders>
            <w:vAlign w:val="center"/>
          </w:tcPr>
          <w:p w14:paraId="6536190A">
            <w:pPr>
              <w:pStyle w:val="244"/>
              <w:rPr>
                <w:rFonts w:eastAsia="Times New Roman" w:cs="Times New Roman"/>
                <w:spacing w:val="-1"/>
                <w:szCs w:val="21"/>
                <w:lang w:eastAsia="zh-CN"/>
              </w:rPr>
            </w:pPr>
            <w:r>
              <w:rPr>
                <w:rFonts w:hint="eastAsia" w:eastAsia="Times New Roman" w:cs="Times New Roman"/>
                <w:spacing w:val="-1"/>
                <w:szCs w:val="21"/>
                <w:lang w:eastAsia="zh-CN"/>
              </w:rPr>
              <w:t>315</w:t>
            </w:r>
          </w:p>
        </w:tc>
        <w:tc>
          <w:tcPr>
            <w:tcW w:w="609" w:type="pct"/>
            <w:tcBorders>
              <w:top w:val="single" w:color="auto" w:sz="4" w:space="0"/>
              <w:left w:val="single" w:color="auto" w:sz="4" w:space="0"/>
              <w:bottom w:val="single" w:color="auto" w:sz="4" w:space="0"/>
              <w:right w:val="single" w:color="auto" w:sz="4" w:space="0"/>
            </w:tcBorders>
            <w:vAlign w:val="center"/>
          </w:tcPr>
          <w:p w14:paraId="549CE5F1">
            <w:pPr>
              <w:pStyle w:val="244"/>
              <w:rPr>
                <w:rFonts w:eastAsia="Times New Roman" w:cs="Times New Roman"/>
                <w:spacing w:val="-1"/>
                <w:szCs w:val="21"/>
                <w:lang w:eastAsia="zh-CN"/>
              </w:rPr>
            </w:pPr>
            <w:r>
              <w:rPr>
                <w:rFonts w:hint="eastAsia" w:eastAsia="Times New Roman" w:cs="Times New Roman"/>
                <w:spacing w:val="-1"/>
                <w:szCs w:val="21"/>
                <w:lang w:eastAsia="zh-CN"/>
              </w:rPr>
              <w:t>800</w:t>
            </w:r>
          </w:p>
        </w:tc>
      </w:tr>
      <w:tr w14:paraId="50A3B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rPr>
        <w:tc>
          <w:tcPr>
            <w:tcW w:w="749" w:type="pct"/>
            <w:tcBorders>
              <w:top w:val="single" w:color="auto" w:sz="4" w:space="0"/>
              <w:left w:val="single" w:color="auto" w:sz="4" w:space="0"/>
              <w:bottom w:val="single" w:color="auto" w:sz="4" w:space="0"/>
              <w:right w:val="single" w:color="auto" w:sz="4" w:space="0"/>
            </w:tcBorders>
            <w:vAlign w:val="center"/>
          </w:tcPr>
          <w:p w14:paraId="19C0A0A4">
            <w:pPr>
              <w:pStyle w:val="244"/>
              <w:rPr>
                <w:rFonts w:eastAsia="Times New Roman" w:cs="Times New Roman"/>
                <w:szCs w:val="21"/>
              </w:rPr>
            </w:pPr>
            <w:r>
              <w:rPr>
                <w:rFonts w:hint="eastAsia" w:eastAsia="Times New Roman" w:cs="Times New Roman"/>
                <w:szCs w:val="21"/>
                <w:lang w:eastAsia="zh-CN"/>
              </w:rPr>
              <w:t>91~150</w:t>
            </w:r>
          </w:p>
        </w:tc>
        <w:tc>
          <w:tcPr>
            <w:tcW w:w="570" w:type="pct"/>
            <w:tcBorders>
              <w:top w:val="single" w:color="auto" w:sz="4" w:space="0"/>
              <w:left w:val="single" w:color="auto" w:sz="4" w:space="0"/>
              <w:bottom w:val="single" w:color="auto" w:sz="4" w:space="0"/>
              <w:right w:val="single" w:color="auto" w:sz="4" w:space="0"/>
            </w:tcBorders>
            <w:vAlign w:val="center"/>
          </w:tcPr>
          <w:p w14:paraId="5499E23A">
            <w:pPr>
              <w:pStyle w:val="244"/>
              <w:rPr>
                <w:rFonts w:eastAsia="Times New Roman" w:cs="Times New Roman"/>
                <w:spacing w:val="-1"/>
                <w:szCs w:val="21"/>
              </w:rPr>
            </w:pPr>
            <w:r>
              <w:rPr>
                <w:rFonts w:hint="eastAsia" w:eastAsia="Times New Roman" w:cs="Times New Roman"/>
                <w:spacing w:val="-1"/>
                <w:szCs w:val="21"/>
                <w:lang w:eastAsia="zh-CN"/>
              </w:rPr>
              <w:t>8</w:t>
            </w:r>
          </w:p>
        </w:tc>
        <w:tc>
          <w:tcPr>
            <w:tcW w:w="516" w:type="pct"/>
            <w:tcBorders>
              <w:top w:val="single" w:color="auto" w:sz="4" w:space="0"/>
              <w:left w:val="single" w:color="auto" w:sz="4" w:space="0"/>
              <w:bottom w:val="single" w:color="auto" w:sz="4" w:space="0"/>
              <w:right w:val="single" w:color="auto" w:sz="4" w:space="0"/>
            </w:tcBorders>
            <w:vAlign w:val="center"/>
          </w:tcPr>
          <w:p w14:paraId="759B82C5">
            <w:pPr>
              <w:pStyle w:val="244"/>
              <w:rPr>
                <w:rFonts w:eastAsia="Times New Roman" w:cs="Times New Roman"/>
                <w:spacing w:val="-1"/>
                <w:szCs w:val="21"/>
              </w:rPr>
            </w:pPr>
            <w:r>
              <w:rPr>
                <w:rFonts w:hint="eastAsia" w:eastAsia="Times New Roman" w:cs="Times New Roman"/>
                <w:spacing w:val="-1"/>
                <w:szCs w:val="21"/>
                <w:lang w:eastAsia="zh-CN"/>
              </w:rPr>
              <w:t>20</w:t>
            </w:r>
          </w:p>
        </w:tc>
        <w:tc>
          <w:tcPr>
            <w:tcW w:w="575" w:type="pct"/>
            <w:tcBorders>
              <w:top w:val="single" w:color="auto" w:sz="4" w:space="0"/>
              <w:left w:val="single" w:color="auto" w:sz="4" w:space="0"/>
              <w:bottom w:val="single" w:color="auto" w:sz="4" w:space="0"/>
              <w:right w:val="single" w:color="auto" w:sz="4" w:space="0"/>
            </w:tcBorders>
            <w:vAlign w:val="center"/>
          </w:tcPr>
          <w:p w14:paraId="58743908">
            <w:pPr>
              <w:pStyle w:val="244"/>
              <w:rPr>
                <w:rFonts w:eastAsia="Times New Roman" w:cs="Times New Roman"/>
                <w:spacing w:val="-1"/>
                <w:szCs w:val="21"/>
              </w:rPr>
            </w:pPr>
            <w:r>
              <w:rPr>
                <w:rFonts w:hint="eastAsia" w:eastAsia="Times New Roman" w:cs="Times New Roman"/>
                <w:spacing w:val="-1"/>
                <w:szCs w:val="21"/>
                <w:lang w:eastAsia="zh-CN"/>
              </w:rPr>
              <w:t>50</w:t>
            </w:r>
          </w:p>
        </w:tc>
        <w:tc>
          <w:tcPr>
            <w:tcW w:w="783" w:type="pct"/>
            <w:tcBorders>
              <w:top w:val="single" w:color="auto" w:sz="4" w:space="0"/>
              <w:left w:val="single" w:color="auto" w:sz="4" w:space="0"/>
              <w:bottom w:val="single" w:color="auto" w:sz="4" w:space="0"/>
              <w:right w:val="single" w:color="auto" w:sz="4" w:space="0"/>
            </w:tcBorders>
            <w:vAlign w:val="center"/>
          </w:tcPr>
          <w:p w14:paraId="149715E1">
            <w:pPr>
              <w:pStyle w:val="244"/>
              <w:rPr>
                <w:rFonts w:eastAsia="Times New Roman" w:cs="Times New Roman"/>
                <w:spacing w:val="-1"/>
                <w:szCs w:val="21"/>
                <w:lang w:eastAsia="zh-CN"/>
              </w:rPr>
            </w:pPr>
            <w:r>
              <w:rPr>
                <w:rFonts w:hint="eastAsia" w:eastAsia="Times New Roman" w:cs="Times New Roman"/>
                <w:spacing w:val="-1"/>
                <w:szCs w:val="21"/>
                <w:lang w:eastAsia="zh-CN"/>
              </w:rPr>
              <w:t>35001~150000</w:t>
            </w:r>
          </w:p>
        </w:tc>
        <w:tc>
          <w:tcPr>
            <w:tcW w:w="597" w:type="pct"/>
            <w:tcBorders>
              <w:top w:val="single" w:color="auto" w:sz="4" w:space="0"/>
              <w:left w:val="single" w:color="auto" w:sz="4" w:space="0"/>
              <w:bottom w:val="single" w:color="auto" w:sz="4" w:space="0"/>
              <w:right w:val="single" w:color="auto" w:sz="4" w:space="0"/>
            </w:tcBorders>
            <w:vAlign w:val="center"/>
          </w:tcPr>
          <w:p w14:paraId="411D22C0">
            <w:pPr>
              <w:pStyle w:val="244"/>
              <w:rPr>
                <w:rFonts w:eastAsia="Times New Roman" w:cs="Times New Roman"/>
                <w:spacing w:val="-1"/>
                <w:szCs w:val="21"/>
                <w:lang w:eastAsia="zh-CN"/>
              </w:rPr>
            </w:pPr>
            <w:r>
              <w:rPr>
                <w:rFonts w:hint="eastAsia" w:eastAsia="Times New Roman" w:cs="Times New Roman"/>
                <w:spacing w:val="-1"/>
                <w:szCs w:val="21"/>
                <w:lang w:eastAsia="zh-CN"/>
              </w:rPr>
              <w:t>200</w:t>
            </w:r>
          </w:p>
        </w:tc>
        <w:tc>
          <w:tcPr>
            <w:tcW w:w="597" w:type="pct"/>
            <w:tcBorders>
              <w:top w:val="single" w:color="auto" w:sz="4" w:space="0"/>
              <w:left w:val="single" w:color="auto" w:sz="4" w:space="0"/>
              <w:bottom w:val="single" w:color="auto" w:sz="4" w:space="0"/>
              <w:right w:val="single" w:color="auto" w:sz="4" w:space="0"/>
            </w:tcBorders>
            <w:vAlign w:val="center"/>
          </w:tcPr>
          <w:p w14:paraId="2105BD7E">
            <w:pPr>
              <w:pStyle w:val="244"/>
              <w:rPr>
                <w:rFonts w:eastAsia="Times New Roman" w:cs="Times New Roman"/>
                <w:spacing w:val="-1"/>
                <w:szCs w:val="21"/>
                <w:lang w:eastAsia="zh-CN"/>
              </w:rPr>
            </w:pPr>
            <w:r>
              <w:rPr>
                <w:rFonts w:hint="eastAsia" w:eastAsia="Times New Roman" w:cs="Times New Roman"/>
                <w:spacing w:val="-1"/>
                <w:szCs w:val="21"/>
                <w:lang w:eastAsia="zh-CN"/>
              </w:rPr>
              <w:t>500</w:t>
            </w:r>
          </w:p>
        </w:tc>
        <w:tc>
          <w:tcPr>
            <w:tcW w:w="609" w:type="pct"/>
            <w:tcBorders>
              <w:top w:val="single" w:color="auto" w:sz="4" w:space="0"/>
              <w:left w:val="single" w:color="auto" w:sz="4" w:space="0"/>
              <w:bottom w:val="single" w:color="auto" w:sz="4" w:space="0"/>
              <w:right w:val="single" w:color="auto" w:sz="4" w:space="0"/>
            </w:tcBorders>
            <w:vAlign w:val="center"/>
          </w:tcPr>
          <w:p w14:paraId="20C13F56">
            <w:pPr>
              <w:pStyle w:val="244"/>
              <w:rPr>
                <w:rFonts w:eastAsia="Times New Roman" w:cs="Times New Roman"/>
                <w:spacing w:val="-1"/>
                <w:szCs w:val="21"/>
                <w:lang w:eastAsia="zh-CN"/>
              </w:rPr>
            </w:pPr>
            <w:r>
              <w:rPr>
                <w:rFonts w:hint="eastAsia" w:eastAsia="Times New Roman" w:cs="Times New Roman"/>
                <w:spacing w:val="-1"/>
                <w:szCs w:val="21"/>
                <w:lang w:eastAsia="zh-CN"/>
              </w:rPr>
              <w:t>1250</w:t>
            </w:r>
          </w:p>
        </w:tc>
      </w:tr>
      <w:tr w14:paraId="16302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rPr>
        <w:tc>
          <w:tcPr>
            <w:tcW w:w="749" w:type="pct"/>
            <w:tcBorders>
              <w:top w:val="single" w:color="auto" w:sz="4" w:space="0"/>
              <w:left w:val="single" w:color="auto" w:sz="4" w:space="0"/>
              <w:bottom w:val="single" w:color="auto" w:sz="4" w:space="0"/>
              <w:right w:val="single" w:color="auto" w:sz="4" w:space="0"/>
            </w:tcBorders>
            <w:vAlign w:val="center"/>
          </w:tcPr>
          <w:p w14:paraId="3DB90D8A">
            <w:pPr>
              <w:pStyle w:val="244"/>
              <w:rPr>
                <w:rFonts w:eastAsia="Times New Roman" w:cs="Times New Roman"/>
                <w:szCs w:val="21"/>
              </w:rPr>
            </w:pPr>
            <w:r>
              <w:rPr>
                <w:rFonts w:hint="eastAsia" w:eastAsia="Times New Roman" w:cs="Times New Roman"/>
                <w:szCs w:val="21"/>
                <w:lang w:eastAsia="zh-CN"/>
              </w:rPr>
              <w:t>151~280</w:t>
            </w:r>
          </w:p>
        </w:tc>
        <w:tc>
          <w:tcPr>
            <w:tcW w:w="570" w:type="pct"/>
            <w:tcBorders>
              <w:top w:val="single" w:color="auto" w:sz="4" w:space="0"/>
              <w:left w:val="single" w:color="auto" w:sz="4" w:space="0"/>
              <w:bottom w:val="single" w:color="auto" w:sz="4" w:space="0"/>
              <w:right w:val="single" w:color="auto" w:sz="4" w:space="0"/>
            </w:tcBorders>
            <w:vAlign w:val="center"/>
          </w:tcPr>
          <w:p w14:paraId="58356F0D">
            <w:pPr>
              <w:pStyle w:val="244"/>
              <w:rPr>
                <w:rFonts w:eastAsia="Times New Roman" w:cs="Times New Roman"/>
                <w:spacing w:val="-1"/>
                <w:szCs w:val="21"/>
              </w:rPr>
            </w:pPr>
            <w:r>
              <w:rPr>
                <w:rFonts w:hint="eastAsia" w:eastAsia="Times New Roman" w:cs="Times New Roman"/>
                <w:spacing w:val="-1"/>
                <w:szCs w:val="21"/>
                <w:lang w:eastAsia="zh-CN"/>
              </w:rPr>
              <w:t>13</w:t>
            </w:r>
          </w:p>
        </w:tc>
        <w:tc>
          <w:tcPr>
            <w:tcW w:w="516" w:type="pct"/>
            <w:tcBorders>
              <w:top w:val="single" w:color="auto" w:sz="4" w:space="0"/>
              <w:left w:val="single" w:color="auto" w:sz="4" w:space="0"/>
              <w:bottom w:val="single" w:color="auto" w:sz="4" w:space="0"/>
              <w:right w:val="single" w:color="auto" w:sz="4" w:space="0"/>
            </w:tcBorders>
            <w:vAlign w:val="center"/>
          </w:tcPr>
          <w:p w14:paraId="7F0C01B0">
            <w:pPr>
              <w:pStyle w:val="244"/>
              <w:rPr>
                <w:rFonts w:eastAsia="Times New Roman" w:cs="Times New Roman"/>
                <w:spacing w:val="-1"/>
                <w:szCs w:val="21"/>
              </w:rPr>
            </w:pPr>
            <w:r>
              <w:rPr>
                <w:rFonts w:hint="eastAsia" w:eastAsia="Times New Roman" w:cs="Times New Roman"/>
                <w:spacing w:val="-1"/>
                <w:szCs w:val="21"/>
                <w:lang w:eastAsia="zh-CN"/>
              </w:rPr>
              <w:t>32</w:t>
            </w:r>
          </w:p>
        </w:tc>
        <w:tc>
          <w:tcPr>
            <w:tcW w:w="575" w:type="pct"/>
            <w:tcBorders>
              <w:top w:val="single" w:color="auto" w:sz="4" w:space="0"/>
              <w:left w:val="single" w:color="auto" w:sz="4" w:space="0"/>
              <w:bottom w:val="single" w:color="auto" w:sz="4" w:space="0"/>
              <w:right w:val="single" w:color="auto" w:sz="4" w:space="0"/>
            </w:tcBorders>
            <w:vAlign w:val="center"/>
          </w:tcPr>
          <w:p w14:paraId="4997817E">
            <w:pPr>
              <w:pStyle w:val="244"/>
              <w:rPr>
                <w:rFonts w:eastAsia="Times New Roman" w:cs="Times New Roman"/>
                <w:spacing w:val="-1"/>
                <w:szCs w:val="21"/>
              </w:rPr>
            </w:pPr>
            <w:r>
              <w:rPr>
                <w:rFonts w:hint="eastAsia" w:eastAsia="Times New Roman" w:cs="Times New Roman"/>
                <w:spacing w:val="-1"/>
                <w:szCs w:val="21"/>
                <w:lang w:eastAsia="zh-CN"/>
              </w:rPr>
              <w:t>3</w:t>
            </w:r>
          </w:p>
        </w:tc>
        <w:tc>
          <w:tcPr>
            <w:tcW w:w="783" w:type="pct"/>
            <w:tcBorders>
              <w:top w:val="single" w:color="auto" w:sz="4" w:space="0"/>
              <w:left w:val="single" w:color="auto" w:sz="4" w:space="0"/>
              <w:bottom w:val="single" w:color="auto" w:sz="4" w:space="0"/>
              <w:right w:val="single" w:color="auto" w:sz="4" w:space="0"/>
            </w:tcBorders>
            <w:vAlign w:val="center"/>
          </w:tcPr>
          <w:p w14:paraId="41202258">
            <w:pPr>
              <w:pStyle w:val="244"/>
              <w:rPr>
                <w:rFonts w:eastAsia="Times New Roman" w:cs="Times New Roman"/>
                <w:spacing w:val="-1"/>
                <w:szCs w:val="21"/>
                <w:lang w:eastAsia="zh-CN"/>
              </w:rPr>
            </w:pPr>
            <w:r>
              <w:rPr>
                <w:rFonts w:hint="eastAsia" w:eastAsia="Times New Roman" w:cs="Times New Roman"/>
                <w:spacing w:val="-1"/>
                <w:szCs w:val="21"/>
                <w:lang w:eastAsia="zh-CN"/>
              </w:rPr>
              <w:t>150001~500000</w:t>
            </w:r>
          </w:p>
        </w:tc>
        <w:tc>
          <w:tcPr>
            <w:tcW w:w="597" w:type="pct"/>
            <w:tcBorders>
              <w:top w:val="single" w:color="auto" w:sz="4" w:space="0"/>
              <w:left w:val="single" w:color="auto" w:sz="4" w:space="0"/>
              <w:bottom w:val="single" w:color="auto" w:sz="4" w:space="0"/>
              <w:right w:val="single" w:color="auto" w:sz="4" w:space="0"/>
            </w:tcBorders>
            <w:vAlign w:val="center"/>
          </w:tcPr>
          <w:p w14:paraId="338F844E">
            <w:pPr>
              <w:pStyle w:val="244"/>
              <w:rPr>
                <w:rFonts w:eastAsia="Times New Roman" w:cs="Times New Roman"/>
                <w:spacing w:val="-1"/>
                <w:szCs w:val="21"/>
                <w:lang w:eastAsia="zh-CN"/>
              </w:rPr>
            </w:pPr>
            <w:r>
              <w:rPr>
                <w:rFonts w:hint="eastAsia" w:eastAsia="Times New Roman" w:cs="Times New Roman"/>
                <w:spacing w:val="-1"/>
                <w:szCs w:val="21"/>
                <w:lang w:eastAsia="zh-CN"/>
              </w:rPr>
              <w:t>315</w:t>
            </w:r>
          </w:p>
        </w:tc>
        <w:tc>
          <w:tcPr>
            <w:tcW w:w="597" w:type="pct"/>
            <w:tcBorders>
              <w:top w:val="single" w:color="auto" w:sz="4" w:space="0"/>
              <w:left w:val="single" w:color="auto" w:sz="4" w:space="0"/>
              <w:bottom w:val="single" w:color="auto" w:sz="4" w:space="0"/>
              <w:right w:val="single" w:color="auto" w:sz="4" w:space="0"/>
            </w:tcBorders>
            <w:vAlign w:val="center"/>
          </w:tcPr>
          <w:p w14:paraId="57F5A99C">
            <w:pPr>
              <w:pStyle w:val="244"/>
              <w:rPr>
                <w:rFonts w:eastAsia="Times New Roman" w:cs="Times New Roman"/>
                <w:spacing w:val="-1"/>
                <w:szCs w:val="21"/>
                <w:lang w:eastAsia="zh-CN"/>
              </w:rPr>
            </w:pPr>
            <w:r>
              <w:rPr>
                <w:rFonts w:hint="eastAsia" w:eastAsia="Times New Roman" w:cs="Times New Roman"/>
                <w:spacing w:val="-1"/>
                <w:szCs w:val="21"/>
                <w:lang w:eastAsia="zh-CN"/>
              </w:rPr>
              <w:t>800</w:t>
            </w:r>
          </w:p>
        </w:tc>
        <w:tc>
          <w:tcPr>
            <w:tcW w:w="609" w:type="pct"/>
            <w:tcBorders>
              <w:top w:val="single" w:color="auto" w:sz="4" w:space="0"/>
              <w:left w:val="single" w:color="auto" w:sz="4" w:space="0"/>
              <w:bottom w:val="single" w:color="auto" w:sz="4" w:space="0"/>
              <w:right w:val="single" w:color="auto" w:sz="4" w:space="0"/>
            </w:tcBorders>
            <w:vAlign w:val="center"/>
          </w:tcPr>
          <w:p w14:paraId="5DDD86AA">
            <w:pPr>
              <w:pStyle w:val="244"/>
              <w:rPr>
                <w:rFonts w:eastAsia="Times New Roman" w:cs="Times New Roman"/>
                <w:spacing w:val="-1"/>
                <w:szCs w:val="21"/>
                <w:lang w:eastAsia="zh-CN"/>
              </w:rPr>
            </w:pPr>
            <w:r>
              <w:rPr>
                <w:rFonts w:hint="eastAsia" w:eastAsia="Times New Roman" w:cs="Times New Roman"/>
                <w:spacing w:val="-1"/>
                <w:szCs w:val="21"/>
                <w:lang w:eastAsia="zh-CN"/>
              </w:rPr>
              <w:t>80</w:t>
            </w:r>
          </w:p>
        </w:tc>
      </w:tr>
      <w:tr w14:paraId="7847F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E9A4B13">
            <w:pPr>
              <w:pStyle w:val="244"/>
              <w:jc w:val="left"/>
              <w:rPr>
                <w:rFonts w:eastAsia="Times New Roman" w:cs="Times New Roman"/>
                <w:szCs w:val="21"/>
              </w:rPr>
            </w:pPr>
            <w:r>
              <w:rPr>
                <w:rFonts w:ascii="黑体" w:hAnsi="黑体" w:eastAsia="黑体" w:cs="Times New Roman"/>
                <w:spacing w:val="-1"/>
                <w:szCs w:val="21"/>
              </w:rPr>
              <w:t>注</w:t>
            </w:r>
            <w:r>
              <w:rPr>
                <w:rFonts w:eastAsia="Times New Roman" w:cs="Times New Roman"/>
                <w:spacing w:val="-1"/>
                <w:szCs w:val="21"/>
              </w:rPr>
              <w:t>：1</w:t>
            </w:r>
            <w:r>
              <w:rPr>
                <w:rFonts w:hint="eastAsia" w:eastAsia="Times New Roman" w:cs="Times New Roman"/>
                <w:spacing w:val="-1"/>
                <w:szCs w:val="21"/>
                <w:lang w:eastAsia="zh-CN"/>
              </w:rPr>
              <w:t>、</w:t>
            </w:r>
            <w:r>
              <w:rPr>
                <w:rFonts w:hint="eastAsia" w:eastAsia="Times New Roman" w:cs="Times New Roman"/>
                <w:spacing w:val="-1"/>
                <w:szCs w:val="21"/>
              </w:rPr>
              <w:t>检测类别A适用于一般项目施工质量的检测；</w:t>
            </w:r>
            <w:r>
              <w:rPr>
                <w:rFonts w:hint="eastAsia" w:eastAsia="Times New Roman" w:cs="Times New Roman"/>
                <w:spacing w:val="-1"/>
                <w:szCs w:val="21"/>
                <w:lang w:val="en-US" w:eastAsia="zh-CN"/>
              </w:rPr>
              <w:t>宜</w:t>
            </w:r>
            <w:r>
              <w:rPr>
                <w:rFonts w:hint="eastAsia" w:eastAsia="Times New Roman" w:cs="Times New Roman"/>
                <w:spacing w:val="-1"/>
                <w:szCs w:val="21"/>
              </w:rPr>
              <w:t>用于既有结构的一般项目检测</w:t>
            </w:r>
            <w:r>
              <w:rPr>
                <w:rFonts w:eastAsia="Times New Roman" w:cs="Times New Roman"/>
                <w:spacing w:val="-1"/>
                <w:szCs w:val="21"/>
              </w:rPr>
              <w:t>；</w:t>
            </w:r>
          </w:p>
          <w:p w14:paraId="4122F3AC">
            <w:pPr>
              <w:pStyle w:val="244"/>
              <w:ind w:firstLine="420" w:firstLineChars="200"/>
              <w:jc w:val="left"/>
              <w:rPr>
                <w:rFonts w:eastAsia="Times New Roman" w:cs="Times New Roman"/>
                <w:szCs w:val="21"/>
              </w:rPr>
            </w:pPr>
            <w:r>
              <w:rPr>
                <w:rFonts w:eastAsia="Times New Roman" w:cs="Times New Roman"/>
                <w:szCs w:val="21"/>
              </w:rPr>
              <w:t>2</w:t>
            </w:r>
            <w:r>
              <w:rPr>
                <w:rFonts w:hint="eastAsia" w:eastAsia="Times New Roman" w:cs="Times New Roman"/>
                <w:szCs w:val="21"/>
                <w:lang w:eastAsia="zh-CN"/>
              </w:rPr>
              <w:t>、</w:t>
            </w:r>
            <w:r>
              <w:rPr>
                <w:rFonts w:hint="eastAsia" w:eastAsia="Times New Roman" w:cs="Times New Roman"/>
                <w:szCs w:val="21"/>
              </w:rPr>
              <w:t>检测类别B适用于主控项目施工质量的检测；</w:t>
            </w:r>
            <w:r>
              <w:rPr>
                <w:rFonts w:hint="eastAsia" w:eastAsia="Times New Roman" w:cs="Times New Roman"/>
                <w:spacing w:val="-1"/>
                <w:szCs w:val="21"/>
                <w:lang w:val="en-US" w:eastAsia="zh-CN"/>
              </w:rPr>
              <w:t>宜</w:t>
            </w:r>
            <w:r>
              <w:rPr>
                <w:rFonts w:hint="eastAsia" w:eastAsia="Times New Roman" w:cs="Times New Roman"/>
                <w:szCs w:val="21"/>
              </w:rPr>
              <w:t>用于既有结构的重要项目检测</w:t>
            </w:r>
            <w:r>
              <w:rPr>
                <w:rFonts w:eastAsia="Times New Roman" w:cs="Times New Roman"/>
                <w:szCs w:val="21"/>
              </w:rPr>
              <w:t>；</w:t>
            </w:r>
          </w:p>
          <w:p w14:paraId="0BEBA5D2">
            <w:pPr>
              <w:pStyle w:val="244"/>
              <w:ind w:firstLine="420" w:firstLineChars="200"/>
              <w:jc w:val="left"/>
              <w:rPr>
                <w:rFonts w:eastAsia="Times New Roman" w:cs="Times New Roman"/>
                <w:szCs w:val="21"/>
              </w:rPr>
            </w:pPr>
            <w:r>
              <w:rPr>
                <w:rFonts w:eastAsia="Times New Roman" w:cs="Times New Roman"/>
                <w:szCs w:val="21"/>
              </w:rPr>
              <w:t>3</w:t>
            </w:r>
            <w:r>
              <w:rPr>
                <w:rFonts w:hint="eastAsia" w:eastAsia="Times New Roman" w:cs="Times New Roman"/>
                <w:szCs w:val="21"/>
                <w:lang w:eastAsia="zh-CN"/>
              </w:rPr>
              <w:t>、检测类别C适用于结构工程施工质量的检测或复检；</w:t>
            </w:r>
            <w:r>
              <w:rPr>
                <w:rFonts w:hint="eastAsia" w:eastAsia="Times New Roman" w:cs="Times New Roman"/>
                <w:spacing w:val="-1"/>
                <w:szCs w:val="21"/>
                <w:lang w:val="en-US" w:eastAsia="zh-CN"/>
              </w:rPr>
              <w:t>宜</w:t>
            </w:r>
            <w:r>
              <w:rPr>
                <w:rFonts w:hint="eastAsia" w:eastAsia="Times New Roman" w:cs="Times New Roman"/>
                <w:szCs w:val="21"/>
                <w:lang w:eastAsia="zh-CN"/>
              </w:rPr>
              <w:t>用于存在问题较多的既有结构检测</w:t>
            </w:r>
            <w:r>
              <w:rPr>
                <w:rFonts w:eastAsia="Times New Roman" w:cs="Times New Roman"/>
                <w:szCs w:val="21"/>
              </w:rPr>
              <w:t>。</w:t>
            </w:r>
          </w:p>
        </w:tc>
      </w:tr>
    </w:tbl>
    <w:p w14:paraId="398ECD76">
      <w:pPr>
        <w:numPr>
          <w:ilvl w:val="0"/>
          <w:numId w:val="32"/>
        </w:numPr>
        <w:adjustRightInd/>
        <w:spacing w:beforeLines="100" w:afterLines="100" w:line="240" w:lineRule="auto"/>
        <w:ind w:left="0"/>
        <w:outlineLvl w:val="0"/>
        <w:rPr>
          <w:rFonts w:ascii="Calibri" w:eastAsia="黑体"/>
          <w:szCs w:val="22"/>
        </w:rPr>
      </w:pPr>
      <w:bookmarkStart w:id="66" w:name="bookmark16"/>
      <w:bookmarkEnd w:id="66"/>
      <w:bookmarkStart w:id="67" w:name="bookmark55"/>
      <w:bookmarkEnd w:id="67"/>
      <w:bookmarkStart w:id="68" w:name="_Toc32636"/>
      <w:r>
        <w:rPr>
          <w:rFonts w:hint="eastAsia" w:ascii="Calibri" w:eastAsia="黑体"/>
          <w:szCs w:val="22"/>
        </w:rPr>
        <w:t>结合面混凝土正拉粘结强度</w:t>
      </w:r>
      <w:bookmarkEnd w:id="68"/>
    </w:p>
    <w:p w14:paraId="45C95695">
      <w:pPr>
        <w:numPr>
          <w:ilvl w:val="1"/>
          <w:numId w:val="32"/>
        </w:numPr>
        <w:adjustRightInd/>
        <w:spacing w:beforeLines="50" w:afterLines="50" w:line="240" w:lineRule="auto"/>
        <w:outlineLvl w:val="1"/>
        <w:rPr>
          <w:szCs w:val="20"/>
        </w:rPr>
      </w:pPr>
      <w:bookmarkStart w:id="69" w:name="bookmark17"/>
      <w:bookmarkEnd w:id="69"/>
      <w:bookmarkStart w:id="70" w:name="_Toc24718"/>
      <w:r>
        <w:rPr>
          <w:rFonts w:hint="eastAsia" w:ascii="Calibri" w:eastAsia="黑体"/>
          <w:szCs w:val="22"/>
        </w:rPr>
        <w:t>一般</w:t>
      </w:r>
      <w:r>
        <w:rPr>
          <w:rFonts w:hint="eastAsia" w:ascii="Calibri" w:eastAsia="黑体"/>
          <w:szCs w:val="22"/>
          <w:lang w:val="en-US" w:eastAsia="zh-CN"/>
        </w:rPr>
        <w:t>规定</w:t>
      </w:r>
      <w:bookmarkEnd w:id="70"/>
    </w:p>
    <w:p w14:paraId="5267BFFD">
      <w:pPr>
        <w:pStyle w:val="235"/>
        <w:spacing w:before="156" w:after="156"/>
        <w:rPr>
          <w:szCs w:val="20"/>
        </w:rPr>
      </w:pPr>
      <w:r>
        <w:rPr>
          <w:rFonts w:hint="eastAsia"/>
          <w:szCs w:val="20"/>
        </w:rPr>
        <w:t>结合面混凝土正拉粘结强度的现场检测，应选择结合面与检测面平行的构件或结构部位。</w:t>
      </w:r>
    </w:p>
    <w:p w14:paraId="1E4E00C5">
      <w:pPr>
        <w:pStyle w:val="235"/>
        <w:spacing w:before="156" w:after="156"/>
        <w:rPr>
          <w:szCs w:val="20"/>
        </w:rPr>
      </w:pPr>
      <w:r>
        <w:rPr>
          <w:rFonts w:hint="eastAsia"/>
          <w:szCs w:val="20"/>
        </w:rPr>
        <w:t>检测宜在现场浇筑混凝土的养护等效龄期大</w:t>
      </w:r>
      <w:r>
        <w:rPr>
          <w:szCs w:val="20"/>
        </w:rPr>
        <w:t>于600℃·d</w:t>
      </w:r>
      <w:r>
        <w:rPr>
          <w:rFonts w:hint="eastAsia"/>
          <w:szCs w:val="20"/>
        </w:rPr>
        <w:t>后进行。</w:t>
      </w:r>
    </w:p>
    <w:p w14:paraId="4CBBF8B1">
      <w:pPr>
        <w:numPr>
          <w:ilvl w:val="1"/>
          <w:numId w:val="32"/>
        </w:numPr>
        <w:adjustRightInd/>
        <w:spacing w:beforeLines="50" w:afterLines="50" w:line="240" w:lineRule="auto"/>
        <w:outlineLvl w:val="1"/>
        <w:rPr>
          <w:szCs w:val="20"/>
        </w:rPr>
      </w:pPr>
      <w:bookmarkStart w:id="71" w:name="_Toc9238"/>
      <w:r>
        <w:rPr>
          <w:rFonts w:hint="eastAsia" w:ascii="Calibri" w:eastAsia="黑体"/>
          <w:szCs w:val="22"/>
        </w:rPr>
        <w:t>检测设备</w:t>
      </w:r>
      <w:bookmarkEnd w:id="71"/>
    </w:p>
    <w:p w14:paraId="67A31FB8">
      <w:pPr>
        <w:pStyle w:val="235"/>
        <w:spacing w:before="156" w:after="156"/>
        <w:rPr>
          <w:szCs w:val="20"/>
        </w:rPr>
      </w:pPr>
      <w:r>
        <w:rPr>
          <w:rFonts w:hint="eastAsia"/>
          <w:szCs w:val="20"/>
        </w:rPr>
        <w:t>检测设备应包括钻芯机、钻头和拉拔仪等。钻芯机及钻头应符合《钻芯法检测混凝土强度技术规程》JGJ/T 384的有关规定，拉拔仪应符合下列规定：</w:t>
      </w:r>
    </w:p>
    <w:p w14:paraId="51712AEC">
      <w:pPr>
        <w:pStyle w:val="248"/>
        <w:numPr>
          <w:ilvl w:val="0"/>
          <w:numId w:val="37"/>
        </w:numPr>
        <w:ind w:left="735" w:leftChars="150" w:hanging="420" w:hangingChars="200"/>
      </w:pPr>
      <w:r>
        <w:rPr>
          <w:rFonts w:hint="eastAsia"/>
        </w:rPr>
        <w:t>应具有轴向连接试件的传力装置或径向夹持试件的功能，且连接装置或夹紧装置不应先于试件破坏而与试件脱开；</w:t>
      </w:r>
    </w:p>
    <w:p w14:paraId="6B36EBCB">
      <w:pPr>
        <w:pStyle w:val="248"/>
        <w:numPr>
          <w:ilvl w:val="0"/>
          <w:numId w:val="37"/>
        </w:numPr>
        <w:ind w:left="735" w:leftChars="150" w:hanging="420" w:hangingChars="200"/>
      </w:pPr>
      <w:r>
        <w:rPr>
          <w:rFonts w:hint="eastAsia"/>
        </w:rPr>
        <w:t>应具有荷载实时显示和荷载峰值保持功能；</w:t>
      </w:r>
    </w:p>
    <w:p w14:paraId="01827BE3">
      <w:pPr>
        <w:pStyle w:val="248"/>
        <w:numPr>
          <w:ilvl w:val="0"/>
          <w:numId w:val="37"/>
        </w:numPr>
        <w:ind w:left="735" w:leftChars="150" w:hanging="420" w:hangingChars="200"/>
      </w:pPr>
      <w:r>
        <w:rPr>
          <w:rFonts w:hint="eastAsia"/>
        </w:rPr>
        <w:t>量程宜为1.25倍</w:t>
      </w:r>
      <w:r>
        <w:rPr>
          <w:rFonts w:ascii="Times New Roman" w:hAnsi="Times New Roman"/>
        </w:rPr>
        <w:t>~</w:t>
      </w:r>
      <w:r>
        <w:rPr>
          <w:rFonts w:hint="eastAsia"/>
        </w:rPr>
        <w:t>5倍的检验荷载值，荷载分辨力或最小示值不宜大于1N，满量程测试误差不应大于1.0%；</w:t>
      </w:r>
    </w:p>
    <w:p w14:paraId="6033A1C8">
      <w:pPr>
        <w:pStyle w:val="248"/>
        <w:numPr>
          <w:ilvl w:val="0"/>
          <w:numId w:val="37"/>
        </w:numPr>
        <w:ind w:left="735" w:leftChars="150" w:hanging="420" w:hangingChars="200"/>
      </w:pPr>
      <w:r>
        <w:rPr>
          <w:rFonts w:hint="eastAsia"/>
        </w:rPr>
        <w:t>应有设备合格证和校准证书，并应在有效期内使用；</w:t>
      </w:r>
    </w:p>
    <w:p w14:paraId="5BCA7940">
      <w:pPr>
        <w:pStyle w:val="248"/>
        <w:numPr>
          <w:ilvl w:val="0"/>
          <w:numId w:val="37"/>
        </w:numPr>
        <w:ind w:left="735" w:leftChars="150" w:hanging="420" w:hangingChars="200"/>
      </w:pPr>
      <w:r>
        <w:rPr>
          <w:rFonts w:hint="eastAsia"/>
        </w:rPr>
        <w:t>使用时的环境温度宜为-10℃</w:t>
      </w:r>
      <w:r>
        <w:rPr>
          <w:rFonts w:ascii="Times New Roman" w:hAnsi="Times New Roman"/>
        </w:rPr>
        <w:t>~</w:t>
      </w:r>
      <w:r>
        <w:rPr>
          <w:rFonts w:hint="eastAsia"/>
        </w:rPr>
        <w:t>45℃。</w:t>
      </w:r>
    </w:p>
    <w:p w14:paraId="181D5EBA">
      <w:pPr>
        <w:numPr>
          <w:ilvl w:val="1"/>
          <w:numId w:val="32"/>
        </w:numPr>
        <w:adjustRightInd/>
        <w:spacing w:beforeLines="50" w:afterLines="50" w:line="240" w:lineRule="auto"/>
        <w:outlineLvl w:val="1"/>
      </w:pPr>
      <w:bookmarkStart w:id="72" w:name="_Toc118"/>
      <w:r>
        <w:rPr>
          <w:rFonts w:hint="eastAsia" w:ascii="Calibri" w:eastAsia="黑体"/>
          <w:szCs w:val="22"/>
        </w:rPr>
        <w:t>测点布置</w:t>
      </w:r>
      <w:bookmarkEnd w:id="72"/>
    </w:p>
    <w:p w14:paraId="2A9733DE">
      <w:pPr>
        <w:pStyle w:val="235"/>
        <w:spacing w:before="156" w:after="156"/>
        <w:rPr>
          <w:szCs w:val="20"/>
        </w:rPr>
      </w:pPr>
      <w:r>
        <w:rPr>
          <w:rFonts w:hint="eastAsia"/>
          <w:szCs w:val="20"/>
        </w:rPr>
        <w:t>测点布置应符合下列规定：</w:t>
      </w:r>
    </w:p>
    <w:p w14:paraId="6A1872C2">
      <w:pPr>
        <w:pStyle w:val="248"/>
        <w:numPr>
          <w:ilvl w:val="0"/>
          <w:numId w:val="38"/>
        </w:numPr>
        <w:ind w:left="735" w:leftChars="150" w:hanging="420" w:hangingChars="200"/>
      </w:pPr>
      <w:r>
        <w:rPr>
          <w:rFonts w:hint="eastAsia"/>
        </w:rPr>
        <w:t>测点选择应有代表性，且应确保拉拔仪的施力方向垂直于混凝土结合面；</w:t>
      </w:r>
    </w:p>
    <w:p w14:paraId="2F7C6B9D">
      <w:pPr>
        <w:pStyle w:val="248"/>
        <w:numPr>
          <w:ilvl w:val="0"/>
          <w:numId w:val="38"/>
        </w:numPr>
        <w:ind w:left="735" w:leftChars="150" w:hanging="420" w:hangingChars="200"/>
      </w:pPr>
      <w:r>
        <w:rPr>
          <w:rFonts w:hint="eastAsia"/>
        </w:rPr>
        <w:t>检测部位应在结构或构件受力较小处，且检测后不影响构件或结构的使用。</w:t>
      </w:r>
    </w:p>
    <w:p w14:paraId="72D7F50B">
      <w:pPr>
        <w:numPr>
          <w:ilvl w:val="1"/>
          <w:numId w:val="32"/>
        </w:numPr>
        <w:adjustRightInd/>
        <w:spacing w:beforeLines="50" w:afterLines="50" w:line="240" w:lineRule="auto"/>
        <w:outlineLvl w:val="1"/>
      </w:pPr>
      <w:bookmarkStart w:id="73" w:name="_Toc9436"/>
      <w:r>
        <w:rPr>
          <w:rFonts w:hint="eastAsia" w:ascii="Calibri" w:eastAsia="黑体"/>
          <w:szCs w:val="22"/>
        </w:rPr>
        <w:t>检测</w:t>
      </w:r>
      <w:bookmarkEnd w:id="73"/>
    </w:p>
    <w:p w14:paraId="083FA52E">
      <w:pPr>
        <w:pStyle w:val="235"/>
        <w:spacing w:before="156" w:after="156"/>
        <w:rPr>
          <w:szCs w:val="20"/>
        </w:rPr>
      </w:pPr>
      <w:r>
        <w:rPr>
          <w:rFonts w:hint="eastAsia"/>
          <w:szCs w:val="20"/>
        </w:rPr>
        <w:t>现场钻芯操作应符合下列规定：</w:t>
      </w:r>
    </w:p>
    <w:p w14:paraId="63F1C007">
      <w:pPr>
        <w:pStyle w:val="248"/>
        <w:numPr>
          <w:ilvl w:val="0"/>
          <w:numId w:val="39"/>
        </w:numPr>
        <w:ind w:left="735" w:hanging="420" w:firstLineChars="0"/>
      </w:pPr>
      <w:r>
        <w:rPr>
          <w:rFonts w:hint="eastAsia"/>
        </w:rPr>
        <w:t>钻芯机应安放平稳，固定牢靠；</w:t>
      </w:r>
    </w:p>
    <w:p w14:paraId="5C95024B">
      <w:pPr>
        <w:pStyle w:val="248"/>
        <w:numPr>
          <w:ilvl w:val="0"/>
          <w:numId w:val="39"/>
        </w:numPr>
        <w:ind w:left="735" w:leftChars="150" w:hanging="420" w:hangingChars="200"/>
      </w:pPr>
      <w:r>
        <w:rPr>
          <w:rFonts w:hint="eastAsia"/>
        </w:rPr>
        <w:t>用于冷却钻头和排除混凝土碎屑的冷却水流量宜为3L/min</w:t>
      </w:r>
      <w:r>
        <w:rPr>
          <w:rFonts w:ascii="Times New Roman" w:hAnsi="Times New Roman"/>
        </w:rPr>
        <w:t>~</w:t>
      </w:r>
      <w:r>
        <w:rPr>
          <w:rFonts w:hint="eastAsia"/>
        </w:rPr>
        <w:t>5L/min；</w:t>
      </w:r>
    </w:p>
    <w:p w14:paraId="0A943627">
      <w:pPr>
        <w:pStyle w:val="248"/>
        <w:numPr>
          <w:ilvl w:val="0"/>
          <w:numId w:val="39"/>
        </w:numPr>
        <w:ind w:left="735" w:leftChars="150" w:hanging="420" w:hangingChars="200"/>
      </w:pPr>
      <w:r>
        <w:rPr>
          <w:rFonts w:hint="eastAsia"/>
        </w:rPr>
        <w:t>钻进时应匀速施力；</w:t>
      </w:r>
    </w:p>
    <w:p w14:paraId="061FF87C">
      <w:pPr>
        <w:pStyle w:val="248"/>
        <w:numPr>
          <w:ilvl w:val="0"/>
          <w:numId w:val="39"/>
        </w:numPr>
        <w:ind w:left="735" w:leftChars="150" w:hanging="420" w:hangingChars="200"/>
      </w:pPr>
      <w:r>
        <w:rPr>
          <w:rFonts w:hint="eastAsia"/>
        </w:rPr>
        <w:t>应避开钢筋、预埋件和预埋管线，钢筋探测仪最大探测深度不应小于60mm，探测位置偏差不宜大于3mm；</w:t>
      </w:r>
    </w:p>
    <w:p w14:paraId="1FE7F85A">
      <w:pPr>
        <w:pStyle w:val="248"/>
        <w:numPr>
          <w:ilvl w:val="0"/>
          <w:numId w:val="39"/>
        </w:numPr>
        <w:ind w:left="735" w:leftChars="150" w:hanging="420" w:hangingChars="200"/>
      </w:pPr>
      <w:r>
        <w:rPr>
          <w:rFonts w:hint="eastAsia"/>
        </w:rPr>
        <w:t>应遵守相关安全生产和劳动保护的规定。</w:t>
      </w:r>
      <w:bookmarkStart w:id="74" w:name="bookmark56"/>
      <w:bookmarkEnd w:id="74"/>
    </w:p>
    <w:p w14:paraId="55F62FB0">
      <w:pPr>
        <w:pStyle w:val="235"/>
        <w:spacing w:before="156" w:after="156"/>
        <w:rPr>
          <w:szCs w:val="20"/>
        </w:rPr>
      </w:pPr>
      <w:r>
        <w:rPr>
          <w:rFonts w:hint="eastAsia"/>
          <w:szCs w:val="20"/>
        </w:rPr>
        <w:t>结合面混凝土正拉粘结强度检测应符合下列规定：</w:t>
      </w:r>
    </w:p>
    <w:p w14:paraId="49C7513A">
      <w:pPr>
        <w:pStyle w:val="248"/>
        <w:numPr>
          <w:ilvl w:val="0"/>
          <w:numId w:val="40"/>
        </w:numPr>
        <w:ind w:left="735" w:leftChars="150" w:hanging="420" w:hangingChars="200"/>
      </w:pPr>
      <w:r>
        <w:rPr>
          <w:rFonts w:hint="eastAsia"/>
        </w:rPr>
        <w:t>芯样直径宜为100mm，且不应小于70mm，钻取深度应大于结合面深度且距离结合面不宜大于15mm；</w:t>
      </w:r>
    </w:p>
    <w:p w14:paraId="7C9D9265">
      <w:pPr>
        <w:pStyle w:val="248"/>
        <w:numPr>
          <w:ilvl w:val="0"/>
          <w:numId w:val="40"/>
        </w:numPr>
        <w:ind w:left="735" w:leftChars="150" w:hanging="420" w:hangingChars="200"/>
      </w:pPr>
      <w:r>
        <w:rPr>
          <w:rFonts w:hint="eastAsia"/>
        </w:rPr>
        <w:t>钻样完成后，应冲洗试件表面泥浆，确保加载作用部位的清洁；</w:t>
      </w:r>
    </w:p>
    <w:p w14:paraId="7C49C473">
      <w:pPr>
        <w:pStyle w:val="248"/>
        <w:numPr>
          <w:ilvl w:val="0"/>
          <w:numId w:val="40"/>
        </w:numPr>
        <w:ind w:left="735" w:leftChars="150" w:hanging="420" w:hangingChars="200"/>
      </w:pPr>
      <w:r>
        <w:rPr>
          <w:rFonts w:hint="eastAsia"/>
        </w:rPr>
        <w:t>加载时试件应处于干燥状态；</w:t>
      </w:r>
    </w:p>
    <w:p w14:paraId="1245378C">
      <w:pPr>
        <w:pStyle w:val="248"/>
        <w:numPr>
          <w:ilvl w:val="0"/>
          <w:numId w:val="40"/>
        </w:numPr>
        <w:ind w:left="735" w:leftChars="150" w:hanging="420" w:hangingChars="200"/>
      </w:pPr>
      <w:r>
        <w:rPr>
          <w:rFonts w:hint="eastAsia"/>
        </w:rPr>
        <w:t>拉拔力应与芯样试件同轴，应连续均匀加荷，加荷速率宜为1500N/min</w:t>
      </w:r>
      <w:r>
        <w:rPr>
          <w:rFonts w:ascii="Times New Roman" w:hAnsi="Times New Roman"/>
        </w:rPr>
        <w:t>~</w:t>
      </w:r>
      <w:r>
        <w:rPr>
          <w:rFonts w:hint="eastAsia"/>
        </w:rPr>
        <w:t>2000N/min，应记录抗拉破坏时的荷载值和破坏形态；</w:t>
      </w:r>
    </w:p>
    <w:p w14:paraId="6C29ADC5">
      <w:pPr>
        <w:pStyle w:val="248"/>
        <w:numPr>
          <w:ilvl w:val="0"/>
          <w:numId w:val="40"/>
        </w:numPr>
        <w:ind w:left="735" w:leftChars="150" w:hanging="420" w:hangingChars="200"/>
      </w:pPr>
      <w:r>
        <w:rPr>
          <w:rFonts w:hint="eastAsia"/>
        </w:rPr>
        <w:t>应在两个相互垂直方向测量芯样试件破断面的直径；</w:t>
      </w:r>
    </w:p>
    <w:p w14:paraId="776245F2">
      <w:pPr>
        <w:pStyle w:val="248"/>
        <w:numPr>
          <w:ilvl w:val="0"/>
          <w:numId w:val="40"/>
        </w:numPr>
        <w:ind w:left="735" w:leftChars="150" w:hanging="420" w:hangingChars="200"/>
      </w:pPr>
      <w:r>
        <w:rPr>
          <w:rFonts w:hint="eastAsia"/>
        </w:rPr>
        <w:t>检测留下的孔洞应采用高一个强度等级的细石微膨胀混凝土进行修复。</w:t>
      </w:r>
    </w:p>
    <w:p w14:paraId="559A437C">
      <w:pPr>
        <w:numPr>
          <w:ilvl w:val="1"/>
          <w:numId w:val="32"/>
        </w:numPr>
        <w:adjustRightInd/>
        <w:spacing w:beforeLines="50" w:afterLines="50" w:line="240" w:lineRule="auto"/>
        <w:outlineLvl w:val="1"/>
      </w:pPr>
      <w:bookmarkStart w:id="75" w:name="_Toc16330"/>
      <w:r>
        <w:rPr>
          <w:rFonts w:hint="eastAsia" w:ascii="Calibri" w:eastAsia="黑体"/>
          <w:szCs w:val="22"/>
        </w:rPr>
        <w:t>判定</w:t>
      </w:r>
      <w:bookmarkEnd w:id="75"/>
    </w:p>
    <w:p w14:paraId="623139E6">
      <w:pPr>
        <w:pStyle w:val="235"/>
        <w:spacing w:before="156" w:after="156"/>
        <w:rPr>
          <w:szCs w:val="20"/>
        </w:rPr>
      </w:pPr>
      <w:r>
        <w:rPr>
          <w:rFonts w:hint="eastAsia"/>
          <w:szCs w:val="20"/>
        </w:rPr>
        <w:t>当芯样试件破断面位于结合面处时，结合面混凝土正拉粘结强度值应按下式计算：</w:t>
      </w:r>
    </w:p>
    <w:p w14:paraId="05731710">
      <w:pPr>
        <w:pStyle w:val="252"/>
        <w:jc w:val="right"/>
      </w:pPr>
      <w:r>
        <w:object>
          <v:shape id="_x0000_i1026" o:spt="75" type="#_x0000_t75" style="height:27pt;width:44.25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r>
        <w:rPr>
          <w:rFonts w:hint="eastAsia"/>
          <w:lang w:val="en-US" w:eastAsia="zh-CN"/>
        </w:rPr>
        <w:t xml:space="preserve">                                   </w:t>
      </w:r>
      <w:r>
        <w:object>
          <v:shape id="_x0000_i1027" o:spt="75" type="#_x0000_t75" style="height:15pt;width:30.75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0">
            <o:LockedField>false</o:LockedField>
          </o:OLEObject>
        </w:object>
      </w:r>
    </w:p>
    <w:p w14:paraId="2312976A">
      <w:pPr>
        <w:spacing w:line="240" w:lineRule="auto"/>
        <w:ind w:firstLine="420" w:firstLineChars="200"/>
        <w:textAlignment w:val="center"/>
      </w:pPr>
      <w:r>
        <w:rPr>
          <w:rFonts w:hint="eastAsia"/>
        </w:rPr>
        <w:t>式中：</w:t>
      </w:r>
      <w:r>
        <w:rPr>
          <w:rFonts w:hint="eastAsia"/>
          <w:i/>
          <w:iCs/>
        </w:rPr>
        <w:t>f</w:t>
      </w:r>
      <w:r>
        <w:rPr>
          <w:rFonts w:hint="eastAsia"/>
          <w:i/>
          <w:iCs/>
          <w:vertAlign w:val="subscript"/>
        </w:rPr>
        <w:t>t</w:t>
      </w:r>
      <w:r>
        <w:rPr>
          <w:rFonts w:hint="eastAsia"/>
        </w:rPr>
        <w:t>—结合面混凝土正拉粘结强度(MPa)，应精确至0.1MPa；</w:t>
      </w:r>
    </w:p>
    <w:p w14:paraId="08F41BC4">
      <w:pPr>
        <w:spacing w:line="240" w:lineRule="auto"/>
        <w:ind w:firstLine="420" w:firstLineChars="200"/>
        <w:textAlignment w:val="center"/>
      </w:pPr>
      <w:r>
        <w:rPr>
          <w:rFonts w:hint="eastAsia"/>
          <w:i/>
          <w:iCs/>
        </w:rPr>
        <w:t>P</w:t>
      </w:r>
      <w:r>
        <w:rPr>
          <w:rFonts w:hint="eastAsia"/>
        </w:rPr>
        <w:t>—混凝土芯样试件抗拉试验的破坏荷载值(N)，应精确至0.1N；</w:t>
      </w:r>
    </w:p>
    <w:p w14:paraId="30E6798E">
      <w:pPr>
        <w:spacing w:line="240" w:lineRule="auto"/>
        <w:ind w:firstLine="420" w:firstLineChars="200"/>
        <w:textAlignment w:val="center"/>
        <w:rPr>
          <w:szCs w:val="20"/>
        </w:rPr>
      </w:pPr>
      <w:r>
        <w:rPr>
          <w:rFonts w:hint="eastAsia"/>
          <w:i/>
          <w:iCs/>
        </w:rPr>
        <w:t>D</w:t>
      </w:r>
      <w:r>
        <w:rPr>
          <w:rFonts w:hint="eastAsia"/>
        </w:rPr>
        <w:t>—混凝土芯样试件破断面直径(mm)，应精确至0.5mm。</w:t>
      </w:r>
    </w:p>
    <w:p w14:paraId="12B55347">
      <w:pPr>
        <w:pStyle w:val="235"/>
        <w:spacing w:before="156" w:after="156"/>
        <w:rPr>
          <w:szCs w:val="20"/>
        </w:rPr>
      </w:pPr>
      <w:r>
        <w:rPr>
          <w:rFonts w:hint="eastAsia"/>
          <w:szCs w:val="20"/>
        </w:rPr>
        <w:t>按检测批判定结合面混凝土正拉粘结强度时，应符合下列规定：</w:t>
      </w:r>
    </w:p>
    <w:p w14:paraId="1773C466">
      <w:pPr>
        <w:pStyle w:val="248"/>
        <w:numPr>
          <w:ilvl w:val="0"/>
          <w:numId w:val="41"/>
        </w:numPr>
        <w:ind w:left="735" w:leftChars="150" w:hanging="420" w:hangingChars="200"/>
      </w:pPr>
      <w:r>
        <w:rPr>
          <w:rFonts w:hint="eastAsia"/>
        </w:rPr>
        <w:t>宜将粗糙面特征相近、施工处理与浇筑工艺相同、混凝土设计强度等级相同、龄期相近、所处方向相同的结合面划分为同一检测批；</w:t>
      </w:r>
    </w:p>
    <w:p w14:paraId="7DB85177">
      <w:pPr>
        <w:pStyle w:val="248"/>
        <w:numPr>
          <w:ilvl w:val="0"/>
          <w:numId w:val="41"/>
        </w:numPr>
        <w:ind w:left="735" w:leftChars="150" w:hanging="420" w:hangingChars="200"/>
      </w:pPr>
      <w:r>
        <w:rPr>
          <w:rFonts w:hint="eastAsia"/>
        </w:rPr>
        <w:t>测点数量不宜少于15个，且不应少于10个；</w:t>
      </w:r>
    </w:p>
    <w:p w14:paraId="56199AC6">
      <w:pPr>
        <w:pStyle w:val="248"/>
        <w:numPr>
          <w:ilvl w:val="0"/>
          <w:numId w:val="41"/>
        </w:numPr>
        <w:ind w:left="735" w:leftChars="150" w:hanging="420" w:hangingChars="200"/>
      </w:pPr>
      <w:r>
        <w:rPr>
          <w:rFonts w:hint="eastAsia"/>
        </w:rPr>
        <w:t>当试件破断面均位于非结合面处时，宜判定结合面正拉粘结强度不低于后浇混凝土或预制构件混凝土的抗拉强度；</w:t>
      </w:r>
    </w:p>
    <w:p w14:paraId="19323501">
      <w:pPr>
        <w:pStyle w:val="248"/>
        <w:numPr>
          <w:ilvl w:val="0"/>
          <w:numId w:val="41"/>
        </w:numPr>
        <w:ind w:left="735" w:leftChars="150" w:hanging="420" w:hangingChars="200"/>
      </w:pPr>
      <w:r>
        <w:rPr>
          <w:rFonts w:hint="eastAsia"/>
        </w:rPr>
        <w:t>结合面混凝土正拉粘结强度的推定值宜取试件破断面位于结合面处各测点正拉粘结强度平均值。</w:t>
      </w:r>
    </w:p>
    <w:p w14:paraId="55E62B98">
      <w:pPr>
        <w:pStyle w:val="235"/>
        <w:spacing w:before="156" w:after="156"/>
        <w:rPr>
          <w:szCs w:val="20"/>
        </w:rPr>
      </w:pPr>
      <w:r>
        <w:rPr>
          <w:rFonts w:hint="eastAsia"/>
          <w:szCs w:val="20"/>
        </w:rPr>
        <w:t>在确定检测批结合面正拉粘结强度推定值时，宜剔除样本中的异常值。剔除规则应符合《数据的统计处理和解释正态样本离群值的判断和处理》GB/T 4883的有关规定。</w:t>
      </w:r>
    </w:p>
    <w:p w14:paraId="28B2F55D">
      <w:pPr>
        <w:numPr>
          <w:ilvl w:val="0"/>
          <w:numId w:val="32"/>
        </w:numPr>
        <w:adjustRightInd/>
        <w:spacing w:beforeLines="100" w:afterLines="100" w:line="240" w:lineRule="auto"/>
        <w:ind w:left="0"/>
        <w:outlineLvl w:val="0"/>
        <w:rPr>
          <w:rFonts w:ascii="Calibri" w:eastAsia="黑体"/>
          <w:szCs w:val="22"/>
        </w:rPr>
      </w:pPr>
      <w:bookmarkStart w:id="76" w:name="bookmark19"/>
      <w:bookmarkEnd w:id="76"/>
      <w:bookmarkStart w:id="77" w:name="_Toc30863"/>
      <w:r>
        <w:rPr>
          <w:rFonts w:hint="eastAsia" w:ascii="Calibri" w:eastAsia="黑体"/>
          <w:szCs w:val="22"/>
        </w:rPr>
        <w:t>混凝土内部结合面连接缺陷</w:t>
      </w:r>
      <w:bookmarkEnd w:id="77"/>
    </w:p>
    <w:p w14:paraId="5DF1FD1B">
      <w:pPr>
        <w:numPr>
          <w:ilvl w:val="1"/>
          <w:numId w:val="32"/>
        </w:numPr>
        <w:adjustRightInd/>
        <w:spacing w:beforeLines="50" w:afterLines="50" w:line="240" w:lineRule="auto"/>
        <w:outlineLvl w:val="1"/>
        <w:rPr>
          <w:szCs w:val="20"/>
        </w:rPr>
      </w:pPr>
      <w:bookmarkStart w:id="78" w:name="_Toc3007"/>
      <w:r>
        <w:rPr>
          <w:rFonts w:hint="eastAsia" w:ascii="Calibri" w:eastAsia="黑体"/>
          <w:szCs w:val="22"/>
        </w:rPr>
        <w:t>一般</w:t>
      </w:r>
      <w:r>
        <w:rPr>
          <w:rFonts w:hint="eastAsia" w:ascii="Calibri" w:eastAsia="黑体"/>
          <w:szCs w:val="22"/>
          <w:lang w:val="en-US" w:eastAsia="zh-CN"/>
        </w:rPr>
        <w:t>规定</w:t>
      </w:r>
      <w:bookmarkEnd w:id="78"/>
    </w:p>
    <w:p w14:paraId="7F15B31B">
      <w:pPr>
        <w:pStyle w:val="235"/>
        <w:spacing w:before="156" w:after="156"/>
        <w:rPr>
          <w:szCs w:val="20"/>
        </w:rPr>
      </w:pPr>
      <w:r>
        <w:rPr>
          <w:rFonts w:hint="eastAsia"/>
          <w:szCs w:val="20"/>
        </w:rPr>
        <w:t>混凝土内部缺陷检测结果应包括测点位置、网格布置、外观质量、缺陷的位置与大小等信息。</w:t>
      </w:r>
    </w:p>
    <w:p w14:paraId="6A3F43AD">
      <w:pPr>
        <w:pStyle w:val="235"/>
        <w:spacing w:before="156" w:after="156"/>
        <w:rPr>
          <w:szCs w:val="20"/>
        </w:rPr>
      </w:pPr>
      <w:r>
        <w:rPr>
          <w:rFonts w:hint="eastAsia"/>
          <w:szCs w:val="20"/>
        </w:rPr>
        <w:t>根据现场检测条件和内部钢筋配置情况，混凝土内部结合面连接缺陷检测方法的选择应符合下列规定：</w:t>
      </w:r>
    </w:p>
    <w:p w14:paraId="16B92BB6">
      <w:pPr>
        <w:pStyle w:val="248"/>
        <w:numPr>
          <w:ilvl w:val="0"/>
          <w:numId w:val="42"/>
        </w:numPr>
        <w:ind w:left="735" w:leftChars="150" w:hanging="420" w:hangingChars="200"/>
      </w:pPr>
      <w:r>
        <w:rPr>
          <w:rFonts w:hint="eastAsia"/>
        </w:rPr>
        <w:t>当具有2个相互平行的测试面时，宜采用阵列超声法、冲击回波法或雷达法进行检测；</w:t>
      </w:r>
    </w:p>
    <w:p w14:paraId="7ABC1AA9">
      <w:pPr>
        <w:pStyle w:val="248"/>
        <w:numPr>
          <w:ilvl w:val="0"/>
          <w:numId w:val="42"/>
        </w:numPr>
        <w:ind w:left="735" w:leftChars="150" w:hanging="420" w:hangingChars="200"/>
      </w:pPr>
      <w:r>
        <w:rPr>
          <w:rFonts w:hint="eastAsia"/>
        </w:rPr>
        <w:t>当仅具有1个可测面时，宜采用阵列超声法、冲击回波法或雷达法进行单面检测；</w:t>
      </w:r>
    </w:p>
    <w:p w14:paraId="443E5131">
      <w:pPr>
        <w:pStyle w:val="248"/>
        <w:numPr>
          <w:ilvl w:val="0"/>
          <w:numId w:val="42"/>
        </w:numPr>
        <w:ind w:left="735" w:leftChars="150" w:hanging="420" w:hangingChars="200"/>
      </w:pPr>
      <w:r>
        <w:rPr>
          <w:rFonts w:hint="eastAsia"/>
        </w:rPr>
        <w:t>当结构内部钢筋分布较密或存在电磁环境干扰时，宜采用</w:t>
      </w:r>
      <w:bookmarkStart w:id="79" w:name="bookmark57"/>
      <w:bookmarkEnd w:id="79"/>
      <w:r>
        <w:rPr>
          <w:rFonts w:hint="eastAsia"/>
        </w:rPr>
        <w:t>阵列超声法或冲击回波法进行检测；</w:t>
      </w:r>
    </w:p>
    <w:p w14:paraId="06C3FD84">
      <w:pPr>
        <w:pStyle w:val="248"/>
        <w:numPr>
          <w:ilvl w:val="0"/>
          <w:numId w:val="42"/>
        </w:numPr>
        <w:ind w:left="735" w:leftChars="150" w:hanging="420" w:hangingChars="200"/>
      </w:pPr>
      <w:r>
        <w:rPr>
          <w:rFonts w:hint="eastAsia"/>
        </w:rPr>
        <w:t>重要的工程或部位，宜采用2种或2种以上检测方法，当检测结果存在争议时，宜采用破损方法进行验证。</w:t>
      </w:r>
    </w:p>
    <w:p w14:paraId="2E691563">
      <w:pPr>
        <w:pStyle w:val="235"/>
        <w:spacing w:before="156" w:after="156"/>
        <w:rPr>
          <w:szCs w:val="20"/>
        </w:rPr>
      </w:pPr>
      <w:r>
        <w:rPr>
          <w:rFonts w:hint="eastAsia"/>
          <w:szCs w:val="20"/>
        </w:rPr>
        <w:t>测区布置应符合下列规定：</w:t>
      </w:r>
    </w:p>
    <w:p w14:paraId="212BB5D7">
      <w:pPr>
        <w:pStyle w:val="248"/>
        <w:numPr>
          <w:ilvl w:val="0"/>
          <w:numId w:val="43"/>
        </w:numPr>
        <w:ind w:left="735" w:leftChars="150" w:hanging="420" w:hangingChars="200"/>
      </w:pPr>
      <w:r>
        <w:rPr>
          <w:rFonts w:hint="eastAsia"/>
        </w:rPr>
        <w:t>所检构件的测区宜布置在钢筋搭接区域；</w:t>
      </w:r>
    </w:p>
    <w:p w14:paraId="6CD717E9">
      <w:pPr>
        <w:pStyle w:val="248"/>
        <w:numPr>
          <w:ilvl w:val="0"/>
          <w:numId w:val="43"/>
        </w:numPr>
        <w:ind w:left="735" w:leftChars="150" w:hanging="420" w:hangingChars="200"/>
      </w:pPr>
      <w:r>
        <w:rPr>
          <w:rFonts w:hint="eastAsia"/>
        </w:rPr>
        <w:t>每个构件应布置至少1个测区，且应包含至少1处浇筑孔道或测区面积不应小于0.8m²。</w:t>
      </w:r>
    </w:p>
    <w:p w14:paraId="3447A42C">
      <w:pPr>
        <w:numPr>
          <w:ilvl w:val="1"/>
          <w:numId w:val="32"/>
        </w:numPr>
        <w:adjustRightInd/>
        <w:spacing w:beforeLines="50" w:afterLines="50" w:line="240" w:lineRule="auto"/>
        <w:outlineLvl w:val="1"/>
        <w:rPr>
          <w:szCs w:val="20"/>
        </w:rPr>
      </w:pPr>
      <w:bookmarkStart w:id="80" w:name="_Toc19239"/>
      <w:r>
        <w:rPr>
          <w:rFonts w:hint="eastAsia" w:ascii="Calibri" w:eastAsia="黑体"/>
          <w:szCs w:val="22"/>
        </w:rPr>
        <w:t>检测设备</w:t>
      </w:r>
      <w:bookmarkEnd w:id="80"/>
    </w:p>
    <w:p w14:paraId="2D2C700B">
      <w:pPr>
        <w:pStyle w:val="235"/>
        <w:spacing w:before="156" w:after="156"/>
        <w:rPr>
          <w:szCs w:val="20"/>
        </w:rPr>
      </w:pPr>
      <w:r>
        <w:rPr>
          <w:rFonts w:hint="eastAsia"/>
          <w:szCs w:val="20"/>
        </w:rPr>
        <w:t>阵列超声法检测宜采用阵列式多探头超声设备，阵列式多探头超声设备应符合下列规定：</w:t>
      </w:r>
    </w:p>
    <w:p w14:paraId="2ABEC447">
      <w:pPr>
        <w:pStyle w:val="248"/>
        <w:numPr>
          <w:ilvl w:val="0"/>
          <w:numId w:val="44"/>
        </w:numPr>
        <w:ind w:left="735" w:leftChars="150" w:hanging="420" w:hangingChars="200"/>
      </w:pPr>
      <w:r>
        <w:rPr>
          <w:rFonts w:hint="eastAsia"/>
        </w:rPr>
        <w:t>设备由主机、阵列式排布的超声探头和分析软件等组成；</w:t>
      </w:r>
    </w:p>
    <w:p w14:paraId="629DDA8C">
      <w:pPr>
        <w:pStyle w:val="248"/>
        <w:numPr>
          <w:ilvl w:val="0"/>
          <w:numId w:val="44"/>
        </w:numPr>
        <w:ind w:left="735" w:leftChars="150" w:hanging="420" w:hangingChars="200"/>
      </w:pPr>
      <w:r>
        <w:rPr>
          <w:rFonts w:hint="eastAsia"/>
        </w:rPr>
        <w:t>仪器应具备扫描成像、波形及图像实时查看、原始数据保存和导出等功能；</w:t>
      </w:r>
    </w:p>
    <w:p w14:paraId="0687823E">
      <w:pPr>
        <w:pStyle w:val="248"/>
        <w:numPr>
          <w:ilvl w:val="0"/>
          <w:numId w:val="44"/>
        </w:numPr>
        <w:ind w:left="735" w:leftChars="150" w:hanging="420" w:hangingChars="200"/>
      </w:pPr>
      <w:r>
        <w:rPr>
          <w:rFonts w:hint="eastAsia"/>
        </w:rPr>
        <w:t>探头宜采用干耦合式换能器，探头数量不宜少于24个。</w:t>
      </w:r>
    </w:p>
    <w:p w14:paraId="0A2DADD5">
      <w:pPr>
        <w:pStyle w:val="235"/>
        <w:spacing w:before="156" w:after="156"/>
        <w:rPr>
          <w:szCs w:val="20"/>
        </w:rPr>
      </w:pPr>
      <w:r>
        <w:rPr>
          <w:rFonts w:hint="eastAsia"/>
          <w:szCs w:val="20"/>
        </w:rPr>
        <w:t>冲击回波法检测宜采用单点式或扫描式冲击回波仪，冲击回波仪应符合下列规定：</w:t>
      </w:r>
    </w:p>
    <w:p w14:paraId="65C5E4AC">
      <w:pPr>
        <w:pStyle w:val="248"/>
        <w:numPr>
          <w:ilvl w:val="0"/>
          <w:numId w:val="45"/>
        </w:numPr>
        <w:ind w:left="735" w:leftChars="150" w:hanging="420" w:hangingChars="200"/>
      </w:pPr>
      <w:r>
        <w:rPr>
          <w:rFonts w:hint="eastAsia"/>
        </w:rPr>
        <w:t>应配置钢球型冲击器或电磁激振的圆柱型冲击器；</w:t>
      </w:r>
    </w:p>
    <w:p w14:paraId="152272A5">
      <w:pPr>
        <w:pStyle w:val="248"/>
        <w:numPr>
          <w:ilvl w:val="0"/>
          <w:numId w:val="45"/>
        </w:numPr>
        <w:ind w:left="735" w:leftChars="150" w:hanging="420" w:hangingChars="200"/>
      </w:pPr>
      <w:r>
        <w:rPr>
          <w:rFonts w:hint="eastAsia"/>
        </w:rPr>
        <w:t>应配置测量表面振动的宽频带接收传感器，宜为位移传感器或加速度传感器，带宽宜为800Hz</w:t>
      </w:r>
      <w:r>
        <w:rPr>
          <w:rFonts w:hint="eastAsia" w:ascii="Times New Roman" w:hAnsi="Times New Roman"/>
        </w:rPr>
        <w:t>~</w:t>
      </w:r>
      <w:r>
        <w:rPr>
          <w:rFonts w:hint="eastAsia"/>
        </w:rPr>
        <w:t>100kHz；</w:t>
      </w:r>
    </w:p>
    <w:p w14:paraId="2D8BD83B">
      <w:pPr>
        <w:pStyle w:val="248"/>
        <w:numPr>
          <w:ilvl w:val="0"/>
          <w:numId w:val="45"/>
        </w:numPr>
        <w:ind w:left="735" w:leftChars="150" w:hanging="420" w:hangingChars="200"/>
      </w:pPr>
      <w:r>
        <w:rPr>
          <w:rFonts w:hint="eastAsia"/>
        </w:rPr>
        <w:t>数据采集仪宜具备信号放大功能，且增益可调；</w:t>
      </w:r>
    </w:p>
    <w:p w14:paraId="580133CE">
      <w:pPr>
        <w:pStyle w:val="248"/>
        <w:numPr>
          <w:ilvl w:val="0"/>
          <w:numId w:val="45"/>
        </w:numPr>
        <w:ind w:left="735" w:leftChars="150" w:hanging="420" w:hangingChars="200"/>
      </w:pPr>
      <w:r>
        <w:rPr>
          <w:rFonts w:hint="eastAsia"/>
        </w:rPr>
        <w:t>数据采集仪宜配有不少于2通道的模/数转换器，转换精度不应低于16位，采样频率不应低于100kHz且采样点数可调；</w:t>
      </w:r>
    </w:p>
    <w:p w14:paraId="01A5B517">
      <w:pPr>
        <w:pStyle w:val="248"/>
        <w:numPr>
          <w:ilvl w:val="0"/>
          <w:numId w:val="45"/>
        </w:numPr>
        <w:ind w:left="735" w:leftChars="150" w:hanging="420" w:hangingChars="200"/>
      </w:pPr>
      <w:r>
        <w:rPr>
          <w:rFonts w:hint="eastAsia"/>
        </w:rPr>
        <w:t>仪器应能实时显示冲击时传感器的输出时域信号，并应具有频率幅值谱分析功能；</w:t>
      </w:r>
    </w:p>
    <w:p w14:paraId="2098F455">
      <w:pPr>
        <w:pStyle w:val="248"/>
        <w:numPr>
          <w:ilvl w:val="0"/>
          <w:numId w:val="45"/>
        </w:numPr>
        <w:ind w:left="735" w:leftChars="150" w:hanging="420" w:hangingChars="200"/>
      </w:pPr>
      <w:r>
        <w:rPr>
          <w:rFonts w:hint="eastAsia"/>
        </w:rPr>
        <w:t>冲击回波仪工作环境温度宜为0℃</w:t>
      </w:r>
      <w:r>
        <w:rPr>
          <w:rFonts w:hint="default" w:ascii="Times New Roman" w:hAnsi="Times New Roman" w:cs="Times New Roman"/>
        </w:rPr>
        <w:t>~</w:t>
      </w:r>
      <w:r>
        <w:rPr>
          <w:rFonts w:hint="eastAsia"/>
        </w:rPr>
        <w:t>40℃,不宜在机械振动和高振幅电噪声干扰环境下使用；</w:t>
      </w:r>
    </w:p>
    <w:p w14:paraId="3F803E45">
      <w:pPr>
        <w:pStyle w:val="248"/>
        <w:numPr>
          <w:ilvl w:val="0"/>
          <w:numId w:val="45"/>
        </w:numPr>
        <w:ind w:left="735" w:leftChars="150" w:hanging="420" w:hangingChars="200"/>
      </w:pPr>
      <w:r>
        <w:rPr>
          <w:rFonts w:hint="eastAsia"/>
        </w:rPr>
        <w:t>冲击回波仪应定期进行校准，周期不宜超过1年。</w:t>
      </w:r>
    </w:p>
    <w:p w14:paraId="53ACAE04">
      <w:pPr>
        <w:pStyle w:val="235"/>
        <w:spacing w:before="156" w:after="156"/>
        <w:rPr>
          <w:szCs w:val="20"/>
        </w:rPr>
      </w:pPr>
      <w:r>
        <w:rPr>
          <w:rFonts w:hint="eastAsia"/>
        </w:rPr>
        <w:t>雷达法</w:t>
      </w:r>
      <w:r>
        <w:rPr>
          <w:rFonts w:hint="eastAsia"/>
          <w:szCs w:val="20"/>
        </w:rPr>
        <w:t>检测宜采用雷达检测系统，雷达检测系统应符合下列规定：</w:t>
      </w:r>
    </w:p>
    <w:p w14:paraId="68D96704">
      <w:pPr>
        <w:pStyle w:val="248"/>
        <w:numPr>
          <w:ilvl w:val="0"/>
          <w:numId w:val="46"/>
        </w:numPr>
        <w:ind w:left="735" w:leftChars="150" w:hanging="420" w:hangingChars="200"/>
      </w:pPr>
      <w:r>
        <w:rPr>
          <w:rFonts w:hint="eastAsia"/>
        </w:rPr>
        <w:t>雷达检测系统应具有图像表示的功能，宜具有快速形成图像的功能</w:t>
      </w:r>
      <w:r>
        <w:rPr>
          <w:rFonts w:hint="eastAsia"/>
          <w:lang w:eastAsia="zh-CN"/>
        </w:rPr>
        <w:t>；</w:t>
      </w:r>
    </w:p>
    <w:p w14:paraId="708CF876">
      <w:pPr>
        <w:pStyle w:val="248"/>
        <w:numPr>
          <w:ilvl w:val="0"/>
          <w:numId w:val="46"/>
        </w:numPr>
        <w:ind w:left="735" w:leftChars="150" w:hanging="420" w:hangingChars="200"/>
      </w:pPr>
      <w:r>
        <w:rPr>
          <w:rFonts w:hint="eastAsia"/>
        </w:rPr>
        <w:t>雷达检测系统应提供天线布置形式和天线极化方向及辐射角度等参数；</w:t>
      </w:r>
    </w:p>
    <w:p w14:paraId="557C770E">
      <w:pPr>
        <w:pStyle w:val="248"/>
        <w:numPr>
          <w:ilvl w:val="0"/>
          <w:numId w:val="46"/>
        </w:numPr>
        <w:ind w:left="735" w:leftChars="150" w:hanging="420" w:hangingChars="200"/>
      </w:pPr>
      <w:r>
        <w:rPr>
          <w:rFonts w:hint="eastAsia"/>
        </w:rPr>
        <w:t>由雷达天线、雷达主机等组成的雷达检测系统，其性能应满足下列规定：</w:t>
      </w:r>
    </w:p>
    <w:p w14:paraId="66BE72B3">
      <w:pPr>
        <w:pStyle w:val="248"/>
        <w:ind w:left="735" w:leftChars="150" w:hanging="420" w:hangingChars="200"/>
      </w:pPr>
      <w:r>
        <w:rPr>
          <w:rFonts w:hint="eastAsia"/>
        </w:rPr>
        <w:t>　　·信噪比宜大于110；</w:t>
      </w:r>
    </w:p>
    <w:p w14:paraId="402A1B71">
      <w:pPr>
        <w:pStyle w:val="248"/>
        <w:ind w:left="735" w:leftChars="150" w:hanging="420" w:hangingChars="200"/>
      </w:pPr>
      <w:r>
        <w:rPr>
          <w:rFonts w:hint="eastAsia"/>
        </w:rPr>
        <w:t>　　·信号稳定性变化宜小于1%；</w:t>
      </w:r>
    </w:p>
    <w:p w14:paraId="2542610F">
      <w:pPr>
        <w:pStyle w:val="248"/>
        <w:ind w:left="735" w:leftChars="150" w:hanging="420" w:hangingChars="200"/>
      </w:pPr>
      <w:r>
        <w:rPr>
          <w:rFonts w:hint="eastAsia"/>
        </w:rPr>
        <w:t>　　·系统时间校准因素的变化宜小于2%；</w:t>
      </w:r>
    </w:p>
    <w:p w14:paraId="1119A8AB">
      <w:pPr>
        <w:pStyle w:val="248"/>
        <w:ind w:left="735" w:leftChars="150" w:hanging="420" w:hangingChars="200"/>
      </w:pPr>
      <w:r>
        <w:rPr>
          <w:rFonts w:hint="eastAsia"/>
        </w:rPr>
        <w:t>　　·长期稳定性变化宜小于3%；</w:t>
      </w:r>
    </w:p>
    <w:p w14:paraId="12D5E85D">
      <w:pPr>
        <w:pStyle w:val="248"/>
        <w:ind w:left="735" w:leftChars="150" w:hanging="420" w:hangingChars="200"/>
      </w:pPr>
      <w:r>
        <w:rPr>
          <w:rFonts w:hint="eastAsia"/>
        </w:rPr>
        <w:t>　　·测距误差宜小于0.3%；</w:t>
      </w:r>
    </w:p>
    <w:p w14:paraId="10E63C2A">
      <w:pPr>
        <w:pStyle w:val="248"/>
        <w:ind w:left="735" w:leftChars="150" w:hanging="420" w:hangingChars="200"/>
      </w:pPr>
      <w:r>
        <w:rPr>
          <w:rFonts w:hint="eastAsia"/>
        </w:rPr>
        <w:t>　　·时基精度值宜小于0.02%；</w:t>
      </w:r>
    </w:p>
    <w:p w14:paraId="45B0883C">
      <w:pPr>
        <w:pStyle w:val="248"/>
        <w:ind w:left="735" w:leftChars="150" w:hanging="420" w:hangingChars="200"/>
      </w:pPr>
      <w:r>
        <w:rPr>
          <w:rFonts w:hint="eastAsia"/>
        </w:rPr>
        <w:t>　　·系统动态范围宜大于120dB；</w:t>
      </w:r>
    </w:p>
    <w:p w14:paraId="13B20CDA">
      <w:pPr>
        <w:pStyle w:val="248"/>
        <w:ind w:left="735" w:leftChars="150" w:hanging="420" w:hangingChars="200"/>
      </w:pPr>
      <w:r>
        <w:rPr>
          <w:rFonts w:hint="eastAsia"/>
        </w:rPr>
        <w:t>　　·主机分辨率不宜大于5ps；</w:t>
      </w:r>
    </w:p>
    <w:p w14:paraId="1BE977E4">
      <w:pPr>
        <w:pStyle w:val="248"/>
        <w:ind w:left="735" w:leftChars="150" w:hanging="420" w:hangingChars="200"/>
      </w:pPr>
      <w:r>
        <w:rPr>
          <w:rFonts w:hint="eastAsia"/>
        </w:rPr>
        <w:t>　　·主机最大扫描速度不宜小于每秒100扫；</w:t>
      </w:r>
    </w:p>
    <w:p w14:paraId="7CD79B25">
      <w:pPr>
        <w:pStyle w:val="248"/>
        <w:ind w:left="735" w:leftChars="150" w:hanging="420" w:hangingChars="200"/>
      </w:pPr>
      <w:r>
        <w:rPr>
          <w:rFonts w:hint="eastAsia"/>
        </w:rPr>
        <w:t>　　·主机脉冲重复频率不宜小于100kHz；</w:t>
      </w:r>
    </w:p>
    <w:p w14:paraId="7F2ECCAE">
      <w:pPr>
        <w:pStyle w:val="248"/>
        <w:ind w:left="735" w:leftChars="150" w:hanging="420" w:hangingChars="200"/>
      </w:pPr>
      <w:r>
        <w:rPr>
          <w:rFonts w:hint="eastAsia"/>
        </w:rPr>
        <w:t>　　·系统A/D转换的动态位数不应低于16位；</w:t>
      </w:r>
    </w:p>
    <w:p w14:paraId="5C1BFD33">
      <w:pPr>
        <w:pStyle w:val="248"/>
        <w:ind w:left="735" w:leftChars="150" w:hanging="420" w:hangingChars="200"/>
      </w:pPr>
      <w:r>
        <w:rPr>
          <w:rFonts w:hint="eastAsia"/>
        </w:rPr>
        <w:t>　　·雷达设备外壳防护等级不应低于IP54。</w:t>
      </w:r>
    </w:p>
    <w:p w14:paraId="6CE9EDCD">
      <w:pPr>
        <w:numPr>
          <w:ilvl w:val="1"/>
          <w:numId w:val="32"/>
        </w:numPr>
        <w:adjustRightInd/>
        <w:spacing w:beforeLines="50" w:afterLines="50" w:line="240" w:lineRule="auto"/>
        <w:outlineLvl w:val="1"/>
      </w:pPr>
      <w:bookmarkStart w:id="81" w:name="_Toc19897"/>
      <w:r>
        <w:rPr>
          <w:rFonts w:hint="eastAsia" w:ascii="Calibri" w:eastAsia="黑体"/>
          <w:szCs w:val="22"/>
        </w:rPr>
        <w:t>测点布置</w:t>
      </w:r>
      <w:bookmarkEnd w:id="81"/>
    </w:p>
    <w:p w14:paraId="1C5B5901">
      <w:pPr>
        <w:pStyle w:val="235"/>
        <w:spacing w:before="156" w:after="156"/>
        <w:rPr>
          <w:szCs w:val="20"/>
        </w:rPr>
      </w:pPr>
      <w:r>
        <w:rPr>
          <w:rFonts w:hint="eastAsia"/>
          <w:szCs w:val="20"/>
        </w:rPr>
        <w:t>阵列超声法检测时测区、测线及测点布置应符合下列规定：</w:t>
      </w:r>
    </w:p>
    <w:p w14:paraId="421646CA">
      <w:pPr>
        <w:pStyle w:val="248"/>
        <w:numPr>
          <w:ilvl w:val="0"/>
          <w:numId w:val="47"/>
        </w:numPr>
        <w:ind w:left="735" w:leftChars="150" w:hanging="420" w:hangingChars="200"/>
      </w:pPr>
      <w:r>
        <w:rPr>
          <w:rFonts w:hint="eastAsia"/>
        </w:rPr>
        <w:t>待测混凝土表面不应有抹灰、饰面等装饰层，并应避开存在蜂窝、麻面、裂缝等外观缺陷的区域，当表面不平整时宜进行磨平处理；</w:t>
      </w:r>
    </w:p>
    <w:p w14:paraId="4228B164">
      <w:pPr>
        <w:pStyle w:val="248"/>
        <w:numPr>
          <w:ilvl w:val="0"/>
          <w:numId w:val="47"/>
        </w:numPr>
        <w:ind w:left="735" w:leftChars="150" w:hanging="420" w:hangingChars="200"/>
      </w:pPr>
      <w:r>
        <w:rPr>
          <w:rFonts w:hint="eastAsia"/>
        </w:rPr>
        <w:t>测区的布置和大小应覆盖怀疑存在缺陷的全部范围，测区与被测构件边缘的距离、测试深度应满足仪器设备的使用要求；</w:t>
      </w:r>
    </w:p>
    <w:p w14:paraId="30B2DA9A">
      <w:pPr>
        <w:pStyle w:val="248"/>
        <w:numPr>
          <w:ilvl w:val="0"/>
          <w:numId w:val="47"/>
        </w:numPr>
        <w:ind w:left="735" w:leftChars="150" w:hanging="420" w:hangingChars="200"/>
      </w:pPr>
      <w:r>
        <w:rPr>
          <w:rFonts w:hint="eastAsia"/>
        </w:rPr>
        <w:t>测线宜沿测区的长度方向布置，测点宜在测线上均匀连续布置，测线间距不宜大于探头区宽度与探头行距之差，测点间距不宜大于探头区长度与探头列距之差；</w:t>
      </w:r>
    </w:p>
    <w:p w14:paraId="3951793F">
      <w:pPr>
        <w:pStyle w:val="248"/>
        <w:numPr>
          <w:ilvl w:val="0"/>
          <w:numId w:val="47"/>
        </w:numPr>
        <w:ind w:left="735" w:leftChars="150" w:hanging="420" w:hangingChars="200"/>
      </w:pPr>
      <w:r>
        <w:rPr>
          <w:rFonts w:hint="eastAsia"/>
        </w:rPr>
        <w:t>应对测区、测线和测点进行编号，并应记录所在位置。</w:t>
      </w:r>
    </w:p>
    <w:p w14:paraId="030EE491">
      <w:pPr>
        <w:pStyle w:val="235"/>
        <w:spacing w:before="156" w:after="156"/>
      </w:pPr>
      <w:r>
        <w:rPr>
          <w:rFonts w:hint="eastAsia"/>
        </w:rPr>
        <w:t>冲击回波法</w:t>
      </w:r>
      <w:r>
        <w:rPr>
          <w:rFonts w:hint="eastAsia"/>
          <w:szCs w:val="20"/>
        </w:rPr>
        <w:t>检测时测区、测线及测点布置应符合下列规定：</w:t>
      </w:r>
    </w:p>
    <w:p w14:paraId="09DE516B">
      <w:pPr>
        <w:pStyle w:val="248"/>
        <w:numPr>
          <w:ilvl w:val="0"/>
          <w:numId w:val="48"/>
        </w:numPr>
        <w:ind w:left="735" w:leftChars="150" w:hanging="420" w:hangingChars="200"/>
      </w:pPr>
      <w:r>
        <w:rPr>
          <w:rFonts w:hint="eastAsia"/>
        </w:rPr>
        <w:t>受检构件测区外缘距构件的变截面或侧表面的最小距离，应大于沿冲击方向的构件厚度；</w:t>
      </w:r>
    </w:p>
    <w:p w14:paraId="571B2BC2">
      <w:pPr>
        <w:pStyle w:val="248"/>
        <w:numPr>
          <w:ilvl w:val="0"/>
          <w:numId w:val="48"/>
        </w:numPr>
        <w:ind w:left="735" w:leftChars="150" w:hanging="420" w:hangingChars="200"/>
      </w:pPr>
      <w:r>
        <w:rPr>
          <w:rFonts w:hint="eastAsia"/>
        </w:rPr>
        <w:t>测区范围应大于预估缺陷的区域，并应有进行对比的同条件正常混凝土部位，测区应标明各自的编号和位置。</w:t>
      </w:r>
    </w:p>
    <w:p w14:paraId="1F5D0A13">
      <w:pPr>
        <w:pStyle w:val="235"/>
        <w:spacing w:before="156" w:after="156"/>
      </w:pPr>
      <w:r>
        <w:rPr>
          <w:rFonts w:hint="eastAsia"/>
        </w:rPr>
        <w:t>雷达法</w:t>
      </w:r>
      <w:r>
        <w:rPr>
          <w:rFonts w:hint="eastAsia"/>
          <w:szCs w:val="20"/>
        </w:rPr>
        <w:t>检测</w:t>
      </w:r>
      <w:r>
        <w:rPr>
          <w:rFonts w:hint="eastAsia"/>
        </w:rPr>
        <w:t>缺陷检测时，被检测区域应同时满足以下条件：</w:t>
      </w:r>
    </w:p>
    <w:p w14:paraId="56E9DE00">
      <w:pPr>
        <w:pStyle w:val="248"/>
        <w:numPr>
          <w:ilvl w:val="0"/>
          <w:numId w:val="49"/>
        </w:numPr>
        <w:ind w:left="735" w:leftChars="150" w:hanging="420" w:hangingChars="200"/>
      </w:pPr>
      <w:r>
        <w:rPr>
          <w:rFonts w:hint="eastAsia"/>
        </w:rPr>
        <w:t>被检测区域至少有一个相对平整的检测面；</w:t>
      </w:r>
    </w:p>
    <w:p w14:paraId="03DD78C7">
      <w:pPr>
        <w:pStyle w:val="248"/>
        <w:numPr>
          <w:ilvl w:val="0"/>
          <w:numId w:val="49"/>
        </w:numPr>
        <w:ind w:left="735" w:leftChars="150" w:hanging="420" w:hangingChars="200"/>
      </w:pPr>
      <w:r>
        <w:rPr>
          <w:rFonts w:hint="eastAsia"/>
        </w:rPr>
        <w:t>缺陷检测时，布置的测线范围宜覆盖缺陷怀疑区域。</w:t>
      </w:r>
    </w:p>
    <w:p w14:paraId="4EFA7A65">
      <w:pPr>
        <w:numPr>
          <w:ilvl w:val="1"/>
          <w:numId w:val="32"/>
        </w:numPr>
        <w:adjustRightInd/>
        <w:spacing w:beforeLines="50" w:afterLines="50" w:line="240" w:lineRule="auto"/>
        <w:outlineLvl w:val="1"/>
      </w:pPr>
      <w:bookmarkStart w:id="82" w:name="_Toc16533"/>
      <w:r>
        <w:rPr>
          <w:rFonts w:hint="eastAsia" w:ascii="Calibri" w:eastAsia="黑体"/>
          <w:szCs w:val="22"/>
        </w:rPr>
        <w:t>检测</w:t>
      </w:r>
      <w:bookmarkEnd w:id="82"/>
    </w:p>
    <w:p w14:paraId="3E164657">
      <w:pPr>
        <w:pStyle w:val="235"/>
        <w:spacing w:before="156" w:after="156"/>
        <w:rPr>
          <w:szCs w:val="20"/>
        </w:rPr>
      </w:pPr>
      <w:r>
        <w:rPr>
          <w:rFonts w:hint="eastAsia"/>
          <w:szCs w:val="20"/>
        </w:rPr>
        <w:t>采用阵列超声法检测混凝土内部缺陷时，应符合下列规定：</w:t>
      </w:r>
    </w:p>
    <w:p w14:paraId="14BBE807">
      <w:pPr>
        <w:pStyle w:val="248"/>
        <w:numPr>
          <w:ilvl w:val="0"/>
          <w:numId w:val="50"/>
        </w:numPr>
        <w:ind w:left="735" w:leftChars="150" w:hanging="420" w:hangingChars="200"/>
      </w:pPr>
      <w:r>
        <w:rPr>
          <w:rFonts w:hint="eastAsia"/>
        </w:rPr>
        <w:t>当检测因混凝土收缩形成的内部缺陷时，混凝土养护龄期不宜小于28d；其他情况下，混凝土养护龄期不宜小于7d；</w:t>
      </w:r>
    </w:p>
    <w:p w14:paraId="7C32376C">
      <w:pPr>
        <w:pStyle w:val="248"/>
        <w:numPr>
          <w:ilvl w:val="0"/>
          <w:numId w:val="50"/>
        </w:numPr>
        <w:ind w:left="735" w:leftChars="150" w:hanging="420" w:hangingChars="200"/>
      </w:pPr>
      <w:r>
        <w:rPr>
          <w:rFonts w:hint="eastAsia"/>
        </w:rPr>
        <w:t>不应在机械振动和高振幅电噪声干扰环境下使用；</w:t>
      </w:r>
    </w:p>
    <w:p w14:paraId="48BD67B4">
      <w:pPr>
        <w:pStyle w:val="248"/>
        <w:numPr>
          <w:ilvl w:val="0"/>
          <w:numId w:val="50"/>
        </w:numPr>
        <w:ind w:left="735" w:leftChars="150" w:hanging="420" w:hangingChars="200"/>
      </w:pPr>
      <w:r>
        <w:rPr>
          <w:rFonts w:hint="eastAsia"/>
        </w:rPr>
        <w:t>检测前应对所测试的混凝土进行波速标定，调试仪器的工作频率、增益</w:t>
      </w:r>
      <w:bookmarkStart w:id="83" w:name="bookmark63"/>
      <w:bookmarkEnd w:id="83"/>
      <w:r>
        <w:rPr>
          <w:rFonts w:hint="eastAsia"/>
        </w:rPr>
        <w:t>等参数；</w:t>
      </w:r>
    </w:p>
    <w:p w14:paraId="00A2842A">
      <w:pPr>
        <w:pStyle w:val="248"/>
        <w:numPr>
          <w:ilvl w:val="0"/>
          <w:numId w:val="50"/>
        </w:numPr>
        <w:ind w:left="735" w:leftChars="150" w:hanging="420" w:hangingChars="200"/>
      </w:pPr>
      <w:r>
        <w:rPr>
          <w:rFonts w:hint="eastAsia"/>
        </w:rPr>
        <w:t>应沿测线的单一方向对各测点进行依次测试；</w:t>
      </w:r>
    </w:p>
    <w:p w14:paraId="74320169">
      <w:pPr>
        <w:pStyle w:val="248"/>
        <w:numPr>
          <w:ilvl w:val="0"/>
          <w:numId w:val="50"/>
        </w:numPr>
        <w:ind w:left="735" w:leftChars="150" w:hanging="420" w:hangingChars="200"/>
      </w:pPr>
      <w:r>
        <w:rPr>
          <w:rFonts w:hint="eastAsia"/>
        </w:rPr>
        <w:t>检测时，应将仪器探头区中心对准测点，各探头应紧贴混凝土表面，启动仪器进行扫描，应记录测点位置并保存超声测试数据；</w:t>
      </w:r>
    </w:p>
    <w:p w14:paraId="64C91E03">
      <w:pPr>
        <w:pStyle w:val="248"/>
        <w:numPr>
          <w:ilvl w:val="0"/>
          <w:numId w:val="50"/>
        </w:numPr>
        <w:ind w:left="735" w:leftChars="150" w:hanging="420" w:hangingChars="200"/>
      </w:pPr>
      <w:r>
        <w:rPr>
          <w:rFonts w:hint="eastAsia"/>
        </w:rPr>
        <w:t>当对检测结果有怀疑时，宜进行复测或采用破损方法进行验证。</w:t>
      </w:r>
    </w:p>
    <w:p w14:paraId="3B855682">
      <w:pPr>
        <w:pStyle w:val="235"/>
        <w:spacing w:before="156" w:after="156"/>
        <w:rPr>
          <w:szCs w:val="20"/>
        </w:rPr>
      </w:pPr>
      <w:r>
        <w:rPr>
          <w:rFonts w:hint="eastAsia"/>
          <w:szCs w:val="20"/>
        </w:rPr>
        <w:t>采用单点式冲击回波仪检测时，应符合下列规定：</w:t>
      </w:r>
    </w:p>
    <w:p w14:paraId="6E0A18DD">
      <w:pPr>
        <w:pStyle w:val="248"/>
        <w:numPr>
          <w:ilvl w:val="0"/>
          <w:numId w:val="51"/>
        </w:numPr>
        <w:ind w:left="735" w:leftChars="150" w:hanging="420" w:hangingChars="200"/>
      </w:pPr>
      <w:r>
        <w:rPr>
          <w:rFonts w:hint="eastAsia"/>
        </w:rPr>
        <w:t>每个测区的测点，应按等间距网格状布置，且不应少于20个测点；</w:t>
      </w:r>
    </w:p>
    <w:p w14:paraId="540F43B5">
      <w:pPr>
        <w:pStyle w:val="248"/>
        <w:numPr>
          <w:ilvl w:val="0"/>
          <w:numId w:val="51"/>
        </w:numPr>
        <w:ind w:left="735" w:leftChars="150" w:hanging="420" w:hangingChars="200"/>
      </w:pPr>
      <w:r>
        <w:rPr>
          <w:rFonts w:hint="eastAsia"/>
        </w:rPr>
        <w:t>应标明测点的编号和位置；</w:t>
      </w:r>
    </w:p>
    <w:p w14:paraId="08FFF154">
      <w:pPr>
        <w:pStyle w:val="248"/>
        <w:numPr>
          <w:ilvl w:val="0"/>
          <w:numId w:val="51"/>
        </w:numPr>
        <w:ind w:left="735" w:leftChars="150" w:hanging="420" w:hangingChars="200"/>
      </w:pPr>
      <w:r>
        <w:rPr>
          <w:rFonts w:hint="eastAsia"/>
        </w:rPr>
        <w:t>传感器和混凝土测试表面应处于良好的耦合状态；</w:t>
      </w:r>
    </w:p>
    <w:p w14:paraId="04A44576">
      <w:pPr>
        <w:pStyle w:val="248"/>
        <w:numPr>
          <w:ilvl w:val="0"/>
          <w:numId w:val="51"/>
        </w:numPr>
        <w:ind w:left="735" w:leftChars="150" w:hanging="420" w:hangingChars="200"/>
      </w:pPr>
      <w:r>
        <w:rPr>
          <w:rFonts w:hint="eastAsia"/>
        </w:rPr>
        <w:t>冲击点位置与传感器的间距应小于设计厚度的0.4倍；</w:t>
      </w:r>
    </w:p>
    <w:p w14:paraId="46C6EA5C">
      <w:pPr>
        <w:pStyle w:val="248"/>
        <w:numPr>
          <w:ilvl w:val="0"/>
          <w:numId w:val="51"/>
        </w:numPr>
        <w:ind w:left="735" w:leftChars="150" w:hanging="420" w:hangingChars="200"/>
      </w:pPr>
      <w:r>
        <w:rPr>
          <w:rFonts w:hint="eastAsia"/>
        </w:rPr>
        <w:t>当检测面有沟槽或表面裂纹时，传感器和冲击器应位于沟槽或表面裂纹同侧。</w:t>
      </w:r>
    </w:p>
    <w:p w14:paraId="3F3A4C6E">
      <w:pPr>
        <w:pStyle w:val="235"/>
        <w:spacing w:before="156" w:after="156"/>
        <w:rPr>
          <w:szCs w:val="20"/>
        </w:rPr>
      </w:pPr>
      <w:r>
        <w:rPr>
          <w:rFonts w:hint="eastAsia"/>
          <w:szCs w:val="20"/>
        </w:rPr>
        <w:t>采用扫描式冲击回波仪检测时，应符合下列规定：</w:t>
      </w:r>
    </w:p>
    <w:p w14:paraId="4ECFFFF9">
      <w:pPr>
        <w:pStyle w:val="248"/>
        <w:numPr>
          <w:ilvl w:val="0"/>
          <w:numId w:val="52"/>
        </w:numPr>
        <w:ind w:left="735" w:leftChars="150" w:hanging="420" w:hangingChars="200"/>
      </w:pPr>
      <w:r>
        <w:rPr>
          <w:rFonts w:hint="eastAsia"/>
        </w:rPr>
        <w:t>测线的位置和测线网格的疏密应根据预估缺陷的位置和大小确定。对于预应力混凝土构件孔道灌浆缺陷，宜垂直于预应力孔道的走向进行检测；对于隧道衬砌背后注浆缺陷，宜沿隧道纵向与环向分别布置测线进行检测。测线的布置不应横跨沟槽或表面裂纹。</w:t>
      </w:r>
    </w:p>
    <w:p w14:paraId="2F4905C3">
      <w:pPr>
        <w:pStyle w:val="248"/>
        <w:numPr>
          <w:ilvl w:val="0"/>
          <w:numId w:val="52"/>
        </w:numPr>
        <w:ind w:left="735" w:leftChars="150" w:hanging="420" w:hangingChars="200"/>
      </w:pPr>
      <w:r>
        <w:rPr>
          <w:rFonts w:hint="eastAsia"/>
        </w:rPr>
        <w:t>扫描器应紧贴混凝土表面匀速滚动，移动速率不宜大于0.1m/s。</w:t>
      </w:r>
    </w:p>
    <w:p w14:paraId="16424091">
      <w:pPr>
        <w:pStyle w:val="235"/>
        <w:spacing w:before="156" w:after="156"/>
        <w:rPr>
          <w:szCs w:val="20"/>
        </w:rPr>
      </w:pPr>
      <w:r>
        <w:rPr>
          <w:rFonts w:hint="eastAsia"/>
          <w:szCs w:val="20"/>
        </w:rPr>
        <w:t>采用</w:t>
      </w:r>
      <w:r>
        <w:rPr>
          <w:rFonts w:hint="eastAsia"/>
        </w:rPr>
        <w:t>雷达法</w:t>
      </w:r>
      <w:r>
        <w:rPr>
          <w:rFonts w:hint="eastAsia"/>
          <w:szCs w:val="20"/>
        </w:rPr>
        <w:t>检测混凝土内部缺陷时，应符合下列规定：</w:t>
      </w:r>
    </w:p>
    <w:p w14:paraId="6945EF6D">
      <w:pPr>
        <w:pStyle w:val="248"/>
        <w:numPr>
          <w:ilvl w:val="0"/>
          <w:numId w:val="53"/>
        </w:numPr>
        <w:ind w:left="735" w:leftChars="150" w:hanging="420" w:hangingChars="200"/>
      </w:pPr>
      <w:r>
        <w:rPr>
          <w:rFonts w:hint="eastAsia"/>
        </w:rPr>
        <w:t>应根据被测目标物的尺寸建立测区坐标系统，确定测区对应的测线条数及间距，并应对测线依次编号；测区对应的测线布置应计入边界效应的影响；</w:t>
      </w:r>
    </w:p>
    <w:p w14:paraId="38BD3F04">
      <w:pPr>
        <w:pStyle w:val="248"/>
        <w:numPr>
          <w:ilvl w:val="0"/>
          <w:numId w:val="53"/>
        </w:numPr>
        <w:ind w:left="735" w:leftChars="150" w:hanging="420" w:hangingChars="200"/>
      </w:pPr>
      <w:r>
        <w:rPr>
          <w:rFonts w:hint="eastAsia"/>
        </w:rPr>
        <w:t>应根据检测要求，确定合适的天线频率、通道个数；应根据检测条件设置时窗、采样点数、水平间隔、增益等参数，雷达采集系统应处于正常工作状态；</w:t>
      </w:r>
    </w:p>
    <w:p w14:paraId="3AF92ACF">
      <w:pPr>
        <w:pStyle w:val="248"/>
        <w:numPr>
          <w:ilvl w:val="0"/>
          <w:numId w:val="53"/>
        </w:numPr>
        <w:ind w:left="735" w:leftChars="150" w:hanging="420" w:hangingChars="200"/>
      </w:pPr>
      <w:r>
        <w:rPr>
          <w:rFonts w:hint="eastAsia"/>
        </w:rPr>
        <w:t>采集系统正常工作后，应测试采集的数据是否可以正确存储到指定的设备，正确后进行正式测试；</w:t>
      </w:r>
    </w:p>
    <w:p w14:paraId="00859E96">
      <w:pPr>
        <w:pStyle w:val="248"/>
        <w:numPr>
          <w:ilvl w:val="0"/>
          <w:numId w:val="53"/>
        </w:numPr>
        <w:ind w:left="735" w:leftChars="150" w:hanging="420" w:hangingChars="200"/>
        <w:rPr>
          <w:rFonts w:hint="eastAsia"/>
        </w:rPr>
      </w:pPr>
      <w:r>
        <w:rPr>
          <w:rFonts w:hint="eastAsia"/>
        </w:rPr>
        <w:t>在进行混凝土结构内部缺陷检测前，应先行检测干扰钢筋的分布情况；布置测线时应计入干扰钢筋对检测的影响，测线的投影与干扰钢筋的走向不宜重合；</w:t>
      </w:r>
    </w:p>
    <w:p w14:paraId="4A8BF0A9">
      <w:pPr>
        <w:pStyle w:val="248"/>
        <w:numPr>
          <w:ilvl w:val="0"/>
          <w:numId w:val="53"/>
        </w:numPr>
        <w:ind w:left="735" w:leftChars="150" w:hanging="420" w:hangingChars="200"/>
        <w:rPr>
          <w:rFonts w:hint="eastAsia"/>
        </w:rPr>
      </w:pPr>
      <w:r>
        <w:rPr>
          <w:rFonts w:hint="eastAsia"/>
        </w:rPr>
        <w:t>数据采集过程中，天线应沿测线方向匀速移动，应同步绘制雷达测线图，记录被测目标物的名称、位置及测线编号，并应标记测线经过的物体；</w:t>
      </w:r>
    </w:p>
    <w:p w14:paraId="3E9EC3B3">
      <w:pPr>
        <w:pStyle w:val="248"/>
        <w:numPr>
          <w:ilvl w:val="0"/>
          <w:numId w:val="53"/>
        </w:numPr>
        <w:ind w:left="735" w:leftChars="150" w:hanging="420" w:hangingChars="200"/>
        <w:rPr>
          <w:rFonts w:hint="eastAsia"/>
        </w:rPr>
      </w:pPr>
      <w:r>
        <w:rPr>
          <w:rFonts w:hint="eastAsia"/>
        </w:rPr>
        <w:t>数据采集时，同类测线的数据采集方向宜一致</w:t>
      </w:r>
      <w:r>
        <w:rPr>
          <w:rFonts w:hint="eastAsia"/>
          <w:lang w:eastAsia="zh-CN"/>
        </w:rPr>
        <w:t>；</w:t>
      </w:r>
    </w:p>
    <w:p w14:paraId="342749D6">
      <w:pPr>
        <w:pStyle w:val="248"/>
        <w:numPr>
          <w:ilvl w:val="0"/>
          <w:numId w:val="53"/>
        </w:numPr>
        <w:ind w:left="735" w:leftChars="150" w:hanging="420" w:hangingChars="200"/>
        <w:rPr>
          <w:rFonts w:hint="eastAsia"/>
        </w:rPr>
      </w:pPr>
      <w:r>
        <w:rPr>
          <w:rFonts w:hint="eastAsia"/>
        </w:rPr>
        <w:t>检测过程中，对疑似缺陷区域应进行测线加密，重复检测，通过多条测线数据结合进行解释，必要时宜使用三维成像技术进行网格状扫描。</w:t>
      </w:r>
    </w:p>
    <w:p w14:paraId="7C004774">
      <w:pPr>
        <w:numPr>
          <w:ilvl w:val="1"/>
          <w:numId w:val="32"/>
        </w:numPr>
        <w:adjustRightInd/>
        <w:spacing w:beforeLines="50" w:afterLines="50" w:line="240" w:lineRule="auto"/>
        <w:outlineLvl w:val="1"/>
      </w:pPr>
      <w:bookmarkStart w:id="84" w:name="_Toc382"/>
      <w:r>
        <w:rPr>
          <w:rFonts w:hint="eastAsia" w:ascii="Calibri" w:eastAsia="黑体"/>
          <w:szCs w:val="22"/>
        </w:rPr>
        <w:t>判定</w:t>
      </w:r>
      <w:bookmarkEnd w:id="84"/>
    </w:p>
    <w:p w14:paraId="7C9DAC0E">
      <w:pPr>
        <w:pStyle w:val="235"/>
        <w:spacing w:before="156" w:after="156"/>
        <w:rPr>
          <w:szCs w:val="20"/>
        </w:rPr>
      </w:pPr>
      <w:r>
        <w:rPr>
          <w:rFonts w:hint="eastAsia"/>
          <w:szCs w:val="20"/>
        </w:rPr>
        <w:t>采用阵列超声法检测混凝土内部缺陷时，混凝土内部缺陷的判定应符合下列规定：</w:t>
      </w:r>
    </w:p>
    <w:p w14:paraId="3BA69F18">
      <w:pPr>
        <w:pStyle w:val="248"/>
        <w:numPr>
          <w:ilvl w:val="0"/>
          <w:numId w:val="54"/>
        </w:numPr>
        <w:ind w:left="735" w:leftChars="150" w:hanging="420" w:hangingChars="200"/>
      </w:pPr>
      <w:r>
        <w:rPr>
          <w:rFonts w:hint="eastAsia"/>
        </w:rPr>
        <w:t>采用单点测试时，超声图像中存在除底面反射外的其他反射信号，则判定所检测点存在疑似缺陷；</w:t>
      </w:r>
    </w:p>
    <w:p w14:paraId="24304E96">
      <w:pPr>
        <w:pStyle w:val="248"/>
        <w:numPr>
          <w:ilvl w:val="0"/>
          <w:numId w:val="54"/>
        </w:numPr>
        <w:ind w:left="735" w:leftChars="150" w:hanging="420" w:hangingChars="200"/>
      </w:pPr>
      <w:r>
        <w:rPr>
          <w:rFonts w:hint="eastAsia"/>
        </w:rPr>
        <w:t>采用网格测试时，在所合成的三维图像中存在除底面反射外的其他反射信号，则判定所检区域存在疑似缺陷；</w:t>
      </w:r>
    </w:p>
    <w:p w14:paraId="01234767">
      <w:pPr>
        <w:pStyle w:val="248"/>
        <w:numPr>
          <w:ilvl w:val="0"/>
          <w:numId w:val="54"/>
        </w:numPr>
        <w:ind w:left="735" w:leftChars="150" w:hanging="420" w:hangingChars="200"/>
      </w:pPr>
      <w:r>
        <w:rPr>
          <w:rFonts w:hint="eastAsia"/>
        </w:rPr>
        <w:t>根据设计图纸或经现场验证，存在疑似缺陷的位置未见钢筋、钢材或预埋管线时，则判定所检位置存在缺陷；</w:t>
      </w:r>
    </w:p>
    <w:p w14:paraId="03B5296F">
      <w:pPr>
        <w:pStyle w:val="248"/>
        <w:numPr>
          <w:ilvl w:val="0"/>
          <w:numId w:val="54"/>
        </w:numPr>
        <w:ind w:left="735" w:leftChars="150" w:hanging="420" w:hangingChars="200"/>
      </w:pPr>
      <w:r>
        <w:rPr>
          <w:rFonts w:hint="eastAsia"/>
        </w:rPr>
        <w:t>根据反射点位置和反射区域大小确定缺陷的位置和大小。</w:t>
      </w:r>
    </w:p>
    <w:p w14:paraId="1EDA4D7B">
      <w:pPr>
        <w:pStyle w:val="235"/>
        <w:spacing w:before="156" w:after="156"/>
        <w:rPr>
          <w:szCs w:val="20"/>
        </w:rPr>
      </w:pPr>
      <w:r>
        <w:rPr>
          <w:rFonts w:hint="eastAsia"/>
          <w:szCs w:val="20"/>
        </w:rPr>
        <w:t>采用冲击回波法检测混凝土内部缺陷时，混凝土内部缺陷的判定应满足《冲击回波法检测混凝土缺陷技术规程》JGJ/T 411的要求，并应符合下列规定：</w:t>
      </w:r>
    </w:p>
    <w:p w14:paraId="4C764DD0">
      <w:pPr>
        <w:pStyle w:val="248"/>
        <w:numPr>
          <w:ilvl w:val="0"/>
          <w:numId w:val="55"/>
        </w:numPr>
        <w:ind w:left="735" w:leftChars="150" w:hanging="420" w:hangingChars="200"/>
      </w:pPr>
      <w:r>
        <w:rPr>
          <w:rFonts w:hint="eastAsia"/>
        </w:rPr>
        <w:t>板状构件新旧混凝土和钢-混组合结构构件的结合面分层空鼓检测，宜根据时域信号分析判定</w:t>
      </w:r>
      <w:r>
        <w:rPr>
          <w:rFonts w:hint="eastAsia"/>
          <w:lang w:eastAsia="zh-CN"/>
        </w:rPr>
        <w:t>；</w:t>
      </w:r>
    </w:p>
    <w:p w14:paraId="143DA231">
      <w:pPr>
        <w:pStyle w:val="248"/>
        <w:numPr>
          <w:ilvl w:val="0"/>
          <w:numId w:val="55"/>
        </w:numPr>
        <w:ind w:left="735" w:leftChars="150" w:hanging="420" w:hangingChars="200"/>
      </w:pPr>
      <w:r>
        <w:rPr>
          <w:rFonts w:hint="eastAsia"/>
        </w:rPr>
        <w:t>混凝土结合面缺陷测试时，测试面宜平行于结合面</w:t>
      </w:r>
      <w:r>
        <w:rPr>
          <w:rFonts w:hint="eastAsia"/>
          <w:lang w:eastAsia="zh-CN"/>
        </w:rPr>
        <w:t>；</w:t>
      </w:r>
    </w:p>
    <w:p w14:paraId="7ADA43B3">
      <w:pPr>
        <w:pStyle w:val="248"/>
        <w:numPr>
          <w:ilvl w:val="0"/>
          <w:numId w:val="55"/>
        </w:numPr>
        <w:ind w:left="735" w:leftChars="150" w:hanging="420" w:hangingChars="200"/>
      </w:pPr>
      <w:r>
        <w:rPr>
          <w:rFonts w:hint="eastAsia"/>
        </w:rPr>
        <w:t>有下列情况之一，应判断结合面分层、空鼓：</w:t>
      </w:r>
    </w:p>
    <w:p w14:paraId="22259D85">
      <w:pPr>
        <w:pStyle w:val="248"/>
        <w:ind w:left="735" w:leftChars="150" w:hanging="420" w:hangingChars="200"/>
      </w:pPr>
      <w:r>
        <w:rPr>
          <w:rFonts w:hint="eastAsia"/>
        </w:rPr>
        <w:t>　　·冲击弹性波的反射时间明显长于无空鼓区域时；</w:t>
      </w:r>
    </w:p>
    <w:p w14:paraId="4A22A856">
      <w:pPr>
        <w:pStyle w:val="248"/>
        <w:ind w:left="735" w:leftChars="150" w:hanging="420" w:hangingChars="200"/>
      </w:pPr>
      <w:r>
        <w:rPr>
          <w:rFonts w:hint="eastAsia"/>
        </w:rPr>
        <w:t>　　·通过厚度-距离图、三维图、振幅谱图的综合分析得出的测试构件厚度为表层结构厚度时。</w:t>
      </w:r>
    </w:p>
    <w:p w14:paraId="5D19EECF">
      <w:pPr>
        <w:pStyle w:val="248"/>
        <w:numPr>
          <w:ilvl w:val="0"/>
          <w:numId w:val="55"/>
        </w:numPr>
        <w:ind w:left="735" w:leftChars="150" w:hanging="420" w:hangingChars="200"/>
      </w:pPr>
      <w:r>
        <w:rPr>
          <w:rFonts w:hint="eastAsia"/>
        </w:rPr>
        <w:t>凝土结合面缺陷判定，应标识典型空鼓部位，绘制空鼓分布示意图，计算空鼓区域比例。</w:t>
      </w:r>
    </w:p>
    <w:p w14:paraId="583C213C">
      <w:pPr>
        <w:pStyle w:val="235"/>
        <w:spacing w:before="156" w:after="156"/>
        <w:rPr>
          <w:szCs w:val="20"/>
        </w:rPr>
      </w:pPr>
      <w:r>
        <w:rPr>
          <w:rFonts w:hint="eastAsia"/>
          <w:szCs w:val="20"/>
        </w:rPr>
        <w:t>采用</w:t>
      </w:r>
      <w:r>
        <w:rPr>
          <w:rFonts w:hint="eastAsia"/>
        </w:rPr>
        <w:t>雷达法</w:t>
      </w:r>
      <w:r>
        <w:rPr>
          <w:rFonts w:hint="eastAsia"/>
          <w:szCs w:val="20"/>
        </w:rPr>
        <w:t>检测混凝土内部缺陷时，混凝土内部缺陷的判定应满足《雷达法检测混凝土结构技术标准》JGJ/T 456的要求，并应符合下列规定：</w:t>
      </w:r>
    </w:p>
    <w:p w14:paraId="76EEBC22">
      <w:pPr>
        <w:pStyle w:val="248"/>
        <w:numPr>
          <w:ilvl w:val="0"/>
          <w:numId w:val="56"/>
        </w:numPr>
        <w:ind w:left="735" w:hanging="420" w:firstLineChars="0"/>
      </w:pPr>
      <w:r>
        <w:rPr>
          <w:rFonts w:hint="eastAsia"/>
        </w:rPr>
        <w:t>将检测到缺陷的单张雷达图像和典型的经过验证的缺陷雷达图像进行比对分析，初步判断缺陷的性质、位置和埋深；</w:t>
      </w:r>
    </w:p>
    <w:p w14:paraId="5BB7CFE7">
      <w:pPr>
        <w:pStyle w:val="248"/>
        <w:numPr>
          <w:ilvl w:val="0"/>
          <w:numId w:val="56"/>
        </w:numPr>
        <w:ind w:left="735" w:leftChars="150" w:hanging="420" w:hangingChars="200"/>
      </w:pPr>
      <w:r>
        <w:rPr>
          <w:rFonts w:hint="eastAsia"/>
        </w:rPr>
        <w:t>通过比对分析目标物上方多条相邻测线的雷达图像判定结果；</w:t>
      </w:r>
    </w:p>
    <w:p w14:paraId="7AE9EF01">
      <w:pPr>
        <w:pStyle w:val="248"/>
        <w:numPr>
          <w:ilvl w:val="0"/>
          <w:numId w:val="56"/>
        </w:numPr>
        <w:ind w:left="735" w:leftChars="150" w:hanging="420" w:hangingChars="200"/>
      </w:pPr>
      <w:r>
        <w:rPr>
          <w:rFonts w:hint="eastAsia"/>
        </w:rPr>
        <w:t>必要时选取部分待判定的缺陷部位采取钻芯方法进行验证；</w:t>
      </w:r>
    </w:p>
    <w:p w14:paraId="54C8C3C9">
      <w:pPr>
        <w:pStyle w:val="248"/>
        <w:numPr>
          <w:ilvl w:val="0"/>
          <w:numId w:val="56"/>
        </w:numPr>
        <w:ind w:left="735" w:leftChars="150" w:hanging="420" w:hangingChars="200"/>
      </w:pPr>
      <w:r>
        <w:rPr>
          <w:rFonts w:hint="eastAsia"/>
        </w:rPr>
        <w:t>对单张雷达图中钢筋和缺陷，应利用单道波形图与雷达剖面图相结合的方法进行识别</w:t>
      </w:r>
      <w:r>
        <w:rPr>
          <w:rFonts w:hint="eastAsia"/>
          <w:lang w:eastAsia="zh-CN"/>
        </w:rPr>
        <w:t>；</w:t>
      </w:r>
    </w:p>
    <w:p w14:paraId="4BD73664">
      <w:pPr>
        <w:pStyle w:val="248"/>
        <w:numPr>
          <w:ilvl w:val="0"/>
          <w:numId w:val="56"/>
        </w:numPr>
        <w:ind w:left="735" w:leftChars="150" w:hanging="420" w:hangingChars="200"/>
      </w:pPr>
      <w:r>
        <w:rPr>
          <w:rFonts w:hint="eastAsia"/>
        </w:rPr>
        <w:t>应根据缺陷的位置、分布，并参照雷达测线图，绘制检测区域总平面图、检测区域缺陷平面图；有实际需要时，应在图上详细标注缺陷空间位置参数。</w:t>
      </w:r>
    </w:p>
    <w:p w14:paraId="18871211">
      <w:pPr>
        <w:numPr>
          <w:ilvl w:val="0"/>
          <w:numId w:val="32"/>
        </w:numPr>
        <w:adjustRightInd/>
        <w:spacing w:beforeLines="100" w:afterLines="100" w:line="240" w:lineRule="auto"/>
        <w:ind w:left="0"/>
        <w:outlineLvl w:val="0"/>
        <w:rPr>
          <w:rFonts w:ascii="Calibri" w:eastAsia="黑体"/>
          <w:szCs w:val="22"/>
        </w:rPr>
      </w:pPr>
      <w:bookmarkStart w:id="85" w:name="bookmark20"/>
      <w:bookmarkEnd w:id="85"/>
      <w:bookmarkStart w:id="86" w:name="_Toc5814"/>
      <w:r>
        <w:rPr>
          <w:rFonts w:hint="eastAsia" w:ascii="Calibri" w:eastAsia="黑体"/>
          <w:szCs w:val="22"/>
        </w:rPr>
        <w:t>竖向构件底部接缝内部缺陷</w:t>
      </w:r>
      <w:bookmarkEnd w:id="86"/>
    </w:p>
    <w:p w14:paraId="45A95756">
      <w:pPr>
        <w:numPr>
          <w:ilvl w:val="1"/>
          <w:numId w:val="32"/>
        </w:numPr>
        <w:adjustRightInd/>
        <w:spacing w:beforeLines="50" w:afterLines="50" w:line="240" w:lineRule="auto"/>
        <w:outlineLvl w:val="1"/>
        <w:rPr>
          <w:szCs w:val="20"/>
        </w:rPr>
      </w:pPr>
      <w:bookmarkStart w:id="87" w:name="_Toc8672"/>
      <w:r>
        <w:rPr>
          <w:rFonts w:hint="eastAsia" w:ascii="Calibri" w:eastAsia="黑体"/>
          <w:szCs w:val="22"/>
        </w:rPr>
        <w:t>一般</w:t>
      </w:r>
      <w:r>
        <w:rPr>
          <w:rFonts w:hint="eastAsia" w:ascii="Calibri" w:eastAsia="黑体"/>
          <w:szCs w:val="22"/>
          <w:lang w:val="en-US" w:eastAsia="zh-CN"/>
        </w:rPr>
        <w:t>规定</w:t>
      </w:r>
      <w:bookmarkEnd w:id="87"/>
    </w:p>
    <w:p w14:paraId="141E1AB7">
      <w:pPr>
        <w:pStyle w:val="235"/>
        <w:spacing w:before="156" w:after="156"/>
        <w:rPr>
          <w:szCs w:val="20"/>
        </w:rPr>
      </w:pPr>
      <w:r>
        <w:rPr>
          <w:rFonts w:hint="eastAsia"/>
          <w:szCs w:val="20"/>
        </w:rPr>
        <w:t>当钢筋套筒灌浆连接的灌浆严重不饱满时，应对竖向构件底部接缝内部缺陷进行检测。</w:t>
      </w:r>
    </w:p>
    <w:p w14:paraId="006480F0">
      <w:pPr>
        <w:pStyle w:val="235"/>
        <w:spacing w:before="156" w:after="156"/>
        <w:rPr>
          <w:szCs w:val="20"/>
        </w:rPr>
      </w:pPr>
      <w:r>
        <w:rPr>
          <w:rFonts w:hint="eastAsia"/>
          <w:szCs w:val="20"/>
        </w:rPr>
        <w:t>竖向构件底部接缝内部缺陷应采用超声法检测，宜采用微破损方法进行验证。</w:t>
      </w:r>
    </w:p>
    <w:p w14:paraId="0A182FE9">
      <w:pPr>
        <w:numPr>
          <w:ilvl w:val="1"/>
          <w:numId w:val="32"/>
        </w:numPr>
        <w:adjustRightInd/>
        <w:spacing w:beforeLines="50" w:afterLines="50" w:line="240" w:lineRule="auto"/>
        <w:outlineLvl w:val="1"/>
        <w:rPr>
          <w:szCs w:val="20"/>
        </w:rPr>
      </w:pPr>
      <w:bookmarkStart w:id="88" w:name="_Toc26590"/>
      <w:r>
        <w:rPr>
          <w:rFonts w:hint="eastAsia" w:ascii="Calibri" w:eastAsia="黑体"/>
          <w:szCs w:val="22"/>
        </w:rPr>
        <w:t>检测设备</w:t>
      </w:r>
      <w:bookmarkEnd w:id="88"/>
    </w:p>
    <w:p w14:paraId="16EE23CB">
      <w:pPr>
        <w:pStyle w:val="235"/>
        <w:spacing w:before="156" w:after="156"/>
        <w:rPr>
          <w:szCs w:val="20"/>
        </w:rPr>
      </w:pPr>
      <w:r>
        <w:rPr>
          <w:rFonts w:hint="eastAsia"/>
          <w:szCs w:val="20"/>
        </w:rPr>
        <w:t>用于混凝土的超声波检测仪分为下列两类：</w:t>
      </w:r>
    </w:p>
    <w:p w14:paraId="65317128">
      <w:pPr>
        <w:pStyle w:val="248"/>
        <w:numPr>
          <w:ilvl w:val="0"/>
          <w:numId w:val="57"/>
        </w:numPr>
        <w:ind w:left="735" w:leftChars="150" w:hanging="420" w:hangingChars="200"/>
      </w:pPr>
      <w:r>
        <w:rPr>
          <w:rFonts w:hint="eastAsia"/>
        </w:rPr>
        <w:t>模拟式：接收信号为连续模拟量，宜由时域波形信号测读声学参数；</w:t>
      </w:r>
    </w:p>
    <w:p w14:paraId="4537BF3C">
      <w:pPr>
        <w:pStyle w:val="248"/>
        <w:numPr>
          <w:ilvl w:val="0"/>
          <w:numId w:val="57"/>
        </w:numPr>
        <w:ind w:left="735" w:leftChars="150" w:hanging="420" w:hangingChars="200"/>
      </w:pPr>
      <w:r>
        <w:rPr>
          <w:rFonts w:hint="eastAsia"/>
        </w:rPr>
        <w:t>数字式：接收信号转化为离散数字量，具有采集、储存数字信号、测读声学参数和对数字信号处理的智能化功能。</w:t>
      </w:r>
    </w:p>
    <w:p w14:paraId="5B654F08">
      <w:pPr>
        <w:pStyle w:val="235"/>
        <w:spacing w:before="156" w:after="156"/>
        <w:rPr>
          <w:szCs w:val="20"/>
        </w:rPr>
      </w:pPr>
      <w:r>
        <w:rPr>
          <w:rFonts w:hint="eastAsia"/>
          <w:szCs w:val="20"/>
        </w:rPr>
        <w:t>超声波检测仪应满足下列要求：</w:t>
      </w:r>
    </w:p>
    <w:p w14:paraId="57B5C00F">
      <w:pPr>
        <w:pStyle w:val="248"/>
        <w:numPr>
          <w:ilvl w:val="0"/>
          <w:numId w:val="58"/>
        </w:numPr>
        <w:ind w:left="735" w:leftChars="150" w:hanging="420" w:hangingChars="200"/>
      </w:pPr>
      <w:r>
        <w:rPr>
          <w:rFonts w:hint="eastAsia"/>
        </w:rPr>
        <w:t>具有波形清晰、显示稳定的示波装置；</w:t>
      </w:r>
    </w:p>
    <w:p w14:paraId="6216C728">
      <w:pPr>
        <w:pStyle w:val="248"/>
        <w:numPr>
          <w:ilvl w:val="0"/>
          <w:numId w:val="58"/>
        </w:numPr>
        <w:ind w:left="735" w:leftChars="150" w:hanging="420" w:hangingChars="200"/>
      </w:pPr>
      <w:r>
        <w:rPr>
          <w:rFonts w:hint="eastAsia"/>
        </w:rPr>
        <w:t>声时最小分度为0.1μs；</w:t>
      </w:r>
    </w:p>
    <w:p w14:paraId="28275F15">
      <w:pPr>
        <w:pStyle w:val="248"/>
        <w:numPr>
          <w:ilvl w:val="0"/>
          <w:numId w:val="58"/>
        </w:numPr>
        <w:ind w:left="735" w:leftChars="150" w:hanging="420" w:hangingChars="200"/>
      </w:pPr>
      <w:r>
        <w:rPr>
          <w:rFonts w:hint="eastAsia"/>
        </w:rPr>
        <w:t>具有最小分度为1dB的衰减系统；</w:t>
      </w:r>
    </w:p>
    <w:p w14:paraId="0A81B921">
      <w:pPr>
        <w:pStyle w:val="248"/>
        <w:numPr>
          <w:ilvl w:val="0"/>
          <w:numId w:val="58"/>
        </w:numPr>
        <w:ind w:left="735" w:leftChars="150" w:hanging="420" w:hangingChars="200"/>
      </w:pPr>
      <w:r>
        <w:rPr>
          <w:rFonts w:hint="eastAsia"/>
        </w:rPr>
        <w:t>接收放大器频响范围10</w:t>
      </w:r>
      <w:r>
        <w:rPr>
          <w:rFonts w:ascii="Times New Roman" w:hAnsi="Times New Roman"/>
        </w:rPr>
        <w:t>~</w:t>
      </w:r>
      <w:r>
        <w:rPr>
          <w:rFonts w:hint="eastAsia"/>
        </w:rPr>
        <w:t>500kHz，总增益不小于80dB，接收灵敏度（在信噪比为3:1时）不大于50μV；</w:t>
      </w:r>
    </w:p>
    <w:p w14:paraId="5A48B49F">
      <w:pPr>
        <w:pStyle w:val="248"/>
        <w:numPr>
          <w:ilvl w:val="0"/>
          <w:numId w:val="58"/>
        </w:numPr>
        <w:ind w:left="735" w:leftChars="150" w:hanging="420" w:hangingChars="200"/>
      </w:pPr>
      <w:r>
        <w:rPr>
          <w:rFonts w:hint="eastAsia"/>
        </w:rPr>
        <w:t>电源电压波动范围在标称值</w:t>
      </w:r>
      <w:r>
        <w:rPr>
          <w:rFonts w:hint="eastAsia"/>
          <w:lang w:val="en-US" w:eastAsia="zh-CN"/>
        </w:rPr>
        <w:t>±</w:t>
      </w:r>
      <w:r>
        <w:rPr>
          <w:rFonts w:hint="eastAsia"/>
        </w:rPr>
        <w:t>10％的情况下能正常工作；</w:t>
      </w:r>
    </w:p>
    <w:p w14:paraId="2A1BCB34">
      <w:pPr>
        <w:pStyle w:val="248"/>
        <w:numPr>
          <w:ilvl w:val="0"/>
          <w:numId w:val="58"/>
        </w:numPr>
        <w:ind w:left="735" w:leftChars="150" w:hanging="420" w:hangingChars="200"/>
      </w:pPr>
      <w:r>
        <w:rPr>
          <w:rFonts w:hint="eastAsia"/>
        </w:rPr>
        <w:t>连续正常工作时间不少于4h。</w:t>
      </w:r>
    </w:p>
    <w:p w14:paraId="4BA668C0">
      <w:pPr>
        <w:pStyle w:val="235"/>
        <w:spacing w:before="156" w:after="156"/>
        <w:rPr>
          <w:szCs w:val="20"/>
        </w:rPr>
      </w:pPr>
      <w:r>
        <w:rPr>
          <w:rFonts w:hint="eastAsia"/>
          <w:szCs w:val="20"/>
        </w:rPr>
        <w:t>对于模拟式超声波检测仪还应满足下列要求：</w:t>
      </w:r>
    </w:p>
    <w:p w14:paraId="43E70CA3">
      <w:pPr>
        <w:pStyle w:val="248"/>
        <w:numPr>
          <w:ilvl w:val="0"/>
          <w:numId w:val="59"/>
        </w:numPr>
        <w:ind w:left="735" w:leftChars="150" w:hanging="420" w:hangingChars="200"/>
      </w:pPr>
      <w:r>
        <w:rPr>
          <w:rFonts w:hint="eastAsia"/>
        </w:rPr>
        <w:t>具有手动游标和自动整形两种声时读数功能；</w:t>
      </w:r>
    </w:p>
    <w:p w14:paraId="03101FB5">
      <w:pPr>
        <w:pStyle w:val="248"/>
        <w:numPr>
          <w:ilvl w:val="0"/>
          <w:numId w:val="59"/>
        </w:numPr>
        <w:ind w:left="735" w:leftChars="150" w:hanging="420" w:hangingChars="200"/>
      </w:pPr>
      <w:r>
        <w:rPr>
          <w:rFonts w:hint="eastAsia"/>
        </w:rPr>
        <w:t>数字显示稳定。声时调节在20</w:t>
      </w:r>
      <w:r>
        <w:rPr>
          <w:rFonts w:hint="eastAsia" w:ascii="Times New Roman" w:hAnsi="Times New Roman"/>
        </w:rPr>
        <w:t>~</w:t>
      </w:r>
      <w:r>
        <w:rPr>
          <w:rFonts w:hint="eastAsia"/>
        </w:rPr>
        <w:t>30μs范围，连续1h，数字变化不大于±0.2μs。</w:t>
      </w:r>
    </w:p>
    <w:p w14:paraId="7A22911C">
      <w:pPr>
        <w:pStyle w:val="235"/>
        <w:spacing w:before="156" w:after="156"/>
        <w:rPr>
          <w:szCs w:val="20"/>
        </w:rPr>
      </w:pPr>
      <w:r>
        <w:rPr>
          <w:rFonts w:hint="eastAsia"/>
          <w:szCs w:val="20"/>
        </w:rPr>
        <w:t>对于数字式超声波检测仪还应满足下列要求：</w:t>
      </w:r>
    </w:p>
    <w:p w14:paraId="1DFBB10C">
      <w:pPr>
        <w:pStyle w:val="248"/>
        <w:numPr>
          <w:ilvl w:val="0"/>
          <w:numId w:val="60"/>
        </w:numPr>
        <w:ind w:left="735" w:leftChars="150" w:hanging="420" w:hangingChars="200"/>
      </w:pPr>
      <w:r>
        <w:rPr>
          <w:rFonts w:hint="eastAsia"/>
        </w:rPr>
        <w:t>具有手动游标测读和自动测读方式。当自动测读测试条件下，1h内每隔5min测读一次声时的差异应不大于±2个采样点；</w:t>
      </w:r>
    </w:p>
    <w:p w14:paraId="419F7F8D">
      <w:pPr>
        <w:pStyle w:val="248"/>
        <w:numPr>
          <w:ilvl w:val="0"/>
          <w:numId w:val="60"/>
        </w:numPr>
        <w:ind w:left="735" w:leftChars="150" w:hanging="420" w:hangingChars="200"/>
      </w:pPr>
      <w:r>
        <w:rPr>
          <w:rFonts w:hint="eastAsia"/>
        </w:rPr>
        <w:t>波形显示幅度分辨率应不低于1/256，并具有可显示、存储和输出打印数字化波形的功能，波形最大存储长度不宜小于4k bytes；</w:t>
      </w:r>
    </w:p>
    <w:p w14:paraId="10618E1D">
      <w:pPr>
        <w:pStyle w:val="248"/>
        <w:numPr>
          <w:ilvl w:val="0"/>
          <w:numId w:val="60"/>
        </w:numPr>
        <w:ind w:left="735" w:leftChars="150" w:hanging="420" w:hangingChars="200"/>
      </w:pPr>
      <w:r>
        <w:rPr>
          <w:rFonts w:hint="eastAsia"/>
        </w:rPr>
        <w:t>自动测读方式下，在显示的波形上应有光标指示声时、波幅的测读位置；</w:t>
      </w:r>
    </w:p>
    <w:p w14:paraId="4C4F0E42">
      <w:pPr>
        <w:pStyle w:val="248"/>
        <w:numPr>
          <w:ilvl w:val="0"/>
          <w:numId w:val="60"/>
        </w:numPr>
        <w:ind w:left="735" w:leftChars="150" w:hanging="420" w:hangingChars="200"/>
      </w:pPr>
      <w:r>
        <w:rPr>
          <w:rFonts w:hint="eastAsia"/>
        </w:rPr>
        <w:t>宜具有幅度谱分析功能（FFT功能）。</w:t>
      </w:r>
    </w:p>
    <w:p w14:paraId="67853219">
      <w:pPr>
        <w:numPr>
          <w:ilvl w:val="1"/>
          <w:numId w:val="32"/>
        </w:numPr>
        <w:adjustRightInd/>
        <w:spacing w:beforeLines="50" w:afterLines="50" w:line="240" w:lineRule="auto"/>
        <w:outlineLvl w:val="1"/>
      </w:pPr>
      <w:bookmarkStart w:id="89" w:name="_Toc18336"/>
      <w:r>
        <w:rPr>
          <w:rFonts w:hint="eastAsia" w:ascii="Calibri" w:eastAsia="黑体"/>
          <w:szCs w:val="22"/>
        </w:rPr>
        <w:t>测点布置</w:t>
      </w:r>
      <w:bookmarkEnd w:id="89"/>
    </w:p>
    <w:p w14:paraId="4497A4E7">
      <w:pPr>
        <w:pStyle w:val="235"/>
        <w:spacing w:before="156" w:after="156"/>
        <w:rPr>
          <w:szCs w:val="20"/>
        </w:rPr>
      </w:pPr>
      <w:r>
        <w:rPr>
          <w:rFonts w:hint="eastAsia"/>
          <w:szCs w:val="20"/>
        </w:rPr>
        <w:t>竖向构件底部接缝内部缺陷检测的测点布置应符合下列规定：</w:t>
      </w:r>
    </w:p>
    <w:p w14:paraId="7E96FE28">
      <w:pPr>
        <w:pStyle w:val="248"/>
        <w:numPr>
          <w:ilvl w:val="0"/>
          <w:numId w:val="61"/>
        </w:numPr>
        <w:ind w:left="735" w:leftChars="150" w:hanging="420" w:hangingChars="200"/>
      </w:pPr>
      <w:r>
        <w:rPr>
          <w:rFonts w:hint="eastAsia"/>
        </w:rPr>
        <w:t>测被测部位应具有可进行检测的测试面，并保证测线能穿过被检测区域；</w:t>
      </w:r>
    </w:p>
    <w:p w14:paraId="40B98FC1">
      <w:pPr>
        <w:pStyle w:val="248"/>
        <w:numPr>
          <w:ilvl w:val="0"/>
          <w:numId w:val="61"/>
        </w:numPr>
        <w:ind w:left="735" w:leftChars="150" w:hanging="420" w:hangingChars="200"/>
      </w:pPr>
      <w:r>
        <w:rPr>
          <w:rFonts w:hint="eastAsia"/>
        </w:rPr>
        <w:t>测试范围应大于有怀疑的区域，使测试范围内具有同条件的正常混凝土。</w:t>
      </w:r>
    </w:p>
    <w:p w14:paraId="33078B08">
      <w:pPr>
        <w:pStyle w:val="248"/>
        <w:numPr>
          <w:ilvl w:val="0"/>
          <w:numId w:val="61"/>
        </w:numPr>
        <w:ind w:left="735" w:leftChars="150" w:hanging="420" w:hangingChars="200"/>
      </w:pPr>
      <w:r>
        <w:rPr>
          <w:rFonts w:hint="eastAsia"/>
        </w:rPr>
        <w:t>总测点数不应少于30个，且其中同条件的正常混凝土的对比用测点数不应少于总测点数的60%,且不少于20个。</w:t>
      </w:r>
    </w:p>
    <w:p w14:paraId="02BF0F58">
      <w:pPr>
        <w:pStyle w:val="248"/>
        <w:numPr>
          <w:ilvl w:val="0"/>
          <w:numId w:val="61"/>
        </w:numPr>
        <w:ind w:left="735" w:leftChars="150" w:hanging="420" w:hangingChars="200"/>
      </w:pPr>
      <w:r>
        <w:rPr>
          <w:rFonts w:hint="eastAsia"/>
        </w:rPr>
        <w:t>检测结合面质量时应根据结合面位置确定测试部位，被测部位应具有使声波垂直或斜穿过结合面的测试条件。</w:t>
      </w:r>
    </w:p>
    <w:p w14:paraId="093946C3">
      <w:pPr>
        <w:numPr>
          <w:ilvl w:val="1"/>
          <w:numId w:val="32"/>
        </w:numPr>
        <w:adjustRightInd/>
        <w:spacing w:beforeLines="50" w:afterLines="50" w:line="240" w:lineRule="auto"/>
        <w:outlineLvl w:val="1"/>
      </w:pPr>
      <w:bookmarkStart w:id="90" w:name="_Toc6808"/>
      <w:r>
        <w:rPr>
          <w:rFonts w:hint="eastAsia" w:ascii="Calibri" w:eastAsia="黑体"/>
          <w:szCs w:val="22"/>
        </w:rPr>
        <w:t>检测</w:t>
      </w:r>
      <w:bookmarkEnd w:id="90"/>
    </w:p>
    <w:p w14:paraId="71D521FB">
      <w:pPr>
        <w:pStyle w:val="235"/>
        <w:spacing w:before="156" w:after="156"/>
        <w:rPr>
          <w:szCs w:val="20"/>
        </w:rPr>
      </w:pPr>
      <w:r>
        <w:rPr>
          <w:rFonts w:hint="eastAsia"/>
          <w:szCs w:val="20"/>
        </w:rPr>
        <w:t>超声法检测竖向构件底部接缝内部缺陷应符合下列规定：</w:t>
      </w:r>
    </w:p>
    <w:p w14:paraId="4337BBD9">
      <w:pPr>
        <w:pStyle w:val="248"/>
        <w:numPr>
          <w:ilvl w:val="0"/>
          <w:numId w:val="62"/>
        </w:numPr>
        <w:ind w:left="735" w:leftChars="150" w:hanging="420" w:hangingChars="200"/>
      </w:pPr>
      <w:r>
        <w:rPr>
          <w:rFonts w:hint="eastAsia"/>
        </w:rPr>
        <w:t>宜采用超声对测法，所用换能器的辐射端直径不应大于20mm，工作频率宜为250kHz</w:t>
      </w:r>
      <w:r>
        <w:rPr>
          <w:rFonts w:ascii="Times New Roman" w:hAnsi="Times New Roman"/>
        </w:rPr>
        <w:t>~</w:t>
      </w:r>
      <w:r>
        <w:rPr>
          <w:rFonts w:hint="eastAsia"/>
        </w:rPr>
        <w:t>750kHz；</w:t>
      </w:r>
    </w:p>
    <w:p w14:paraId="5C986617">
      <w:pPr>
        <w:pStyle w:val="248"/>
        <w:numPr>
          <w:ilvl w:val="0"/>
          <w:numId w:val="62"/>
        </w:numPr>
        <w:ind w:left="735" w:leftChars="150" w:hanging="420" w:hangingChars="200"/>
      </w:pPr>
      <w:r>
        <w:rPr>
          <w:rFonts w:hint="eastAsia"/>
        </w:rPr>
        <w:t>检测时座浆料或灌浆料的龄期不宜小于7d，并应避开机电管线穿过的区域；</w:t>
      </w:r>
    </w:p>
    <w:p w14:paraId="0DFFFA2C">
      <w:pPr>
        <w:pStyle w:val="248"/>
        <w:numPr>
          <w:ilvl w:val="0"/>
          <w:numId w:val="62"/>
        </w:numPr>
        <w:ind w:left="735" w:leftChars="150" w:hanging="420" w:hangingChars="200"/>
      </w:pPr>
      <w:r>
        <w:rPr>
          <w:rFonts w:hint="eastAsia"/>
        </w:rPr>
        <w:t>应根据检测要求和现场操作条件，确定缺陷测试部位(简称测位)；</w:t>
      </w:r>
    </w:p>
    <w:p w14:paraId="3FBA4D67">
      <w:pPr>
        <w:pStyle w:val="248"/>
        <w:numPr>
          <w:ilvl w:val="0"/>
          <w:numId w:val="62"/>
        </w:numPr>
        <w:ind w:left="735" w:leftChars="150" w:hanging="420" w:hangingChars="200"/>
      </w:pPr>
      <w:r>
        <w:rPr>
          <w:rFonts w:hint="eastAsia"/>
        </w:rPr>
        <w:t>初次检测时的测点间距宜为100mm，经初次检测怀疑存在缺陷的点位，宜在附近加密测点，必要时宜采用局部破损的方式进行验证；</w:t>
      </w:r>
    </w:p>
    <w:p w14:paraId="2BD03021">
      <w:pPr>
        <w:pStyle w:val="248"/>
        <w:numPr>
          <w:ilvl w:val="0"/>
          <w:numId w:val="62"/>
        </w:numPr>
        <w:ind w:left="735" w:leftChars="150" w:hanging="420" w:hangingChars="200"/>
      </w:pPr>
      <w:r>
        <w:rPr>
          <w:rFonts w:hint="eastAsia"/>
        </w:rPr>
        <w:t>当接缝具有2对相互平行的测试面时，宜在2个方向分别进行检测；</w:t>
      </w:r>
    </w:p>
    <w:p w14:paraId="15914540">
      <w:pPr>
        <w:pStyle w:val="248"/>
        <w:numPr>
          <w:ilvl w:val="0"/>
          <w:numId w:val="62"/>
        </w:numPr>
        <w:ind w:left="735" w:leftChars="150" w:hanging="420" w:hangingChars="200"/>
      </w:pPr>
      <w:r>
        <w:rPr>
          <w:rFonts w:hint="eastAsia"/>
        </w:rPr>
        <w:t>当底部接缝平面为圆形时，测点宜经圆心处作径向对测布置。</w:t>
      </w:r>
    </w:p>
    <w:p w14:paraId="30E90BDB">
      <w:pPr>
        <w:numPr>
          <w:ilvl w:val="1"/>
          <w:numId w:val="32"/>
        </w:numPr>
        <w:adjustRightInd/>
        <w:spacing w:beforeLines="50" w:afterLines="50" w:line="240" w:lineRule="auto"/>
        <w:outlineLvl w:val="1"/>
      </w:pPr>
      <w:bookmarkStart w:id="91" w:name="_Toc29861"/>
      <w:r>
        <w:rPr>
          <w:rFonts w:hint="eastAsia" w:ascii="Calibri" w:eastAsia="黑体"/>
          <w:szCs w:val="22"/>
        </w:rPr>
        <w:t>判定</w:t>
      </w:r>
      <w:bookmarkEnd w:id="91"/>
    </w:p>
    <w:p w14:paraId="47B72807">
      <w:pPr>
        <w:pStyle w:val="235"/>
        <w:spacing w:before="156" w:after="156"/>
        <w:rPr>
          <w:szCs w:val="20"/>
        </w:rPr>
      </w:pPr>
      <w:r>
        <w:rPr>
          <w:rFonts w:hint="eastAsia"/>
          <w:szCs w:val="20"/>
        </w:rPr>
        <w:t>缺陷判定应符合《混凝土结构现场检测技术标准》GB/T 50784的有关规定。</w:t>
      </w:r>
    </w:p>
    <w:p w14:paraId="1211339D">
      <w:pPr>
        <w:pStyle w:val="13"/>
        <w:spacing w:before="106" w:line="220" w:lineRule="auto"/>
        <w:ind w:left="480"/>
        <w:rPr>
          <w:spacing w:val="5"/>
          <w:sz w:val="23"/>
          <w:szCs w:val="23"/>
        </w:rPr>
      </w:pPr>
    </w:p>
    <w:p w14:paraId="536E970F">
      <w:pPr>
        <w:pStyle w:val="231"/>
      </w:pPr>
    </w:p>
    <w:sectPr>
      <w:footerReference r:id="rId14" w:type="default"/>
      <w:pgSz w:w="11906" w:h="16838"/>
      <w:pgMar w:top="1871"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CB5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C308">
    <w:pPr>
      <w:pStyle w:val="17"/>
    </w:pPr>
    <w:r>
      <w:fldChar w:fldCharType="begin"/>
    </w:r>
    <w:r>
      <w:instrText xml:space="preserve">PAGE   \* MERGEFORMAT</w:instrText>
    </w:r>
    <w:r>
      <w:fldChar w:fldCharType="separate"/>
    </w:r>
    <w:r>
      <w:rPr>
        <w:lang w:val="zh-CN"/>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969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68A8">
    <w:pPr>
      <w:pStyle w:val="53"/>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EE7E2">
    <w:pPr>
      <w:pStyle w:val="13"/>
      <w:spacing w:line="173" w:lineRule="auto"/>
      <w:ind w:left="4080"/>
      <w:rPr>
        <w:sz w:val="18"/>
        <w:szCs w:val="18"/>
      </w:rPr>
    </w:pPr>
    <w:r>
      <w:rPr>
        <w:spacing w:val="-6"/>
        <w:sz w:val="18"/>
        <w:szCs w:val="18"/>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FFA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01D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9E4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479FA">
    <w:pPr>
      <w:pStyle w:val="62"/>
    </w:pPr>
    <w:r>
      <w:fldChar w:fldCharType="begin"/>
    </w:r>
    <w:r>
      <w:instrText xml:space="preserve"> STYLEREF  标准文件_文件编号  \* MERGEFORMAT </w:instrText>
    </w:r>
    <w:r>
      <w:fldChar w:fldCharType="separate"/>
    </w:r>
    <w:r>
      <w:t>T/CASMESXXX—2024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C8664">
    <w:pPr>
      <w:pStyle w:val="18"/>
      <w:jc w:val="right"/>
      <w:rPr>
        <w:rFonts w:ascii="黑体" w:hAnsi="黑体" w:eastAsia="黑体" w:cs="黑体"/>
        <w:sz w:val="21"/>
        <w:szCs w:val="21"/>
      </w:rPr>
    </w:pPr>
    <w:r>
      <w:fldChar w:fldCharType="begin"/>
    </w:r>
    <w:r>
      <w:instrText xml:space="preserve"> STYLEREF  标准文件_文件编号  \* MERGEFORMAT </w:instrText>
    </w:r>
    <w:r>
      <w:fldChar w:fldCharType="separate"/>
    </w:r>
    <w:r>
      <w:t>T/CASMESXXX—2024</w:t>
    </w:r>
    <w:r>
      <w:rPr>
        <w:rFonts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E125D"/>
    <w:multiLevelType w:val="singleLevel"/>
    <w:tmpl w:val="8B0E125D"/>
    <w:lvl w:ilvl="0" w:tentative="0">
      <w:start w:val="1"/>
      <w:numFmt w:val="lowerLetter"/>
      <w:suff w:val="nothing"/>
      <w:lvlText w:val="%1)　"/>
      <w:lvlJc w:val="left"/>
    </w:lvl>
  </w:abstractNum>
  <w:abstractNum w:abstractNumId="1">
    <w:nsid w:val="8D74262A"/>
    <w:multiLevelType w:val="singleLevel"/>
    <w:tmpl w:val="8D74262A"/>
    <w:lvl w:ilvl="0" w:tentative="0">
      <w:start w:val="1"/>
      <w:numFmt w:val="lowerLetter"/>
      <w:suff w:val="nothing"/>
      <w:lvlText w:val="%1)　"/>
      <w:lvlJc w:val="left"/>
    </w:lvl>
  </w:abstractNum>
  <w:abstractNum w:abstractNumId="2">
    <w:nsid w:val="9A825AD6"/>
    <w:multiLevelType w:val="singleLevel"/>
    <w:tmpl w:val="9A825AD6"/>
    <w:lvl w:ilvl="0" w:tentative="0">
      <w:start w:val="1"/>
      <w:numFmt w:val="lowerLetter"/>
      <w:suff w:val="nothing"/>
      <w:lvlText w:val="%1)　"/>
      <w:lvlJc w:val="left"/>
    </w:lvl>
  </w:abstractNum>
  <w:abstractNum w:abstractNumId="3">
    <w:nsid w:val="9C4938F1"/>
    <w:multiLevelType w:val="singleLevel"/>
    <w:tmpl w:val="9C4938F1"/>
    <w:lvl w:ilvl="0" w:tentative="0">
      <w:start w:val="1"/>
      <w:numFmt w:val="lowerLetter"/>
      <w:suff w:val="nothing"/>
      <w:lvlText w:val="%1)　"/>
      <w:lvlJc w:val="left"/>
    </w:lvl>
  </w:abstractNum>
  <w:abstractNum w:abstractNumId="4">
    <w:nsid w:val="9C4EDB46"/>
    <w:multiLevelType w:val="singleLevel"/>
    <w:tmpl w:val="9C4EDB46"/>
    <w:lvl w:ilvl="0" w:tentative="0">
      <w:start w:val="1"/>
      <w:numFmt w:val="lowerLetter"/>
      <w:suff w:val="nothing"/>
      <w:lvlText w:val="%1)　"/>
      <w:lvlJc w:val="left"/>
    </w:lvl>
  </w:abstractNum>
  <w:abstractNum w:abstractNumId="5">
    <w:nsid w:val="A7D3D684"/>
    <w:multiLevelType w:val="singleLevel"/>
    <w:tmpl w:val="A7D3D684"/>
    <w:lvl w:ilvl="0" w:tentative="0">
      <w:start w:val="1"/>
      <w:numFmt w:val="lowerLetter"/>
      <w:suff w:val="nothing"/>
      <w:lvlText w:val="%1)　"/>
      <w:lvlJc w:val="left"/>
    </w:lvl>
  </w:abstractNum>
  <w:abstractNum w:abstractNumId="6">
    <w:nsid w:val="BAEE5D70"/>
    <w:multiLevelType w:val="singleLevel"/>
    <w:tmpl w:val="BAEE5D70"/>
    <w:lvl w:ilvl="0" w:tentative="0">
      <w:start w:val="1"/>
      <w:numFmt w:val="lowerLetter"/>
      <w:suff w:val="nothing"/>
      <w:lvlText w:val="%1)　"/>
      <w:lvlJc w:val="left"/>
    </w:lvl>
  </w:abstractNum>
  <w:abstractNum w:abstractNumId="7">
    <w:nsid w:val="C59DAECE"/>
    <w:multiLevelType w:val="singleLevel"/>
    <w:tmpl w:val="C59DAECE"/>
    <w:lvl w:ilvl="0" w:tentative="0">
      <w:start w:val="1"/>
      <w:numFmt w:val="lowerLetter"/>
      <w:suff w:val="nothing"/>
      <w:lvlText w:val="%1)　"/>
      <w:lvlJc w:val="left"/>
    </w:lvl>
  </w:abstractNum>
  <w:abstractNum w:abstractNumId="8">
    <w:nsid w:val="DA702B2A"/>
    <w:multiLevelType w:val="singleLevel"/>
    <w:tmpl w:val="DA702B2A"/>
    <w:lvl w:ilvl="0" w:tentative="0">
      <w:start w:val="1"/>
      <w:numFmt w:val="lowerLetter"/>
      <w:suff w:val="nothing"/>
      <w:lvlText w:val="%1)　"/>
      <w:lvlJc w:val="left"/>
    </w:lvl>
  </w:abstractNum>
  <w:abstractNum w:abstractNumId="9">
    <w:nsid w:val="DC127958"/>
    <w:multiLevelType w:val="singleLevel"/>
    <w:tmpl w:val="DC127958"/>
    <w:lvl w:ilvl="0" w:tentative="0">
      <w:start w:val="1"/>
      <w:numFmt w:val="lowerLetter"/>
      <w:suff w:val="nothing"/>
      <w:lvlText w:val="%1)　"/>
      <w:lvlJc w:val="left"/>
    </w:lvl>
  </w:abstractNum>
  <w:abstractNum w:abstractNumId="10">
    <w:nsid w:val="E02098ED"/>
    <w:multiLevelType w:val="singleLevel"/>
    <w:tmpl w:val="E02098ED"/>
    <w:lvl w:ilvl="0" w:tentative="0">
      <w:start w:val="1"/>
      <w:numFmt w:val="lowerLetter"/>
      <w:suff w:val="nothing"/>
      <w:lvlText w:val="%1)　"/>
      <w:lvlJc w:val="left"/>
    </w:lvl>
  </w:abstractNum>
  <w:abstractNum w:abstractNumId="11">
    <w:nsid w:val="E1EC8DEB"/>
    <w:multiLevelType w:val="singleLevel"/>
    <w:tmpl w:val="E1EC8DEB"/>
    <w:lvl w:ilvl="0" w:tentative="0">
      <w:start w:val="1"/>
      <w:numFmt w:val="lowerLetter"/>
      <w:suff w:val="nothing"/>
      <w:lvlText w:val="%1)　"/>
      <w:lvlJc w:val="left"/>
    </w:lvl>
  </w:abstractNum>
  <w:abstractNum w:abstractNumId="12">
    <w:nsid w:val="F15DBF81"/>
    <w:multiLevelType w:val="singleLevel"/>
    <w:tmpl w:val="F15DBF81"/>
    <w:lvl w:ilvl="0" w:tentative="0">
      <w:start w:val="1"/>
      <w:numFmt w:val="lowerLetter"/>
      <w:suff w:val="nothing"/>
      <w:lvlText w:val="%1)　"/>
      <w:lvlJc w:val="left"/>
    </w:lvl>
  </w:abstractNum>
  <w:abstractNum w:abstractNumId="13">
    <w:nsid w:val="F412CF22"/>
    <w:multiLevelType w:val="singleLevel"/>
    <w:tmpl w:val="F412CF22"/>
    <w:lvl w:ilvl="0" w:tentative="0">
      <w:start w:val="1"/>
      <w:numFmt w:val="lowerLetter"/>
      <w:suff w:val="nothing"/>
      <w:lvlText w:val="%1)　"/>
      <w:lvlJc w:val="left"/>
    </w:lvl>
  </w:abstractNum>
  <w:abstractNum w:abstractNumId="14">
    <w:nsid w:val="F5372A26"/>
    <w:multiLevelType w:val="singleLevel"/>
    <w:tmpl w:val="F5372A26"/>
    <w:lvl w:ilvl="0" w:tentative="0">
      <w:start w:val="1"/>
      <w:numFmt w:val="lowerLetter"/>
      <w:suff w:val="nothing"/>
      <w:lvlText w:val="%1)　"/>
      <w:lvlJc w:val="left"/>
    </w:lvl>
  </w:abstractNum>
  <w:abstractNum w:abstractNumId="15">
    <w:nsid w:val="F87143D1"/>
    <w:multiLevelType w:val="singleLevel"/>
    <w:tmpl w:val="F87143D1"/>
    <w:lvl w:ilvl="0" w:tentative="0">
      <w:start w:val="1"/>
      <w:numFmt w:val="lowerLetter"/>
      <w:suff w:val="nothing"/>
      <w:lvlText w:val="%1)　"/>
      <w:lvlJc w:val="left"/>
    </w:lvl>
  </w:abstractNum>
  <w:abstractNum w:abstractNumId="16">
    <w:nsid w:val="FF9FF827"/>
    <w:multiLevelType w:val="singleLevel"/>
    <w:tmpl w:val="FF9FF827"/>
    <w:lvl w:ilvl="0" w:tentative="0">
      <w:start w:val="1"/>
      <w:numFmt w:val="lowerLetter"/>
      <w:suff w:val="nothing"/>
      <w:lvlText w:val="%1)　"/>
      <w:lvlJc w:val="left"/>
    </w:lvl>
  </w:abstractNum>
  <w:abstractNum w:abstractNumId="17">
    <w:nsid w:val="02274E77"/>
    <w:multiLevelType w:val="singleLevel"/>
    <w:tmpl w:val="02274E77"/>
    <w:lvl w:ilvl="0" w:tentative="0">
      <w:start w:val="1"/>
      <w:numFmt w:val="lowerLetter"/>
      <w:suff w:val="nothing"/>
      <w:lvlText w:val="%1)　"/>
      <w:lvlJc w:val="left"/>
    </w:lvl>
  </w:abstractNum>
  <w:abstractNum w:abstractNumId="18">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9">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0">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3">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25">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8">
    <w:nsid w:val="1FC91163"/>
    <w:multiLevelType w:val="multilevel"/>
    <w:tmpl w:val="1FC91163"/>
    <w:lvl w:ilvl="0" w:tentative="0">
      <w:start w:val="1"/>
      <w:numFmt w:val="decimal"/>
      <w:pStyle w:val="234"/>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5"/>
      <w:suff w:val="nothing"/>
      <w:lvlText w:val="%1.%2.%3　"/>
      <w:lvlJc w:val="left"/>
      <w:pPr>
        <w:ind w:left="284" w:firstLine="0"/>
      </w:pPr>
      <w:rPr>
        <w:rFonts w:hint="eastAsia" w:ascii="黑体" w:hAnsi="Times New Roman" w:eastAsia="黑体"/>
        <w:b w:val="0"/>
        <w:i w:val="0"/>
        <w:sz w:val="21"/>
      </w:rPr>
    </w:lvl>
    <w:lvl w:ilvl="3" w:tentative="0">
      <w:start w:val="1"/>
      <w:numFmt w:val="decimal"/>
      <w:pStyle w:val="236"/>
      <w:suff w:val="nothing"/>
      <w:lvlText w:val="%1.%2.%3.%4　"/>
      <w:lvlJc w:val="left"/>
      <w:pPr>
        <w:ind w:left="426" w:firstLine="0"/>
      </w:pPr>
      <w:rPr>
        <w:rFonts w:hint="eastAsia" w:ascii="黑体" w:hAnsi="Times New Roman" w:eastAsia="黑体"/>
        <w:b w:val="0"/>
        <w:i w:val="0"/>
        <w:sz w:val="21"/>
      </w:rPr>
    </w:lvl>
    <w:lvl w:ilvl="4" w:tentative="0">
      <w:start w:val="1"/>
      <w:numFmt w:val="decimal"/>
      <w:pStyle w:val="237"/>
      <w:suff w:val="nothing"/>
      <w:lvlText w:val="%1.%2.%3.%4.%5　"/>
      <w:lvlJc w:val="left"/>
      <w:pPr>
        <w:ind w:left="142" w:firstLine="0"/>
      </w:pPr>
      <w:rPr>
        <w:rFonts w:hint="eastAsia" w:ascii="黑体" w:hAnsi="Times New Roman" w:eastAsia="黑体"/>
        <w:b w:val="0"/>
        <w:i w:val="0"/>
        <w:sz w:val="21"/>
      </w:rPr>
    </w:lvl>
    <w:lvl w:ilvl="5" w:tentative="0">
      <w:start w:val="1"/>
      <w:numFmt w:val="decimal"/>
      <w:pStyle w:val="238"/>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29">
    <w:nsid w:val="294C07C4"/>
    <w:multiLevelType w:val="singleLevel"/>
    <w:tmpl w:val="294C07C4"/>
    <w:lvl w:ilvl="0" w:tentative="0">
      <w:start w:val="1"/>
      <w:numFmt w:val="lowerLetter"/>
      <w:suff w:val="nothing"/>
      <w:lvlText w:val="%1)　"/>
      <w:lvlJc w:val="left"/>
    </w:lvl>
  </w:abstractNum>
  <w:abstractNum w:abstractNumId="3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1">
    <w:nsid w:val="2CAF064F"/>
    <w:multiLevelType w:val="singleLevel"/>
    <w:tmpl w:val="2CAF064F"/>
    <w:lvl w:ilvl="0" w:tentative="0">
      <w:start w:val="1"/>
      <w:numFmt w:val="lowerLetter"/>
      <w:suff w:val="nothing"/>
      <w:lvlText w:val="%1)　"/>
      <w:lvlJc w:val="left"/>
    </w:lvl>
  </w:abstractNum>
  <w:abstractNum w:abstractNumId="3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3">
    <w:nsid w:val="410DBD42"/>
    <w:multiLevelType w:val="singleLevel"/>
    <w:tmpl w:val="410DBD42"/>
    <w:lvl w:ilvl="0" w:tentative="0">
      <w:start w:val="1"/>
      <w:numFmt w:val="lowerLetter"/>
      <w:suff w:val="nothing"/>
      <w:lvlText w:val="%1)　"/>
      <w:lvlJc w:val="left"/>
    </w:lvl>
  </w:abstractNum>
  <w:abstractNum w:abstractNumId="3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7">
    <w:nsid w:val="4E0D1EE3"/>
    <w:multiLevelType w:val="singleLevel"/>
    <w:tmpl w:val="4E0D1EE3"/>
    <w:lvl w:ilvl="0" w:tentative="0">
      <w:start w:val="1"/>
      <w:numFmt w:val="lowerLetter"/>
      <w:suff w:val="nothing"/>
      <w:lvlText w:val="%1)　"/>
      <w:lvlJc w:val="left"/>
    </w:lvl>
  </w:abstractNum>
  <w:abstractNum w:abstractNumId="38">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9">
    <w:nsid w:val="5023C541"/>
    <w:multiLevelType w:val="singleLevel"/>
    <w:tmpl w:val="5023C541"/>
    <w:lvl w:ilvl="0" w:tentative="0">
      <w:start w:val="1"/>
      <w:numFmt w:val="lowerLetter"/>
      <w:suff w:val="nothing"/>
      <w:lvlText w:val="%1)　"/>
      <w:lvlJc w:val="left"/>
    </w:lvl>
  </w:abstractNum>
  <w:abstractNum w:abstractNumId="40">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1">
    <w:nsid w:val="55625E78"/>
    <w:multiLevelType w:val="singleLevel"/>
    <w:tmpl w:val="55625E78"/>
    <w:lvl w:ilvl="0" w:tentative="0">
      <w:start w:val="1"/>
      <w:numFmt w:val="lowerLetter"/>
      <w:suff w:val="nothing"/>
      <w:lvlText w:val="%1)　"/>
      <w:lvlJc w:val="left"/>
    </w:lvl>
  </w:abstractNum>
  <w:abstractNum w:abstractNumId="42">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3">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4">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5D5A10ED"/>
    <w:multiLevelType w:val="singleLevel"/>
    <w:tmpl w:val="5D5A10ED"/>
    <w:lvl w:ilvl="0" w:tentative="0">
      <w:start w:val="1"/>
      <w:numFmt w:val="lowerLetter"/>
      <w:suff w:val="nothing"/>
      <w:lvlText w:val="%1)　"/>
      <w:lvlJc w:val="left"/>
    </w:lvl>
  </w:abstractNum>
  <w:abstractNum w:abstractNumId="46">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7">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8">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9">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0">
    <w:nsid w:val="68004D16"/>
    <w:multiLevelType w:val="singleLevel"/>
    <w:tmpl w:val="68004D16"/>
    <w:lvl w:ilvl="0" w:tentative="0">
      <w:start w:val="1"/>
      <w:numFmt w:val="lowerLetter"/>
      <w:suff w:val="nothing"/>
      <w:lvlText w:val="%1)　"/>
      <w:lvlJc w:val="left"/>
    </w:lvl>
  </w:abstractNum>
  <w:abstractNum w:abstractNumId="51">
    <w:nsid w:val="69034A52"/>
    <w:multiLevelType w:val="singleLevel"/>
    <w:tmpl w:val="69034A52"/>
    <w:lvl w:ilvl="0" w:tentative="0">
      <w:start w:val="1"/>
      <w:numFmt w:val="lowerLetter"/>
      <w:suff w:val="nothing"/>
      <w:lvlText w:val="%1)　"/>
      <w:lvlJc w:val="left"/>
    </w:lvl>
  </w:abstractNum>
  <w:abstractNum w:abstractNumId="52">
    <w:nsid w:val="690B7814"/>
    <w:multiLevelType w:val="singleLevel"/>
    <w:tmpl w:val="690B7814"/>
    <w:lvl w:ilvl="0" w:tentative="0">
      <w:start w:val="1"/>
      <w:numFmt w:val="lowerLetter"/>
      <w:suff w:val="nothing"/>
      <w:lvlText w:val="%1)　"/>
      <w:lvlJc w:val="left"/>
    </w:lvl>
  </w:abstractNum>
  <w:abstractNum w:abstractNumId="53">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4">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7">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8">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9">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79AE2232"/>
    <w:multiLevelType w:val="singleLevel"/>
    <w:tmpl w:val="79AE2232"/>
    <w:lvl w:ilvl="0" w:tentative="0">
      <w:start w:val="1"/>
      <w:numFmt w:val="lowerLetter"/>
      <w:suff w:val="nothing"/>
      <w:lvlText w:val="%1)　"/>
      <w:lvlJc w:val="left"/>
    </w:lvl>
  </w:abstractNum>
  <w:abstractNum w:abstractNumId="61">
    <w:nsid w:val="7D628CBA"/>
    <w:multiLevelType w:val="singleLevel"/>
    <w:tmpl w:val="7D628CBA"/>
    <w:lvl w:ilvl="0" w:tentative="0">
      <w:start w:val="1"/>
      <w:numFmt w:val="lowerLetter"/>
      <w:suff w:val="nothing"/>
      <w:lvlText w:val="%1)　"/>
      <w:lvlJc w:val="left"/>
    </w:lvl>
  </w:abstractNum>
  <w:num w:numId="1">
    <w:abstractNumId w:val="18"/>
  </w:num>
  <w:num w:numId="2">
    <w:abstractNumId w:val="56"/>
  </w:num>
  <w:num w:numId="3">
    <w:abstractNumId w:val="23"/>
  </w:num>
  <w:num w:numId="4">
    <w:abstractNumId w:val="49"/>
  </w:num>
  <w:num w:numId="5">
    <w:abstractNumId w:val="43"/>
  </w:num>
  <w:num w:numId="6">
    <w:abstractNumId w:val="35"/>
  </w:num>
  <w:num w:numId="7">
    <w:abstractNumId w:val="26"/>
  </w:num>
  <w:num w:numId="8">
    <w:abstractNumId w:val="21"/>
  </w:num>
  <w:num w:numId="9">
    <w:abstractNumId w:val="27"/>
  </w:num>
  <w:num w:numId="10">
    <w:abstractNumId w:val="40"/>
  </w:num>
  <w:num w:numId="11">
    <w:abstractNumId w:val="54"/>
  </w:num>
  <w:num w:numId="12">
    <w:abstractNumId w:val="32"/>
  </w:num>
  <w:num w:numId="13">
    <w:abstractNumId w:val="34"/>
  </w:num>
  <w:num w:numId="14">
    <w:abstractNumId w:val="25"/>
  </w:num>
  <w:num w:numId="15">
    <w:abstractNumId w:val="44"/>
  </w:num>
  <w:num w:numId="16">
    <w:abstractNumId w:val="47"/>
  </w:num>
  <w:num w:numId="17">
    <w:abstractNumId w:val="42"/>
  </w:num>
  <w:num w:numId="18">
    <w:abstractNumId w:val="58"/>
  </w:num>
  <w:num w:numId="19">
    <w:abstractNumId w:val="38"/>
  </w:num>
  <w:num w:numId="20">
    <w:abstractNumId w:val="19"/>
  </w:num>
  <w:num w:numId="21">
    <w:abstractNumId w:val="30"/>
  </w:num>
  <w:num w:numId="22">
    <w:abstractNumId w:val="59"/>
  </w:num>
  <w:num w:numId="23">
    <w:abstractNumId w:val="46"/>
  </w:num>
  <w:num w:numId="24">
    <w:abstractNumId w:val="24"/>
  </w:num>
  <w:num w:numId="25">
    <w:abstractNumId w:val="55"/>
  </w:num>
  <w:num w:numId="26">
    <w:abstractNumId w:val="57"/>
  </w:num>
  <w:num w:numId="27">
    <w:abstractNumId w:val="20"/>
  </w:num>
  <w:num w:numId="28">
    <w:abstractNumId w:val="22"/>
  </w:num>
  <w:num w:numId="29">
    <w:abstractNumId w:val="36"/>
  </w:num>
  <w:num w:numId="30">
    <w:abstractNumId w:val="53"/>
  </w:num>
  <w:num w:numId="31">
    <w:abstractNumId w:val="48"/>
  </w:num>
  <w:num w:numId="32">
    <w:abstractNumId w:val="28"/>
  </w:num>
  <w:num w:numId="33">
    <w:abstractNumId w:val="52"/>
  </w:num>
  <w:num w:numId="34">
    <w:abstractNumId w:val="2"/>
  </w:num>
  <w:num w:numId="35">
    <w:abstractNumId w:val="14"/>
  </w:num>
  <w:num w:numId="36">
    <w:abstractNumId w:val="33"/>
  </w:num>
  <w:num w:numId="37">
    <w:abstractNumId w:val="16"/>
  </w:num>
  <w:num w:numId="38">
    <w:abstractNumId w:val="50"/>
  </w:num>
  <w:num w:numId="39">
    <w:abstractNumId w:val="41"/>
  </w:num>
  <w:num w:numId="40">
    <w:abstractNumId w:val="3"/>
  </w:num>
  <w:num w:numId="41">
    <w:abstractNumId w:val="51"/>
  </w:num>
  <w:num w:numId="42">
    <w:abstractNumId w:val="6"/>
  </w:num>
  <w:num w:numId="43">
    <w:abstractNumId w:val="7"/>
  </w:num>
  <w:num w:numId="44">
    <w:abstractNumId w:val="12"/>
  </w:num>
  <w:num w:numId="45">
    <w:abstractNumId w:val="4"/>
  </w:num>
  <w:num w:numId="46">
    <w:abstractNumId w:val="9"/>
  </w:num>
  <w:num w:numId="47">
    <w:abstractNumId w:val="8"/>
  </w:num>
  <w:num w:numId="48">
    <w:abstractNumId w:val="5"/>
  </w:num>
  <w:num w:numId="49">
    <w:abstractNumId w:val="13"/>
  </w:num>
  <w:num w:numId="50">
    <w:abstractNumId w:val="45"/>
  </w:num>
  <w:num w:numId="51">
    <w:abstractNumId w:val="29"/>
  </w:num>
  <w:num w:numId="52">
    <w:abstractNumId w:val="1"/>
  </w:num>
  <w:num w:numId="53">
    <w:abstractNumId w:val="17"/>
  </w:num>
  <w:num w:numId="54">
    <w:abstractNumId w:val="15"/>
  </w:num>
  <w:num w:numId="55">
    <w:abstractNumId w:val="11"/>
  </w:num>
  <w:num w:numId="56">
    <w:abstractNumId w:val="37"/>
  </w:num>
  <w:num w:numId="57">
    <w:abstractNumId w:val="10"/>
  </w:num>
  <w:num w:numId="58">
    <w:abstractNumId w:val="0"/>
  </w:num>
  <w:num w:numId="59">
    <w:abstractNumId w:val="39"/>
  </w:num>
  <w:num w:numId="60">
    <w:abstractNumId w:val="61"/>
  </w:num>
  <w:num w:numId="61">
    <w:abstractNumId w:val="60"/>
  </w:num>
  <w:num w:numId="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lmYzU0Y2FlZDZmN2I5MmNjM2M0YmY3YThiZTEyNTI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135"/>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5D8"/>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1FE5"/>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280E"/>
    <w:rsid w:val="001730C1"/>
    <w:rsid w:val="0017340B"/>
    <w:rsid w:val="00173FB1"/>
    <w:rsid w:val="00175475"/>
    <w:rsid w:val="001754E3"/>
    <w:rsid w:val="001757AA"/>
    <w:rsid w:val="00175FB0"/>
    <w:rsid w:val="00176BAE"/>
    <w:rsid w:val="00176DFD"/>
    <w:rsid w:val="00177148"/>
    <w:rsid w:val="00181CB4"/>
    <w:rsid w:val="001820EE"/>
    <w:rsid w:val="00182493"/>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97AFB"/>
    <w:rsid w:val="001A0A4B"/>
    <w:rsid w:val="001A1A53"/>
    <w:rsid w:val="001A1C77"/>
    <w:rsid w:val="001A234A"/>
    <w:rsid w:val="001A3308"/>
    <w:rsid w:val="001A4CF3"/>
    <w:rsid w:val="001A7D80"/>
    <w:rsid w:val="001B06E8"/>
    <w:rsid w:val="001B0E70"/>
    <w:rsid w:val="001B42C3"/>
    <w:rsid w:val="001B4D06"/>
    <w:rsid w:val="001B64A3"/>
    <w:rsid w:val="001B6FAA"/>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94E"/>
    <w:rsid w:val="00227D21"/>
    <w:rsid w:val="002309FE"/>
    <w:rsid w:val="002330B8"/>
    <w:rsid w:val="00233D64"/>
    <w:rsid w:val="0023482A"/>
    <w:rsid w:val="002359CB"/>
    <w:rsid w:val="00236A32"/>
    <w:rsid w:val="00237254"/>
    <w:rsid w:val="00243540"/>
    <w:rsid w:val="002435B5"/>
    <w:rsid w:val="0024395E"/>
    <w:rsid w:val="0024497B"/>
    <w:rsid w:val="002449BA"/>
    <w:rsid w:val="0024515B"/>
    <w:rsid w:val="00245F9B"/>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54CA"/>
    <w:rsid w:val="00266E11"/>
    <w:rsid w:val="00266EEB"/>
    <w:rsid w:val="00267EF4"/>
    <w:rsid w:val="00270CB8"/>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0C5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D8E"/>
    <w:rsid w:val="002E2F53"/>
    <w:rsid w:val="002E4D5A"/>
    <w:rsid w:val="002E5F0C"/>
    <w:rsid w:val="002E6078"/>
    <w:rsid w:val="002E60EC"/>
    <w:rsid w:val="002E6326"/>
    <w:rsid w:val="002E72C4"/>
    <w:rsid w:val="002E7A7D"/>
    <w:rsid w:val="002E7F10"/>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37283"/>
    <w:rsid w:val="0034194F"/>
    <w:rsid w:val="00344605"/>
    <w:rsid w:val="00347061"/>
    <w:rsid w:val="003474AA"/>
    <w:rsid w:val="003501D9"/>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577"/>
    <w:rsid w:val="00371EB7"/>
    <w:rsid w:val="00372AA1"/>
    <w:rsid w:val="00372EF0"/>
    <w:rsid w:val="003732A5"/>
    <w:rsid w:val="00373DC3"/>
    <w:rsid w:val="00374AB4"/>
    <w:rsid w:val="00374F6D"/>
    <w:rsid w:val="00374FA0"/>
    <w:rsid w:val="003752A1"/>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515E"/>
    <w:rsid w:val="003A5E1A"/>
    <w:rsid w:val="003A7695"/>
    <w:rsid w:val="003B09AD"/>
    <w:rsid w:val="003B1E2D"/>
    <w:rsid w:val="003B1F18"/>
    <w:rsid w:val="003B2A20"/>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09C1"/>
    <w:rsid w:val="00462503"/>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699B"/>
    <w:rsid w:val="00476A79"/>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9621A"/>
    <w:rsid w:val="004A0E90"/>
    <w:rsid w:val="004A12DF"/>
    <w:rsid w:val="004A1B31"/>
    <w:rsid w:val="004A1BA8"/>
    <w:rsid w:val="004A2D2E"/>
    <w:rsid w:val="004A32B5"/>
    <w:rsid w:val="004A4B57"/>
    <w:rsid w:val="004A56CC"/>
    <w:rsid w:val="004A63FA"/>
    <w:rsid w:val="004A6F05"/>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6D34"/>
    <w:rsid w:val="004C7556"/>
    <w:rsid w:val="004C7E8B"/>
    <w:rsid w:val="004C7E9D"/>
    <w:rsid w:val="004C7F67"/>
    <w:rsid w:val="004D076D"/>
    <w:rsid w:val="004D08AF"/>
    <w:rsid w:val="004D0EF1"/>
    <w:rsid w:val="004D2253"/>
    <w:rsid w:val="004D2568"/>
    <w:rsid w:val="004D2606"/>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0643"/>
    <w:rsid w:val="005220EC"/>
    <w:rsid w:val="0052394D"/>
    <w:rsid w:val="00523F95"/>
    <w:rsid w:val="00524690"/>
    <w:rsid w:val="00524D65"/>
    <w:rsid w:val="00525B16"/>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487B"/>
    <w:rsid w:val="00564FB9"/>
    <w:rsid w:val="005654D5"/>
    <w:rsid w:val="00565F95"/>
    <w:rsid w:val="00566A02"/>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1471"/>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E7D9D"/>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1E6F"/>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9B8"/>
    <w:rsid w:val="00655D4F"/>
    <w:rsid w:val="00656D29"/>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77FDD"/>
    <w:rsid w:val="0068026D"/>
    <w:rsid w:val="006805DE"/>
    <w:rsid w:val="00680A27"/>
    <w:rsid w:val="00681002"/>
    <w:rsid w:val="006816A4"/>
    <w:rsid w:val="006819B8"/>
    <w:rsid w:val="006821C8"/>
    <w:rsid w:val="006840A6"/>
    <w:rsid w:val="006850CD"/>
    <w:rsid w:val="006856D5"/>
    <w:rsid w:val="00685AAB"/>
    <w:rsid w:val="00687E14"/>
    <w:rsid w:val="0069071F"/>
    <w:rsid w:val="00691A4A"/>
    <w:rsid w:val="00692537"/>
    <w:rsid w:val="006A07AA"/>
    <w:rsid w:val="006A0CBF"/>
    <w:rsid w:val="006A2189"/>
    <w:rsid w:val="006A25E5"/>
    <w:rsid w:val="006A2B46"/>
    <w:rsid w:val="006A336D"/>
    <w:rsid w:val="006A37B9"/>
    <w:rsid w:val="006A633B"/>
    <w:rsid w:val="006B002D"/>
    <w:rsid w:val="006B0D19"/>
    <w:rsid w:val="006B1326"/>
    <w:rsid w:val="006B14D3"/>
    <w:rsid w:val="006B2672"/>
    <w:rsid w:val="006B2842"/>
    <w:rsid w:val="006B33A1"/>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E0318"/>
    <w:rsid w:val="006E0B94"/>
    <w:rsid w:val="006E1E24"/>
    <w:rsid w:val="006E3696"/>
    <w:rsid w:val="006E405E"/>
    <w:rsid w:val="006E4494"/>
    <w:rsid w:val="006E5045"/>
    <w:rsid w:val="006E5246"/>
    <w:rsid w:val="006E5F66"/>
    <w:rsid w:val="006E7ACA"/>
    <w:rsid w:val="006F03A8"/>
    <w:rsid w:val="006F0469"/>
    <w:rsid w:val="006F063A"/>
    <w:rsid w:val="006F1714"/>
    <w:rsid w:val="006F222B"/>
    <w:rsid w:val="006F2ACA"/>
    <w:rsid w:val="006F2ADC"/>
    <w:rsid w:val="006F2BFE"/>
    <w:rsid w:val="006F31E9"/>
    <w:rsid w:val="006F3962"/>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485"/>
    <w:rsid w:val="00732BC0"/>
    <w:rsid w:val="007330B0"/>
    <w:rsid w:val="007331C5"/>
    <w:rsid w:val="00734DC7"/>
    <w:rsid w:val="00735C77"/>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478A9"/>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0C2"/>
    <w:rsid w:val="0077036F"/>
    <w:rsid w:val="0077109C"/>
    <w:rsid w:val="00773AEE"/>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B7E2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6A72"/>
    <w:rsid w:val="007F0ED8"/>
    <w:rsid w:val="007F0F63"/>
    <w:rsid w:val="007F16D5"/>
    <w:rsid w:val="007F2F90"/>
    <w:rsid w:val="007F656E"/>
    <w:rsid w:val="007F6894"/>
    <w:rsid w:val="007F75CE"/>
    <w:rsid w:val="007F75EB"/>
    <w:rsid w:val="00800D55"/>
    <w:rsid w:val="008013A4"/>
    <w:rsid w:val="008027CE"/>
    <w:rsid w:val="008029BD"/>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32B6"/>
    <w:rsid w:val="0083348C"/>
    <w:rsid w:val="00834D63"/>
    <w:rsid w:val="008373D3"/>
    <w:rsid w:val="00840617"/>
    <w:rsid w:val="00840982"/>
    <w:rsid w:val="00840F84"/>
    <w:rsid w:val="00842A47"/>
    <w:rsid w:val="00842A7F"/>
    <w:rsid w:val="0084369B"/>
    <w:rsid w:val="00843C13"/>
    <w:rsid w:val="00843F36"/>
    <w:rsid w:val="00844B61"/>
    <w:rsid w:val="008454F8"/>
    <w:rsid w:val="00845781"/>
    <w:rsid w:val="008464A4"/>
    <w:rsid w:val="00846E07"/>
    <w:rsid w:val="0085173A"/>
    <w:rsid w:val="00856609"/>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0D5B"/>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BC1"/>
    <w:rsid w:val="008B2C82"/>
    <w:rsid w:val="008B3615"/>
    <w:rsid w:val="008B4AC4"/>
    <w:rsid w:val="008B50C8"/>
    <w:rsid w:val="008B5281"/>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70BD"/>
    <w:rsid w:val="008F71AB"/>
    <w:rsid w:val="008F788F"/>
    <w:rsid w:val="008F7EA2"/>
    <w:rsid w:val="009003F4"/>
    <w:rsid w:val="00900E5E"/>
    <w:rsid w:val="00902722"/>
    <w:rsid w:val="009027BC"/>
    <w:rsid w:val="0090436B"/>
    <w:rsid w:val="0090460A"/>
    <w:rsid w:val="009048A4"/>
    <w:rsid w:val="00904F24"/>
    <w:rsid w:val="00904F37"/>
    <w:rsid w:val="0090566E"/>
    <w:rsid w:val="009062E6"/>
    <w:rsid w:val="009072CD"/>
    <w:rsid w:val="00910476"/>
    <w:rsid w:val="0091066E"/>
    <w:rsid w:val="00911242"/>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41327"/>
    <w:rsid w:val="0094145D"/>
    <w:rsid w:val="009429D5"/>
    <w:rsid w:val="00942BF1"/>
    <w:rsid w:val="00943D6C"/>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5431"/>
    <w:rsid w:val="009B6029"/>
    <w:rsid w:val="009B6971"/>
    <w:rsid w:val="009C018D"/>
    <w:rsid w:val="009C1E30"/>
    <w:rsid w:val="009C2587"/>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D7D13"/>
    <w:rsid w:val="009E0F62"/>
    <w:rsid w:val="009E1688"/>
    <w:rsid w:val="009E3A73"/>
    <w:rsid w:val="009E4A58"/>
    <w:rsid w:val="009E5A2D"/>
    <w:rsid w:val="009E5AB2"/>
    <w:rsid w:val="009E5B3C"/>
    <w:rsid w:val="009E5CBD"/>
    <w:rsid w:val="009E6219"/>
    <w:rsid w:val="009E7A9E"/>
    <w:rsid w:val="009E7CCD"/>
    <w:rsid w:val="009F008F"/>
    <w:rsid w:val="009F03B3"/>
    <w:rsid w:val="009F0FCC"/>
    <w:rsid w:val="009F272A"/>
    <w:rsid w:val="009F3503"/>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4F6"/>
    <w:rsid w:val="00A4661E"/>
    <w:rsid w:val="00A51383"/>
    <w:rsid w:val="00A5240A"/>
    <w:rsid w:val="00A53D2C"/>
    <w:rsid w:val="00A541CA"/>
    <w:rsid w:val="00A55BD6"/>
    <w:rsid w:val="00A55D50"/>
    <w:rsid w:val="00A57142"/>
    <w:rsid w:val="00A6198A"/>
    <w:rsid w:val="00A633B6"/>
    <w:rsid w:val="00A637FA"/>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673F"/>
    <w:rsid w:val="00B07242"/>
    <w:rsid w:val="00B10534"/>
    <w:rsid w:val="00B113DB"/>
    <w:rsid w:val="00B118E5"/>
    <w:rsid w:val="00B11D8A"/>
    <w:rsid w:val="00B12981"/>
    <w:rsid w:val="00B12B2E"/>
    <w:rsid w:val="00B130C7"/>
    <w:rsid w:val="00B147DD"/>
    <w:rsid w:val="00B156FD"/>
    <w:rsid w:val="00B20556"/>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47A5"/>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C2E"/>
    <w:rsid w:val="00C013AD"/>
    <w:rsid w:val="00C0222E"/>
    <w:rsid w:val="00C04904"/>
    <w:rsid w:val="00C056B3"/>
    <w:rsid w:val="00C060FF"/>
    <w:rsid w:val="00C06825"/>
    <w:rsid w:val="00C07685"/>
    <w:rsid w:val="00C103E5"/>
    <w:rsid w:val="00C13319"/>
    <w:rsid w:val="00C13EE9"/>
    <w:rsid w:val="00C147D6"/>
    <w:rsid w:val="00C163E4"/>
    <w:rsid w:val="00C16707"/>
    <w:rsid w:val="00C17304"/>
    <w:rsid w:val="00C17DA8"/>
    <w:rsid w:val="00C17EE7"/>
    <w:rsid w:val="00C21540"/>
    <w:rsid w:val="00C21906"/>
    <w:rsid w:val="00C21BFA"/>
    <w:rsid w:val="00C22148"/>
    <w:rsid w:val="00C24C8D"/>
    <w:rsid w:val="00C25301"/>
    <w:rsid w:val="00C25FE2"/>
    <w:rsid w:val="00C269BF"/>
    <w:rsid w:val="00C26B53"/>
    <w:rsid w:val="00C278C6"/>
    <w:rsid w:val="00C279B2"/>
    <w:rsid w:val="00C31D26"/>
    <w:rsid w:val="00C3380F"/>
    <w:rsid w:val="00C33E50"/>
    <w:rsid w:val="00C34C20"/>
    <w:rsid w:val="00C35A3E"/>
    <w:rsid w:val="00C372FB"/>
    <w:rsid w:val="00C37AA7"/>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B0F"/>
    <w:rsid w:val="00C86D6F"/>
    <w:rsid w:val="00C86D71"/>
    <w:rsid w:val="00C87C7B"/>
    <w:rsid w:val="00C900D3"/>
    <w:rsid w:val="00C90421"/>
    <w:rsid w:val="00C905FC"/>
    <w:rsid w:val="00C9174C"/>
    <w:rsid w:val="00C92D03"/>
    <w:rsid w:val="00C9319C"/>
    <w:rsid w:val="00C942A3"/>
    <w:rsid w:val="00C9435D"/>
    <w:rsid w:val="00C94DF2"/>
    <w:rsid w:val="00C95179"/>
    <w:rsid w:val="00C96741"/>
    <w:rsid w:val="00C96AC7"/>
    <w:rsid w:val="00C97CAE"/>
    <w:rsid w:val="00CA00D1"/>
    <w:rsid w:val="00CA1CF5"/>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8DB"/>
    <w:rsid w:val="00CC39FF"/>
    <w:rsid w:val="00CC3C2F"/>
    <w:rsid w:val="00CC428C"/>
    <w:rsid w:val="00CC4AC8"/>
    <w:rsid w:val="00CC5233"/>
    <w:rsid w:val="00CC5DE6"/>
    <w:rsid w:val="00CC6024"/>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5F3D"/>
    <w:rsid w:val="00CE6C2C"/>
    <w:rsid w:val="00CF048A"/>
    <w:rsid w:val="00CF0756"/>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45F"/>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4CD4"/>
    <w:rsid w:val="00D766E2"/>
    <w:rsid w:val="00D77031"/>
    <w:rsid w:val="00D774AF"/>
    <w:rsid w:val="00D83706"/>
    <w:rsid w:val="00D83915"/>
    <w:rsid w:val="00D84578"/>
    <w:rsid w:val="00D847F1"/>
    <w:rsid w:val="00D84941"/>
    <w:rsid w:val="00D84A44"/>
    <w:rsid w:val="00D84FA1"/>
    <w:rsid w:val="00D851F0"/>
    <w:rsid w:val="00D86DB7"/>
    <w:rsid w:val="00D87A91"/>
    <w:rsid w:val="00D9169C"/>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32EB"/>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390D"/>
    <w:rsid w:val="00DD4945"/>
    <w:rsid w:val="00DD4FE5"/>
    <w:rsid w:val="00DD54B0"/>
    <w:rsid w:val="00DD57A7"/>
    <w:rsid w:val="00DD57EE"/>
    <w:rsid w:val="00DD5940"/>
    <w:rsid w:val="00DD6BCC"/>
    <w:rsid w:val="00DD75F2"/>
    <w:rsid w:val="00DD7B4A"/>
    <w:rsid w:val="00DE0A4B"/>
    <w:rsid w:val="00DE2410"/>
    <w:rsid w:val="00DE2647"/>
    <w:rsid w:val="00DE2939"/>
    <w:rsid w:val="00DE3033"/>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CCD"/>
    <w:rsid w:val="00E174A5"/>
    <w:rsid w:val="00E202EF"/>
    <w:rsid w:val="00E210B5"/>
    <w:rsid w:val="00E23D99"/>
    <w:rsid w:val="00E24068"/>
    <w:rsid w:val="00E2439F"/>
    <w:rsid w:val="00E2552F"/>
    <w:rsid w:val="00E279DB"/>
    <w:rsid w:val="00E3137A"/>
    <w:rsid w:val="00E32CCF"/>
    <w:rsid w:val="00E32FFE"/>
    <w:rsid w:val="00E344E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408A"/>
    <w:rsid w:val="00E54E7D"/>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67841"/>
    <w:rsid w:val="00E70388"/>
    <w:rsid w:val="00E70D0A"/>
    <w:rsid w:val="00E70F92"/>
    <w:rsid w:val="00E734AD"/>
    <w:rsid w:val="00E748D4"/>
    <w:rsid w:val="00E74C54"/>
    <w:rsid w:val="00E7518A"/>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1670"/>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B05C6"/>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55FC"/>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730C"/>
    <w:rsid w:val="00FF73F4"/>
    <w:rsid w:val="00FF776B"/>
    <w:rsid w:val="00FF7CE4"/>
    <w:rsid w:val="00FF7E39"/>
    <w:rsid w:val="026F1264"/>
    <w:rsid w:val="032177A8"/>
    <w:rsid w:val="095E2D0D"/>
    <w:rsid w:val="09EF71B9"/>
    <w:rsid w:val="0E441416"/>
    <w:rsid w:val="1021564D"/>
    <w:rsid w:val="18950986"/>
    <w:rsid w:val="1E7055EB"/>
    <w:rsid w:val="23201794"/>
    <w:rsid w:val="2D0D6058"/>
    <w:rsid w:val="30B73737"/>
    <w:rsid w:val="35F27E1C"/>
    <w:rsid w:val="4168282C"/>
    <w:rsid w:val="43FD5C23"/>
    <w:rsid w:val="454C5370"/>
    <w:rsid w:val="4EEA0E0F"/>
    <w:rsid w:val="51AA26AE"/>
    <w:rsid w:val="52C553E8"/>
    <w:rsid w:val="554E219B"/>
    <w:rsid w:val="60B27CC3"/>
    <w:rsid w:val="64267309"/>
    <w:rsid w:val="671464E6"/>
    <w:rsid w:val="68103152"/>
    <w:rsid w:val="6A027738"/>
    <w:rsid w:val="6DA32322"/>
    <w:rsid w:val="773C5937"/>
    <w:rsid w:val="7E854409"/>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0"/>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link w:val="240"/>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link w:val="241"/>
    <w:qFormat/>
    <w:uiPriority w:val="0"/>
    <w:pPr>
      <w:numPr>
        <w:ilvl w:val="2"/>
      </w:numPr>
      <w:spacing w:before="50" w:after="50"/>
      <w:ind w:left="0"/>
      <w:outlineLvl w:val="3"/>
    </w:pPr>
    <w:rPr>
      <w:rFonts w:ascii="Times New Roman" w:eastAsia="宋体"/>
    </w:rPr>
  </w:style>
  <w:style w:type="paragraph" w:customStyle="1" w:styleId="236">
    <w:name w:val="三级条标题"/>
    <w:basedOn w:val="235"/>
    <w:next w:val="231"/>
    <w:qFormat/>
    <w:uiPriority w:val="0"/>
    <w:pPr>
      <w:numPr>
        <w:ilvl w:val="3"/>
      </w:numPr>
      <w:ind w:left="0"/>
      <w:outlineLvl w:val="4"/>
    </w:pPr>
  </w:style>
  <w:style w:type="paragraph" w:customStyle="1" w:styleId="237">
    <w:name w:val="四级条标题"/>
    <w:basedOn w:val="236"/>
    <w:next w:val="231"/>
    <w:qFormat/>
    <w:uiPriority w:val="0"/>
    <w:pPr>
      <w:numPr>
        <w:ilvl w:val="4"/>
      </w:numPr>
      <w:ind w:left="0"/>
      <w:outlineLvl w:val="5"/>
    </w:pPr>
  </w:style>
  <w:style w:type="paragraph" w:customStyle="1" w:styleId="238">
    <w:name w:val="五级条标题"/>
    <w:basedOn w:val="237"/>
    <w:next w:val="231"/>
    <w:qFormat/>
    <w:uiPriority w:val="0"/>
    <w:pPr>
      <w:numPr>
        <w:ilvl w:val="5"/>
      </w:numPr>
      <w:ind w:left="0"/>
      <w:outlineLvl w:val="6"/>
    </w:pPr>
  </w:style>
  <w:style w:type="paragraph" w:customStyle="1" w:styleId="239">
    <w:name w:val="前言、引言标题"/>
    <w:next w:val="2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40">
    <w:name w:val="一级条标题 Char"/>
    <w:link w:val="233"/>
    <w:qFormat/>
    <w:uiPriority w:val="0"/>
    <w:rPr>
      <w:rFonts w:ascii="黑体" w:hAnsi="Times New Roman" w:eastAsia="黑体"/>
      <w:sz w:val="21"/>
      <w:szCs w:val="21"/>
    </w:rPr>
  </w:style>
  <w:style w:type="character" w:customStyle="1" w:styleId="241">
    <w:name w:val="二级条标题 Char"/>
    <w:basedOn w:val="240"/>
    <w:link w:val="235"/>
    <w:qFormat/>
    <w:uiPriority w:val="0"/>
    <w:rPr>
      <w:rFonts w:ascii="Times New Roman" w:hAnsi="Times New Roman" w:eastAsia="黑体"/>
      <w:sz w:val="21"/>
      <w:szCs w:val="21"/>
    </w:rPr>
  </w:style>
  <w:style w:type="character" w:customStyle="1" w:styleId="242">
    <w:name w:val="二级无 Char"/>
    <w:link w:val="243"/>
    <w:qFormat/>
    <w:uiPriority w:val="0"/>
    <w:rPr>
      <w:rFonts w:ascii="宋体"/>
      <w:sz w:val="21"/>
      <w:szCs w:val="21"/>
    </w:rPr>
  </w:style>
  <w:style w:type="paragraph" w:customStyle="1" w:styleId="243">
    <w:name w:val="二级无"/>
    <w:basedOn w:val="1"/>
    <w:link w:val="242"/>
    <w:qFormat/>
    <w:uiPriority w:val="0"/>
    <w:pPr>
      <w:widowControl/>
      <w:adjustRightInd/>
      <w:spacing w:line="240" w:lineRule="auto"/>
      <w:jc w:val="left"/>
      <w:outlineLvl w:val="3"/>
    </w:pPr>
    <w:rPr>
      <w:rFonts w:ascii="宋体"/>
      <w:kern w:val="0"/>
    </w:rPr>
  </w:style>
  <w:style w:type="paragraph" w:customStyle="1" w:styleId="244">
    <w:name w:val="表格内文字"/>
    <w:basedOn w:val="1"/>
    <w:link w:val="245"/>
    <w:qFormat/>
    <w:uiPriority w:val="0"/>
    <w:pPr>
      <w:adjustRightInd/>
      <w:spacing w:line="240" w:lineRule="auto"/>
      <w:jc w:val="center"/>
    </w:pPr>
    <w:rPr>
      <w:rFonts w:cs="宋体"/>
      <w:kern w:val="0"/>
      <w:szCs w:val="18"/>
      <w:shd w:val="clear" w:color="auto" w:fill="FFFFFF"/>
      <w:lang w:val="zh-TW" w:eastAsia="zh-TW"/>
    </w:rPr>
  </w:style>
  <w:style w:type="character" w:customStyle="1" w:styleId="245">
    <w:name w:val="表格内文字 Char"/>
    <w:link w:val="244"/>
    <w:qFormat/>
    <w:uiPriority w:val="0"/>
    <w:rPr>
      <w:rFonts w:ascii="Times New Roman" w:hAnsi="Times New Roman" w:cs="宋体"/>
      <w:sz w:val="21"/>
      <w:szCs w:val="18"/>
      <w:lang w:val="zh-TW" w:eastAsia="zh-TW"/>
    </w:rPr>
  </w:style>
  <w:style w:type="paragraph" w:customStyle="1" w:styleId="246">
    <w:name w:val="图表明"/>
    <w:basedOn w:val="231"/>
    <w:link w:val="247"/>
    <w:qFormat/>
    <w:uiPriority w:val="0"/>
    <w:pPr>
      <w:ind w:firstLine="0" w:firstLineChars="0"/>
      <w:jc w:val="center"/>
    </w:pPr>
    <w:rPr>
      <w:rFonts w:hAnsi="宋体"/>
      <w:szCs w:val="21"/>
    </w:rPr>
  </w:style>
  <w:style w:type="character" w:customStyle="1" w:styleId="247">
    <w:name w:val="图表明 Char"/>
    <w:link w:val="246"/>
    <w:qFormat/>
    <w:uiPriority w:val="0"/>
    <w:rPr>
      <w:rFonts w:ascii="宋体" w:hAnsi="宋体"/>
      <w:sz w:val="21"/>
      <w:szCs w:val="21"/>
    </w:rPr>
  </w:style>
  <w:style w:type="paragraph" w:customStyle="1" w:styleId="248">
    <w:name w:val="a)"/>
    <w:basedOn w:val="1"/>
    <w:link w:val="249"/>
    <w:qFormat/>
    <w:uiPriority w:val="0"/>
    <w:pPr>
      <w:adjustRightInd/>
      <w:spacing w:line="240" w:lineRule="auto"/>
      <w:ind w:firstLine="150" w:firstLineChars="150"/>
    </w:pPr>
    <w:rPr>
      <w:rFonts w:ascii="宋体" w:hAnsi="宋体"/>
      <w:szCs w:val="24"/>
    </w:rPr>
  </w:style>
  <w:style w:type="character" w:customStyle="1" w:styleId="249">
    <w:name w:val="a) Char"/>
    <w:link w:val="248"/>
    <w:qFormat/>
    <w:uiPriority w:val="0"/>
    <w:rPr>
      <w:rFonts w:ascii="宋体" w:hAnsi="宋体"/>
      <w:kern w:val="2"/>
      <w:sz w:val="21"/>
      <w:szCs w:val="24"/>
    </w:rPr>
  </w:style>
  <w:style w:type="paragraph" w:customStyle="1" w:styleId="250">
    <w:name w:val="Table Text"/>
    <w:basedOn w:val="1"/>
    <w:semiHidden/>
    <w:qFormat/>
    <w:uiPriority w:val="0"/>
    <w:pPr>
      <w:widowControl/>
      <w:kinsoku w:val="0"/>
      <w:autoSpaceDE w:val="0"/>
      <w:autoSpaceDN w:val="0"/>
      <w:snapToGrid w:val="0"/>
      <w:spacing w:line="240" w:lineRule="auto"/>
      <w:jc w:val="left"/>
      <w:textAlignment w:val="baseline"/>
    </w:pPr>
    <w:rPr>
      <w:color w:val="000000"/>
      <w:kern w:val="0"/>
      <w:sz w:val="18"/>
      <w:szCs w:val="18"/>
    </w:rPr>
  </w:style>
  <w:style w:type="table" w:customStyle="1" w:styleId="251">
    <w:name w:val="Table Normal"/>
    <w:basedOn w:val="27"/>
    <w:qFormat/>
    <w:uiPriority w:val="0"/>
    <w:rPr>
      <w:rFonts w:ascii="Times New Roman" w:hAnsi="Times New Roman" w:eastAsia="Times New Roman"/>
    </w:rPr>
    <w:tblPr>
      <w:tblCellMar>
        <w:top w:w="0" w:type="dxa"/>
        <w:left w:w="0" w:type="dxa"/>
        <w:bottom w:w="0" w:type="dxa"/>
        <w:right w:w="0" w:type="dxa"/>
      </w:tblCellMar>
    </w:tblPr>
  </w:style>
  <w:style w:type="paragraph" w:customStyle="1" w:styleId="252">
    <w:name w:val="公式"/>
    <w:basedOn w:val="1"/>
    <w:link w:val="253"/>
    <w:qFormat/>
    <w:uiPriority w:val="0"/>
    <w:pPr>
      <w:tabs>
        <w:tab w:val="center" w:pos="4305"/>
        <w:tab w:val="center" w:pos="10605"/>
      </w:tabs>
      <w:adjustRightInd/>
      <w:spacing w:line="240" w:lineRule="auto"/>
      <w:textAlignment w:val="center"/>
    </w:pPr>
    <w:rPr>
      <w:kern w:val="0"/>
      <w:szCs w:val="24"/>
    </w:rPr>
  </w:style>
  <w:style w:type="character" w:customStyle="1" w:styleId="253">
    <w:name w:val="公式 Char"/>
    <w:link w:val="252"/>
    <w:qFormat/>
    <w:uiPriority w:val="0"/>
    <w:rPr>
      <w:rFonts w:ascii="Times New Roman" w:hAnsi="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AD0DED-417B-4859-997D-D1E77D8AC520}">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14</Pages>
  <Words>2889</Words>
  <Characters>3340</Characters>
  <Lines>73</Lines>
  <Paragraphs>20</Paragraphs>
  <TotalTime>0</TotalTime>
  <ScaleCrop>false</ScaleCrop>
  <LinksUpToDate>false</LinksUpToDate>
  <CharactersWithSpaces>3493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2023-05-09T05:20:00Z</dcterms:created>
  <dc:creator>17323</dc:creator>
  <dc:description>&lt;config cover="true" show_menu="true" version="1.0.0" doctype="SDKXY"&gt;
&lt;/config&gt;</dc:description>
  <cp:lastModifiedBy>一起看星星吧</cp:lastModifiedBy>
  <cp:lastPrinted>2022-08-18T04:31:00Z</cp:lastPrinted>
  <dcterms:modified xsi:type="dcterms:W3CDTF">2024-11-08T07:50:01Z</dcterms:modified>
  <dc:title>地方标准</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DDA75DF5DFE04AE79A9A1AEB2DBE4754_13</vt:lpwstr>
  </property>
</Properties>
</file>