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431F7">
      <w:pPr>
        <w:jc w:val="center"/>
        <w:rPr>
          <w:rFonts w:hint="eastAsia"/>
        </w:rPr>
      </w:pPr>
    </w:p>
    <w:p w14:paraId="71EDB7AE">
      <w:pPr>
        <w:jc w:val="center"/>
        <w:rPr>
          <w:rFonts w:hint="eastAsia"/>
        </w:rPr>
      </w:pPr>
    </w:p>
    <w:p w14:paraId="47AC7E14">
      <w:pPr>
        <w:jc w:val="center"/>
        <w:rPr>
          <w:rFonts w:hint="eastAsia"/>
        </w:rPr>
      </w:pPr>
    </w:p>
    <w:p w14:paraId="3F6DA673">
      <w:pPr>
        <w:jc w:val="center"/>
        <w:rPr>
          <w:rFonts w:hint="eastAsia"/>
        </w:rPr>
      </w:pPr>
    </w:p>
    <w:p w14:paraId="6C9753CE">
      <w:pPr>
        <w:jc w:val="center"/>
        <w:rPr>
          <w:rFonts w:hint="eastAsia"/>
        </w:rPr>
      </w:pPr>
    </w:p>
    <w:p w14:paraId="0476F15D">
      <w:pPr>
        <w:jc w:val="center"/>
        <w:rPr>
          <w:rFonts w:hint="eastAsia"/>
        </w:rPr>
      </w:pPr>
    </w:p>
    <w:p w14:paraId="62162312">
      <w:pPr>
        <w:jc w:val="center"/>
        <w:rPr>
          <w:rFonts w:hint="eastAsia"/>
        </w:rPr>
      </w:pPr>
    </w:p>
    <w:p w14:paraId="064C62C7">
      <w:pPr>
        <w:jc w:val="center"/>
        <w:rPr>
          <w:rFonts w:hint="eastAsia"/>
        </w:rPr>
      </w:pPr>
    </w:p>
    <w:p w14:paraId="3B761BB9">
      <w:pPr>
        <w:jc w:val="center"/>
        <w:rPr>
          <w:rFonts w:hint="eastAsia"/>
        </w:rPr>
      </w:pPr>
    </w:p>
    <w:p w14:paraId="3D126139">
      <w:pPr>
        <w:jc w:val="center"/>
        <w:rPr>
          <w:rFonts w:hint="eastAsia"/>
        </w:rPr>
      </w:pPr>
    </w:p>
    <w:p w14:paraId="05289975">
      <w:pPr>
        <w:jc w:val="center"/>
        <w:rPr>
          <w:rFonts w:hint="eastAsia"/>
        </w:rPr>
      </w:pPr>
    </w:p>
    <w:p w14:paraId="0193D781">
      <w:pPr>
        <w:jc w:val="center"/>
        <w:rPr>
          <w:rFonts w:hint="eastAsia"/>
        </w:rPr>
      </w:pPr>
    </w:p>
    <w:p w14:paraId="1FBF139B">
      <w:pPr>
        <w:jc w:val="center"/>
        <w:rPr>
          <w:rFonts w:hint="eastAsia"/>
        </w:rPr>
      </w:pPr>
    </w:p>
    <w:p w14:paraId="005FED71">
      <w:pPr>
        <w:jc w:val="center"/>
        <w:rPr>
          <w:rFonts w:hint="eastAsia" w:ascii="迷你简小标宋" w:hAnsi="宋体" w:eastAsia="迷你简小标宋"/>
          <w:sz w:val="44"/>
          <w:szCs w:val="44"/>
        </w:rPr>
      </w:pPr>
      <w:r>
        <w:rPr>
          <w:rFonts w:hint="eastAsia" w:ascii="迷你简小标宋" w:hAnsi="宋体" w:eastAsia="迷你简小标宋"/>
          <w:sz w:val="44"/>
          <w:szCs w:val="44"/>
        </w:rPr>
        <w:t>《气垫式单托辊皮带输送机》</w:t>
      </w:r>
    </w:p>
    <w:p w14:paraId="7B24B5A4">
      <w:pPr>
        <w:jc w:val="center"/>
        <w:rPr>
          <w:rFonts w:hint="eastAsia" w:ascii="迷你简小标宋" w:hAnsi="宋体" w:eastAsia="迷你简小标宋"/>
          <w:sz w:val="44"/>
          <w:szCs w:val="44"/>
        </w:rPr>
      </w:pPr>
    </w:p>
    <w:p w14:paraId="4A5955DE">
      <w:pPr>
        <w:jc w:val="center"/>
        <w:rPr>
          <w:rFonts w:hint="eastAsia" w:ascii="迷你简小标宋" w:hAnsi="宋体" w:eastAsia="迷你简小标宋"/>
          <w:sz w:val="44"/>
          <w:szCs w:val="44"/>
        </w:rPr>
      </w:pPr>
      <w:r>
        <w:rPr>
          <w:rFonts w:hint="eastAsia" w:ascii="迷你简小标宋" w:hAnsi="宋体" w:eastAsia="迷你简小标宋"/>
          <w:sz w:val="44"/>
          <w:szCs w:val="44"/>
        </w:rPr>
        <w:t>编制说明</w:t>
      </w:r>
    </w:p>
    <w:p w14:paraId="60400AE0">
      <w:pPr>
        <w:jc w:val="center"/>
        <w:rPr>
          <w:rFonts w:hint="eastAsia"/>
        </w:rPr>
      </w:pPr>
    </w:p>
    <w:p w14:paraId="13EE1C6D">
      <w:pPr>
        <w:jc w:val="center"/>
        <w:rPr>
          <w:rFonts w:hint="eastAsia"/>
        </w:rPr>
      </w:pPr>
    </w:p>
    <w:p w14:paraId="30C54E67">
      <w:pPr>
        <w:jc w:val="center"/>
        <w:rPr>
          <w:rFonts w:hint="eastAsia"/>
        </w:rPr>
      </w:pPr>
    </w:p>
    <w:p w14:paraId="1C5D7FDD">
      <w:pPr>
        <w:jc w:val="center"/>
        <w:rPr>
          <w:rFonts w:hint="eastAsia"/>
        </w:rPr>
      </w:pPr>
    </w:p>
    <w:p w14:paraId="49FF0ED6">
      <w:pPr>
        <w:jc w:val="center"/>
        <w:rPr>
          <w:rFonts w:hint="eastAsia"/>
        </w:rPr>
      </w:pPr>
    </w:p>
    <w:p w14:paraId="58E90181">
      <w:pPr>
        <w:jc w:val="center"/>
        <w:rPr>
          <w:rFonts w:hint="eastAsia"/>
        </w:rPr>
      </w:pPr>
    </w:p>
    <w:p w14:paraId="7DEBA2ED">
      <w:pPr>
        <w:jc w:val="center"/>
        <w:rPr>
          <w:rFonts w:hint="eastAsia"/>
        </w:rPr>
      </w:pPr>
    </w:p>
    <w:p w14:paraId="53D661F8">
      <w:pPr>
        <w:jc w:val="center"/>
        <w:rPr>
          <w:rFonts w:hint="eastAsia"/>
        </w:rPr>
      </w:pPr>
    </w:p>
    <w:p w14:paraId="62795B4E">
      <w:pPr>
        <w:jc w:val="center"/>
        <w:rPr>
          <w:rFonts w:hint="eastAsia"/>
        </w:rPr>
      </w:pPr>
    </w:p>
    <w:p w14:paraId="64B0B4F9">
      <w:pPr>
        <w:jc w:val="center"/>
        <w:rPr>
          <w:rFonts w:hint="eastAsia"/>
        </w:rPr>
      </w:pPr>
    </w:p>
    <w:p w14:paraId="6A1B950A">
      <w:pPr>
        <w:jc w:val="center"/>
        <w:rPr>
          <w:rFonts w:hint="eastAsia" w:ascii="宋体" w:hAnsi="宋体" w:eastAsia="宋体"/>
          <w:sz w:val="28"/>
          <w:szCs w:val="28"/>
        </w:rPr>
      </w:pPr>
      <w:r>
        <w:rPr>
          <w:rFonts w:hint="eastAsia" w:ascii="宋体" w:hAnsi="宋体" w:eastAsia="宋体"/>
          <w:sz w:val="28"/>
          <w:szCs w:val="28"/>
        </w:rPr>
        <w:t xml:space="preserve">团标制定工作组 </w:t>
      </w:r>
    </w:p>
    <w:p w14:paraId="3F317FA4">
      <w:pPr>
        <w:jc w:val="center"/>
        <w:rPr>
          <w:rFonts w:hint="eastAsia" w:ascii="宋体" w:hAnsi="宋体" w:eastAsia="宋体"/>
          <w:sz w:val="28"/>
          <w:szCs w:val="28"/>
        </w:rPr>
      </w:pPr>
    </w:p>
    <w:p w14:paraId="68FA9CB4">
      <w:pPr>
        <w:jc w:val="center"/>
        <w:rPr>
          <w:rFonts w:hint="eastAsia" w:ascii="宋体" w:hAnsi="宋体" w:eastAsia="宋体"/>
          <w:sz w:val="28"/>
          <w:szCs w:val="28"/>
        </w:rPr>
      </w:pPr>
      <w:r>
        <w:rPr>
          <w:rFonts w:hint="eastAsia" w:ascii="宋体" w:hAnsi="宋体" w:eastAsia="宋体"/>
          <w:sz w:val="28"/>
          <w:szCs w:val="28"/>
        </w:rPr>
        <w:t>二零二四年十月</w:t>
      </w:r>
    </w:p>
    <w:p w14:paraId="715A9555">
      <w:pPr>
        <w:jc w:val="center"/>
        <w:rPr>
          <w:rFonts w:hint="eastAsia" w:ascii="宋体" w:hAnsi="宋体" w:eastAsia="宋体"/>
          <w:sz w:val="28"/>
          <w:szCs w:val="28"/>
        </w:rPr>
      </w:pPr>
    </w:p>
    <w:p w14:paraId="3B1FC5F4">
      <w:pPr>
        <w:jc w:val="center"/>
        <w:rPr>
          <w:rFonts w:hint="eastAsia" w:ascii="宋体" w:hAnsi="宋体" w:eastAsia="宋体"/>
          <w:sz w:val="28"/>
          <w:szCs w:val="28"/>
        </w:rPr>
      </w:pPr>
    </w:p>
    <w:p w14:paraId="4CFA0705">
      <w:pPr>
        <w:jc w:val="center"/>
        <w:rPr>
          <w:rFonts w:hint="eastAsia" w:ascii="宋体" w:hAnsi="宋体" w:eastAsia="宋体"/>
          <w:sz w:val="28"/>
          <w:szCs w:val="28"/>
        </w:rPr>
      </w:pPr>
    </w:p>
    <w:p w14:paraId="2EEC1B71">
      <w:pPr>
        <w:jc w:val="center"/>
        <w:rPr>
          <w:rFonts w:hint="eastAsia" w:ascii="宋体" w:hAnsi="宋体" w:eastAsia="宋体"/>
          <w:sz w:val="28"/>
          <w:szCs w:val="28"/>
        </w:rPr>
      </w:pPr>
    </w:p>
    <w:p w14:paraId="32E5829C">
      <w:pPr>
        <w:jc w:val="center"/>
        <w:rPr>
          <w:rFonts w:hint="eastAsia" w:ascii="宋体" w:hAnsi="宋体" w:eastAsia="宋体"/>
          <w:sz w:val="28"/>
          <w:szCs w:val="28"/>
        </w:rPr>
      </w:pPr>
    </w:p>
    <w:p w14:paraId="29D07C3B">
      <w:pPr>
        <w:jc w:val="center"/>
        <w:rPr>
          <w:rFonts w:hint="eastAsia" w:ascii="宋体" w:hAnsi="宋体" w:eastAsia="宋体"/>
          <w:sz w:val="28"/>
          <w:szCs w:val="28"/>
        </w:rPr>
      </w:pPr>
    </w:p>
    <w:p w14:paraId="3E3AA9F1">
      <w:pPr>
        <w:jc w:val="center"/>
        <w:rPr>
          <w:rFonts w:hint="eastAsia" w:ascii="宋体" w:hAnsi="宋体" w:eastAsia="宋体"/>
          <w:sz w:val="28"/>
          <w:szCs w:val="28"/>
        </w:rPr>
      </w:pPr>
    </w:p>
    <w:p w14:paraId="6B965977">
      <w:pPr>
        <w:jc w:val="center"/>
        <w:rPr>
          <w:rFonts w:hint="eastAsia" w:ascii="宋体" w:hAnsi="宋体" w:eastAsia="宋体"/>
          <w:sz w:val="28"/>
          <w:szCs w:val="28"/>
        </w:rPr>
      </w:pPr>
    </w:p>
    <w:p w14:paraId="01F31F0C">
      <w:pPr>
        <w:jc w:val="center"/>
        <w:rPr>
          <w:rFonts w:hint="eastAsia" w:ascii="宋体" w:hAnsi="宋体" w:eastAsia="宋体"/>
          <w:sz w:val="28"/>
          <w:szCs w:val="28"/>
        </w:rPr>
      </w:pPr>
    </w:p>
    <w:p w14:paraId="66FAC9BA">
      <w:pPr>
        <w:jc w:val="center"/>
        <w:rPr>
          <w:rFonts w:hint="eastAsia" w:ascii="宋体" w:hAnsi="宋体" w:eastAsia="宋体"/>
          <w:sz w:val="28"/>
          <w:szCs w:val="28"/>
        </w:rPr>
      </w:pPr>
    </w:p>
    <w:p w14:paraId="3E19D185">
      <w:pPr>
        <w:jc w:val="center"/>
        <w:rPr>
          <w:rFonts w:hint="eastAsia" w:ascii="宋体" w:hAnsi="宋体" w:eastAsia="宋体"/>
          <w:sz w:val="28"/>
          <w:szCs w:val="28"/>
        </w:rPr>
      </w:pPr>
    </w:p>
    <w:p w14:paraId="7F87A9D6">
      <w:pPr>
        <w:pStyle w:val="14"/>
        <w:numPr>
          <w:ilvl w:val="0"/>
          <w:numId w:val="1"/>
        </w:numPr>
        <w:spacing w:line="360" w:lineRule="auto"/>
        <w:ind w:firstLineChars="0"/>
        <w:jc w:val="left"/>
        <w:rPr>
          <w:rFonts w:hint="eastAsia" w:ascii="宋体" w:hAnsi="宋体" w:eastAsia="宋体"/>
          <w:b/>
          <w:bCs/>
          <w:sz w:val="28"/>
          <w:szCs w:val="28"/>
        </w:rPr>
      </w:pPr>
      <w:r>
        <w:rPr>
          <w:rFonts w:hint="eastAsia" w:ascii="宋体" w:hAnsi="宋体" w:eastAsia="宋体"/>
          <w:b/>
          <w:bCs/>
          <w:sz w:val="28"/>
          <w:szCs w:val="28"/>
        </w:rPr>
        <w:t>工作简况</w:t>
      </w:r>
    </w:p>
    <w:p w14:paraId="128B84BC">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r>
        <w:rPr>
          <w:rFonts w:ascii="宋体" w:hAnsi="宋体" w:eastAsia="宋体"/>
          <w:b/>
          <w:bCs/>
          <w:sz w:val="28"/>
          <w:szCs w:val="28"/>
        </w:rPr>
        <w:t xml:space="preserve"> </w:t>
      </w:r>
    </w:p>
    <w:p w14:paraId="0D6FDBD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根据</w:t>
      </w:r>
      <w:r>
        <w:rPr>
          <w:rFonts w:ascii="宋体" w:hAnsi="宋体" w:eastAsia="宋体"/>
          <w:sz w:val="28"/>
          <w:szCs w:val="28"/>
        </w:rPr>
        <w:t xml:space="preserve"> 202</w:t>
      </w:r>
      <w:r>
        <w:rPr>
          <w:rFonts w:hint="eastAsia" w:ascii="宋体" w:hAnsi="宋体" w:eastAsia="宋体"/>
          <w:sz w:val="28"/>
          <w:szCs w:val="28"/>
        </w:rPr>
        <w:t>4</w:t>
      </w:r>
      <w:r>
        <w:rPr>
          <w:rFonts w:ascii="宋体" w:hAnsi="宋体" w:eastAsia="宋体"/>
          <w:sz w:val="28"/>
          <w:szCs w:val="28"/>
        </w:rPr>
        <w:t>年全国标准化工作要点，大力推动实施标准化战略，</w:t>
      </w:r>
      <w:r>
        <w:rPr>
          <w:rFonts w:hint="eastAsia" w:ascii="宋体" w:hAnsi="宋体" w:eastAsia="宋体"/>
          <w:sz w:val="28"/>
          <w:szCs w:val="28"/>
        </w:rPr>
        <w:t>持续深化标准化工作改革，加强标准体系建设，提升引领高质量发展的能力。依据《中华人民共和国标准化法》，以及《团体标准管理规定》相关规定，江苏谷瑞斯机电工程有限公司联合扬州弘思百佳科技有限公司、纵坐标（江苏）标准技术服务有限公司等相关单位共同制定《气垫式单托辊皮带输送机》团体标准。</w:t>
      </w:r>
    </w:p>
    <w:p w14:paraId="175296A3">
      <w:pPr>
        <w:spacing w:line="360" w:lineRule="auto"/>
        <w:jc w:val="left"/>
        <w:rPr>
          <w:rFonts w:hint="eastAsia" w:ascii="宋体" w:hAnsi="宋体" w:eastAsia="宋体"/>
          <w:b/>
          <w:bCs/>
          <w:sz w:val="28"/>
          <w:szCs w:val="28"/>
        </w:rPr>
      </w:pPr>
      <w:r>
        <w:rPr>
          <w:rFonts w:hint="eastAsia" w:ascii="宋体" w:hAnsi="宋体" w:eastAsia="宋体"/>
          <w:b/>
          <w:bCs/>
          <w:sz w:val="28"/>
          <w:szCs w:val="28"/>
        </w:rPr>
        <w:t>（二）编制</w:t>
      </w:r>
      <w:r>
        <w:rPr>
          <w:rFonts w:ascii="宋体" w:hAnsi="宋体" w:eastAsia="宋体"/>
          <w:b/>
          <w:bCs/>
          <w:sz w:val="28"/>
          <w:szCs w:val="28"/>
        </w:rPr>
        <w:t xml:space="preserve">背景及目的 </w:t>
      </w:r>
    </w:p>
    <w:p w14:paraId="0CAE6A16">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传统托辊皮带输送机的主要缺点在于其制造精度不高，导致运行不平稳、噪音明显，以及需要频繁更换和维护，从而增加了维护成本和影响了生产效率。本项目旨在替代传统的托辊皮带输送机，满足现代工业对高产、高效、集约化、绿色化生产的需要，提高市场上输送机的整体性能和生产企业的经济效益。</w:t>
      </w:r>
    </w:p>
    <w:p w14:paraId="7854E6C8">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气垫式单托辊皮带输送机相较于其他托辊带式输送机，进行了创新的优化设计，采用全封闭结构，解决了传统托辊支撑方式存在的易磨损与阻力大的问题。具有运行平稳、工作可靠、输送量大、运行阻力小、密闭输送、扬尘零污染等优点。在减少物料洒落、节能效果、降低运维成本等方面优势显著，可广泛适用于粮食、煤炭、电力、冶金、化工、机械、轻工、港口和建材等行业。 </w:t>
      </w:r>
    </w:p>
    <w:p w14:paraId="1563E88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综上所述，通过《气垫式单托辊皮带输送机》团体标准的制定，可以规范气垫式单托辊皮带输送机的生产制造和提供技术指导，使其在工业中的应用满足现代工业生产的需求，为国内的输送机的发展提供技术性参考，从而推动整个输送机行业的技术进步和可持续发展。</w:t>
      </w:r>
    </w:p>
    <w:p w14:paraId="2F20A535">
      <w:pPr>
        <w:spacing w:line="360" w:lineRule="auto"/>
        <w:jc w:val="left"/>
        <w:rPr>
          <w:rFonts w:hint="eastAsia"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126EA744">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1、项目立项阶段</w:t>
      </w:r>
    </w:p>
    <w:p w14:paraId="3A139A58">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由江苏谷瑞斯机电工程有限公司、扬州弘思百佳科技有限公司、纵坐标（江苏）标准技术服务有限公司等相关单位的</w:t>
      </w:r>
      <w:r>
        <w:rPr>
          <w:rFonts w:ascii="宋体" w:hAnsi="宋体" w:eastAsia="宋体"/>
          <w:sz w:val="28"/>
          <w:szCs w:val="28"/>
        </w:rPr>
        <w:t>技术人员共同成立了标准起草组，制定了详细的工作方案和实施计划，</w:t>
      </w:r>
      <w:r>
        <w:rPr>
          <w:rFonts w:hint="eastAsia" w:ascii="宋体" w:hAnsi="宋体" w:eastAsia="宋体"/>
          <w:sz w:val="28"/>
          <w:szCs w:val="28"/>
        </w:rPr>
        <w:t>研究分析相关领域标准制修订情况和单托辊皮带输送机行业发展现状</w:t>
      </w:r>
      <w:r>
        <w:rPr>
          <w:rFonts w:ascii="宋体" w:hAnsi="宋体" w:eastAsia="宋体"/>
          <w:sz w:val="28"/>
          <w:szCs w:val="28"/>
        </w:rPr>
        <w:t>，在此基础上结合</w:t>
      </w:r>
      <w:r>
        <w:rPr>
          <w:rFonts w:hint="eastAsia" w:ascii="宋体" w:hAnsi="宋体" w:eastAsia="宋体"/>
          <w:sz w:val="28"/>
          <w:szCs w:val="28"/>
        </w:rPr>
        <w:t>起草单位的</w:t>
      </w:r>
      <w:r>
        <w:rPr>
          <w:rFonts w:ascii="宋体" w:hAnsi="宋体" w:eastAsia="宋体"/>
          <w:sz w:val="28"/>
          <w:szCs w:val="28"/>
        </w:rPr>
        <w:t>生产实际，多次召开内部研讨会议，确定了标准名称，并完成该项团体标准的立项工作。</w:t>
      </w:r>
    </w:p>
    <w:p w14:paraId="1D14F61E">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2、理论研究阶段</w:t>
      </w:r>
    </w:p>
    <w:p w14:paraId="48328FB3">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标准起草组广泛搜集相关标准和国外技术资料，进行了大量的研究分析、资料查证工作，确定了标准的制定原则，结合现有产品实际应用经验，为标准的起草奠定了基础。</w:t>
      </w:r>
    </w:p>
    <w:p w14:paraId="56BFA5B6">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标准起草组进一步研究气垫式单托辊皮带输送机的主要技术特点，明确了要求，为标准的具体起草指明方向。</w:t>
      </w:r>
    </w:p>
    <w:p w14:paraId="11450F3C">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w:t>
      </w:r>
      <w:r>
        <w:rPr>
          <w:rFonts w:ascii="宋体" w:hAnsi="宋体" w:eastAsia="宋体"/>
          <w:sz w:val="28"/>
          <w:szCs w:val="28"/>
        </w:rPr>
        <w:t>标准起草阶段</w:t>
      </w:r>
    </w:p>
    <w:p w14:paraId="21663BA7">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在理论研究基础上，标准起草组在标准编制过程中充分借鉴已有的理论研究和实践成果，基于我们基本国情，经过多次研讨和数次修改，形成了《气垫式单托辊皮带输送机》（标准草案稿）。</w:t>
      </w:r>
    </w:p>
    <w:p w14:paraId="6A0B3AC0">
      <w:pPr>
        <w:topLinePunct/>
        <w:spacing w:line="360" w:lineRule="auto"/>
        <w:ind w:firstLine="560" w:firstLineChars="200"/>
        <w:jc w:val="left"/>
        <w:rPr>
          <w:rFonts w:hint="eastAsia" w:ascii="宋体" w:hAnsi="宋体" w:eastAsia="宋体"/>
          <w:sz w:val="28"/>
          <w:szCs w:val="28"/>
        </w:rPr>
      </w:pPr>
      <w:r>
        <w:rPr>
          <w:rFonts w:ascii="宋体" w:hAnsi="宋体" w:eastAsia="宋体"/>
          <w:sz w:val="28"/>
          <w:szCs w:val="28"/>
        </w:rPr>
        <w:t>4、标准征求意见阶段</w:t>
      </w:r>
    </w:p>
    <w:p w14:paraId="4BD9C3B9">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形成标准草案稿之后，标准起草组召开了多次专家研讨会，从标准框架、标准具体内容等角度广泛征求多方意见，从理论完善和实践应用方面提升标准的适用性和实用性。经过理论研究和方法验证，形成了《气垫式单托辊皮带输送机》（征求意见稿）。</w:t>
      </w:r>
    </w:p>
    <w:p w14:paraId="38C16F82">
      <w:pPr>
        <w:numPr>
          <w:ilvl w:val="0"/>
          <w:numId w:val="2"/>
        </w:numPr>
        <w:topLinePunct/>
        <w:spacing w:line="360" w:lineRule="auto"/>
        <w:ind w:firstLine="560" w:firstLineChars="200"/>
        <w:jc w:val="left"/>
        <w:rPr>
          <w:rFonts w:hint="eastAsia" w:ascii="宋体" w:hAnsi="宋体" w:eastAsia="宋体"/>
          <w:sz w:val="28"/>
          <w:szCs w:val="28"/>
        </w:rPr>
      </w:pPr>
      <w:bookmarkStart w:id="0" w:name="_Hlk179391965"/>
      <w:r>
        <w:rPr>
          <w:rFonts w:hint="eastAsia" w:ascii="宋体" w:hAnsi="宋体" w:eastAsia="宋体"/>
          <w:sz w:val="28"/>
          <w:szCs w:val="28"/>
        </w:rPr>
        <w:t>专家审核</w:t>
      </w:r>
    </w:p>
    <w:p w14:paraId="5A9BC1C7">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本标准拟定于2024年1</w:t>
      </w:r>
      <w:r>
        <w:rPr>
          <w:rFonts w:hint="eastAsia" w:ascii="宋体" w:hAnsi="宋体" w:eastAsia="宋体"/>
          <w:sz w:val="28"/>
          <w:szCs w:val="28"/>
          <w:lang w:val="en-US" w:eastAsia="zh-CN"/>
        </w:rPr>
        <w:t>2</w:t>
      </w:r>
      <w:r>
        <w:rPr>
          <w:rFonts w:hint="eastAsia" w:ascii="宋体" w:hAnsi="宋体" w:eastAsia="宋体"/>
          <w:sz w:val="28"/>
          <w:szCs w:val="28"/>
        </w:rPr>
        <w:t>月进行专家审核。</w:t>
      </w:r>
    </w:p>
    <w:p w14:paraId="736498A7">
      <w:pPr>
        <w:topLinePunct/>
        <w:spacing w:line="360" w:lineRule="auto"/>
        <w:ind w:firstLine="560" w:firstLineChars="200"/>
        <w:jc w:val="left"/>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6、发布</w:t>
      </w:r>
    </w:p>
    <w:p w14:paraId="75414011">
      <w:pPr>
        <w:topLinePunct/>
        <w:spacing w:line="360" w:lineRule="auto"/>
        <w:ind w:firstLine="560" w:firstLineChars="200"/>
        <w:jc w:val="left"/>
        <w:rPr>
          <w:rFonts w:hint="eastAsia" w:ascii="宋体" w:hAnsi="宋体" w:eastAsia="宋体"/>
          <w:color w:val="FF0000"/>
          <w:sz w:val="28"/>
          <w:szCs w:val="28"/>
        </w:rPr>
      </w:pPr>
      <w:r>
        <w:rPr>
          <w:rFonts w:hint="eastAsia" w:ascii="宋体" w:hAnsi="宋体" w:eastAsia="宋体"/>
          <w:color w:val="000000" w:themeColor="text1"/>
          <w:sz w:val="28"/>
          <w:szCs w:val="28"/>
          <w14:textFill>
            <w14:solidFill>
              <w14:schemeClr w14:val="tx1"/>
            </w14:solidFill>
          </w14:textFill>
        </w:rPr>
        <w:t>本标准拟定于</w:t>
      </w:r>
      <w:r>
        <w:rPr>
          <w:rFonts w:ascii="宋体" w:hAnsi="宋体" w:eastAsia="宋体"/>
          <w:color w:val="000000" w:themeColor="text1"/>
          <w:sz w:val="28"/>
          <w:szCs w:val="28"/>
          <w14:textFill>
            <w14:solidFill>
              <w14:schemeClr w14:val="tx1"/>
            </w14:solidFill>
          </w14:textFill>
        </w:rPr>
        <w:t>2024</w:t>
      </w:r>
      <w:r>
        <w:rPr>
          <w:rFonts w:hint="eastAsia" w:ascii="宋体" w:hAnsi="宋体" w:eastAsia="宋体"/>
          <w:color w:val="000000" w:themeColor="text1"/>
          <w:sz w:val="28"/>
          <w:szCs w:val="28"/>
          <w14:textFill>
            <w14:solidFill>
              <w14:schemeClr w14:val="tx1"/>
            </w14:solidFill>
          </w14:textFill>
        </w:rPr>
        <w:t>年1</w:t>
      </w:r>
      <w:r>
        <w:rPr>
          <w:rFonts w:hint="eastAsia" w:ascii="宋体" w:hAnsi="宋体" w:eastAsia="宋体"/>
          <w:color w:val="000000" w:themeColor="text1"/>
          <w:sz w:val="28"/>
          <w:szCs w:val="28"/>
          <w:lang w:val="en-US" w:eastAsia="zh-CN"/>
          <w14:textFill>
            <w14:solidFill>
              <w14:schemeClr w14:val="tx1"/>
            </w14:solidFill>
          </w14:textFill>
        </w:rPr>
        <w:t>2</w:t>
      </w:r>
      <w:bookmarkStart w:id="2" w:name="_GoBack"/>
      <w:bookmarkEnd w:id="2"/>
      <w:r>
        <w:rPr>
          <w:rFonts w:hint="eastAsia" w:ascii="宋体" w:hAnsi="宋体" w:eastAsia="宋体"/>
          <w:color w:val="000000" w:themeColor="text1"/>
          <w:sz w:val="28"/>
          <w:szCs w:val="28"/>
          <w14:textFill>
            <w14:solidFill>
              <w14:schemeClr w14:val="tx1"/>
            </w14:solidFill>
          </w14:textFill>
        </w:rPr>
        <w:t>月发布并实施</w:t>
      </w:r>
      <w:r>
        <w:rPr>
          <w:rFonts w:hint="eastAsia" w:ascii="宋体" w:hAnsi="宋体" w:eastAsia="宋体"/>
          <w:sz w:val="28"/>
          <w:szCs w:val="28"/>
        </w:rPr>
        <w:t>。</w:t>
      </w:r>
    </w:p>
    <w:bookmarkEnd w:id="0"/>
    <w:p w14:paraId="5EE3EB32">
      <w:pPr>
        <w:spacing w:line="360" w:lineRule="auto"/>
        <w:jc w:val="left"/>
        <w:rPr>
          <w:rFonts w:hint="eastAsia"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14:paraId="68C2C550">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1、主要起草单位</w:t>
      </w:r>
    </w:p>
    <w:p w14:paraId="13187A56">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江苏谷瑞斯机电工程有限公司、扬州弘思百佳科技有限公司、纵坐标（江苏）标准技术服务有限公司。</w:t>
      </w:r>
    </w:p>
    <w:p w14:paraId="2D19FAC7">
      <w:pPr>
        <w:topLinePunct/>
        <w:spacing w:line="360" w:lineRule="auto"/>
        <w:ind w:firstLine="560" w:firstLineChars="200"/>
        <w:jc w:val="left"/>
        <w:rPr>
          <w:rFonts w:hint="eastAsia" w:ascii="宋体" w:hAnsi="宋体" w:eastAsia="宋体"/>
          <w:sz w:val="28"/>
          <w:szCs w:val="28"/>
        </w:rPr>
      </w:pPr>
      <w:r>
        <w:rPr>
          <w:rFonts w:ascii="宋体" w:hAnsi="宋体" w:eastAsia="宋体"/>
          <w:sz w:val="28"/>
          <w:szCs w:val="28"/>
        </w:rPr>
        <w:t>2</w:t>
      </w:r>
      <w:r>
        <w:rPr>
          <w:rFonts w:hint="eastAsia" w:ascii="宋体" w:hAnsi="宋体" w:eastAsia="宋体"/>
          <w:sz w:val="28"/>
          <w:szCs w:val="28"/>
        </w:rPr>
        <w:t>、工作内容</w:t>
      </w:r>
    </w:p>
    <w:p w14:paraId="58B66D59">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（1）江苏谷瑞斯机电工程有限公司主要负责标准制定过程的协调工作；负责标准制定工作，资料查询、标准正文及编制说明草案起草、方法验证等工作。</w:t>
      </w:r>
    </w:p>
    <w:p w14:paraId="698DCCFD">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（2）扬州弘思百佳科技有限公司、纵坐标（江苏）标准技术服务有限公司主要参与资料查询、标准正文草案修改、方法验证等。</w:t>
      </w:r>
    </w:p>
    <w:p w14:paraId="7FFE080F">
      <w:pPr>
        <w:pStyle w:val="14"/>
        <w:numPr>
          <w:ilvl w:val="0"/>
          <w:numId w:val="1"/>
        </w:numPr>
        <w:spacing w:line="360" w:lineRule="auto"/>
        <w:ind w:firstLineChars="0"/>
        <w:jc w:val="left"/>
        <w:rPr>
          <w:rFonts w:hint="eastAsia" w:ascii="宋体" w:hAnsi="宋体" w:eastAsia="宋体"/>
          <w:b/>
          <w:bCs/>
          <w:sz w:val="28"/>
          <w:szCs w:val="28"/>
        </w:rPr>
      </w:pPr>
      <w:r>
        <w:rPr>
          <w:rFonts w:hint="eastAsia" w:ascii="宋体" w:hAnsi="宋体" w:eastAsia="宋体"/>
          <w:b/>
          <w:bCs/>
          <w:sz w:val="28"/>
          <w:szCs w:val="28"/>
        </w:rPr>
        <w:t>标准编制原则和主要内容</w:t>
      </w:r>
    </w:p>
    <w:p w14:paraId="4F8814D8">
      <w:pPr>
        <w:spacing w:line="360" w:lineRule="auto"/>
        <w:jc w:val="left"/>
        <w:rPr>
          <w:rFonts w:hint="eastAsia"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329483CD">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本标准依据相关行业标准，标准编制遵循“前瞻性、实用性、统一性、规范性”的原则，注重标准的可操作性，严格按照</w:t>
      </w:r>
      <w:r>
        <w:rPr>
          <w:rFonts w:ascii="宋体" w:hAnsi="宋体" w:eastAsia="宋体"/>
          <w:sz w:val="28"/>
          <w:szCs w:val="28"/>
        </w:rPr>
        <w:t xml:space="preserve"> GB/T 1.1</w:t>
      </w:r>
      <w:r>
        <w:rPr>
          <w:rFonts w:hint="eastAsia" w:ascii="宋体" w:hAnsi="宋体" w:eastAsia="宋体"/>
          <w:sz w:val="28"/>
          <w:szCs w:val="28"/>
        </w:rPr>
        <w:t>最新版本的要求进行编写。</w:t>
      </w:r>
    </w:p>
    <w:p w14:paraId="06912771">
      <w:pPr>
        <w:spacing w:line="360" w:lineRule="auto"/>
        <w:jc w:val="left"/>
        <w:rPr>
          <w:rFonts w:hint="eastAsia" w:ascii="宋体" w:hAnsi="宋体" w:eastAsia="宋体"/>
          <w:sz w:val="28"/>
          <w:szCs w:val="28"/>
        </w:rPr>
      </w:pPr>
      <w:r>
        <w:rPr>
          <w:rFonts w:hint="eastAsia" w:ascii="宋体" w:hAnsi="宋体" w:eastAsia="宋体"/>
          <w:b/>
          <w:bCs/>
          <w:sz w:val="28"/>
          <w:szCs w:val="28"/>
        </w:rPr>
        <w:t>（二）</w:t>
      </w:r>
      <w:r>
        <w:rPr>
          <w:rFonts w:ascii="宋体" w:hAnsi="宋体" w:eastAsia="宋体"/>
          <w:b/>
          <w:bCs/>
          <w:sz w:val="28"/>
          <w:szCs w:val="28"/>
        </w:rPr>
        <w:t xml:space="preserve"> 标准主要技术内容 </w:t>
      </w:r>
      <w:r>
        <w:rPr>
          <w:rFonts w:ascii="宋体" w:hAnsi="宋体" w:eastAsia="宋体"/>
          <w:sz w:val="28"/>
          <w:szCs w:val="28"/>
        </w:rPr>
        <w:t xml:space="preserve"> </w:t>
      </w:r>
    </w:p>
    <w:p w14:paraId="09A2D6F9">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1、适用范围</w:t>
      </w:r>
    </w:p>
    <w:p w14:paraId="471DB56B">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本标准适用于气垫式单托辊皮带输送机的生产和检验。</w:t>
      </w:r>
    </w:p>
    <w:p w14:paraId="59C5B518">
      <w:pPr>
        <w:topLinePunct/>
        <w:spacing w:line="360" w:lineRule="auto"/>
        <w:ind w:firstLine="560" w:firstLineChars="200"/>
        <w:jc w:val="left"/>
        <w:rPr>
          <w:rFonts w:hint="eastAsia" w:ascii="宋体" w:hAnsi="宋体" w:eastAsia="宋体"/>
          <w:sz w:val="28"/>
          <w:szCs w:val="28"/>
        </w:rPr>
      </w:pPr>
      <w:r>
        <w:rPr>
          <w:rFonts w:ascii="宋体" w:hAnsi="宋体" w:eastAsia="宋体"/>
          <w:sz w:val="28"/>
          <w:szCs w:val="28"/>
        </w:rPr>
        <w:t>2</w:t>
      </w:r>
      <w:r>
        <w:rPr>
          <w:rFonts w:hint="eastAsia" w:ascii="宋体" w:hAnsi="宋体" w:eastAsia="宋体"/>
          <w:sz w:val="28"/>
          <w:szCs w:val="28"/>
        </w:rPr>
        <w:t>、有关条款的说明</w:t>
      </w:r>
    </w:p>
    <w:p w14:paraId="10C130CA">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 标题</w:t>
      </w:r>
    </w:p>
    <w:p w14:paraId="5E796B68">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标准中文名称：气垫式单托辊皮带输送机；</w:t>
      </w:r>
    </w:p>
    <w:p w14:paraId="731A4D32">
      <w:pPr>
        <w:wordWrap w:val="0"/>
        <w:topLinePunct/>
        <w:spacing w:line="360" w:lineRule="auto"/>
        <w:ind w:firstLine="560" w:firstLineChars="200"/>
        <w:jc w:val="left"/>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sz w:val="28"/>
          <w:szCs w:val="28"/>
        </w:rPr>
        <w:t>英文翻译：Air cushion type single idler belt conveyor</w:t>
      </w:r>
      <w:r>
        <w:rPr>
          <w:rFonts w:hint="eastAsia" w:ascii="宋体" w:hAnsi="宋体" w:eastAsia="宋体"/>
          <w:color w:val="000000" w:themeColor="text1"/>
          <w:sz w:val="28"/>
          <w:szCs w:val="28"/>
          <w14:textFill>
            <w14:solidFill>
              <w14:schemeClr w14:val="tx1"/>
            </w14:solidFill>
          </w14:textFill>
        </w:rPr>
        <w:t>。</w:t>
      </w:r>
    </w:p>
    <w:p w14:paraId="53105DE4">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（2）术语和定义</w:t>
      </w:r>
    </w:p>
    <w:p w14:paraId="35EECEDE">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本章节对“气垫输送机”、“气室”、“气垫式单托辊皮带输送机”等术语进行了定义</w:t>
      </w:r>
      <w:r>
        <w:rPr>
          <w:rFonts w:ascii="宋体" w:hAnsi="宋体" w:eastAsia="宋体"/>
          <w:sz w:val="28"/>
          <w:szCs w:val="28"/>
        </w:rPr>
        <w:t>。</w:t>
      </w:r>
    </w:p>
    <w:p w14:paraId="2582E8BA">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（3）主要内容</w:t>
      </w:r>
    </w:p>
    <w:p w14:paraId="2A26E563">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第四</w:t>
      </w:r>
      <w:bookmarkStart w:id="1" w:name="_Hlk80881849"/>
      <w:r>
        <w:rPr>
          <w:rFonts w:hint="eastAsia" w:ascii="宋体" w:hAnsi="宋体" w:eastAsia="宋体"/>
          <w:sz w:val="28"/>
          <w:szCs w:val="28"/>
        </w:rPr>
        <w:t>章 型号及基本参数：本章节主要对气垫式单托辊皮带输送机的型号及基本参数进行了规定。</w:t>
      </w:r>
    </w:p>
    <w:bookmarkEnd w:id="1"/>
    <w:p w14:paraId="475D0CD2">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第五章</w:t>
      </w:r>
      <w:r>
        <w:rPr>
          <w:rFonts w:ascii="宋体" w:hAnsi="宋体" w:eastAsia="宋体"/>
          <w:sz w:val="28"/>
          <w:szCs w:val="28"/>
        </w:rPr>
        <w:t xml:space="preserve"> </w:t>
      </w:r>
      <w:r>
        <w:rPr>
          <w:rFonts w:hint="eastAsia" w:ascii="宋体" w:hAnsi="宋体" w:eastAsia="宋体"/>
          <w:sz w:val="28"/>
          <w:szCs w:val="28"/>
        </w:rPr>
        <w:t>正常工作环境：本章节主要对气垫式单托辊皮带输送机的正常工作环境进行了规定。</w:t>
      </w:r>
    </w:p>
    <w:p w14:paraId="4663106B">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第六章 技术要求：本章节主要对气垫式单托辊皮带输送机的技术要求进行了规定，主要包括：外观、驱动装置、</w:t>
      </w:r>
      <w:r>
        <w:rPr>
          <w:rFonts w:hint="eastAsia" w:ascii="宋体" w:hAnsi="宋体" w:eastAsia="宋体"/>
          <w:sz w:val="28"/>
          <w:szCs w:val="28"/>
          <w:lang w:val="en-US" w:eastAsia="zh-CN"/>
        </w:rPr>
        <w:t>托辊、金属结构件、</w:t>
      </w:r>
      <w:r>
        <w:rPr>
          <w:rFonts w:hint="eastAsia" w:ascii="宋体" w:hAnsi="宋体" w:eastAsia="宋体"/>
          <w:sz w:val="28"/>
          <w:szCs w:val="28"/>
        </w:rPr>
        <w:t>机架、气室、输送带、噪声、整机性能。</w:t>
      </w:r>
    </w:p>
    <w:p w14:paraId="20426143">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第七章：试验方法：本章节主要对气垫式单托辊皮带输送机技术要求的试验方法进行了规定，</w:t>
      </w:r>
    </w:p>
    <w:p w14:paraId="372B243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第八章：检验规则：本章节主要对气垫式单托辊皮带输送机的检验规则进行了规定，</w:t>
      </w:r>
    </w:p>
    <w:p w14:paraId="6179A033">
      <w:pPr>
        <w:wordWrap w:val="0"/>
        <w:spacing w:line="360" w:lineRule="auto"/>
        <w:jc w:val="left"/>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第九章 标志、包装、运输和贮存：本章节主要对气垫式单托辊皮带输送机的标志、包装、运输和贮存要求进行了规定。</w:t>
      </w:r>
    </w:p>
    <w:p w14:paraId="1203C1BC">
      <w:pPr>
        <w:pStyle w:val="14"/>
        <w:numPr>
          <w:ilvl w:val="0"/>
          <w:numId w:val="1"/>
        </w:numPr>
        <w:spacing w:line="360" w:lineRule="auto"/>
        <w:ind w:firstLineChars="0"/>
        <w:jc w:val="left"/>
        <w:rPr>
          <w:rFonts w:hint="eastAsia" w:ascii="宋体" w:hAnsi="宋体" w:eastAsia="宋体"/>
          <w:b/>
          <w:bCs/>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p>
    <w:p w14:paraId="352C10C8">
      <w:pPr>
        <w:topLinePunct/>
        <w:spacing w:line="360" w:lineRule="auto"/>
        <w:ind w:firstLine="560" w:firstLineChars="200"/>
        <w:jc w:val="left"/>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结合国内外的行业测试和通过起草单位在</w:t>
      </w:r>
      <w:r>
        <w:rPr>
          <w:rFonts w:hint="eastAsia" w:ascii="宋体" w:hAnsi="宋体" w:eastAsia="宋体"/>
          <w:sz w:val="28"/>
          <w:szCs w:val="28"/>
        </w:rPr>
        <w:t>气垫式单托辊皮带输送机各项</w:t>
      </w:r>
      <w:r>
        <w:rPr>
          <w:rFonts w:hint="eastAsia" w:ascii="宋体" w:hAnsi="宋体" w:eastAsia="宋体"/>
          <w:color w:val="000000" w:themeColor="text1"/>
          <w:sz w:val="28"/>
          <w:szCs w:val="28"/>
          <w14:textFill>
            <w14:solidFill>
              <w14:schemeClr w14:val="tx1"/>
            </w14:solidFill>
          </w14:textFill>
        </w:rPr>
        <w:t>试验和检验所积累的大量数据，对标准内容进行了充分的验证。</w:t>
      </w:r>
    </w:p>
    <w:p w14:paraId="768C8712">
      <w:pPr>
        <w:pStyle w:val="14"/>
        <w:numPr>
          <w:ilvl w:val="0"/>
          <w:numId w:val="1"/>
        </w:numPr>
        <w:spacing w:line="360" w:lineRule="auto"/>
        <w:ind w:firstLineChars="0"/>
        <w:jc w:val="left"/>
        <w:rPr>
          <w:rFonts w:hint="eastAsia"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0826A325">
      <w:pPr>
        <w:topLinePunct/>
        <w:spacing w:line="360" w:lineRule="auto"/>
        <w:ind w:firstLine="560" w:firstLineChars="200"/>
        <w:jc w:val="left"/>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本标准不涉及专利。</w:t>
      </w:r>
    </w:p>
    <w:p w14:paraId="4D4D819B">
      <w:pPr>
        <w:pStyle w:val="14"/>
        <w:numPr>
          <w:ilvl w:val="0"/>
          <w:numId w:val="1"/>
        </w:numPr>
        <w:spacing w:line="360" w:lineRule="auto"/>
        <w:ind w:firstLineChars="0"/>
        <w:jc w:val="left"/>
        <w:rPr>
          <w:rFonts w:hint="eastAsia" w:ascii="宋体" w:hAnsi="宋体" w:eastAsia="宋体"/>
          <w:b/>
          <w:bCs/>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b/>
          <w:bCs/>
          <w:sz w:val="28"/>
          <w:szCs w:val="28"/>
        </w:rPr>
        <w:t xml:space="preserve">  </w:t>
      </w:r>
    </w:p>
    <w:p w14:paraId="3171F5DF">
      <w:pPr>
        <w:topLinePunct/>
        <w:spacing w:line="360" w:lineRule="auto"/>
        <w:ind w:firstLine="560" w:firstLineChars="200"/>
        <w:jc w:val="left"/>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通过本项标准的制定和发布实施，将标准起草单位在该领域的核心技术以标准形式固化并加以实施，积极保障</w:t>
      </w:r>
      <w:r>
        <w:rPr>
          <w:rFonts w:hint="eastAsia" w:ascii="宋体" w:hAnsi="宋体" w:eastAsia="宋体"/>
          <w:sz w:val="28"/>
          <w:szCs w:val="28"/>
        </w:rPr>
        <w:t>气垫式单托辊皮带输送机</w:t>
      </w:r>
      <w:r>
        <w:rPr>
          <w:rFonts w:hint="eastAsia" w:ascii="宋体" w:hAnsi="宋体" w:eastAsia="宋体"/>
          <w:color w:val="000000" w:themeColor="text1"/>
          <w:sz w:val="28"/>
          <w:szCs w:val="28"/>
          <w14:textFill>
            <w14:solidFill>
              <w14:schemeClr w14:val="tx1"/>
            </w14:solidFill>
          </w14:textFill>
        </w:rPr>
        <w:t>生产质量，并进一步促进</w:t>
      </w:r>
      <w:r>
        <w:rPr>
          <w:rFonts w:hint="eastAsia" w:ascii="宋体" w:hAnsi="宋体" w:eastAsia="宋体"/>
          <w:sz w:val="28"/>
          <w:szCs w:val="28"/>
        </w:rPr>
        <w:t>生产</w:t>
      </w:r>
      <w:r>
        <w:rPr>
          <w:rFonts w:hint="eastAsia" w:ascii="宋体" w:hAnsi="宋体" w:eastAsia="宋体"/>
          <w:color w:val="000000" w:themeColor="text1"/>
          <w:sz w:val="28"/>
          <w:szCs w:val="28"/>
          <w14:textFill>
            <w14:solidFill>
              <w14:schemeClr w14:val="tx1"/>
            </w14:solidFill>
          </w14:textFill>
        </w:rPr>
        <w:t>技术发展。</w:t>
      </w:r>
    </w:p>
    <w:p w14:paraId="7BF22853">
      <w:pPr>
        <w:pStyle w:val="14"/>
        <w:numPr>
          <w:ilvl w:val="0"/>
          <w:numId w:val="1"/>
        </w:numPr>
        <w:spacing w:line="360" w:lineRule="auto"/>
        <w:ind w:firstLineChars="0"/>
        <w:jc w:val="left"/>
        <w:rPr>
          <w:rFonts w:hint="eastAsia"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140200D3">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本标准符合国家相关法律法规、规章及相关标准，与强制性标准的协调一致。</w:t>
      </w:r>
    </w:p>
    <w:p w14:paraId="2BE65E1E">
      <w:pPr>
        <w:pStyle w:val="14"/>
        <w:numPr>
          <w:ilvl w:val="0"/>
          <w:numId w:val="1"/>
        </w:numPr>
        <w:spacing w:line="360" w:lineRule="auto"/>
        <w:ind w:firstLineChars="0"/>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3FB578F8">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本标准在起草过程中无重大意见分歧。</w:t>
      </w:r>
    </w:p>
    <w:p w14:paraId="2FEE944B">
      <w:pPr>
        <w:pStyle w:val="14"/>
        <w:numPr>
          <w:ilvl w:val="0"/>
          <w:numId w:val="1"/>
        </w:numPr>
        <w:spacing w:line="360" w:lineRule="auto"/>
        <w:ind w:firstLineChars="0"/>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6EBBBEAF">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建议将本标准作为推荐性团体标准，供社会各界自愿使用。</w:t>
      </w:r>
    </w:p>
    <w:p w14:paraId="338F3DAE">
      <w:pPr>
        <w:pStyle w:val="14"/>
        <w:numPr>
          <w:ilvl w:val="0"/>
          <w:numId w:val="1"/>
        </w:numPr>
        <w:spacing w:line="360" w:lineRule="auto"/>
        <w:ind w:firstLineChars="0"/>
        <w:jc w:val="left"/>
        <w:rPr>
          <w:rFonts w:hint="eastAsia" w:ascii="宋体" w:hAnsi="宋体" w:eastAsia="宋体"/>
          <w:b/>
          <w:bCs/>
          <w:sz w:val="28"/>
          <w:szCs w:val="28"/>
        </w:rPr>
      </w:pPr>
      <w:r>
        <w:rPr>
          <w:rFonts w:hint="eastAsia" w:ascii="宋体" w:hAnsi="宋体" w:eastAsia="宋体"/>
          <w:b/>
          <w:bCs/>
          <w:sz w:val="28"/>
          <w:szCs w:val="28"/>
        </w:rPr>
        <w:t>贯彻标准的要求和措施建议</w:t>
      </w:r>
    </w:p>
    <w:p w14:paraId="193E0AAA">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发布实施后，建议由标准主导起草单位有计划、有组织地开展标准的宣贯培训工作。通过举办培训班、宣贯会、研讨会等多种形式，广泛宣传本标准的地位和作用，确保标准中的有关规定得到准确理解、掌握和执行。</w:t>
      </w:r>
    </w:p>
    <w:p w14:paraId="7C2BD60C">
      <w:pPr>
        <w:pStyle w:val="14"/>
        <w:numPr>
          <w:ilvl w:val="0"/>
          <w:numId w:val="1"/>
        </w:numPr>
        <w:spacing w:line="360" w:lineRule="auto"/>
        <w:ind w:firstLineChars="0"/>
        <w:jc w:val="left"/>
        <w:rPr>
          <w:rFonts w:hint="eastAsia" w:ascii="宋体" w:hAnsi="宋体" w:eastAsia="宋体"/>
          <w:b/>
          <w:bCs/>
          <w:sz w:val="28"/>
          <w:szCs w:val="28"/>
        </w:rPr>
      </w:pPr>
      <w:r>
        <w:rPr>
          <w:rFonts w:hint="eastAsia" w:ascii="宋体" w:hAnsi="宋体" w:eastAsia="宋体"/>
          <w:b/>
          <w:bCs/>
          <w:sz w:val="28"/>
          <w:szCs w:val="28"/>
        </w:rPr>
        <w:t>废止现行相关标准的建议</w:t>
      </w:r>
    </w:p>
    <w:p w14:paraId="38BF96B3">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2905331C">
      <w:pPr>
        <w:pStyle w:val="14"/>
        <w:numPr>
          <w:ilvl w:val="0"/>
          <w:numId w:val="1"/>
        </w:numPr>
        <w:spacing w:line="360" w:lineRule="auto"/>
        <w:ind w:firstLineChars="0"/>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47868A18">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0F6C9B28">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《气垫式单托辊皮带输送机》起草组</w:t>
      </w:r>
      <w:r>
        <w:rPr>
          <w:rFonts w:ascii="宋体" w:hAnsi="宋体" w:eastAsia="宋体"/>
          <w:sz w:val="28"/>
          <w:szCs w:val="28"/>
        </w:rPr>
        <w:t xml:space="preserve"> </w:t>
      </w:r>
    </w:p>
    <w:p w14:paraId="5488F83D">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二零二四</w:t>
      </w:r>
      <w:r>
        <w:rPr>
          <w:rFonts w:ascii="宋体" w:hAnsi="宋体" w:eastAsia="宋体"/>
          <w:sz w:val="28"/>
          <w:szCs w:val="28"/>
        </w:rPr>
        <w:t>年</w:t>
      </w:r>
      <w:r>
        <w:rPr>
          <w:rFonts w:hint="eastAsia" w:ascii="宋体" w:hAnsi="宋体" w:eastAsia="宋体"/>
          <w:sz w:val="28"/>
          <w:szCs w:val="28"/>
        </w:rPr>
        <w:t>十</w:t>
      </w:r>
      <w:r>
        <w:rPr>
          <w:rFonts w:ascii="宋体" w:hAnsi="宋体" w:eastAsia="宋体"/>
          <w:sz w:val="28"/>
          <w:szCs w:val="28"/>
        </w:rPr>
        <w:t>月</w:t>
      </w:r>
    </w:p>
    <w:sectPr>
      <w:type w:val="continuous"/>
      <w:pgSz w:w="11906" w:h="16841"/>
      <w:pgMar w:top="1440" w:right="1800" w:bottom="1440" w:left="1800" w:header="720" w:footer="720" w:gutter="0"/>
      <w:cols w:space="425" w:num="1"/>
      <w:docGrid w:linePitch="299"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67E2D"/>
    <w:multiLevelType w:val="multilevel"/>
    <w:tmpl w:val="13F67E2D"/>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85B7623"/>
    <w:multiLevelType w:val="singleLevel"/>
    <w:tmpl w:val="585B7623"/>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10"/>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ZDNlOWZiZmU3ZjY3NzM5NWY1MDU2OGY5MWY4ZGMifQ=="/>
  </w:docVars>
  <w:rsids>
    <w:rsidRoot w:val="00080FCE"/>
    <w:rsid w:val="0000156B"/>
    <w:rsid w:val="000015BF"/>
    <w:rsid w:val="00007484"/>
    <w:rsid w:val="00013CD7"/>
    <w:rsid w:val="000168FD"/>
    <w:rsid w:val="00021692"/>
    <w:rsid w:val="00021E0D"/>
    <w:rsid w:val="000306B9"/>
    <w:rsid w:val="00031415"/>
    <w:rsid w:val="00031E6F"/>
    <w:rsid w:val="00045B65"/>
    <w:rsid w:val="000462B2"/>
    <w:rsid w:val="0005151D"/>
    <w:rsid w:val="00051DFD"/>
    <w:rsid w:val="00052D31"/>
    <w:rsid w:val="000630C0"/>
    <w:rsid w:val="000711D3"/>
    <w:rsid w:val="00076E6A"/>
    <w:rsid w:val="0007729C"/>
    <w:rsid w:val="00077D0B"/>
    <w:rsid w:val="00080FCE"/>
    <w:rsid w:val="00082283"/>
    <w:rsid w:val="00086D78"/>
    <w:rsid w:val="000876DB"/>
    <w:rsid w:val="000A00F2"/>
    <w:rsid w:val="000B2766"/>
    <w:rsid w:val="000D7E80"/>
    <w:rsid w:val="000E6BAC"/>
    <w:rsid w:val="000F09E9"/>
    <w:rsid w:val="000F4B6D"/>
    <w:rsid w:val="000F5AB7"/>
    <w:rsid w:val="00100F6C"/>
    <w:rsid w:val="00100FA1"/>
    <w:rsid w:val="0010711D"/>
    <w:rsid w:val="001171FC"/>
    <w:rsid w:val="00122366"/>
    <w:rsid w:val="00122E25"/>
    <w:rsid w:val="00124E74"/>
    <w:rsid w:val="00126246"/>
    <w:rsid w:val="00135211"/>
    <w:rsid w:val="00151D53"/>
    <w:rsid w:val="00152303"/>
    <w:rsid w:val="001552ED"/>
    <w:rsid w:val="00172D1B"/>
    <w:rsid w:val="00184316"/>
    <w:rsid w:val="00186EE4"/>
    <w:rsid w:val="001A3971"/>
    <w:rsid w:val="001A7B8A"/>
    <w:rsid w:val="001B538A"/>
    <w:rsid w:val="001C1302"/>
    <w:rsid w:val="001F73B5"/>
    <w:rsid w:val="00200A33"/>
    <w:rsid w:val="00203228"/>
    <w:rsid w:val="002212B2"/>
    <w:rsid w:val="00221500"/>
    <w:rsid w:val="00223390"/>
    <w:rsid w:val="00227D9E"/>
    <w:rsid w:val="00230502"/>
    <w:rsid w:val="00233775"/>
    <w:rsid w:val="00233F57"/>
    <w:rsid w:val="00253FA1"/>
    <w:rsid w:val="00254956"/>
    <w:rsid w:val="00273444"/>
    <w:rsid w:val="00274D56"/>
    <w:rsid w:val="00281D21"/>
    <w:rsid w:val="00295A76"/>
    <w:rsid w:val="002A116B"/>
    <w:rsid w:val="002A16BD"/>
    <w:rsid w:val="002A3D66"/>
    <w:rsid w:val="002A5B20"/>
    <w:rsid w:val="002A6096"/>
    <w:rsid w:val="002C7C84"/>
    <w:rsid w:val="002D2B4D"/>
    <w:rsid w:val="002E34E6"/>
    <w:rsid w:val="002E40AD"/>
    <w:rsid w:val="002F3F4D"/>
    <w:rsid w:val="00301337"/>
    <w:rsid w:val="003073A8"/>
    <w:rsid w:val="00312682"/>
    <w:rsid w:val="00315C7D"/>
    <w:rsid w:val="0033177C"/>
    <w:rsid w:val="00333046"/>
    <w:rsid w:val="00341CDF"/>
    <w:rsid w:val="003460C4"/>
    <w:rsid w:val="00346C58"/>
    <w:rsid w:val="00355408"/>
    <w:rsid w:val="0035730D"/>
    <w:rsid w:val="00367C15"/>
    <w:rsid w:val="00374298"/>
    <w:rsid w:val="003A0BF7"/>
    <w:rsid w:val="003A35E8"/>
    <w:rsid w:val="003A54E4"/>
    <w:rsid w:val="003B0D20"/>
    <w:rsid w:val="003B4DB3"/>
    <w:rsid w:val="003C4C2B"/>
    <w:rsid w:val="003D64DD"/>
    <w:rsid w:val="003E3216"/>
    <w:rsid w:val="003F460F"/>
    <w:rsid w:val="003F6507"/>
    <w:rsid w:val="0040038A"/>
    <w:rsid w:val="004042B5"/>
    <w:rsid w:val="004265AC"/>
    <w:rsid w:val="0043164F"/>
    <w:rsid w:val="004357F5"/>
    <w:rsid w:val="00452112"/>
    <w:rsid w:val="00462A1E"/>
    <w:rsid w:val="00467311"/>
    <w:rsid w:val="00474F1E"/>
    <w:rsid w:val="00475382"/>
    <w:rsid w:val="00483E9D"/>
    <w:rsid w:val="004849B3"/>
    <w:rsid w:val="00487897"/>
    <w:rsid w:val="00491C2E"/>
    <w:rsid w:val="00495229"/>
    <w:rsid w:val="004971D8"/>
    <w:rsid w:val="004A0525"/>
    <w:rsid w:val="004A5E54"/>
    <w:rsid w:val="004A6E9D"/>
    <w:rsid w:val="004B04CC"/>
    <w:rsid w:val="004B116E"/>
    <w:rsid w:val="004D46D1"/>
    <w:rsid w:val="004D5495"/>
    <w:rsid w:val="004E035E"/>
    <w:rsid w:val="004E688D"/>
    <w:rsid w:val="004F32FF"/>
    <w:rsid w:val="004F7D64"/>
    <w:rsid w:val="005013ED"/>
    <w:rsid w:val="00516848"/>
    <w:rsid w:val="00516EB0"/>
    <w:rsid w:val="0052542A"/>
    <w:rsid w:val="00531F34"/>
    <w:rsid w:val="0053259A"/>
    <w:rsid w:val="00543CA9"/>
    <w:rsid w:val="00555D75"/>
    <w:rsid w:val="00562CE6"/>
    <w:rsid w:val="00563889"/>
    <w:rsid w:val="00566FEC"/>
    <w:rsid w:val="005835CE"/>
    <w:rsid w:val="00587745"/>
    <w:rsid w:val="005A0D11"/>
    <w:rsid w:val="005A1B40"/>
    <w:rsid w:val="005C7B43"/>
    <w:rsid w:val="005D79CB"/>
    <w:rsid w:val="005E614E"/>
    <w:rsid w:val="005F01E0"/>
    <w:rsid w:val="005F3D2E"/>
    <w:rsid w:val="006042F7"/>
    <w:rsid w:val="0060621E"/>
    <w:rsid w:val="00612447"/>
    <w:rsid w:val="00626B3F"/>
    <w:rsid w:val="00627908"/>
    <w:rsid w:val="0063172D"/>
    <w:rsid w:val="006379F1"/>
    <w:rsid w:val="00643CE3"/>
    <w:rsid w:val="00646DCA"/>
    <w:rsid w:val="00647F5C"/>
    <w:rsid w:val="00656481"/>
    <w:rsid w:val="00666A34"/>
    <w:rsid w:val="00672664"/>
    <w:rsid w:val="006770FA"/>
    <w:rsid w:val="006771DA"/>
    <w:rsid w:val="0068107B"/>
    <w:rsid w:val="00682C58"/>
    <w:rsid w:val="00683BC8"/>
    <w:rsid w:val="00693278"/>
    <w:rsid w:val="006A2989"/>
    <w:rsid w:val="006A7619"/>
    <w:rsid w:val="006B2A78"/>
    <w:rsid w:val="006C1A2E"/>
    <w:rsid w:val="006C37E7"/>
    <w:rsid w:val="006C6E80"/>
    <w:rsid w:val="006D4E61"/>
    <w:rsid w:val="006E36E8"/>
    <w:rsid w:val="007109C0"/>
    <w:rsid w:val="0071187C"/>
    <w:rsid w:val="007135C6"/>
    <w:rsid w:val="007236F7"/>
    <w:rsid w:val="007337F1"/>
    <w:rsid w:val="007340DD"/>
    <w:rsid w:val="007341DA"/>
    <w:rsid w:val="0074231B"/>
    <w:rsid w:val="007461F2"/>
    <w:rsid w:val="00780878"/>
    <w:rsid w:val="00785FEC"/>
    <w:rsid w:val="00790E0C"/>
    <w:rsid w:val="00793EA3"/>
    <w:rsid w:val="007A285E"/>
    <w:rsid w:val="007A7569"/>
    <w:rsid w:val="007B647A"/>
    <w:rsid w:val="007C11E4"/>
    <w:rsid w:val="007C4A4A"/>
    <w:rsid w:val="007D143A"/>
    <w:rsid w:val="007D4ACF"/>
    <w:rsid w:val="007E2BCD"/>
    <w:rsid w:val="007E71D6"/>
    <w:rsid w:val="007E765D"/>
    <w:rsid w:val="007F784F"/>
    <w:rsid w:val="008004CF"/>
    <w:rsid w:val="00801ABF"/>
    <w:rsid w:val="00802198"/>
    <w:rsid w:val="00812BE8"/>
    <w:rsid w:val="00820BE7"/>
    <w:rsid w:val="00831C13"/>
    <w:rsid w:val="008374F8"/>
    <w:rsid w:val="00844A71"/>
    <w:rsid w:val="00844D83"/>
    <w:rsid w:val="0084701D"/>
    <w:rsid w:val="00847F35"/>
    <w:rsid w:val="00855EF3"/>
    <w:rsid w:val="008639DD"/>
    <w:rsid w:val="008641D6"/>
    <w:rsid w:val="008677BA"/>
    <w:rsid w:val="00873DB6"/>
    <w:rsid w:val="00885B2B"/>
    <w:rsid w:val="0089167C"/>
    <w:rsid w:val="00891B47"/>
    <w:rsid w:val="00895E54"/>
    <w:rsid w:val="008A19F2"/>
    <w:rsid w:val="008A2239"/>
    <w:rsid w:val="008B6490"/>
    <w:rsid w:val="008B66F7"/>
    <w:rsid w:val="008F5B8C"/>
    <w:rsid w:val="00901136"/>
    <w:rsid w:val="00921AEC"/>
    <w:rsid w:val="00925E06"/>
    <w:rsid w:val="009349E7"/>
    <w:rsid w:val="009468CF"/>
    <w:rsid w:val="00954D9A"/>
    <w:rsid w:val="00954DB4"/>
    <w:rsid w:val="009603D3"/>
    <w:rsid w:val="00960757"/>
    <w:rsid w:val="00965A3C"/>
    <w:rsid w:val="009811AE"/>
    <w:rsid w:val="00982508"/>
    <w:rsid w:val="00991E25"/>
    <w:rsid w:val="009B26DE"/>
    <w:rsid w:val="009D3675"/>
    <w:rsid w:val="009D498C"/>
    <w:rsid w:val="009D5F48"/>
    <w:rsid w:val="009D796E"/>
    <w:rsid w:val="009E24B6"/>
    <w:rsid w:val="009E68DA"/>
    <w:rsid w:val="009F2BF0"/>
    <w:rsid w:val="009F5531"/>
    <w:rsid w:val="009F6DC4"/>
    <w:rsid w:val="009F7F35"/>
    <w:rsid w:val="00A32DBC"/>
    <w:rsid w:val="00A3749C"/>
    <w:rsid w:val="00A3751A"/>
    <w:rsid w:val="00A5003C"/>
    <w:rsid w:val="00A73027"/>
    <w:rsid w:val="00A76277"/>
    <w:rsid w:val="00A869F3"/>
    <w:rsid w:val="00A94982"/>
    <w:rsid w:val="00A9746B"/>
    <w:rsid w:val="00AA035B"/>
    <w:rsid w:val="00AA265F"/>
    <w:rsid w:val="00AA5EFB"/>
    <w:rsid w:val="00AC47BC"/>
    <w:rsid w:val="00AD443F"/>
    <w:rsid w:val="00AD66A9"/>
    <w:rsid w:val="00AF779B"/>
    <w:rsid w:val="00B043A1"/>
    <w:rsid w:val="00B25FAD"/>
    <w:rsid w:val="00B31159"/>
    <w:rsid w:val="00B36263"/>
    <w:rsid w:val="00B379B8"/>
    <w:rsid w:val="00B407FB"/>
    <w:rsid w:val="00B46D55"/>
    <w:rsid w:val="00B5142C"/>
    <w:rsid w:val="00B5633A"/>
    <w:rsid w:val="00B77F39"/>
    <w:rsid w:val="00B82572"/>
    <w:rsid w:val="00B83264"/>
    <w:rsid w:val="00B91B57"/>
    <w:rsid w:val="00BA44E2"/>
    <w:rsid w:val="00BE03C2"/>
    <w:rsid w:val="00BE28F6"/>
    <w:rsid w:val="00BE3B0F"/>
    <w:rsid w:val="00BF54BF"/>
    <w:rsid w:val="00BF7189"/>
    <w:rsid w:val="00C076C6"/>
    <w:rsid w:val="00C134AC"/>
    <w:rsid w:val="00C21C0E"/>
    <w:rsid w:val="00C24A38"/>
    <w:rsid w:val="00C24C50"/>
    <w:rsid w:val="00C27704"/>
    <w:rsid w:val="00C312CC"/>
    <w:rsid w:val="00C3266C"/>
    <w:rsid w:val="00C336CE"/>
    <w:rsid w:val="00C352B8"/>
    <w:rsid w:val="00C408DD"/>
    <w:rsid w:val="00C43738"/>
    <w:rsid w:val="00C44BF8"/>
    <w:rsid w:val="00C52673"/>
    <w:rsid w:val="00C53848"/>
    <w:rsid w:val="00C71078"/>
    <w:rsid w:val="00C72DAC"/>
    <w:rsid w:val="00C75D76"/>
    <w:rsid w:val="00C877D4"/>
    <w:rsid w:val="00C922F3"/>
    <w:rsid w:val="00C97BC9"/>
    <w:rsid w:val="00CA220B"/>
    <w:rsid w:val="00CA3F74"/>
    <w:rsid w:val="00CC10E5"/>
    <w:rsid w:val="00CD0616"/>
    <w:rsid w:val="00CD196C"/>
    <w:rsid w:val="00CD2544"/>
    <w:rsid w:val="00CE3183"/>
    <w:rsid w:val="00CE4954"/>
    <w:rsid w:val="00CE7D9D"/>
    <w:rsid w:val="00CF7082"/>
    <w:rsid w:val="00D06A12"/>
    <w:rsid w:val="00D24866"/>
    <w:rsid w:val="00D24B3F"/>
    <w:rsid w:val="00D2603E"/>
    <w:rsid w:val="00D471CD"/>
    <w:rsid w:val="00D47D49"/>
    <w:rsid w:val="00D56B4C"/>
    <w:rsid w:val="00D56FB2"/>
    <w:rsid w:val="00D571F0"/>
    <w:rsid w:val="00D64C78"/>
    <w:rsid w:val="00D66359"/>
    <w:rsid w:val="00D743C0"/>
    <w:rsid w:val="00D83C32"/>
    <w:rsid w:val="00D86197"/>
    <w:rsid w:val="00DA74DA"/>
    <w:rsid w:val="00DB002D"/>
    <w:rsid w:val="00DB180D"/>
    <w:rsid w:val="00DB6217"/>
    <w:rsid w:val="00DC22FD"/>
    <w:rsid w:val="00DC349A"/>
    <w:rsid w:val="00DC4A3F"/>
    <w:rsid w:val="00DC5CD1"/>
    <w:rsid w:val="00DD2B09"/>
    <w:rsid w:val="00DE0621"/>
    <w:rsid w:val="00DE077A"/>
    <w:rsid w:val="00DE4309"/>
    <w:rsid w:val="00DF638A"/>
    <w:rsid w:val="00DF7390"/>
    <w:rsid w:val="00E00D3E"/>
    <w:rsid w:val="00E01BCF"/>
    <w:rsid w:val="00E026CE"/>
    <w:rsid w:val="00E0426A"/>
    <w:rsid w:val="00E12A88"/>
    <w:rsid w:val="00E46123"/>
    <w:rsid w:val="00E4634B"/>
    <w:rsid w:val="00E50746"/>
    <w:rsid w:val="00E650FA"/>
    <w:rsid w:val="00E772A4"/>
    <w:rsid w:val="00E867C3"/>
    <w:rsid w:val="00EA1735"/>
    <w:rsid w:val="00EB263F"/>
    <w:rsid w:val="00ED1351"/>
    <w:rsid w:val="00ED3C94"/>
    <w:rsid w:val="00ED4422"/>
    <w:rsid w:val="00EE0BE2"/>
    <w:rsid w:val="00EE7663"/>
    <w:rsid w:val="00EF6080"/>
    <w:rsid w:val="00F14C92"/>
    <w:rsid w:val="00F22DEA"/>
    <w:rsid w:val="00F2395F"/>
    <w:rsid w:val="00F26876"/>
    <w:rsid w:val="00F30933"/>
    <w:rsid w:val="00F44815"/>
    <w:rsid w:val="00F50DF9"/>
    <w:rsid w:val="00F61544"/>
    <w:rsid w:val="00F63F8E"/>
    <w:rsid w:val="00F66009"/>
    <w:rsid w:val="00F71D7B"/>
    <w:rsid w:val="00F7230A"/>
    <w:rsid w:val="00F724A6"/>
    <w:rsid w:val="00F80F20"/>
    <w:rsid w:val="00F829FC"/>
    <w:rsid w:val="00F84072"/>
    <w:rsid w:val="00F92024"/>
    <w:rsid w:val="00F953EE"/>
    <w:rsid w:val="00FA1182"/>
    <w:rsid w:val="00FB0517"/>
    <w:rsid w:val="00FC0A1B"/>
    <w:rsid w:val="00FC2936"/>
    <w:rsid w:val="00FC34D9"/>
    <w:rsid w:val="00FC6586"/>
    <w:rsid w:val="00FE0088"/>
    <w:rsid w:val="00FE27EF"/>
    <w:rsid w:val="00FF28A7"/>
    <w:rsid w:val="03C964DE"/>
    <w:rsid w:val="21EC5999"/>
    <w:rsid w:val="37890172"/>
    <w:rsid w:val="3F2F1D69"/>
    <w:rsid w:val="3FA62412"/>
    <w:rsid w:val="51B968CE"/>
    <w:rsid w:val="5C4321F4"/>
    <w:rsid w:val="671E6329"/>
    <w:rsid w:val="6B0B20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字符"/>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qFormat/>
    <w:uiPriority w:val="99"/>
    <w:rPr>
      <w:sz w:val="18"/>
      <w:szCs w:val="18"/>
    </w:rPr>
  </w:style>
  <w:style w:type="paragraph" w:styleId="14">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6</Pages>
  <Words>2415</Words>
  <Characters>2461</Characters>
  <Lines>17</Lines>
  <Paragraphs>5</Paragraphs>
  <TotalTime>3</TotalTime>
  <ScaleCrop>false</ScaleCrop>
  <LinksUpToDate>false</LinksUpToDate>
  <CharactersWithSpaces>2496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洛泪枫</cp:lastModifiedBy>
  <cp:lastPrinted>2023-03-24T02:15:00Z</cp:lastPrinted>
  <dcterms:modified xsi:type="dcterms:W3CDTF">2024-10-18T08:40:58Z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095AA349D8E74023ABC62C8B239E1CAB_12</vt:lpwstr>
  </property>
</Properties>
</file>