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72AE89">
      <w:pPr>
        <w:jc w:val="center"/>
      </w:pPr>
    </w:p>
    <w:p w14:paraId="0E9E6FD3">
      <w:pPr>
        <w:jc w:val="center"/>
      </w:pPr>
    </w:p>
    <w:p w14:paraId="6F34B203">
      <w:pPr>
        <w:jc w:val="center"/>
      </w:pPr>
    </w:p>
    <w:p w14:paraId="539E1E6A">
      <w:pPr>
        <w:jc w:val="center"/>
      </w:pPr>
    </w:p>
    <w:p w14:paraId="7401B620">
      <w:pPr>
        <w:jc w:val="center"/>
      </w:pPr>
    </w:p>
    <w:p w14:paraId="00B4DFDE">
      <w:pPr>
        <w:jc w:val="center"/>
      </w:pPr>
    </w:p>
    <w:p w14:paraId="35FCED0A">
      <w:pPr>
        <w:jc w:val="center"/>
      </w:pPr>
    </w:p>
    <w:p w14:paraId="431E649D">
      <w:pPr>
        <w:jc w:val="center"/>
      </w:pPr>
    </w:p>
    <w:p w14:paraId="0006A106">
      <w:pPr>
        <w:jc w:val="center"/>
      </w:pPr>
    </w:p>
    <w:p w14:paraId="0A21095B">
      <w:pPr>
        <w:jc w:val="center"/>
      </w:pPr>
      <w:r>
        <w:rPr>
          <w:rFonts w:hint="eastAsia" w:ascii="迷你简小标宋" w:hAnsi="宋体" w:eastAsia="迷你简小标宋"/>
          <w:sz w:val="44"/>
          <w:szCs w:val="44"/>
        </w:rPr>
        <w:t>中国中小企业协会</w:t>
      </w:r>
      <w:r>
        <w:rPr>
          <w:rFonts w:hint="eastAsia" w:ascii="迷你简小标宋" w:hAnsi="宋体" w:eastAsia="迷你简小标宋"/>
          <w:sz w:val="44"/>
          <w:szCs w:val="44"/>
          <w:lang w:val="en-US" w:eastAsia="zh-CN"/>
        </w:rPr>
        <w:t>团体标准</w:t>
      </w:r>
    </w:p>
    <w:p w14:paraId="30709085">
      <w:pPr>
        <w:jc w:val="center"/>
        <w:rPr>
          <w:rFonts w:ascii="迷你简小标宋" w:hAnsi="宋体" w:eastAsia="迷你简小标宋"/>
          <w:w w:val="90"/>
          <w:sz w:val="44"/>
          <w:szCs w:val="44"/>
        </w:rPr>
      </w:pPr>
      <w:r>
        <w:rPr>
          <w:rFonts w:hint="eastAsia" w:ascii="迷你简小标宋" w:hAnsi="宋体" w:eastAsia="迷你简小标宋"/>
          <w:w w:val="90"/>
          <w:sz w:val="44"/>
          <w:szCs w:val="44"/>
        </w:rPr>
        <w:t>《</w:t>
      </w:r>
      <w:r>
        <w:rPr>
          <w:rFonts w:hint="eastAsia" w:ascii="迷你简小标宋" w:hAnsi="宋体" w:eastAsia="迷你简小标宋"/>
          <w:sz w:val="44"/>
          <w:szCs w:val="44"/>
          <w:lang w:val="en-US" w:eastAsia="zh-CN"/>
        </w:rPr>
        <w:t>零排放光伏废水处理技术规范</w:t>
      </w:r>
      <w:r>
        <w:rPr>
          <w:rFonts w:hint="eastAsia" w:ascii="迷你简小标宋" w:hAnsi="宋体" w:eastAsia="迷你简小标宋"/>
          <w:w w:val="90"/>
          <w:sz w:val="44"/>
          <w:szCs w:val="44"/>
        </w:rPr>
        <w:t>》</w:t>
      </w:r>
    </w:p>
    <w:p w14:paraId="69651B73">
      <w:pPr>
        <w:jc w:val="center"/>
        <w:rPr>
          <w:rFonts w:ascii="迷你简小标宋" w:hAnsi="宋体" w:eastAsia="迷你简小标宋"/>
          <w:sz w:val="44"/>
          <w:szCs w:val="44"/>
        </w:rPr>
      </w:pPr>
    </w:p>
    <w:p w14:paraId="66DB0283">
      <w:pPr>
        <w:jc w:val="center"/>
        <w:rPr>
          <w:rFonts w:ascii="迷你简小标宋" w:hAnsi="宋体" w:eastAsia="迷你简小标宋"/>
          <w:sz w:val="44"/>
          <w:szCs w:val="44"/>
        </w:rPr>
      </w:pPr>
      <w:r>
        <w:rPr>
          <w:rFonts w:hint="eastAsia" w:ascii="迷你简小标宋" w:hAnsi="宋体" w:eastAsia="迷你简小标宋"/>
          <w:sz w:val="44"/>
          <w:szCs w:val="44"/>
        </w:rPr>
        <w:t>编制说明</w:t>
      </w:r>
    </w:p>
    <w:p w14:paraId="7AFC3F77">
      <w:pPr>
        <w:jc w:val="center"/>
      </w:pPr>
    </w:p>
    <w:p w14:paraId="3A1BBD4E">
      <w:pPr>
        <w:jc w:val="center"/>
      </w:pPr>
    </w:p>
    <w:p w14:paraId="553A2397">
      <w:pPr>
        <w:jc w:val="center"/>
      </w:pPr>
    </w:p>
    <w:p w14:paraId="327431EC">
      <w:pPr>
        <w:jc w:val="center"/>
      </w:pPr>
    </w:p>
    <w:p w14:paraId="2EABEAF3">
      <w:pPr>
        <w:jc w:val="center"/>
      </w:pPr>
    </w:p>
    <w:p w14:paraId="1461394E">
      <w:pPr>
        <w:jc w:val="center"/>
      </w:pPr>
    </w:p>
    <w:p w14:paraId="70E034AF">
      <w:pPr>
        <w:jc w:val="center"/>
      </w:pPr>
    </w:p>
    <w:p w14:paraId="64520520">
      <w:pPr>
        <w:jc w:val="center"/>
      </w:pPr>
    </w:p>
    <w:p w14:paraId="399B77AA">
      <w:pPr>
        <w:jc w:val="center"/>
      </w:pPr>
    </w:p>
    <w:p w14:paraId="1C4A82D6">
      <w:pPr>
        <w:jc w:val="center"/>
      </w:pPr>
    </w:p>
    <w:p w14:paraId="718A098E">
      <w:pPr>
        <w:jc w:val="center"/>
      </w:pPr>
    </w:p>
    <w:p w14:paraId="579D872B">
      <w:pPr>
        <w:jc w:val="center"/>
      </w:pPr>
    </w:p>
    <w:p w14:paraId="51575CC1">
      <w:pPr>
        <w:jc w:val="center"/>
      </w:pPr>
    </w:p>
    <w:p w14:paraId="1F8E33AE">
      <w:pPr>
        <w:jc w:val="center"/>
      </w:pPr>
    </w:p>
    <w:p w14:paraId="2D614C57">
      <w:pPr>
        <w:jc w:val="center"/>
      </w:pPr>
    </w:p>
    <w:p w14:paraId="08BA6CF1">
      <w:pPr>
        <w:jc w:val="center"/>
      </w:pPr>
    </w:p>
    <w:p w14:paraId="72F20A07">
      <w:pPr>
        <w:jc w:val="center"/>
        <w:rPr>
          <w:rFonts w:ascii="宋体" w:hAnsi="宋体" w:eastAsia="宋体"/>
          <w:sz w:val="28"/>
          <w:szCs w:val="28"/>
        </w:rPr>
      </w:pPr>
      <w:r>
        <w:rPr>
          <w:rFonts w:hint="eastAsia" w:ascii="宋体" w:hAnsi="宋体" w:eastAsia="宋体"/>
          <w:sz w:val="28"/>
          <w:szCs w:val="28"/>
        </w:rPr>
        <w:t xml:space="preserve">团标制定工作组 </w:t>
      </w:r>
    </w:p>
    <w:p w14:paraId="4A779C63">
      <w:pPr>
        <w:jc w:val="center"/>
        <w:rPr>
          <w:rFonts w:ascii="宋体" w:hAnsi="宋体" w:eastAsia="宋体"/>
          <w:sz w:val="28"/>
          <w:szCs w:val="28"/>
        </w:rPr>
      </w:pPr>
    </w:p>
    <w:p w14:paraId="69B766E4">
      <w:pPr>
        <w:jc w:val="center"/>
        <w:rPr>
          <w:rFonts w:ascii="宋体" w:hAnsi="宋体" w:eastAsia="宋体"/>
          <w:sz w:val="28"/>
          <w:szCs w:val="28"/>
        </w:rPr>
      </w:pPr>
      <w:r>
        <w:rPr>
          <w:rFonts w:hint="eastAsia" w:ascii="宋体" w:hAnsi="宋体" w:eastAsia="宋体"/>
          <w:sz w:val="28"/>
          <w:szCs w:val="28"/>
        </w:rPr>
        <w:t>二零二四年</w:t>
      </w:r>
      <w:r>
        <w:rPr>
          <w:rFonts w:hint="eastAsia" w:ascii="宋体" w:hAnsi="宋体" w:eastAsia="宋体"/>
          <w:sz w:val="28"/>
          <w:szCs w:val="28"/>
          <w:lang w:val="en-US" w:eastAsia="zh-CN"/>
        </w:rPr>
        <w:t>十一</w:t>
      </w:r>
      <w:r>
        <w:rPr>
          <w:rFonts w:hint="eastAsia" w:ascii="宋体" w:hAnsi="宋体" w:eastAsia="宋体"/>
          <w:sz w:val="28"/>
          <w:szCs w:val="28"/>
        </w:rPr>
        <w:t>月</w:t>
      </w:r>
    </w:p>
    <w:p w14:paraId="3BF32C5E">
      <w:pPr>
        <w:jc w:val="center"/>
        <w:rPr>
          <w:rFonts w:ascii="宋体" w:hAnsi="宋体" w:eastAsia="宋体"/>
          <w:sz w:val="28"/>
          <w:szCs w:val="28"/>
        </w:rPr>
      </w:pPr>
    </w:p>
    <w:p w14:paraId="7AF9EF6E">
      <w:pPr>
        <w:jc w:val="center"/>
        <w:rPr>
          <w:rFonts w:ascii="宋体" w:hAnsi="宋体" w:eastAsia="宋体"/>
          <w:sz w:val="28"/>
          <w:szCs w:val="28"/>
        </w:rPr>
      </w:pPr>
    </w:p>
    <w:p w14:paraId="616354A2">
      <w:pPr>
        <w:jc w:val="center"/>
        <w:rPr>
          <w:rFonts w:ascii="宋体" w:hAnsi="宋体" w:eastAsia="宋体"/>
          <w:sz w:val="28"/>
          <w:szCs w:val="28"/>
        </w:rPr>
      </w:pPr>
    </w:p>
    <w:p w14:paraId="70875990">
      <w:pPr>
        <w:jc w:val="center"/>
        <w:rPr>
          <w:rFonts w:ascii="宋体" w:hAnsi="宋体" w:eastAsia="宋体"/>
          <w:sz w:val="28"/>
          <w:szCs w:val="28"/>
        </w:rPr>
      </w:pPr>
    </w:p>
    <w:p w14:paraId="1345B5ED">
      <w:pPr>
        <w:jc w:val="center"/>
        <w:rPr>
          <w:rFonts w:ascii="宋体" w:hAnsi="宋体" w:eastAsia="宋体"/>
          <w:sz w:val="28"/>
          <w:szCs w:val="28"/>
        </w:rPr>
      </w:pPr>
    </w:p>
    <w:p w14:paraId="44B6B4BD">
      <w:pPr>
        <w:jc w:val="center"/>
        <w:rPr>
          <w:rFonts w:ascii="宋体" w:hAnsi="宋体" w:eastAsia="宋体"/>
          <w:sz w:val="28"/>
          <w:szCs w:val="28"/>
        </w:rPr>
      </w:pPr>
    </w:p>
    <w:p w14:paraId="3AB2A67D">
      <w:pPr>
        <w:jc w:val="center"/>
        <w:rPr>
          <w:rFonts w:ascii="宋体" w:hAnsi="宋体" w:eastAsia="宋体"/>
          <w:sz w:val="28"/>
          <w:szCs w:val="28"/>
        </w:rPr>
      </w:pPr>
    </w:p>
    <w:p w14:paraId="12270B02">
      <w:pPr>
        <w:spacing w:line="360" w:lineRule="auto"/>
        <w:jc w:val="left"/>
        <w:rPr>
          <w:rFonts w:ascii="宋体" w:hAnsi="宋体" w:eastAsia="宋体"/>
          <w:b/>
          <w:bCs/>
          <w:sz w:val="28"/>
          <w:szCs w:val="28"/>
        </w:rPr>
      </w:pPr>
      <w:r>
        <w:rPr>
          <w:rFonts w:hint="eastAsia" w:ascii="宋体" w:hAnsi="宋体" w:eastAsia="宋体"/>
          <w:b/>
          <w:bCs/>
          <w:sz w:val="28"/>
          <w:szCs w:val="28"/>
        </w:rPr>
        <w:t>一、工作简况</w:t>
      </w:r>
    </w:p>
    <w:p w14:paraId="13E7C6FB">
      <w:pPr>
        <w:spacing w:line="360" w:lineRule="auto"/>
        <w:jc w:val="left"/>
        <w:rPr>
          <w:rFonts w:hint="eastAsia" w:ascii="宋体" w:hAnsi="宋体" w:eastAsia="宋体"/>
          <w:b/>
          <w:bCs/>
          <w:sz w:val="28"/>
          <w:szCs w:val="28"/>
        </w:rPr>
      </w:pPr>
      <w:r>
        <w:rPr>
          <w:rFonts w:hint="eastAsia" w:ascii="宋体" w:hAnsi="宋体" w:eastAsia="宋体"/>
          <w:b/>
          <w:bCs/>
          <w:sz w:val="28"/>
          <w:szCs w:val="28"/>
        </w:rPr>
        <w:t>（一）任务来源</w:t>
      </w:r>
    </w:p>
    <w:p w14:paraId="63298406">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bCs/>
          <w:sz w:val="28"/>
          <w:szCs w:val="28"/>
          <w:lang w:eastAsia="zh-CN"/>
        </w:rPr>
      </w:pPr>
      <w:r>
        <w:rPr>
          <w:rFonts w:hint="eastAsia" w:ascii="宋体" w:hAnsi="宋体" w:eastAsia="宋体"/>
          <w:sz w:val="28"/>
          <w:szCs w:val="28"/>
        </w:rPr>
        <w:t>根据</w:t>
      </w:r>
      <w:r>
        <w:rPr>
          <w:rFonts w:ascii="宋体" w:hAnsi="宋体" w:eastAsia="宋体"/>
          <w:sz w:val="28"/>
          <w:szCs w:val="28"/>
        </w:rPr>
        <w:t xml:space="preserve"> 202</w:t>
      </w:r>
      <w:r>
        <w:rPr>
          <w:rFonts w:hint="eastAsia" w:ascii="宋体" w:hAnsi="宋体" w:eastAsia="宋体"/>
          <w:sz w:val="28"/>
          <w:szCs w:val="28"/>
        </w:rPr>
        <w:t>4</w:t>
      </w:r>
      <w:r>
        <w:rPr>
          <w:rFonts w:ascii="宋体" w:hAnsi="宋体" w:eastAsia="宋体"/>
          <w:sz w:val="28"/>
          <w:szCs w:val="28"/>
        </w:rPr>
        <w:t>年全国标准化工作要点，大力推动实施标准化战略，</w:t>
      </w:r>
      <w:r>
        <w:rPr>
          <w:rFonts w:hint="eastAsia" w:ascii="宋体" w:hAnsi="宋体" w:eastAsia="宋体"/>
          <w:sz w:val="28"/>
          <w:szCs w:val="28"/>
        </w:rPr>
        <w:t>持续深化标准化工作改革，加强标准体系建设，提升引领高质量发展的能力。依据《中华人民共和国标准化法》，以及《团体标准管理规定》相关规定</w:t>
      </w:r>
      <w:r>
        <w:rPr>
          <w:rFonts w:hint="eastAsia" w:ascii="宋体" w:hAnsi="宋体" w:eastAsia="宋体"/>
          <w:sz w:val="28"/>
          <w:szCs w:val="28"/>
          <w:lang w:eastAsia="zh-CN"/>
        </w:rPr>
        <w:t>，</w:t>
      </w:r>
      <w:r>
        <w:rPr>
          <w:rFonts w:hint="eastAsia" w:ascii="宋体" w:hAnsi="宋体" w:eastAsia="宋体"/>
          <w:sz w:val="28"/>
          <w:szCs w:val="28"/>
          <w:lang w:val="en-US" w:eastAsia="zh-CN"/>
        </w:rPr>
        <w:t>南京博知源环境科技有限公司</w:t>
      </w:r>
      <w:r>
        <w:rPr>
          <w:rFonts w:hint="eastAsia" w:ascii="宋体" w:hAnsi="宋体" w:eastAsia="宋体"/>
          <w:sz w:val="28"/>
          <w:szCs w:val="28"/>
        </w:rPr>
        <w:t>联合</w:t>
      </w:r>
      <w:r>
        <w:rPr>
          <w:rFonts w:hint="eastAsia" w:ascii="宋体" w:hAnsi="宋体" w:eastAsia="宋体"/>
          <w:sz w:val="28"/>
          <w:szCs w:val="28"/>
        </w:rPr>
        <w:t>扬州弘思百佳科技有限公司、纵坐标（江苏）标准技术服务有限公司</w:t>
      </w:r>
      <w:r>
        <w:rPr>
          <w:rFonts w:hint="eastAsia" w:ascii="宋体" w:hAnsi="宋体" w:eastAsia="宋体"/>
          <w:sz w:val="28"/>
          <w:szCs w:val="28"/>
          <w:highlight w:val="none"/>
        </w:rPr>
        <w:t>等</w:t>
      </w:r>
      <w:r>
        <w:rPr>
          <w:rFonts w:hint="eastAsia" w:ascii="宋体" w:hAnsi="宋体" w:eastAsia="宋体"/>
          <w:sz w:val="28"/>
          <w:szCs w:val="28"/>
        </w:rPr>
        <w:t>相关单位共同制定《</w:t>
      </w:r>
      <w:r>
        <w:rPr>
          <w:rFonts w:hint="eastAsia" w:ascii="宋体" w:hAnsi="宋体" w:eastAsia="宋体"/>
          <w:sz w:val="28"/>
          <w:szCs w:val="28"/>
          <w:lang w:val="en-US" w:eastAsia="zh-CN"/>
        </w:rPr>
        <w:t>零排放光伏废水处理技术规范</w:t>
      </w:r>
      <w:r>
        <w:rPr>
          <w:rFonts w:hint="eastAsia" w:ascii="宋体" w:hAnsi="宋体" w:eastAsia="宋体"/>
          <w:sz w:val="28"/>
          <w:szCs w:val="28"/>
        </w:rPr>
        <w:t>》团体标准</w:t>
      </w:r>
      <w:r>
        <w:rPr>
          <w:rFonts w:hint="eastAsia" w:ascii="宋体" w:hAnsi="宋体" w:eastAsia="宋体"/>
          <w:sz w:val="28"/>
          <w:szCs w:val="28"/>
          <w:lang w:eastAsia="zh-CN"/>
        </w:rPr>
        <w:t>。</w:t>
      </w:r>
    </w:p>
    <w:p w14:paraId="37435085">
      <w:pPr>
        <w:numPr>
          <w:ilvl w:val="0"/>
          <w:numId w:val="2"/>
        </w:numPr>
        <w:spacing w:line="360" w:lineRule="auto"/>
        <w:jc w:val="left"/>
        <w:rPr>
          <w:rFonts w:ascii="宋体" w:hAnsi="宋体" w:eastAsia="宋体"/>
          <w:b/>
          <w:bCs/>
          <w:sz w:val="28"/>
          <w:szCs w:val="28"/>
        </w:rPr>
      </w:pPr>
      <w:r>
        <w:rPr>
          <w:rFonts w:hint="eastAsia" w:ascii="宋体" w:hAnsi="宋体" w:eastAsia="宋体"/>
          <w:b/>
          <w:bCs/>
          <w:sz w:val="28"/>
          <w:szCs w:val="28"/>
        </w:rPr>
        <w:t>编制</w:t>
      </w:r>
      <w:r>
        <w:rPr>
          <w:rFonts w:ascii="宋体" w:hAnsi="宋体" w:eastAsia="宋体"/>
          <w:b/>
          <w:bCs/>
          <w:sz w:val="28"/>
          <w:szCs w:val="28"/>
        </w:rPr>
        <w:t>背景及目的</w:t>
      </w:r>
    </w:p>
    <w:p w14:paraId="3E0C9BF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宋体" w:hAnsi="宋体" w:eastAsia="宋体"/>
          <w:sz w:val="28"/>
          <w:szCs w:val="28"/>
          <w:lang w:val="en-US" w:eastAsia="zh-CN"/>
        </w:rPr>
      </w:pPr>
      <w:r>
        <w:rPr>
          <w:rFonts w:hint="eastAsia" w:ascii="宋体" w:hAnsi="宋体" w:eastAsia="宋体"/>
          <w:sz w:val="28"/>
          <w:szCs w:val="28"/>
          <w:lang w:val="en-US" w:eastAsia="zh-CN"/>
        </w:rPr>
        <w:t>零排放光伏废水处理技术是指对光伏（太阳能光伏）产业的生产过程中产生的废水进行处理，使其达到可以完全回收利用或者符合特定排放标准、减少对环境造成污染的一种废水处理技术。本标准采用的零排放光伏废水处理技术采用了预处理、膜处理和三效蒸发等先进的处理工艺和设备，用于除去或者降低废水中的CODcr、氨氮化合物、总氮、溶解性固体含量等，再综合调节废水的酸碱性，最终实现光伏废水的零排放。由于零排放光伏废水处理技术的集成创新工艺能够高效提升现有光伏行业废水处理的工艺水平而占据十分重要的地位。</w:t>
      </w:r>
    </w:p>
    <w:p w14:paraId="6694DEF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sz w:val="28"/>
          <w:szCs w:val="28"/>
          <w:lang w:val="en-US" w:eastAsia="zh-CN"/>
        </w:rPr>
      </w:pPr>
      <w:r>
        <w:rPr>
          <w:rFonts w:hint="eastAsia" w:ascii="宋体" w:hAnsi="宋体" w:eastAsia="宋体"/>
          <w:sz w:val="28"/>
          <w:szCs w:val="28"/>
          <w:lang w:val="en-US" w:eastAsia="zh-CN"/>
        </w:rPr>
        <w:t>与传统的光伏废水处理技术相比，零排放光伏废水处理技术通过更先进的处理工艺，如（MVR）三效蒸发的使用、RO膜的运用等，能够更有效地去除废水中的污染物，同时还注重资源的回收，如盐分、贵重金属等</w:t>
      </w:r>
      <w:r>
        <w:rPr>
          <w:rFonts w:hint="default" w:ascii="宋体" w:hAnsi="宋体" w:eastAsia="宋体"/>
          <w:sz w:val="28"/>
          <w:szCs w:val="28"/>
          <w:lang w:val="en-US" w:eastAsia="zh-CN"/>
        </w:rPr>
        <w:t>，</w:t>
      </w:r>
      <w:r>
        <w:rPr>
          <w:rFonts w:hint="eastAsia" w:ascii="宋体" w:hAnsi="宋体" w:eastAsia="宋体"/>
          <w:sz w:val="28"/>
          <w:szCs w:val="28"/>
          <w:lang w:val="en-US" w:eastAsia="zh-CN"/>
        </w:rPr>
        <w:t>实现废水的近100%回收和再利用。零排放光伏废水处理技术的应用在一定程度上降低了污染物对环境的影响、有助于保护水资源和生态系统，且</w:t>
      </w:r>
      <w:r>
        <w:rPr>
          <w:rFonts w:hint="default" w:ascii="宋体" w:hAnsi="宋体" w:eastAsia="宋体"/>
          <w:sz w:val="28"/>
          <w:szCs w:val="28"/>
          <w:lang w:val="en-US" w:eastAsia="zh-CN"/>
        </w:rPr>
        <w:t>由于资源回收和环境效益，可能</w:t>
      </w:r>
      <w:r>
        <w:rPr>
          <w:rFonts w:hint="eastAsia" w:ascii="宋体" w:hAnsi="宋体" w:eastAsia="宋体"/>
          <w:sz w:val="28"/>
          <w:szCs w:val="28"/>
          <w:lang w:val="en-US" w:eastAsia="zh-CN"/>
        </w:rPr>
        <w:t>给企业</w:t>
      </w:r>
      <w:r>
        <w:rPr>
          <w:rFonts w:hint="default" w:ascii="宋体" w:hAnsi="宋体" w:eastAsia="宋体"/>
          <w:sz w:val="28"/>
          <w:szCs w:val="28"/>
          <w:lang w:val="en-US" w:eastAsia="zh-CN"/>
        </w:rPr>
        <w:t>带来更好的经济回报</w:t>
      </w:r>
      <w:r>
        <w:rPr>
          <w:rFonts w:hint="eastAsia" w:ascii="宋体" w:hAnsi="宋体" w:eastAsia="宋体"/>
          <w:sz w:val="28"/>
          <w:szCs w:val="28"/>
          <w:lang w:val="en-US" w:eastAsia="zh-CN"/>
        </w:rPr>
        <w:t>，因此零排放光伏废水处理技术也广泛运用于光伏产业、污水处理厂、化工行业等。</w:t>
      </w:r>
    </w:p>
    <w:p w14:paraId="112ACC8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sz w:val="28"/>
          <w:szCs w:val="28"/>
          <w:lang w:eastAsia="zh-CN"/>
        </w:rPr>
      </w:pPr>
      <w:r>
        <w:rPr>
          <w:rFonts w:hint="eastAsia" w:ascii="宋体" w:hAnsi="宋体" w:eastAsia="宋体"/>
          <w:sz w:val="28"/>
          <w:szCs w:val="28"/>
          <w:lang w:val="en-US" w:eastAsia="zh-CN"/>
        </w:rPr>
        <w:t>综上所述，制定《零排放光伏废水处理技术规范》的团体标准，为我司的零排放光伏废水处理提供了明确的指导规范，有助于减少污染物排放、确保废水处理排放和回收利用符合国家法律法规和当地省市地方的标准，这将有效降低企业生产和处理成本、提高经济效益、实现资源的循环利用，促进企业健康绿色发展。</w:t>
      </w:r>
    </w:p>
    <w:p w14:paraId="6E34CEBA">
      <w:pPr>
        <w:numPr>
          <w:ilvl w:val="0"/>
          <w:numId w:val="2"/>
        </w:numPr>
        <w:spacing w:line="360" w:lineRule="auto"/>
        <w:ind w:left="0" w:leftChars="0" w:firstLine="0" w:firstLineChars="0"/>
        <w:jc w:val="left"/>
        <w:rPr>
          <w:rFonts w:ascii="宋体" w:hAnsi="宋体" w:eastAsia="宋体"/>
          <w:sz w:val="28"/>
          <w:szCs w:val="28"/>
        </w:rPr>
      </w:pPr>
      <w:r>
        <w:rPr>
          <w:rFonts w:ascii="宋体" w:hAnsi="宋体" w:eastAsia="宋体"/>
          <w:b/>
          <w:bCs/>
          <w:sz w:val="28"/>
          <w:szCs w:val="28"/>
        </w:rPr>
        <w:t>编制过程</w:t>
      </w:r>
      <w:r>
        <w:rPr>
          <w:rFonts w:ascii="宋体" w:hAnsi="宋体" w:eastAsia="宋体"/>
          <w:sz w:val="28"/>
          <w:szCs w:val="28"/>
        </w:rPr>
        <w:t xml:space="preserve"> </w:t>
      </w:r>
    </w:p>
    <w:p w14:paraId="126EA744">
      <w:pPr>
        <w:keepNext w:val="0"/>
        <w:keepLines w:val="0"/>
        <w:pageBreakBefore w:val="0"/>
        <w:widowControl w:val="0"/>
        <w:kinsoku/>
        <w:wordWrap/>
        <w:overflowPunct/>
        <w:topLinePunct/>
        <w:autoSpaceDE/>
        <w:autoSpaceDN/>
        <w:bidi w:val="0"/>
        <w:adjustRightInd/>
        <w:snapToGrid/>
        <w:spacing w:line="360" w:lineRule="auto"/>
        <w:ind w:firstLine="560" w:firstLineChars="200"/>
        <w:jc w:val="both"/>
        <w:textAlignment w:val="auto"/>
        <w:rPr>
          <w:rFonts w:hint="eastAsia" w:ascii="宋体" w:hAnsi="宋体" w:eastAsia="宋体"/>
          <w:sz w:val="28"/>
          <w:szCs w:val="28"/>
        </w:rPr>
      </w:pPr>
      <w:r>
        <w:rPr>
          <w:rFonts w:hint="eastAsia" w:ascii="宋体" w:hAnsi="宋体" w:eastAsia="宋体"/>
          <w:sz w:val="28"/>
          <w:szCs w:val="28"/>
        </w:rPr>
        <w:t>1、项目立项阶段</w:t>
      </w:r>
    </w:p>
    <w:p w14:paraId="3A139A58">
      <w:pPr>
        <w:keepNext w:val="0"/>
        <w:keepLines w:val="0"/>
        <w:pageBreakBefore w:val="0"/>
        <w:widowControl w:val="0"/>
        <w:kinsoku/>
        <w:wordWrap/>
        <w:overflowPunct/>
        <w:topLinePunct/>
        <w:autoSpaceDE/>
        <w:autoSpaceDN/>
        <w:bidi w:val="0"/>
        <w:adjustRightInd/>
        <w:snapToGrid/>
        <w:spacing w:line="360" w:lineRule="auto"/>
        <w:ind w:firstLine="560" w:firstLineChars="200"/>
        <w:jc w:val="both"/>
        <w:textAlignment w:val="auto"/>
        <w:rPr>
          <w:rFonts w:hint="eastAsia" w:ascii="宋体" w:hAnsi="宋体" w:eastAsia="宋体"/>
          <w:sz w:val="28"/>
          <w:szCs w:val="28"/>
        </w:rPr>
      </w:pPr>
      <w:r>
        <w:rPr>
          <w:rFonts w:hint="eastAsia" w:ascii="宋体" w:hAnsi="宋体" w:eastAsia="宋体"/>
          <w:sz w:val="28"/>
          <w:szCs w:val="28"/>
        </w:rPr>
        <w:t>由</w:t>
      </w:r>
      <w:r>
        <w:rPr>
          <w:rFonts w:hint="eastAsia" w:ascii="宋体" w:hAnsi="宋体" w:eastAsia="宋体"/>
          <w:sz w:val="28"/>
          <w:szCs w:val="28"/>
          <w:lang w:val="en-US" w:eastAsia="zh-CN"/>
        </w:rPr>
        <w:t>南京博知源环境科技有限公司</w:t>
      </w:r>
      <w:r>
        <w:rPr>
          <w:rFonts w:hint="eastAsia" w:ascii="宋体" w:hAnsi="宋体" w:eastAsia="宋体"/>
          <w:sz w:val="28"/>
          <w:szCs w:val="28"/>
        </w:rPr>
        <w:t>、</w:t>
      </w:r>
      <w:r>
        <w:rPr>
          <w:rFonts w:hint="eastAsia" w:ascii="宋体" w:hAnsi="宋体" w:eastAsia="宋体"/>
          <w:sz w:val="28"/>
          <w:szCs w:val="28"/>
        </w:rPr>
        <w:t>扬州弘思百佳科技有限公司、纵坐标（江苏）标准技术服务有限公司</w:t>
      </w:r>
      <w:r>
        <w:rPr>
          <w:rFonts w:hint="eastAsia" w:ascii="宋体" w:hAnsi="宋体" w:eastAsia="宋体"/>
          <w:sz w:val="28"/>
          <w:szCs w:val="28"/>
          <w:highlight w:val="none"/>
        </w:rPr>
        <w:t>等</w:t>
      </w:r>
      <w:r>
        <w:rPr>
          <w:rFonts w:hint="eastAsia" w:ascii="宋体" w:hAnsi="宋体" w:eastAsia="宋体"/>
          <w:sz w:val="28"/>
          <w:szCs w:val="28"/>
        </w:rPr>
        <w:t>相关单位的</w:t>
      </w:r>
      <w:r>
        <w:rPr>
          <w:rFonts w:ascii="宋体" w:hAnsi="宋体" w:eastAsia="宋体"/>
          <w:sz w:val="28"/>
          <w:szCs w:val="28"/>
        </w:rPr>
        <w:t>技术人员共同成立了标准起草组，制定了详细的工作方案和实施计划，</w:t>
      </w:r>
      <w:r>
        <w:rPr>
          <w:rFonts w:hint="eastAsia" w:ascii="宋体" w:hAnsi="宋体" w:eastAsia="宋体"/>
          <w:sz w:val="28"/>
          <w:szCs w:val="28"/>
        </w:rPr>
        <w:t>研究分析相关领域标准制修订情况和</w:t>
      </w:r>
      <w:r>
        <w:rPr>
          <w:rFonts w:hint="eastAsia" w:ascii="宋体" w:hAnsi="宋体" w:eastAsia="宋体"/>
          <w:sz w:val="28"/>
          <w:szCs w:val="28"/>
          <w:lang w:val="en-US" w:eastAsia="zh-CN"/>
        </w:rPr>
        <w:t>零排放光伏废水处理、电池废水处理、废水处理</w:t>
      </w:r>
      <w:r>
        <w:rPr>
          <w:rFonts w:hint="eastAsia" w:ascii="宋体" w:hAnsi="宋体" w:eastAsia="宋体"/>
          <w:sz w:val="28"/>
          <w:szCs w:val="28"/>
        </w:rPr>
        <w:t>行业</w:t>
      </w:r>
      <w:r>
        <w:rPr>
          <w:rFonts w:hint="eastAsia" w:ascii="宋体" w:hAnsi="宋体" w:eastAsia="宋体"/>
          <w:sz w:val="28"/>
          <w:szCs w:val="28"/>
          <w:lang w:val="en-US" w:eastAsia="zh-CN"/>
        </w:rPr>
        <w:t>的</w:t>
      </w:r>
      <w:r>
        <w:rPr>
          <w:rFonts w:hint="eastAsia" w:ascii="宋体" w:hAnsi="宋体" w:eastAsia="宋体"/>
          <w:sz w:val="28"/>
          <w:szCs w:val="28"/>
        </w:rPr>
        <w:t>发展现状，在此基础上结合起草单位的生产实际，多次召开内部研讨会议，确定了标准名称，并完成该</w:t>
      </w:r>
      <w:r>
        <w:rPr>
          <w:rFonts w:ascii="宋体" w:hAnsi="宋体" w:eastAsia="宋体"/>
          <w:sz w:val="28"/>
          <w:szCs w:val="28"/>
        </w:rPr>
        <w:t>项团体标准的立项工作。</w:t>
      </w:r>
    </w:p>
    <w:p w14:paraId="1D14F61E">
      <w:pPr>
        <w:keepNext w:val="0"/>
        <w:keepLines w:val="0"/>
        <w:pageBreakBefore w:val="0"/>
        <w:widowControl w:val="0"/>
        <w:kinsoku/>
        <w:wordWrap/>
        <w:overflowPunct/>
        <w:topLinePunct/>
        <w:autoSpaceDE/>
        <w:autoSpaceDN/>
        <w:bidi w:val="0"/>
        <w:adjustRightInd/>
        <w:snapToGrid/>
        <w:spacing w:line="360" w:lineRule="auto"/>
        <w:ind w:firstLine="560" w:firstLineChars="200"/>
        <w:jc w:val="both"/>
        <w:textAlignment w:val="auto"/>
        <w:rPr>
          <w:rFonts w:hint="eastAsia" w:ascii="宋体" w:hAnsi="宋体" w:eastAsia="宋体"/>
          <w:sz w:val="28"/>
          <w:szCs w:val="28"/>
        </w:rPr>
      </w:pPr>
      <w:r>
        <w:rPr>
          <w:rFonts w:hint="eastAsia" w:ascii="宋体" w:hAnsi="宋体" w:eastAsia="宋体"/>
          <w:sz w:val="28"/>
          <w:szCs w:val="28"/>
        </w:rPr>
        <w:t>2、理论研究阶段</w:t>
      </w:r>
    </w:p>
    <w:p w14:paraId="48328FB3">
      <w:pPr>
        <w:keepNext w:val="0"/>
        <w:keepLines w:val="0"/>
        <w:pageBreakBefore w:val="0"/>
        <w:widowControl w:val="0"/>
        <w:kinsoku/>
        <w:wordWrap/>
        <w:overflowPunct/>
        <w:topLinePunct/>
        <w:autoSpaceDE/>
        <w:autoSpaceDN/>
        <w:bidi w:val="0"/>
        <w:adjustRightInd/>
        <w:snapToGrid/>
        <w:spacing w:line="360" w:lineRule="auto"/>
        <w:ind w:firstLine="560" w:firstLineChars="200"/>
        <w:jc w:val="both"/>
        <w:textAlignment w:val="auto"/>
        <w:rPr>
          <w:rFonts w:hint="eastAsia" w:ascii="宋体" w:hAnsi="宋体" w:eastAsia="宋体"/>
          <w:sz w:val="28"/>
          <w:szCs w:val="28"/>
        </w:rPr>
      </w:pPr>
      <w:r>
        <w:rPr>
          <w:rFonts w:hint="eastAsia" w:ascii="宋体" w:hAnsi="宋体" w:eastAsia="宋体"/>
          <w:sz w:val="28"/>
          <w:szCs w:val="28"/>
        </w:rPr>
        <w:t>标准起草组广泛搜集相关标准和国外技术资料，进行了大量的研究分析、资料查证工作，确定了标准的制定原则，结合现有</w:t>
      </w:r>
      <w:r>
        <w:rPr>
          <w:rFonts w:hint="eastAsia" w:ascii="宋体" w:hAnsi="宋体" w:eastAsia="宋体"/>
          <w:sz w:val="28"/>
          <w:szCs w:val="28"/>
          <w:lang w:val="en-US" w:eastAsia="zh-CN"/>
        </w:rPr>
        <w:t>零排放光伏废水处理和电池废水处理的</w:t>
      </w:r>
      <w:r>
        <w:rPr>
          <w:rFonts w:hint="eastAsia" w:ascii="宋体" w:hAnsi="宋体" w:eastAsia="宋体"/>
          <w:sz w:val="28"/>
          <w:szCs w:val="28"/>
        </w:rPr>
        <w:t>实际应用经验，为标准的起草奠定了基础。</w:t>
      </w:r>
    </w:p>
    <w:p w14:paraId="56BFA5B6">
      <w:pPr>
        <w:keepNext w:val="0"/>
        <w:keepLines w:val="0"/>
        <w:pageBreakBefore w:val="0"/>
        <w:widowControl w:val="0"/>
        <w:kinsoku/>
        <w:wordWrap/>
        <w:overflowPunct/>
        <w:topLinePunct/>
        <w:autoSpaceDE/>
        <w:autoSpaceDN/>
        <w:bidi w:val="0"/>
        <w:adjustRightInd/>
        <w:snapToGrid/>
        <w:spacing w:line="360" w:lineRule="auto"/>
        <w:ind w:firstLine="560" w:firstLineChars="200"/>
        <w:jc w:val="both"/>
        <w:textAlignment w:val="auto"/>
        <w:rPr>
          <w:rFonts w:hint="eastAsia" w:ascii="宋体" w:hAnsi="宋体" w:eastAsia="宋体"/>
          <w:sz w:val="28"/>
          <w:szCs w:val="28"/>
        </w:rPr>
      </w:pPr>
      <w:r>
        <w:rPr>
          <w:rFonts w:hint="eastAsia" w:ascii="宋体" w:hAnsi="宋体" w:eastAsia="宋体"/>
          <w:sz w:val="28"/>
          <w:szCs w:val="28"/>
        </w:rPr>
        <w:t>标准起草组进一步研究</w:t>
      </w:r>
      <w:r>
        <w:rPr>
          <w:rFonts w:hint="eastAsia" w:ascii="宋体" w:hAnsi="宋体" w:eastAsia="宋体"/>
          <w:sz w:val="28"/>
          <w:szCs w:val="28"/>
          <w:lang w:val="en-US" w:eastAsia="zh-CN"/>
        </w:rPr>
        <w:t>现零排放光伏废水处理技术</w:t>
      </w:r>
      <w:r>
        <w:rPr>
          <w:rFonts w:hint="eastAsia" w:ascii="宋体" w:hAnsi="宋体" w:eastAsia="宋体"/>
          <w:sz w:val="28"/>
          <w:szCs w:val="28"/>
        </w:rPr>
        <w:t>的主要</w:t>
      </w:r>
      <w:r>
        <w:rPr>
          <w:rFonts w:hint="eastAsia" w:ascii="宋体" w:hAnsi="宋体" w:eastAsia="宋体"/>
          <w:sz w:val="28"/>
          <w:szCs w:val="28"/>
          <w:lang w:val="en-US" w:eastAsia="zh-CN"/>
        </w:rPr>
        <w:t>工艺流程和技术内容</w:t>
      </w:r>
      <w:r>
        <w:rPr>
          <w:rFonts w:hint="eastAsia" w:ascii="宋体" w:hAnsi="宋体" w:eastAsia="宋体"/>
          <w:sz w:val="28"/>
          <w:szCs w:val="28"/>
        </w:rPr>
        <w:t>，明确了</w:t>
      </w:r>
      <w:r>
        <w:rPr>
          <w:rFonts w:hint="eastAsia" w:ascii="宋体" w:hAnsi="宋体" w:eastAsia="宋体"/>
          <w:sz w:val="28"/>
          <w:szCs w:val="28"/>
          <w:lang w:val="en-US" w:eastAsia="zh-CN"/>
        </w:rPr>
        <w:t>相关的</w:t>
      </w:r>
      <w:r>
        <w:rPr>
          <w:rFonts w:hint="eastAsia" w:ascii="宋体" w:hAnsi="宋体" w:eastAsia="宋体"/>
          <w:sz w:val="28"/>
          <w:szCs w:val="28"/>
        </w:rPr>
        <w:t>要求，为标准的具体起草指明方向。</w:t>
      </w:r>
    </w:p>
    <w:p w14:paraId="11450F3C">
      <w:pPr>
        <w:keepNext w:val="0"/>
        <w:keepLines w:val="0"/>
        <w:pageBreakBefore w:val="0"/>
        <w:widowControl w:val="0"/>
        <w:kinsoku/>
        <w:wordWrap/>
        <w:overflowPunct/>
        <w:topLinePunct/>
        <w:autoSpaceDE/>
        <w:autoSpaceDN/>
        <w:bidi w:val="0"/>
        <w:adjustRightInd/>
        <w:snapToGrid/>
        <w:spacing w:line="360" w:lineRule="auto"/>
        <w:ind w:firstLine="560" w:firstLineChars="200"/>
        <w:jc w:val="both"/>
        <w:textAlignment w:val="auto"/>
        <w:rPr>
          <w:rFonts w:hint="eastAsia" w:ascii="宋体" w:hAnsi="宋体" w:eastAsia="宋体"/>
          <w:sz w:val="28"/>
          <w:szCs w:val="28"/>
        </w:rPr>
      </w:pPr>
      <w:r>
        <w:rPr>
          <w:rFonts w:hint="eastAsia" w:ascii="宋体" w:hAnsi="宋体" w:eastAsia="宋体"/>
          <w:sz w:val="28"/>
          <w:szCs w:val="28"/>
        </w:rPr>
        <w:t>3、</w:t>
      </w:r>
      <w:r>
        <w:rPr>
          <w:rFonts w:ascii="宋体" w:hAnsi="宋体" w:eastAsia="宋体"/>
          <w:sz w:val="28"/>
          <w:szCs w:val="28"/>
        </w:rPr>
        <w:t>标准起草阶段</w:t>
      </w:r>
    </w:p>
    <w:p w14:paraId="21663BA7">
      <w:pPr>
        <w:keepNext w:val="0"/>
        <w:keepLines w:val="0"/>
        <w:pageBreakBefore w:val="0"/>
        <w:widowControl w:val="0"/>
        <w:kinsoku/>
        <w:wordWrap/>
        <w:overflowPunct/>
        <w:topLinePunct/>
        <w:autoSpaceDE/>
        <w:autoSpaceDN/>
        <w:bidi w:val="0"/>
        <w:adjustRightInd/>
        <w:snapToGrid/>
        <w:spacing w:line="360" w:lineRule="auto"/>
        <w:ind w:firstLine="560" w:firstLineChars="200"/>
        <w:jc w:val="both"/>
        <w:textAlignment w:val="auto"/>
        <w:rPr>
          <w:rFonts w:hint="eastAsia" w:ascii="宋体" w:hAnsi="宋体" w:eastAsia="宋体"/>
          <w:sz w:val="28"/>
          <w:szCs w:val="28"/>
        </w:rPr>
      </w:pPr>
      <w:r>
        <w:rPr>
          <w:rFonts w:hint="eastAsia" w:ascii="宋体" w:hAnsi="宋体" w:eastAsia="宋体"/>
          <w:sz w:val="28"/>
          <w:szCs w:val="28"/>
        </w:rPr>
        <w:t>在理论研究基础上，标准起草组在标准编制过程中充分借鉴已有的理论研究和实践成果，基于我们基本国情，经过多次研讨和数次修改，形成了《</w:t>
      </w:r>
      <w:r>
        <w:rPr>
          <w:rFonts w:hint="eastAsia" w:ascii="宋体" w:hAnsi="宋体" w:eastAsia="宋体"/>
          <w:sz w:val="28"/>
          <w:szCs w:val="28"/>
          <w:lang w:val="en-US" w:eastAsia="zh-CN"/>
        </w:rPr>
        <w:t>零排放光伏废水处理技术规范</w:t>
      </w:r>
      <w:r>
        <w:rPr>
          <w:rFonts w:hint="eastAsia" w:ascii="宋体" w:hAnsi="宋体" w:eastAsia="宋体"/>
          <w:sz w:val="28"/>
          <w:szCs w:val="28"/>
        </w:rPr>
        <w:t>》（标准草案稿）。</w:t>
      </w:r>
    </w:p>
    <w:p w14:paraId="6A0B3AC0">
      <w:pPr>
        <w:keepNext w:val="0"/>
        <w:keepLines w:val="0"/>
        <w:pageBreakBefore w:val="0"/>
        <w:widowControl w:val="0"/>
        <w:kinsoku/>
        <w:wordWrap/>
        <w:overflowPunct/>
        <w:topLinePunct/>
        <w:autoSpaceDE/>
        <w:autoSpaceDN/>
        <w:bidi w:val="0"/>
        <w:adjustRightInd/>
        <w:snapToGrid/>
        <w:spacing w:line="360" w:lineRule="auto"/>
        <w:ind w:firstLine="560" w:firstLineChars="200"/>
        <w:jc w:val="both"/>
        <w:textAlignment w:val="auto"/>
        <w:rPr>
          <w:rFonts w:hint="eastAsia" w:ascii="宋体" w:hAnsi="宋体" w:eastAsia="宋体"/>
          <w:sz w:val="28"/>
          <w:szCs w:val="28"/>
        </w:rPr>
      </w:pPr>
      <w:r>
        <w:rPr>
          <w:rFonts w:ascii="宋体" w:hAnsi="宋体" w:eastAsia="宋体"/>
          <w:sz w:val="28"/>
          <w:szCs w:val="28"/>
        </w:rPr>
        <w:t>4、标准征求意见阶段</w:t>
      </w:r>
    </w:p>
    <w:p w14:paraId="4BD9C3B9">
      <w:pPr>
        <w:keepNext w:val="0"/>
        <w:keepLines w:val="0"/>
        <w:pageBreakBefore w:val="0"/>
        <w:widowControl w:val="0"/>
        <w:kinsoku/>
        <w:wordWrap/>
        <w:overflowPunct/>
        <w:topLinePunct/>
        <w:autoSpaceDE/>
        <w:autoSpaceDN/>
        <w:bidi w:val="0"/>
        <w:adjustRightInd/>
        <w:snapToGrid/>
        <w:spacing w:line="360" w:lineRule="auto"/>
        <w:ind w:firstLine="560" w:firstLineChars="200"/>
        <w:jc w:val="both"/>
        <w:textAlignment w:val="auto"/>
        <w:rPr>
          <w:rFonts w:hint="eastAsia" w:ascii="宋体" w:hAnsi="宋体" w:eastAsia="宋体"/>
          <w:sz w:val="28"/>
          <w:szCs w:val="28"/>
        </w:rPr>
      </w:pPr>
      <w:r>
        <w:rPr>
          <w:rFonts w:hint="eastAsia" w:ascii="宋体" w:hAnsi="宋体" w:eastAsia="宋体"/>
          <w:sz w:val="28"/>
          <w:szCs w:val="28"/>
        </w:rPr>
        <w:t>形成标准草案稿之后，标准起草组召开了多次专家研讨会，从标准框架、标准具体内容等角度广泛征求多方意见，从理论完善和实践应用方面提升标准的适用性和实用性。经过理论研究和方法验证，形成了《</w:t>
      </w:r>
      <w:r>
        <w:rPr>
          <w:rFonts w:hint="eastAsia" w:ascii="宋体" w:hAnsi="宋体" w:eastAsia="宋体"/>
          <w:sz w:val="28"/>
          <w:szCs w:val="28"/>
          <w:lang w:val="en-US" w:eastAsia="zh-CN"/>
        </w:rPr>
        <w:t>零排放光伏废水处理技术规范</w:t>
      </w:r>
      <w:r>
        <w:rPr>
          <w:rFonts w:hint="eastAsia" w:ascii="宋体" w:hAnsi="宋体" w:eastAsia="宋体"/>
          <w:sz w:val="28"/>
          <w:szCs w:val="28"/>
        </w:rPr>
        <w:t>》（征求意见稿）。</w:t>
      </w:r>
    </w:p>
    <w:p w14:paraId="38C16F82">
      <w:pPr>
        <w:keepNext w:val="0"/>
        <w:keepLines w:val="0"/>
        <w:pageBreakBefore w:val="0"/>
        <w:widowControl w:val="0"/>
        <w:numPr>
          <w:ilvl w:val="0"/>
          <w:numId w:val="3"/>
        </w:numPr>
        <w:kinsoku/>
        <w:wordWrap/>
        <w:overflowPunct/>
        <w:topLinePunct/>
        <w:autoSpaceDE/>
        <w:autoSpaceDN/>
        <w:bidi w:val="0"/>
        <w:adjustRightInd/>
        <w:snapToGrid/>
        <w:spacing w:line="360" w:lineRule="auto"/>
        <w:ind w:firstLine="560" w:firstLineChars="200"/>
        <w:jc w:val="both"/>
        <w:textAlignment w:val="auto"/>
        <w:rPr>
          <w:rFonts w:hint="eastAsia" w:ascii="宋体" w:hAnsi="宋体" w:eastAsia="宋体"/>
          <w:sz w:val="28"/>
          <w:szCs w:val="28"/>
        </w:rPr>
      </w:pPr>
      <w:bookmarkStart w:id="0" w:name="_Hlk179391965"/>
      <w:r>
        <w:rPr>
          <w:rFonts w:hint="eastAsia" w:ascii="宋体" w:hAnsi="宋体" w:eastAsia="宋体"/>
          <w:sz w:val="28"/>
          <w:szCs w:val="28"/>
        </w:rPr>
        <w:t>专家审核</w:t>
      </w:r>
    </w:p>
    <w:p w14:paraId="5A9BC1C7">
      <w:pPr>
        <w:keepNext w:val="0"/>
        <w:keepLines w:val="0"/>
        <w:pageBreakBefore w:val="0"/>
        <w:widowControl w:val="0"/>
        <w:numPr>
          <w:ilvl w:val="0"/>
          <w:numId w:val="0"/>
        </w:numPr>
        <w:kinsoku/>
        <w:wordWrap/>
        <w:overflowPunct/>
        <w:topLinePunct/>
        <w:autoSpaceDE/>
        <w:autoSpaceDN/>
        <w:bidi w:val="0"/>
        <w:adjustRightInd/>
        <w:snapToGrid/>
        <w:spacing w:line="360" w:lineRule="auto"/>
        <w:ind w:firstLine="560" w:firstLineChars="200"/>
        <w:jc w:val="both"/>
        <w:textAlignment w:val="auto"/>
        <w:rPr>
          <w:rFonts w:hint="default" w:ascii="宋体" w:hAnsi="宋体" w:eastAsia="宋体"/>
          <w:sz w:val="28"/>
          <w:szCs w:val="28"/>
          <w:lang w:val="en-US" w:eastAsia="zh-CN"/>
        </w:rPr>
      </w:pPr>
      <w:r>
        <w:rPr>
          <w:rFonts w:hint="eastAsia" w:ascii="宋体" w:hAnsi="宋体" w:eastAsia="宋体"/>
          <w:sz w:val="28"/>
          <w:szCs w:val="28"/>
        </w:rPr>
        <w:t>本标准拟定于2024年</w:t>
      </w:r>
      <w:r>
        <w:rPr>
          <w:rFonts w:hint="eastAsia" w:ascii="宋体" w:hAnsi="宋体" w:eastAsia="宋体"/>
          <w:sz w:val="28"/>
          <w:szCs w:val="28"/>
          <w:lang w:val="en-US" w:eastAsia="zh-CN"/>
        </w:rPr>
        <w:t>12</w:t>
      </w:r>
      <w:r>
        <w:rPr>
          <w:rFonts w:hint="eastAsia" w:ascii="宋体" w:hAnsi="宋体" w:eastAsia="宋体"/>
          <w:sz w:val="28"/>
          <w:szCs w:val="28"/>
        </w:rPr>
        <w:t>月</w:t>
      </w:r>
      <w:r>
        <w:rPr>
          <w:rFonts w:hint="eastAsia" w:ascii="宋体" w:hAnsi="宋体" w:eastAsia="宋体"/>
          <w:sz w:val="28"/>
          <w:szCs w:val="28"/>
          <w:lang w:val="en-US" w:eastAsia="zh-CN"/>
        </w:rPr>
        <w:t>进行专家审核。</w:t>
      </w:r>
    </w:p>
    <w:p w14:paraId="736498A7">
      <w:pPr>
        <w:keepNext w:val="0"/>
        <w:keepLines w:val="0"/>
        <w:pageBreakBefore w:val="0"/>
        <w:widowControl w:val="0"/>
        <w:kinsoku/>
        <w:wordWrap/>
        <w:overflowPunct/>
        <w:topLinePunct/>
        <w:autoSpaceDE/>
        <w:autoSpaceDN/>
        <w:bidi w:val="0"/>
        <w:adjustRightInd/>
        <w:snapToGrid/>
        <w:spacing w:line="360" w:lineRule="auto"/>
        <w:ind w:firstLine="560" w:firstLineChars="200"/>
        <w:jc w:val="both"/>
        <w:textAlignment w:val="auto"/>
        <w:rPr>
          <w:rFonts w:hint="eastAsia"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6、发布</w:t>
      </w:r>
    </w:p>
    <w:p w14:paraId="2FFB9F60">
      <w:pPr>
        <w:keepNext w:val="0"/>
        <w:keepLines w:val="0"/>
        <w:pageBreakBefore w:val="0"/>
        <w:widowControl w:val="0"/>
        <w:kinsoku/>
        <w:wordWrap/>
        <w:overflowPunct/>
        <w:topLinePunct/>
        <w:autoSpaceDE/>
        <w:autoSpaceDN/>
        <w:bidi w:val="0"/>
        <w:adjustRightInd/>
        <w:snapToGrid/>
        <w:spacing w:line="360" w:lineRule="auto"/>
        <w:ind w:firstLine="560" w:firstLineChars="200"/>
        <w:jc w:val="both"/>
        <w:textAlignment w:val="auto"/>
        <w:rPr>
          <w:rFonts w:ascii="宋体" w:hAnsi="宋体" w:eastAsia="宋体"/>
          <w:sz w:val="28"/>
          <w:szCs w:val="28"/>
        </w:rPr>
      </w:pPr>
      <w:r>
        <w:rPr>
          <w:rFonts w:hint="eastAsia" w:ascii="宋体" w:hAnsi="宋体" w:eastAsia="宋体"/>
          <w:color w:val="000000" w:themeColor="text1"/>
          <w:sz w:val="28"/>
          <w:szCs w:val="28"/>
          <w14:textFill>
            <w14:solidFill>
              <w14:schemeClr w14:val="tx1"/>
            </w14:solidFill>
          </w14:textFill>
        </w:rPr>
        <w:t>本标准拟定于</w:t>
      </w:r>
      <w:r>
        <w:rPr>
          <w:rFonts w:ascii="宋体" w:hAnsi="宋体" w:eastAsia="宋体"/>
          <w:color w:val="000000" w:themeColor="text1"/>
          <w:sz w:val="28"/>
          <w:szCs w:val="28"/>
          <w14:textFill>
            <w14:solidFill>
              <w14:schemeClr w14:val="tx1"/>
            </w14:solidFill>
          </w14:textFill>
        </w:rPr>
        <w:t>2024</w:t>
      </w:r>
      <w:r>
        <w:rPr>
          <w:rFonts w:hint="eastAsia" w:ascii="宋体" w:hAnsi="宋体" w:eastAsia="宋体"/>
          <w:color w:val="000000" w:themeColor="text1"/>
          <w:sz w:val="28"/>
          <w:szCs w:val="28"/>
          <w14:textFill>
            <w14:solidFill>
              <w14:schemeClr w14:val="tx1"/>
            </w14:solidFill>
          </w14:textFill>
        </w:rPr>
        <w:t>年1</w:t>
      </w:r>
      <w:r>
        <w:rPr>
          <w:rFonts w:hint="eastAsia" w:ascii="宋体" w:hAnsi="宋体" w:eastAsia="宋体"/>
          <w:color w:val="000000" w:themeColor="text1"/>
          <w:sz w:val="28"/>
          <w:szCs w:val="28"/>
          <w:lang w:val="en-US" w:eastAsia="zh-CN"/>
          <w14:textFill>
            <w14:solidFill>
              <w14:schemeClr w14:val="tx1"/>
            </w14:solidFill>
          </w14:textFill>
        </w:rPr>
        <w:t>2</w:t>
      </w:r>
      <w:r>
        <w:rPr>
          <w:rFonts w:hint="eastAsia" w:ascii="宋体" w:hAnsi="宋体" w:eastAsia="宋体"/>
          <w:color w:val="000000" w:themeColor="text1"/>
          <w:sz w:val="28"/>
          <w:szCs w:val="28"/>
          <w14:textFill>
            <w14:solidFill>
              <w14:schemeClr w14:val="tx1"/>
            </w14:solidFill>
          </w14:textFill>
        </w:rPr>
        <w:t>月发布并实施</w:t>
      </w:r>
      <w:r>
        <w:rPr>
          <w:rFonts w:hint="eastAsia" w:ascii="宋体" w:hAnsi="宋体" w:eastAsia="宋体"/>
          <w:sz w:val="28"/>
          <w:szCs w:val="28"/>
        </w:rPr>
        <w:t>。</w:t>
      </w:r>
      <w:bookmarkEnd w:id="0"/>
    </w:p>
    <w:p w14:paraId="3854FE17">
      <w:pPr>
        <w:numPr>
          <w:ilvl w:val="0"/>
          <w:numId w:val="2"/>
        </w:numPr>
        <w:spacing w:line="360" w:lineRule="auto"/>
        <w:ind w:left="0" w:leftChars="0" w:firstLine="0" w:firstLineChars="0"/>
        <w:jc w:val="left"/>
        <w:rPr>
          <w:rFonts w:ascii="宋体" w:hAnsi="宋体" w:eastAsia="宋体"/>
          <w:sz w:val="28"/>
          <w:szCs w:val="28"/>
        </w:rPr>
      </w:pPr>
      <w:r>
        <w:rPr>
          <w:rFonts w:hint="eastAsia" w:ascii="宋体" w:hAnsi="宋体" w:eastAsia="宋体"/>
          <w:b/>
          <w:bCs/>
          <w:sz w:val="28"/>
          <w:szCs w:val="28"/>
        </w:rPr>
        <w:t>主要起草单位及起草人所做的工作</w:t>
      </w:r>
      <w:r>
        <w:rPr>
          <w:rFonts w:ascii="宋体" w:hAnsi="宋体" w:eastAsia="宋体"/>
          <w:sz w:val="28"/>
          <w:szCs w:val="28"/>
        </w:rPr>
        <w:t xml:space="preserve"> </w:t>
      </w:r>
    </w:p>
    <w:p w14:paraId="68C2C550">
      <w:pPr>
        <w:keepNext w:val="0"/>
        <w:keepLines w:val="0"/>
        <w:pageBreakBefore w:val="0"/>
        <w:widowControl w:val="0"/>
        <w:kinsoku/>
        <w:wordWrap/>
        <w:overflowPunct/>
        <w:topLinePunct/>
        <w:autoSpaceDE/>
        <w:autoSpaceDN/>
        <w:bidi w:val="0"/>
        <w:adjustRightInd/>
        <w:snapToGrid/>
        <w:spacing w:line="360" w:lineRule="auto"/>
        <w:ind w:firstLine="560" w:firstLineChars="200"/>
        <w:jc w:val="both"/>
        <w:textAlignment w:val="auto"/>
        <w:rPr>
          <w:rFonts w:hint="eastAsia" w:ascii="宋体" w:hAnsi="宋体" w:eastAsia="宋体"/>
          <w:sz w:val="28"/>
          <w:szCs w:val="28"/>
        </w:rPr>
      </w:pPr>
      <w:r>
        <w:rPr>
          <w:rFonts w:hint="eastAsia" w:ascii="宋体" w:hAnsi="宋体" w:eastAsia="宋体"/>
          <w:sz w:val="28"/>
          <w:szCs w:val="28"/>
        </w:rPr>
        <w:t>1、主要起草单位</w:t>
      </w:r>
    </w:p>
    <w:p w14:paraId="13187A56">
      <w:pPr>
        <w:keepNext w:val="0"/>
        <w:keepLines w:val="0"/>
        <w:pageBreakBefore w:val="0"/>
        <w:widowControl w:val="0"/>
        <w:kinsoku/>
        <w:wordWrap/>
        <w:overflowPunct/>
        <w:topLinePunct/>
        <w:autoSpaceDE/>
        <w:autoSpaceDN/>
        <w:bidi w:val="0"/>
        <w:adjustRightInd/>
        <w:snapToGrid/>
        <w:spacing w:line="360" w:lineRule="auto"/>
        <w:ind w:firstLine="560" w:firstLineChars="200"/>
        <w:jc w:val="both"/>
        <w:textAlignment w:val="auto"/>
        <w:rPr>
          <w:rFonts w:hint="eastAsia" w:ascii="宋体" w:hAnsi="宋体" w:eastAsia="宋体"/>
          <w:sz w:val="28"/>
          <w:szCs w:val="28"/>
          <w:highlight w:val="none"/>
        </w:rPr>
      </w:pPr>
      <w:r>
        <w:rPr>
          <w:rFonts w:hint="eastAsia" w:ascii="宋体" w:hAnsi="宋体" w:eastAsia="宋体"/>
          <w:color w:val="000000" w:themeColor="text1"/>
          <w:sz w:val="28"/>
          <w:szCs w:val="28"/>
          <w14:textFill>
            <w14:solidFill>
              <w14:schemeClr w14:val="tx1"/>
            </w14:solidFill>
          </w14:textFill>
        </w:rPr>
        <w:t>南京博知源环境科技有限公司</w:t>
      </w:r>
      <w:r>
        <w:rPr>
          <w:rFonts w:hint="eastAsia" w:ascii="宋体" w:hAnsi="宋体" w:eastAsia="宋体"/>
          <w:color w:val="000000" w:themeColor="text1"/>
          <w:sz w:val="28"/>
          <w:szCs w:val="28"/>
          <w:lang w:eastAsia="zh-CN"/>
          <w14:textFill>
            <w14:solidFill>
              <w14:schemeClr w14:val="tx1"/>
            </w14:solidFill>
          </w14:textFill>
        </w:rPr>
        <w:t>、</w:t>
      </w:r>
      <w:r>
        <w:rPr>
          <w:rFonts w:hint="eastAsia" w:ascii="宋体" w:hAnsi="宋体" w:eastAsia="宋体"/>
          <w:sz w:val="28"/>
          <w:szCs w:val="28"/>
        </w:rPr>
        <w:t>扬州弘思百佳科技有限公司、纵坐标（江苏）标准技术服务有限公司</w:t>
      </w:r>
      <w:r>
        <w:rPr>
          <w:rFonts w:hint="eastAsia" w:ascii="宋体" w:hAnsi="宋体" w:eastAsia="宋体"/>
          <w:sz w:val="28"/>
          <w:szCs w:val="28"/>
          <w:highlight w:val="none"/>
        </w:rPr>
        <w:t>。</w:t>
      </w:r>
    </w:p>
    <w:p w14:paraId="2D19FAC7">
      <w:pPr>
        <w:keepNext w:val="0"/>
        <w:keepLines w:val="0"/>
        <w:pageBreakBefore w:val="0"/>
        <w:widowControl w:val="0"/>
        <w:kinsoku/>
        <w:wordWrap/>
        <w:overflowPunct/>
        <w:topLinePunct/>
        <w:autoSpaceDE/>
        <w:autoSpaceDN/>
        <w:bidi w:val="0"/>
        <w:adjustRightInd/>
        <w:snapToGrid/>
        <w:spacing w:line="360" w:lineRule="auto"/>
        <w:ind w:firstLine="560" w:firstLineChars="200"/>
        <w:jc w:val="both"/>
        <w:textAlignment w:val="auto"/>
        <w:rPr>
          <w:rFonts w:hint="eastAsia" w:ascii="宋体" w:hAnsi="宋体" w:eastAsia="宋体"/>
          <w:sz w:val="28"/>
          <w:szCs w:val="28"/>
          <w:highlight w:val="none"/>
        </w:rPr>
      </w:pPr>
      <w:r>
        <w:rPr>
          <w:rFonts w:ascii="宋体" w:hAnsi="宋体" w:eastAsia="宋体"/>
          <w:sz w:val="28"/>
          <w:szCs w:val="28"/>
          <w:highlight w:val="none"/>
        </w:rPr>
        <w:t>2</w:t>
      </w:r>
      <w:r>
        <w:rPr>
          <w:rFonts w:hint="eastAsia" w:ascii="宋体" w:hAnsi="宋体" w:eastAsia="宋体"/>
          <w:sz w:val="28"/>
          <w:szCs w:val="28"/>
          <w:highlight w:val="none"/>
        </w:rPr>
        <w:t>、工作内容</w:t>
      </w:r>
    </w:p>
    <w:p w14:paraId="58B66D59">
      <w:pPr>
        <w:keepNext w:val="0"/>
        <w:keepLines w:val="0"/>
        <w:pageBreakBefore w:val="0"/>
        <w:widowControl w:val="0"/>
        <w:kinsoku/>
        <w:wordWrap/>
        <w:overflowPunct/>
        <w:topLinePunct/>
        <w:autoSpaceDE/>
        <w:autoSpaceDN/>
        <w:bidi w:val="0"/>
        <w:adjustRightInd/>
        <w:snapToGrid/>
        <w:spacing w:line="360" w:lineRule="auto"/>
        <w:ind w:firstLine="560" w:firstLineChars="200"/>
        <w:jc w:val="both"/>
        <w:textAlignment w:val="auto"/>
        <w:rPr>
          <w:rFonts w:hint="eastAsia" w:ascii="宋体" w:hAnsi="宋体" w:eastAsia="宋体"/>
          <w:sz w:val="28"/>
          <w:szCs w:val="28"/>
          <w:highlight w:val="none"/>
        </w:rPr>
      </w:pPr>
      <w:r>
        <w:rPr>
          <w:rFonts w:hint="eastAsia" w:ascii="宋体" w:hAnsi="宋体" w:eastAsia="宋体"/>
          <w:sz w:val="28"/>
          <w:szCs w:val="28"/>
          <w:highlight w:val="none"/>
        </w:rPr>
        <w:t>（1）南京博知源环境科技有限公司主要负责标准制定过程的协调工作；负责标准制定工作，资料查询、标准正文及编制说明草案起草、方法验证等工作。</w:t>
      </w:r>
    </w:p>
    <w:p w14:paraId="2FEF9597">
      <w:pPr>
        <w:keepNext w:val="0"/>
        <w:keepLines w:val="0"/>
        <w:pageBreakBefore w:val="0"/>
        <w:widowControl w:val="0"/>
        <w:kinsoku/>
        <w:wordWrap/>
        <w:overflowPunct/>
        <w:topLinePunct/>
        <w:autoSpaceDE/>
        <w:autoSpaceDN/>
        <w:bidi w:val="0"/>
        <w:adjustRightInd/>
        <w:snapToGrid/>
        <w:spacing w:line="360" w:lineRule="auto"/>
        <w:ind w:firstLine="560" w:firstLineChars="200"/>
        <w:jc w:val="both"/>
        <w:textAlignment w:val="auto"/>
        <w:rPr>
          <w:rFonts w:ascii="宋体" w:hAnsi="宋体" w:eastAsia="宋体"/>
          <w:sz w:val="28"/>
          <w:szCs w:val="28"/>
        </w:rPr>
      </w:pPr>
      <w:r>
        <w:rPr>
          <w:rFonts w:hint="eastAsia" w:ascii="宋体" w:hAnsi="宋体" w:eastAsia="宋体"/>
          <w:sz w:val="28"/>
          <w:szCs w:val="28"/>
          <w:highlight w:val="none"/>
        </w:rPr>
        <w:t>（2）</w:t>
      </w:r>
      <w:r>
        <w:rPr>
          <w:rFonts w:hint="eastAsia" w:ascii="宋体" w:hAnsi="宋体" w:eastAsia="宋体"/>
          <w:sz w:val="28"/>
          <w:szCs w:val="28"/>
        </w:rPr>
        <w:t>扬州弘思百佳科技有限公司、纵坐标（江苏）标准技术服务有限公司</w:t>
      </w:r>
      <w:r>
        <w:rPr>
          <w:rFonts w:hint="eastAsia" w:ascii="宋体" w:hAnsi="宋体" w:eastAsia="宋体"/>
          <w:sz w:val="28"/>
          <w:szCs w:val="28"/>
          <w:highlight w:val="none"/>
        </w:rPr>
        <w:t>主要参与资料查询、标准正文草案修改、方法验证等。</w:t>
      </w:r>
    </w:p>
    <w:p w14:paraId="469ED75D">
      <w:pPr>
        <w:spacing w:line="360" w:lineRule="auto"/>
        <w:jc w:val="left"/>
        <w:rPr>
          <w:rFonts w:hint="eastAsia" w:ascii="宋体" w:hAnsi="宋体" w:eastAsia="宋体"/>
          <w:b/>
          <w:bCs/>
          <w:sz w:val="28"/>
          <w:szCs w:val="28"/>
        </w:rPr>
      </w:pPr>
      <w:r>
        <w:rPr>
          <w:rFonts w:hint="eastAsia" w:ascii="宋体" w:hAnsi="宋体" w:eastAsia="宋体"/>
          <w:b/>
          <w:bCs/>
          <w:sz w:val="28"/>
          <w:szCs w:val="28"/>
        </w:rPr>
        <w:t>二、</w:t>
      </w:r>
      <w:r>
        <w:rPr>
          <w:rFonts w:ascii="宋体" w:hAnsi="宋体" w:eastAsia="宋体"/>
          <w:b/>
          <w:bCs/>
          <w:sz w:val="28"/>
          <w:szCs w:val="28"/>
        </w:rPr>
        <w:t xml:space="preserve"> </w:t>
      </w:r>
      <w:r>
        <w:rPr>
          <w:rFonts w:hint="eastAsia" w:ascii="宋体" w:hAnsi="宋体" w:eastAsia="宋体"/>
          <w:b/>
          <w:bCs/>
          <w:sz w:val="28"/>
          <w:szCs w:val="28"/>
        </w:rPr>
        <w:t>标准编制原则和主要内容</w:t>
      </w:r>
    </w:p>
    <w:p w14:paraId="1FA22B97">
      <w:pPr>
        <w:spacing w:line="360" w:lineRule="auto"/>
        <w:jc w:val="left"/>
        <w:rPr>
          <w:rFonts w:ascii="宋体" w:hAnsi="宋体" w:eastAsia="宋体"/>
          <w:b/>
          <w:bCs/>
          <w:sz w:val="28"/>
          <w:szCs w:val="28"/>
        </w:rPr>
      </w:pPr>
      <w:r>
        <w:rPr>
          <w:rFonts w:hint="eastAsia" w:ascii="宋体" w:hAnsi="宋体" w:eastAsia="宋体"/>
          <w:b/>
          <w:bCs/>
          <w:sz w:val="28"/>
          <w:szCs w:val="28"/>
        </w:rPr>
        <w:t>（一）</w:t>
      </w:r>
      <w:r>
        <w:rPr>
          <w:rFonts w:ascii="宋体" w:hAnsi="宋体" w:eastAsia="宋体"/>
          <w:b/>
          <w:bCs/>
          <w:sz w:val="28"/>
          <w:szCs w:val="28"/>
        </w:rPr>
        <w:t>标准制定原则</w:t>
      </w:r>
    </w:p>
    <w:p w14:paraId="224F9EF5">
      <w:pPr>
        <w:keepNext w:val="0"/>
        <w:keepLines w:val="0"/>
        <w:pageBreakBefore w:val="0"/>
        <w:widowControl w:val="0"/>
        <w:kinsoku/>
        <w:wordWrap/>
        <w:overflowPunct/>
        <w:topLinePunct/>
        <w:autoSpaceDE/>
        <w:autoSpaceDN/>
        <w:bidi w:val="0"/>
        <w:adjustRightInd/>
        <w:snapToGrid/>
        <w:spacing w:line="360" w:lineRule="auto"/>
        <w:ind w:firstLine="560" w:firstLineChars="200"/>
        <w:jc w:val="both"/>
        <w:textAlignment w:val="auto"/>
        <w:rPr>
          <w:rFonts w:ascii="宋体" w:hAnsi="宋体" w:eastAsia="宋体"/>
          <w:b/>
          <w:bCs/>
          <w:sz w:val="28"/>
          <w:szCs w:val="28"/>
        </w:rPr>
      </w:pPr>
      <w:r>
        <w:rPr>
          <w:rFonts w:hint="eastAsia" w:ascii="宋体" w:hAnsi="宋体" w:eastAsia="宋体"/>
          <w:sz w:val="28"/>
          <w:szCs w:val="28"/>
        </w:rPr>
        <w:t>本标准依据相关行业标准，标准编制遵循“前瞻性、实用性、统一性、规范性”的原则，注重标准的可操作性，严格按照</w:t>
      </w:r>
      <w:r>
        <w:rPr>
          <w:rFonts w:ascii="宋体" w:hAnsi="宋体" w:eastAsia="宋体"/>
          <w:sz w:val="28"/>
          <w:szCs w:val="28"/>
        </w:rPr>
        <w:t xml:space="preserve"> GB/T 1.1</w:t>
      </w:r>
      <w:r>
        <w:rPr>
          <w:rFonts w:hint="eastAsia" w:ascii="宋体" w:hAnsi="宋体" w:eastAsia="宋体"/>
          <w:sz w:val="28"/>
          <w:szCs w:val="28"/>
        </w:rPr>
        <w:t>最新版本的要求进行编写。</w:t>
      </w:r>
    </w:p>
    <w:p w14:paraId="4963B5F3">
      <w:pPr>
        <w:numPr>
          <w:ilvl w:val="0"/>
          <w:numId w:val="4"/>
        </w:numPr>
        <w:spacing w:line="360" w:lineRule="auto"/>
        <w:jc w:val="left"/>
        <w:rPr>
          <w:rFonts w:ascii="宋体" w:hAnsi="宋体" w:eastAsia="宋体"/>
          <w:b/>
          <w:bCs/>
          <w:sz w:val="28"/>
          <w:szCs w:val="28"/>
        </w:rPr>
      </w:pPr>
      <w:r>
        <w:rPr>
          <w:rFonts w:ascii="宋体" w:hAnsi="宋体" w:eastAsia="宋体"/>
          <w:b/>
          <w:bCs/>
          <w:sz w:val="28"/>
          <w:szCs w:val="28"/>
        </w:rPr>
        <w:t xml:space="preserve">标准主要技术内容 </w:t>
      </w:r>
    </w:p>
    <w:p w14:paraId="09A2D6F9">
      <w:pPr>
        <w:keepNext w:val="0"/>
        <w:keepLines w:val="0"/>
        <w:pageBreakBefore w:val="0"/>
        <w:widowControl w:val="0"/>
        <w:kinsoku/>
        <w:wordWrap/>
        <w:overflowPunct/>
        <w:topLinePunct/>
        <w:autoSpaceDE/>
        <w:autoSpaceDN/>
        <w:bidi w:val="0"/>
        <w:adjustRightInd/>
        <w:snapToGrid/>
        <w:spacing w:line="360" w:lineRule="auto"/>
        <w:ind w:firstLine="560" w:firstLineChars="200"/>
        <w:jc w:val="both"/>
        <w:rPr>
          <w:rFonts w:hint="eastAsia" w:ascii="宋体" w:hAnsi="宋体" w:eastAsia="宋体"/>
          <w:sz w:val="28"/>
          <w:szCs w:val="28"/>
        </w:rPr>
      </w:pPr>
      <w:r>
        <w:rPr>
          <w:rFonts w:hint="eastAsia" w:ascii="宋体" w:hAnsi="宋体" w:eastAsia="宋体"/>
          <w:sz w:val="28"/>
          <w:szCs w:val="28"/>
        </w:rPr>
        <w:t>1、适用范围</w:t>
      </w:r>
    </w:p>
    <w:p w14:paraId="471DB56B">
      <w:pPr>
        <w:keepNext w:val="0"/>
        <w:keepLines w:val="0"/>
        <w:pageBreakBefore w:val="0"/>
        <w:widowControl w:val="0"/>
        <w:kinsoku/>
        <w:wordWrap/>
        <w:overflowPunct/>
        <w:topLinePunct/>
        <w:autoSpaceDE/>
        <w:autoSpaceDN/>
        <w:bidi w:val="0"/>
        <w:adjustRightInd/>
        <w:snapToGrid/>
        <w:spacing w:line="360" w:lineRule="auto"/>
        <w:ind w:firstLine="560" w:firstLineChars="200"/>
        <w:jc w:val="both"/>
        <w:rPr>
          <w:rFonts w:hint="eastAsia" w:ascii="宋体" w:hAnsi="宋体" w:eastAsia="宋体"/>
          <w:sz w:val="28"/>
          <w:szCs w:val="28"/>
        </w:rPr>
      </w:pPr>
      <w:r>
        <w:rPr>
          <w:rFonts w:hint="eastAsia" w:ascii="宋体" w:hAnsi="宋体" w:eastAsia="宋体"/>
          <w:sz w:val="28"/>
          <w:szCs w:val="28"/>
        </w:rPr>
        <w:t>本标准适用于</w:t>
      </w:r>
      <w:r>
        <w:rPr>
          <w:rFonts w:hint="eastAsia" w:ascii="宋体" w:hAnsi="宋体" w:eastAsia="宋体"/>
          <w:sz w:val="28"/>
          <w:szCs w:val="28"/>
          <w:lang w:eastAsia="zh-CN"/>
        </w:rPr>
        <w:t>零排放光伏废水处理</w:t>
      </w:r>
      <w:r>
        <w:rPr>
          <w:rFonts w:hint="eastAsia" w:ascii="宋体" w:hAnsi="宋体" w:eastAsia="宋体"/>
          <w:sz w:val="28"/>
          <w:szCs w:val="28"/>
        </w:rPr>
        <w:t>。</w:t>
      </w:r>
    </w:p>
    <w:p w14:paraId="59C5B518">
      <w:pPr>
        <w:keepNext w:val="0"/>
        <w:keepLines w:val="0"/>
        <w:pageBreakBefore w:val="0"/>
        <w:widowControl w:val="0"/>
        <w:kinsoku/>
        <w:wordWrap/>
        <w:overflowPunct/>
        <w:topLinePunct/>
        <w:autoSpaceDE/>
        <w:autoSpaceDN/>
        <w:bidi w:val="0"/>
        <w:adjustRightInd/>
        <w:snapToGrid/>
        <w:spacing w:line="360" w:lineRule="auto"/>
        <w:ind w:firstLine="560" w:firstLineChars="200"/>
        <w:jc w:val="both"/>
        <w:rPr>
          <w:rFonts w:hint="eastAsia" w:ascii="宋体" w:hAnsi="宋体" w:eastAsia="宋体"/>
          <w:sz w:val="28"/>
          <w:szCs w:val="28"/>
        </w:rPr>
      </w:pPr>
      <w:r>
        <w:rPr>
          <w:rFonts w:ascii="宋体" w:hAnsi="宋体" w:eastAsia="宋体"/>
          <w:sz w:val="28"/>
          <w:szCs w:val="28"/>
        </w:rPr>
        <w:t>2</w:t>
      </w:r>
      <w:r>
        <w:rPr>
          <w:rFonts w:hint="eastAsia" w:ascii="宋体" w:hAnsi="宋体" w:eastAsia="宋体"/>
          <w:sz w:val="28"/>
          <w:szCs w:val="28"/>
        </w:rPr>
        <w:t>、有关条款的说明</w:t>
      </w:r>
    </w:p>
    <w:p w14:paraId="10C130CA">
      <w:pPr>
        <w:keepNext w:val="0"/>
        <w:keepLines w:val="0"/>
        <w:pageBreakBefore w:val="0"/>
        <w:widowControl w:val="0"/>
        <w:kinsoku/>
        <w:wordWrap/>
        <w:overflowPunct/>
        <w:topLinePunct/>
        <w:autoSpaceDE/>
        <w:autoSpaceDN/>
        <w:bidi w:val="0"/>
        <w:adjustRightInd/>
        <w:snapToGrid/>
        <w:spacing w:line="360" w:lineRule="auto"/>
        <w:ind w:firstLine="560" w:firstLineChars="200"/>
        <w:jc w:val="both"/>
        <w:rPr>
          <w:rFonts w:hint="eastAsia" w:ascii="宋体" w:hAnsi="宋体" w:eastAsia="宋体"/>
          <w:sz w:val="28"/>
          <w:szCs w:val="28"/>
        </w:rPr>
      </w:pPr>
      <w:r>
        <w:rPr>
          <w:rFonts w:hint="eastAsia" w:ascii="宋体" w:hAnsi="宋体" w:eastAsia="宋体"/>
          <w:sz w:val="28"/>
          <w:szCs w:val="28"/>
        </w:rPr>
        <w:t>（1） 标题</w:t>
      </w:r>
    </w:p>
    <w:p w14:paraId="5E796B68">
      <w:pPr>
        <w:keepNext w:val="0"/>
        <w:keepLines w:val="0"/>
        <w:pageBreakBefore w:val="0"/>
        <w:widowControl w:val="0"/>
        <w:kinsoku/>
        <w:wordWrap/>
        <w:overflowPunct/>
        <w:topLinePunct/>
        <w:autoSpaceDE/>
        <w:autoSpaceDN/>
        <w:bidi w:val="0"/>
        <w:adjustRightInd/>
        <w:snapToGrid/>
        <w:spacing w:line="360" w:lineRule="auto"/>
        <w:ind w:firstLine="560" w:firstLineChars="200"/>
        <w:jc w:val="both"/>
        <w:rPr>
          <w:rFonts w:hint="eastAsia" w:ascii="宋体" w:hAnsi="宋体" w:eastAsia="宋体"/>
          <w:sz w:val="28"/>
          <w:szCs w:val="28"/>
        </w:rPr>
      </w:pPr>
      <w:r>
        <w:rPr>
          <w:rFonts w:hint="eastAsia" w:ascii="宋体" w:hAnsi="宋体" w:eastAsia="宋体"/>
          <w:sz w:val="28"/>
          <w:szCs w:val="28"/>
        </w:rPr>
        <w:t>标准中文名称：</w:t>
      </w:r>
      <w:r>
        <w:rPr>
          <w:rFonts w:hint="eastAsia" w:ascii="宋体" w:hAnsi="宋体" w:eastAsia="宋体"/>
          <w:sz w:val="28"/>
          <w:szCs w:val="28"/>
          <w:lang w:eastAsia="zh-CN"/>
        </w:rPr>
        <w:t>零排放光伏废水处理技术规范。</w:t>
      </w:r>
    </w:p>
    <w:p w14:paraId="731A4D32">
      <w:pPr>
        <w:pStyle w:val="15"/>
        <w:keepNext w:val="0"/>
        <w:keepLines w:val="0"/>
        <w:pageBreakBefore w:val="0"/>
        <w:widowControl w:val="0"/>
        <w:kinsoku/>
        <w:wordWrap/>
        <w:overflowPunct/>
        <w:autoSpaceDE/>
        <w:autoSpaceDN/>
        <w:bidi w:val="0"/>
        <w:adjustRightInd/>
        <w:snapToGrid/>
        <w:ind w:firstLine="560" w:firstLineChars="200"/>
        <w:jc w:val="both"/>
        <w:textAlignment w:val="bottom"/>
        <w:rPr>
          <w:rFonts w:hint="default" w:ascii="宋体" w:hAnsi="宋体" w:eastAsia="宋体"/>
          <w:color w:val="000000" w:themeColor="text1"/>
          <w:sz w:val="28"/>
          <w:szCs w:val="28"/>
          <w:lang w:val="en-US"/>
          <w14:textFill>
            <w14:solidFill>
              <w14:schemeClr w14:val="tx1"/>
            </w14:solidFill>
          </w14:textFill>
        </w:rPr>
      </w:pPr>
      <w:r>
        <w:rPr>
          <w:rFonts w:hint="eastAsia" w:ascii="宋体" w:hAnsi="宋体" w:eastAsia="宋体"/>
          <w:sz w:val="28"/>
          <w:szCs w:val="28"/>
        </w:rPr>
        <w:t>英文翻译：</w:t>
      </w:r>
      <w:r>
        <w:rPr>
          <w:rFonts w:hint="eastAsia" w:ascii="宋体" w:hAnsi="宋体" w:eastAsia="宋体" w:cs="Times New Roman"/>
          <w:sz w:val="24"/>
          <w:szCs w:val="24"/>
        </w:rPr>
        <w:t>Technical specification for zero-emission photovoltaic wastewater treatment</w:t>
      </w:r>
      <w:r>
        <w:rPr>
          <w:rFonts w:hint="eastAsia" w:ascii="宋体" w:hAnsi="宋体" w:cstheme="minorBidi"/>
          <w:kern w:val="2"/>
          <w:sz w:val="28"/>
          <w:szCs w:val="28"/>
          <w:lang w:val="en-US" w:eastAsia="zh-CN" w:bidi="ar-SA"/>
        </w:rPr>
        <w:t>。</w:t>
      </w:r>
    </w:p>
    <w:p w14:paraId="53105DE4">
      <w:pPr>
        <w:keepNext w:val="0"/>
        <w:keepLines w:val="0"/>
        <w:pageBreakBefore w:val="0"/>
        <w:widowControl w:val="0"/>
        <w:kinsoku/>
        <w:wordWrap/>
        <w:overflowPunct/>
        <w:topLinePunct/>
        <w:autoSpaceDE/>
        <w:autoSpaceDN/>
        <w:bidi w:val="0"/>
        <w:adjustRightInd/>
        <w:snapToGrid/>
        <w:spacing w:line="360" w:lineRule="auto"/>
        <w:ind w:firstLine="560" w:firstLineChars="200"/>
        <w:jc w:val="both"/>
        <w:rPr>
          <w:rFonts w:hint="eastAsia" w:ascii="宋体" w:hAnsi="宋体" w:eastAsia="宋体"/>
          <w:sz w:val="28"/>
          <w:szCs w:val="28"/>
        </w:rPr>
      </w:pPr>
      <w:r>
        <w:rPr>
          <w:rFonts w:hint="eastAsia" w:ascii="宋体" w:hAnsi="宋体" w:eastAsia="宋体"/>
          <w:sz w:val="28"/>
          <w:szCs w:val="28"/>
        </w:rPr>
        <w:t>（2）术语和定义</w:t>
      </w:r>
    </w:p>
    <w:p w14:paraId="35EECEDE">
      <w:pPr>
        <w:keepNext w:val="0"/>
        <w:keepLines w:val="0"/>
        <w:pageBreakBefore w:val="0"/>
        <w:widowControl w:val="0"/>
        <w:kinsoku/>
        <w:wordWrap/>
        <w:overflowPunct/>
        <w:topLinePunct/>
        <w:autoSpaceDE/>
        <w:autoSpaceDN/>
        <w:bidi w:val="0"/>
        <w:adjustRightInd/>
        <w:snapToGrid/>
        <w:spacing w:line="360" w:lineRule="auto"/>
        <w:ind w:firstLine="560" w:firstLineChars="200"/>
        <w:jc w:val="both"/>
        <w:rPr>
          <w:rFonts w:hint="eastAsia" w:ascii="宋体" w:hAnsi="宋体" w:eastAsia="宋体"/>
          <w:sz w:val="28"/>
          <w:szCs w:val="28"/>
        </w:rPr>
      </w:pPr>
      <w:r>
        <w:rPr>
          <w:rFonts w:hint="eastAsia" w:ascii="宋体" w:hAnsi="宋体" w:eastAsia="宋体"/>
          <w:sz w:val="28"/>
          <w:szCs w:val="28"/>
        </w:rPr>
        <w:t>本章节</w:t>
      </w:r>
      <w:r>
        <w:rPr>
          <w:rFonts w:hint="eastAsia" w:ascii="宋体" w:hAnsi="宋体" w:eastAsia="宋体"/>
          <w:sz w:val="28"/>
          <w:szCs w:val="28"/>
          <w:lang w:val="en-US" w:eastAsia="zh-CN"/>
        </w:rPr>
        <w:t>对</w:t>
      </w:r>
      <w:r>
        <w:rPr>
          <w:rFonts w:hint="eastAsia" w:ascii="宋体" w:hAnsi="宋体" w:eastAsia="宋体"/>
          <w:sz w:val="28"/>
          <w:szCs w:val="28"/>
          <w:lang w:eastAsia="zh-CN"/>
        </w:rPr>
        <w:t>“零排放光伏废水处理”</w:t>
      </w:r>
      <w:r>
        <w:rPr>
          <w:rFonts w:hint="eastAsia" w:ascii="宋体" w:hAnsi="宋体" w:eastAsia="宋体"/>
          <w:sz w:val="28"/>
          <w:szCs w:val="28"/>
        </w:rPr>
        <w:t>等术语进行了定义</w:t>
      </w:r>
      <w:r>
        <w:rPr>
          <w:rFonts w:ascii="宋体" w:hAnsi="宋体" w:eastAsia="宋体"/>
          <w:sz w:val="28"/>
          <w:szCs w:val="28"/>
        </w:rPr>
        <w:t>。</w:t>
      </w:r>
    </w:p>
    <w:p w14:paraId="242372AD">
      <w:pPr>
        <w:keepNext w:val="0"/>
        <w:keepLines w:val="0"/>
        <w:pageBreakBefore w:val="0"/>
        <w:widowControl w:val="0"/>
        <w:numPr>
          <w:ilvl w:val="0"/>
          <w:numId w:val="5"/>
        </w:numPr>
        <w:kinsoku/>
        <w:wordWrap/>
        <w:overflowPunct/>
        <w:topLinePunct/>
        <w:autoSpaceDE/>
        <w:autoSpaceDN/>
        <w:bidi w:val="0"/>
        <w:adjustRightInd/>
        <w:snapToGrid/>
        <w:spacing w:line="360" w:lineRule="auto"/>
        <w:ind w:firstLine="560" w:firstLineChars="200"/>
        <w:jc w:val="both"/>
        <w:rPr>
          <w:rFonts w:hint="default" w:ascii="宋体" w:hAnsi="宋体" w:eastAsia="宋体"/>
          <w:sz w:val="28"/>
          <w:szCs w:val="28"/>
          <w:lang w:val="en-US" w:eastAsia="zh-CN"/>
        </w:rPr>
      </w:pPr>
      <w:r>
        <w:rPr>
          <w:rFonts w:hint="eastAsia" w:ascii="宋体" w:hAnsi="宋体" w:eastAsia="宋体"/>
          <w:sz w:val="28"/>
          <w:szCs w:val="28"/>
        </w:rPr>
        <w:t>主要内容</w:t>
      </w:r>
    </w:p>
    <w:p w14:paraId="7D4BE072">
      <w:pPr>
        <w:keepNext w:val="0"/>
        <w:keepLines w:val="0"/>
        <w:pageBreakBefore w:val="0"/>
        <w:widowControl w:val="0"/>
        <w:numPr>
          <w:ilvl w:val="0"/>
          <w:numId w:val="0"/>
        </w:numPr>
        <w:kinsoku/>
        <w:wordWrap/>
        <w:overflowPunct/>
        <w:topLinePunct/>
        <w:autoSpaceDE/>
        <w:autoSpaceDN/>
        <w:bidi w:val="0"/>
        <w:adjustRightInd/>
        <w:snapToGrid/>
        <w:spacing w:line="360" w:lineRule="auto"/>
        <w:ind w:firstLine="560" w:firstLineChars="200"/>
        <w:jc w:val="both"/>
        <w:rPr>
          <w:rFonts w:hint="default" w:ascii="宋体" w:hAnsi="宋体" w:eastAsia="宋体"/>
          <w:sz w:val="28"/>
          <w:szCs w:val="28"/>
          <w:lang w:val="en-US" w:eastAsia="zh-CN"/>
        </w:rPr>
      </w:pPr>
      <w:r>
        <w:rPr>
          <w:rFonts w:hint="eastAsia" w:ascii="宋体" w:hAnsi="宋体" w:eastAsia="宋体"/>
          <w:sz w:val="28"/>
          <w:szCs w:val="28"/>
          <w:lang w:val="en-US" w:eastAsia="zh-CN"/>
        </w:rPr>
        <w:t>第四章 总体要求：</w:t>
      </w:r>
      <w:r>
        <w:rPr>
          <w:rFonts w:hint="eastAsia" w:ascii="宋体" w:hAnsi="宋体" w:eastAsia="宋体"/>
          <w:sz w:val="28"/>
          <w:szCs w:val="28"/>
        </w:rPr>
        <w:t>本章节主要对</w:t>
      </w:r>
      <w:r>
        <w:rPr>
          <w:rFonts w:hint="eastAsia" w:ascii="宋体" w:hAnsi="宋体" w:eastAsia="宋体"/>
          <w:sz w:val="28"/>
          <w:szCs w:val="28"/>
          <w:lang w:eastAsia="zh-CN"/>
        </w:rPr>
        <w:t>零排放光伏废水处理</w:t>
      </w:r>
      <w:r>
        <w:rPr>
          <w:rFonts w:hint="eastAsia" w:ascii="宋体" w:hAnsi="宋体" w:eastAsia="宋体"/>
          <w:sz w:val="28"/>
          <w:szCs w:val="28"/>
          <w:lang w:val="en-US" w:eastAsia="zh-CN"/>
        </w:rPr>
        <w:t>的总体要求进行了规定。</w:t>
      </w:r>
    </w:p>
    <w:p w14:paraId="06626118">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120" w:beforeLines="50" w:beforeAutospacing="0" w:after="120" w:afterLines="50" w:afterAutospacing="0" w:line="360" w:lineRule="auto"/>
        <w:ind w:leftChars="0" w:right="0" w:rightChars="0" w:firstLine="560" w:firstLineChars="200"/>
        <w:jc w:val="both"/>
        <w:textAlignment w:val="auto"/>
        <w:outlineLvl w:val="1"/>
        <w:rPr>
          <w:rFonts w:hint="default" w:ascii="宋体" w:hAnsi="宋体" w:eastAsia="宋体" w:cs="Times New Roman"/>
          <w:sz w:val="28"/>
          <w:szCs w:val="28"/>
          <w:lang w:val="en-US" w:eastAsia="zh-CN"/>
        </w:rPr>
      </w:pPr>
      <w:r>
        <w:rPr>
          <w:rFonts w:hint="eastAsia" w:ascii="宋体" w:hAnsi="宋体" w:eastAsia="宋体"/>
          <w:sz w:val="28"/>
          <w:szCs w:val="28"/>
          <w:lang w:val="en-US" w:eastAsia="zh-CN"/>
        </w:rPr>
        <w:t>第五章 水质要求：</w:t>
      </w:r>
      <w:r>
        <w:rPr>
          <w:rFonts w:hint="eastAsia" w:ascii="宋体" w:hAnsi="宋体" w:eastAsia="宋体"/>
          <w:sz w:val="28"/>
          <w:szCs w:val="28"/>
        </w:rPr>
        <w:t>本章节主要对</w:t>
      </w:r>
      <w:r>
        <w:rPr>
          <w:rFonts w:hint="eastAsia" w:ascii="宋体" w:hAnsi="宋体" w:eastAsia="宋体"/>
          <w:sz w:val="28"/>
          <w:szCs w:val="28"/>
          <w:lang w:eastAsia="zh-CN"/>
        </w:rPr>
        <w:t>零排放光伏废水处理</w:t>
      </w:r>
      <w:r>
        <w:rPr>
          <w:rFonts w:hint="eastAsia" w:ascii="宋体" w:hAnsi="宋体" w:eastAsia="宋体"/>
          <w:sz w:val="28"/>
          <w:szCs w:val="28"/>
          <w:lang w:val="en-US" w:eastAsia="zh-CN"/>
        </w:rPr>
        <w:t>的水质要求进行了规定，包括设计水量、进水水质、出水水质</w:t>
      </w:r>
      <w:r>
        <w:rPr>
          <w:rFonts w:hint="eastAsia" w:ascii="宋体" w:hAnsi="宋体" w:eastAsia="宋体" w:cs="Times New Roman"/>
          <w:sz w:val="28"/>
          <w:szCs w:val="28"/>
          <w:lang w:val="en-US" w:eastAsia="zh-CN"/>
        </w:rPr>
        <w:t>等。</w:t>
      </w:r>
    </w:p>
    <w:p w14:paraId="2203868F">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120" w:beforeLines="50" w:beforeAutospacing="0" w:after="120" w:afterLines="50" w:afterAutospacing="0" w:line="360" w:lineRule="auto"/>
        <w:ind w:leftChars="0" w:right="0" w:rightChars="0" w:firstLine="560" w:firstLineChars="200"/>
        <w:jc w:val="both"/>
        <w:textAlignment w:val="auto"/>
        <w:outlineLvl w:val="1"/>
        <w:rPr>
          <w:rFonts w:hint="eastAsia" w:ascii="宋体" w:hAnsi="宋体" w:eastAsia="宋体"/>
          <w:sz w:val="28"/>
          <w:szCs w:val="28"/>
          <w:lang w:val="en-US"/>
        </w:rPr>
      </w:pPr>
      <w:r>
        <w:rPr>
          <w:rFonts w:hint="eastAsia" w:ascii="宋体" w:hAnsi="宋体" w:eastAsia="宋体"/>
          <w:sz w:val="28"/>
          <w:szCs w:val="28"/>
        </w:rPr>
        <w:t>第</w:t>
      </w:r>
      <w:bookmarkStart w:id="1" w:name="_Hlk80881849"/>
      <w:r>
        <w:rPr>
          <w:rFonts w:hint="eastAsia" w:ascii="宋体" w:hAnsi="宋体" w:eastAsia="宋体"/>
          <w:sz w:val="28"/>
          <w:szCs w:val="28"/>
          <w:lang w:val="en-US" w:eastAsia="zh-CN"/>
        </w:rPr>
        <w:t>六</w:t>
      </w:r>
      <w:r>
        <w:rPr>
          <w:rFonts w:hint="eastAsia" w:ascii="宋体" w:hAnsi="宋体" w:eastAsia="宋体"/>
          <w:sz w:val="28"/>
          <w:szCs w:val="28"/>
        </w:rPr>
        <w:t xml:space="preserve">章 </w:t>
      </w:r>
      <w:r>
        <w:rPr>
          <w:rFonts w:hint="eastAsia" w:ascii="宋体" w:hAnsi="宋体" w:eastAsia="宋体"/>
          <w:sz w:val="28"/>
          <w:szCs w:val="28"/>
          <w:lang w:val="en-US" w:eastAsia="zh-CN"/>
        </w:rPr>
        <w:t>工艺要求</w:t>
      </w:r>
      <w:r>
        <w:rPr>
          <w:rFonts w:hint="eastAsia" w:ascii="宋体" w:hAnsi="宋体" w:eastAsia="宋体"/>
          <w:sz w:val="28"/>
          <w:szCs w:val="28"/>
        </w:rPr>
        <w:t>：本章节主要对</w:t>
      </w:r>
      <w:r>
        <w:rPr>
          <w:rFonts w:hint="eastAsia" w:ascii="宋体" w:hAnsi="宋体" w:eastAsia="宋体"/>
          <w:sz w:val="28"/>
          <w:szCs w:val="28"/>
          <w:lang w:eastAsia="zh-CN"/>
        </w:rPr>
        <w:t>零排放光伏废水处理</w:t>
      </w:r>
      <w:r>
        <w:rPr>
          <w:rFonts w:hint="eastAsia" w:ascii="宋体" w:hAnsi="宋体" w:eastAsia="宋体"/>
          <w:sz w:val="28"/>
          <w:szCs w:val="28"/>
          <w:lang w:val="en-US" w:eastAsia="zh-CN"/>
        </w:rPr>
        <w:t>的处理工艺进行了规定，包括一般要求、预处理、生化处理工艺、深度处理工艺等。</w:t>
      </w:r>
    </w:p>
    <w:p w14:paraId="46C0D066">
      <w:pPr>
        <w:keepNext w:val="0"/>
        <w:keepLines w:val="0"/>
        <w:pageBreakBefore w:val="0"/>
        <w:widowControl w:val="0"/>
        <w:kinsoku/>
        <w:wordWrap/>
        <w:overflowPunct/>
        <w:topLinePunct/>
        <w:autoSpaceDE/>
        <w:autoSpaceDN/>
        <w:bidi w:val="0"/>
        <w:adjustRightInd/>
        <w:snapToGrid/>
        <w:spacing w:line="360" w:lineRule="auto"/>
        <w:ind w:firstLine="560" w:firstLineChars="200"/>
        <w:jc w:val="both"/>
        <w:rPr>
          <w:rFonts w:hint="eastAsia" w:ascii="宋体" w:hAnsi="宋体" w:eastAsia="宋体"/>
          <w:sz w:val="28"/>
          <w:szCs w:val="28"/>
          <w:lang w:val="en-US" w:eastAsia="zh-CN"/>
        </w:rPr>
      </w:pPr>
      <w:r>
        <w:rPr>
          <w:rFonts w:hint="eastAsia" w:ascii="宋体" w:hAnsi="宋体" w:eastAsia="宋体"/>
          <w:sz w:val="28"/>
          <w:szCs w:val="28"/>
          <w:lang w:val="en-US" w:eastAsia="zh-CN"/>
        </w:rPr>
        <w:t>第七章 工艺设备和材料：</w:t>
      </w:r>
      <w:r>
        <w:rPr>
          <w:rFonts w:hint="eastAsia" w:ascii="宋体" w:hAnsi="宋体" w:eastAsia="宋体"/>
          <w:sz w:val="28"/>
          <w:szCs w:val="28"/>
        </w:rPr>
        <w:t>本章节主要</w:t>
      </w:r>
      <w:r>
        <w:rPr>
          <w:rFonts w:hint="eastAsia" w:ascii="宋体" w:hAnsi="宋体" w:eastAsia="宋体"/>
          <w:sz w:val="28"/>
          <w:szCs w:val="28"/>
          <w:lang w:val="en-US" w:eastAsia="zh-CN"/>
        </w:rPr>
        <w:t>对</w:t>
      </w:r>
      <w:r>
        <w:rPr>
          <w:rFonts w:hint="eastAsia" w:ascii="宋体" w:hAnsi="宋体" w:eastAsia="宋体"/>
          <w:sz w:val="28"/>
          <w:szCs w:val="28"/>
          <w:lang w:eastAsia="zh-CN"/>
        </w:rPr>
        <w:t>零排放光伏废水处理</w:t>
      </w:r>
      <w:r>
        <w:rPr>
          <w:rFonts w:hint="eastAsia" w:ascii="宋体" w:hAnsi="宋体" w:eastAsia="宋体"/>
          <w:sz w:val="28"/>
          <w:szCs w:val="28"/>
          <w:lang w:val="en-US" w:eastAsia="zh-CN"/>
        </w:rPr>
        <w:t>的工艺设备和材料</w:t>
      </w:r>
      <w:r>
        <w:rPr>
          <w:rFonts w:hint="eastAsia" w:ascii="宋体" w:hAnsi="宋体" w:eastAsia="宋体"/>
          <w:sz w:val="28"/>
          <w:szCs w:val="28"/>
        </w:rPr>
        <w:t>进行了规定</w:t>
      </w:r>
      <w:r>
        <w:rPr>
          <w:rFonts w:hint="eastAsia" w:ascii="宋体" w:hAnsi="宋体" w:eastAsia="宋体"/>
          <w:sz w:val="28"/>
          <w:szCs w:val="28"/>
          <w:lang w:val="en-US" w:eastAsia="zh-CN"/>
        </w:rPr>
        <w:t>。</w:t>
      </w:r>
      <w:bookmarkEnd w:id="1"/>
    </w:p>
    <w:p w14:paraId="0BAD7A8B">
      <w:pPr>
        <w:keepNext w:val="0"/>
        <w:keepLines w:val="0"/>
        <w:pageBreakBefore w:val="0"/>
        <w:widowControl w:val="0"/>
        <w:kinsoku/>
        <w:wordWrap/>
        <w:overflowPunct/>
        <w:topLinePunct/>
        <w:autoSpaceDE/>
        <w:autoSpaceDN/>
        <w:bidi w:val="0"/>
        <w:adjustRightInd/>
        <w:snapToGrid/>
        <w:spacing w:line="360" w:lineRule="auto"/>
        <w:ind w:firstLine="560" w:firstLineChars="200"/>
        <w:jc w:val="both"/>
        <w:rPr>
          <w:rFonts w:hint="eastAsia" w:ascii="宋体" w:hAnsi="宋体" w:eastAsia="宋体" w:cstheme="minorBidi"/>
          <w:kern w:val="2"/>
          <w:sz w:val="28"/>
          <w:szCs w:val="28"/>
          <w:lang w:val="en-US" w:eastAsia="zh-CN" w:bidi="ar-SA"/>
        </w:rPr>
      </w:pPr>
      <w:r>
        <w:rPr>
          <w:rFonts w:hint="eastAsia" w:ascii="宋体" w:hAnsi="宋体" w:eastAsia="宋体"/>
          <w:sz w:val="28"/>
          <w:szCs w:val="28"/>
          <w:lang w:val="en-US" w:eastAsia="zh-CN"/>
        </w:rPr>
        <w:t>第八章 验收：</w:t>
      </w:r>
      <w:r>
        <w:rPr>
          <w:rFonts w:hint="eastAsia" w:ascii="宋体" w:hAnsi="宋体" w:eastAsia="宋体"/>
          <w:sz w:val="28"/>
          <w:szCs w:val="28"/>
        </w:rPr>
        <w:t>本章节主要对</w:t>
      </w:r>
      <w:r>
        <w:rPr>
          <w:rFonts w:hint="eastAsia" w:ascii="宋体" w:hAnsi="宋体" w:eastAsia="宋体"/>
          <w:sz w:val="28"/>
          <w:szCs w:val="28"/>
          <w:lang w:eastAsia="zh-CN"/>
        </w:rPr>
        <w:t>零排放光伏废水处理</w:t>
      </w:r>
      <w:r>
        <w:rPr>
          <w:rFonts w:hint="eastAsia" w:ascii="宋体" w:hAnsi="宋体" w:eastAsia="宋体"/>
          <w:sz w:val="28"/>
          <w:szCs w:val="28"/>
        </w:rPr>
        <w:t>的</w:t>
      </w:r>
      <w:r>
        <w:rPr>
          <w:rFonts w:hint="eastAsia" w:ascii="宋体" w:hAnsi="宋体" w:eastAsia="宋体"/>
          <w:sz w:val="28"/>
          <w:szCs w:val="28"/>
          <w:lang w:val="en-US" w:eastAsia="zh-CN"/>
        </w:rPr>
        <w:t>验收要求</w:t>
      </w:r>
      <w:r>
        <w:rPr>
          <w:rFonts w:hint="eastAsia" w:ascii="宋体" w:hAnsi="宋体" w:eastAsia="宋体"/>
          <w:sz w:val="28"/>
          <w:szCs w:val="28"/>
        </w:rPr>
        <w:t>进行了规定</w:t>
      </w:r>
      <w:r>
        <w:rPr>
          <w:rFonts w:hint="eastAsia" w:ascii="宋体" w:hAnsi="宋体" w:eastAsia="宋体" w:cstheme="minorBidi"/>
          <w:kern w:val="2"/>
          <w:sz w:val="28"/>
          <w:szCs w:val="28"/>
          <w:lang w:val="en-US" w:eastAsia="zh-CN" w:bidi="ar-SA"/>
        </w:rPr>
        <w:t>。</w:t>
      </w:r>
    </w:p>
    <w:p w14:paraId="592E6A60">
      <w:pPr>
        <w:keepNext w:val="0"/>
        <w:keepLines w:val="0"/>
        <w:pageBreakBefore w:val="0"/>
        <w:widowControl w:val="0"/>
        <w:kinsoku/>
        <w:wordWrap/>
        <w:overflowPunct/>
        <w:topLinePunct/>
        <w:autoSpaceDE/>
        <w:autoSpaceDN/>
        <w:bidi w:val="0"/>
        <w:adjustRightInd/>
        <w:snapToGrid/>
        <w:spacing w:line="360" w:lineRule="auto"/>
        <w:ind w:firstLine="560" w:firstLineChars="200"/>
        <w:jc w:val="both"/>
        <w:rPr>
          <w:rFonts w:hint="eastAsia" w:ascii="宋体" w:hAnsi="宋体" w:eastAsia="宋体"/>
          <w:sz w:val="28"/>
          <w:szCs w:val="28"/>
          <w:lang w:eastAsia="zh-CN"/>
        </w:rPr>
      </w:pPr>
      <w:r>
        <w:rPr>
          <w:rFonts w:hint="eastAsia" w:ascii="宋体" w:hAnsi="宋体" w:eastAsia="宋体" w:cstheme="minorBidi"/>
          <w:kern w:val="2"/>
          <w:sz w:val="28"/>
          <w:szCs w:val="28"/>
          <w:lang w:val="en-US" w:eastAsia="zh-CN" w:bidi="ar-SA"/>
        </w:rPr>
        <w:t>第九章 运行与维护：</w:t>
      </w:r>
      <w:r>
        <w:rPr>
          <w:rFonts w:hint="eastAsia" w:ascii="宋体" w:hAnsi="宋体" w:eastAsia="宋体"/>
          <w:sz w:val="28"/>
          <w:szCs w:val="28"/>
        </w:rPr>
        <w:t>本章节主要对</w:t>
      </w:r>
      <w:r>
        <w:rPr>
          <w:rFonts w:hint="eastAsia" w:ascii="宋体" w:hAnsi="宋体" w:eastAsia="宋体"/>
          <w:sz w:val="28"/>
          <w:szCs w:val="28"/>
          <w:lang w:eastAsia="zh-CN"/>
        </w:rPr>
        <w:t>零排放光伏废水处理</w:t>
      </w:r>
      <w:r>
        <w:rPr>
          <w:rFonts w:hint="eastAsia" w:ascii="宋体" w:hAnsi="宋体" w:eastAsia="宋体"/>
          <w:sz w:val="28"/>
          <w:szCs w:val="28"/>
        </w:rPr>
        <w:t>的</w:t>
      </w:r>
      <w:r>
        <w:rPr>
          <w:rFonts w:hint="eastAsia" w:ascii="宋体" w:hAnsi="宋体" w:eastAsia="宋体" w:cstheme="minorBidi"/>
          <w:kern w:val="2"/>
          <w:sz w:val="28"/>
          <w:szCs w:val="28"/>
          <w:lang w:val="en-US" w:eastAsia="zh-CN" w:bidi="ar-SA"/>
        </w:rPr>
        <w:t>运行与维护</w:t>
      </w:r>
      <w:r>
        <w:rPr>
          <w:rFonts w:hint="eastAsia" w:ascii="宋体" w:hAnsi="宋体" w:eastAsia="宋体"/>
          <w:sz w:val="28"/>
          <w:szCs w:val="28"/>
        </w:rPr>
        <w:t>进行了规定</w:t>
      </w:r>
      <w:r>
        <w:rPr>
          <w:rFonts w:hint="eastAsia" w:ascii="宋体" w:hAnsi="宋体" w:eastAsia="宋体"/>
          <w:sz w:val="28"/>
          <w:szCs w:val="28"/>
          <w:lang w:eastAsia="zh-CN"/>
        </w:rPr>
        <w:t>。</w:t>
      </w:r>
    </w:p>
    <w:p w14:paraId="28DD3A46">
      <w:pPr>
        <w:numPr>
          <w:ilvl w:val="0"/>
          <w:numId w:val="4"/>
        </w:numPr>
        <w:spacing w:line="360" w:lineRule="auto"/>
        <w:ind w:left="0" w:leftChars="0" w:firstLine="0" w:firstLineChars="0"/>
        <w:jc w:val="left"/>
        <w:rPr>
          <w:rFonts w:ascii="宋体" w:hAnsi="宋体" w:eastAsia="宋体"/>
          <w:sz w:val="28"/>
          <w:szCs w:val="28"/>
        </w:rPr>
      </w:pPr>
      <w:r>
        <w:rPr>
          <w:rFonts w:hint="eastAsia" w:ascii="宋体" w:hAnsi="宋体" w:eastAsia="宋体"/>
          <w:b/>
          <w:bCs/>
          <w:sz w:val="28"/>
          <w:szCs w:val="28"/>
        </w:rPr>
        <w:t>主要试验（或验证）情况分析</w:t>
      </w:r>
      <w:r>
        <w:rPr>
          <w:rFonts w:ascii="宋体" w:hAnsi="宋体" w:eastAsia="宋体"/>
          <w:b/>
          <w:bCs/>
          <w:sz w:val="28"/>
          <w:szCs w:val="28"/>
        </w:rPr>
        <w:t xml:space="preserve"> </w:t>
      </w:r>
      <w:r>
        <w:rPr>
          <w:rFonts w:ascii="宋体" w:hAnsi="宋体" w:eastAsia="宋体"/>
          <w:sz w:val="28"/>
          <w:szCs w:val="28"/>
        </w:rPr>
        <w:t xml:space="preserve"> </w:t>
      </w:r>
    </w:p>
    <w:p w14:paraId="37230259">
      <w:pPr>
        <w:keepNext w:val="0"/>
        <w:keepLines w:val="0"/>
        <w:pageBreakBefore w:val="0"/>
        <w:widowControl w:val="0"/>
        <w:kinsoku/>
        <w:wordWrap/>
        <w:overflowPunct/>
        <w:topLinePunct/>
        <w:autoSpaceDE/>
        <w:autoSpaceDN/>
        <w:bidi w:val="0"/>
        <w:adjustRightInd/>
        <w:snapToGrid/>
        <w:spacing w:line="360" w:lineRule="auto"/>
        <w:ind w:firstLine="560" w:firstLineChars="200"/>
        <w:jc w:val="both"/>
        <w:textAlignment w:val="auto"/>
        <w:rPr>
          <w:rFonts w:ascii="宋体" w:hAnsi="宋体" w:eastAsia="宋体"/>
          <w:sz w:val="28"/>
          <w:szCs w:val="28"/>
        </w:rPr>
      </w:pPr>
      <w:r>
        <w:rPr>
          <w:rFonts w:hint="eastAsia" w:ascii="宋体" w:hAnsi="宋体" w:eastAsia="宋体"/>
          <w:color w:val="000000" w:themeColor="text1"/>
          <w:sz w:val="28"/>
          <w:szCs w:val="28"/>
          <w14:textFill>
            <w14:solidFill>
              <w14:schemeClr w14:val="tx1"/>
            </w14:solidFill>
          </w14:textFill>
        </w:rPr>
        <w:t>结合国内外的行业测试和通过起草单位在</w:t>
      </w:r>
      <w:r>
        <w:rPr>
          <w:rFonts w:hint="eastAsia" w:ascii="宋体" w:hAnsi="宋体" w:eastAsia="宋体"/>
          <w:sz w:val="28"/>
          <w:szCs w:val="28"/>
          <w:lang w:eastAsia="zh-CN"/>
        </w:rPr>
        <w:t>零排放光伏废水处理、</w:t>
      </w:r>
      <w:r>
        <w:rPr>
          <w:rFonts w:hint="eastAsia" w:ascii="宋体" w:hAnsi="宋体" w:eastAsia="宋体"/>
          <w:sz w:val="28"/>
          <w:szCs w:val="28"/>
          <w:lang w:val="en-US" w:eastAsia="zh-CN"/>
        </w:rPr>
        <w:t>电池废水处理、废水处理等施工经验和各项技术要求检验</w:t>
      </w:r>
      <w:r>
        <w:rPr>
          <w:rFonts w:hint="eastAsia" w:ascii="宋体" w:hAnsi="宋体" w:eastAsia="宋体"/>
          <w:color w:val="000000" w:themeColor="text1"/>
          <w:sz w:val="28"/>
          <w:szCs w:val="28"/>
          <w14:textFill>
            <w14:solidFill>
              <w14:schemeClr w14:val="tx1"/>
            </w14:solidFill>
          </w14:textFill>
        </w:rPr>
        <w:t>所积累的大量数据，对标准内容进行了充分的验证。</w:t>
      </w:r>
    </w:p>
    <w:p w14:paraId="0C794921">
      <w:pPr>
        <w:numPr>
          <w:ilvl w:val="0"/>
          <w:numId w:val="4"/>
        </w:numPr>
        <w:spacing w:line="360" w:lineRule="auto"/>
        <w:ind w:left="0" w:leftChars="0" w:firstLine="0" w:firstLineChars="0"/>
        <w:jc w:val="left"/>
        <w:rPr>
          <w:rFonts w:ascii="宋体" w:hAnsi="宋体" w:eastAsia="宋体"/>
          <w:sz w:val="28"/>
          <w:szCs w:val="28"/>
        </w:rPr>
      </w:pPr>
      <w:r>
        <w:rPr>
          <w:rFonts w:hint="eastAsia" w:ascii="宋体" w:hAnsi="宋体" w:eastAsia="宋体"/>
          <w:b/>
          <w:bCs/>
          <w:sz w:val="28"/>
          <w:szCs w:val="28"/>
        </w:rPr>
        <w:t>标准中涉及专利的情况</w:t>
      </w:r>
      <w:r>
        <w:rPr>
          <w:rFonts w:ascii="宋体" w:hAnsi="宋体" w:eastAsia="宋体"/>
          <w:b/>
          <w:bCs/>
          <w:sz w:val="28"/>
          <w:szCs w:val="28"/>
        </w:rPr>
        <w:t xml:space="preserve"> </w:t>
      </w:r>
      <w:r>
        <w:rPr>
          <w:rFonts w:ascii="宋体" w:hAnsi="宋体" w:eastAsia="宋体"/>
          <w:sz w:val="28"/>
          <w:szCs w:val="28"/>
        </w:rPr>
        <w:t xml:space="preserve"> </w:t>
      </w:r>
    </w:p>
    <w:p w14:paraId="1914358A">
      <w:pPr>
        <w:numPr>
          <w:ilvl w:val="0"/>
          <w:numId w:val="0"/>
        </w:numPr>
        <w:spacing w:line="360" w:lineRule="auto"/>
        <w:ind w:leftChars="0" w:firstLine="560" w:firstLineChars="200"/>
        <w:jc w:val="left"/>
        <w:rPr>
          <w:rFonts w:hint="eastAsia" w:ascii="宋体" w:hAnsi="宋体" w:eastAsia="宋体"/>
          <w:sz w:val="28"/>
          <w:szCs w:val="28"/>
          <w:lang w:eastAsia="zh-CN"/>
        </w:rPr>
      </w:pPr>
      <w:r>
        <w:rPr>
          <w:rFonts w:hint="eastAsia" w:ascii="宋体" w:hAnsi="宋体" w:eastAsia="宋体"/>
          <w:color w:val="000000" w:themeColor="text1"/>
          <w:sz w:val="28"/>
          <w:szCs w:val="28"/>
          <w14:textFill>
            <w14:solidFill>
              <w14:schemeClr w14:val="tx1"/>
            </w14:solidFill>
          </w14:textFill>
        </w:rPr>
        <w:t>本标准不涉及专利</w:t>
      </w:r>
      <w:r>
        <w:rPr>
          <w:rFonts w:hint="eastAsia" w:ascii="宋体" w:hAnsi="宋体" w:eastAsia="宋体"/>
          <w:color w:val="000000" w:themeColor="text1"/>
          <w:sz w:val="28"/>
          <w:szCs w:val="28"/>
          <w:lang w:eastAsia="zh-CN"/>
          <w14:textFill>
            <w14:solidFill>
              <w14:schemeClr w14:val="tx1"/>
            </w14:solidFill>
          </w14:textFill>
        </w:rPr>
        <w:t>。</w:t>
      </w:r>
    </w:p>
    <w:p w14:paraId="2559754D">
      <w:pPr>
        <w:numPr>
          <w:ilvl w:val="0"/>
          <w:numId w:val="4"/>
        </w:numPr>
        <w:spacing w:line="360" w:lineRule="auto"/>
        <w:ind w:left="0" w:leftChars="0" w:firstLine="0" w:firstLineChars="0"/>
        <w:jc w:val="left"/>
        <w:rPr>
          <w:rFonts w:hint="eastAsia" w:ascii="宋体" w:hAnsi="宋体" w:eastAsia="宋体"/>
          <w:b/>
          <w:bCs/>
          <w:sz w:val="28"/>
          <w:szCs w:val="28"/>
        </w:rPr>
      </w:pPr>
      <w:r>
        <w:rPr>
          <w:rFonts w:hint="eastAsia" w:ascii="宋体" w:hAnsi="宋体" w:eastAsia="宋体"/>
          <w:b/>
          <w:bCs/>
          <w:sz w:val="28"/>
          <w:szCs w:val="28"/>
        </w:rPr>
        <w:t>预期达到的效益（经济、效益、生态等），</w:t>
      </w:r>
      <w:r>
        <w:rPr>
          <w:rFonts w:ascii="宋体" w:hAnsi="宋体" w:eastAsia="宋体"/>
          <w:b/>
          <w:bCs/>
          <w:sz w:val="28"/>
          <w:szCs w:val="28"/>
        </w:rPr>
        <w:t>对产业发展的作用</w:t>
      </w:r>
      <w:r>
        <w:rPr>
          <w:rFonts w:hint="eastAsia" w:ascii="宋体" w:hAnsi="宋体" w:eastAsia="宋体"/>
          <w:b/>
          <w:bCs/>
          <w:sz w:val="28"/>
          <w:szCs w:val="28"/>
        </w:rPr>
        <w:t>的情况</w:t>
      </w:r>
    </w:p>
    <w:p w14:paraId="5F16070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both"/>
        <w:textAlignment w:val="auto"/>
        <w:rPr>
          <w:rFonts w:hint="default" w:ascii="宋体" w:hAnsi="宋体" w:eastAsia="宋体"/>
          <w:b/>
          <w:bCs/>
          <w:sz w:val="28"/>
          <w:szCs w:val="28"/>
          <w:lang w:val="en-US" w:eastAsia="zh-CN"/>
        </w:rPr>
      </w:pPr>
      <w:r>
        <w:rPr>
          <w:rFonts w:hint="eastAsia" w:ascii="宋体" w:hAnsi="宋体" w:eastAsia="宋体"/>
          <w:color w:val="000000" w:themeColor="text1"/>
          <w:sz w:val="28"/>
          <w:szCs w:val="28"/>
          <w:highlight w:val="none"/>
          <w:lang w:val="en-US" w:eastAsia="zh-CN"/>
          <w14:textFill>
            <w14:solidFill>
              <w14:schemeClr w14:val="tx1"/>
            </w14:solidFill>
          </w14:textFill>
        </w:rPr>
        <w:t>通</w:t>
      </w:r>
      <w:r>
        <w:rPr>
          <w:rFonts w:hint="eastAsia" w:ascii="宋体" w:hAnsi="宋体" w:eastAsia="宋体"/>
          <w:color w:val="000000" w:themeColor="text1"/>
          <w:sz w:val="28"/>
          <w:szCs w:val="28"/>
          <w:highlight w:val="none"/>
          <w14:textFill>
            <w14:solidFill>
              <w14:schemeClr w14:val="tx1"/>
            </w14:solidFill>
          </w14:textFill>
        </w:rPr>
        <w:t>过本项标准的制定和发布实施，将标准起草单位在该领域的</w:t>
      </w:r>
      <w:r>
        <w:rPr>
          <w:rFonts w:hint="eastAsia" w:ascii="宋体" w:hAnsi="宋体" w:eastAsia="宋体"/>
          <w:color w:val="000000" w:themeColor="text1"/>
          <w:sz w:val="28"/>
          <w:szCs w:val="28"/>
          <w:highlight w:val="none"/>
          <w:lang w:val="en-US" w:eastAsia="zh-CN"/>
          <w14:textFill>
            <w14:solidFill>
              <w14:schemeClr w14:val="tx1"/>
            </w14:solidFill>
          </w14:textFill>
        </w:rPr>
        <w:t>处理技术和相关工艺操作流程</w:t>
      </w:r>
      <w:r>
        <w:rPr>
          <w:rFonts w:hint="eastAsia" w:ascii="宋体" w:hAnsi="宋体" w:eastAsia="宋体"/>
          <w:color w:val="000000" w:themeColor="text1"/>
          <w:sz w:val="28"/>
          <w:szCs w:val="28"/>
          <w:highlight w:val="none"/>
          <w14:textFill>
            <w14:solidFill>
              <w14:schemeClr w14:val="tx1"/>
            </w14:solidFill>
          </w14:textFill>
        </w:rPr>
        <w:t>以标准形式固化并加以实施，积极</w:t>
      </w:r>
      <w:r>
        <w:rPr>
          <w:rFonts w:hint="eastAsia" w:ascii="宋体" w:hAnsi="宋体" w:eastAsia="宋体"/>
          <w:color w:val="000000" w:themeColor="text1"/>
          <w:sz w:val="28"/>
          <w:szCs w:val="28"/>
          <w:highlight w:val="none"/>
          <w:lang w:val="en-US" w:eastAsia="zh-CN"/>
          <w14:textFill>
            <w14:solidFill>
              <w14:schemeClr w14:val="tx1"/>
            </w14:solidFill>
          </w14:textFill>
        </w:rPr>
        <w:t>规范</w:t>
      </w:r>
      <w:r>
        <w:rPr>
          <w:rFonts w:hint="eastAsia" w:ascii="宋体" w:hAnsi="宋体" w:eastAsia="宋体"/>
          <w:sz w:val="28"/>
          <w:szCs w:val="28"/>
          <w:lang w:eastAsia="zh-CN"/>
        </w:rPr>
        <w:t>零排放光伏废水处理</w:t>
      </w:r>
      <w:r>
        <w:rPr>
          <w:rFonts w:hint="eastAsia" w:ascii="宋体" w:hAnsi="宋体" w:eastAsia="宋体"/>
          <w:sz w:val="28"/>
          <w:szCs w:val="28"/>
          <w:lang w:val="en-US" w:eastAsia="zh-CN"/>
        </w:rPr>
        <w:t>的</w:t>
      </w:r>
      <w:r>
        <w:rPr>
          <w:rFonts w:hint="eastAsia" w:ascii="宋体" w:hAnsi="宋体" w:eastAsia="宋体"/>
          <w:sz w:val="28"/>
          <w:szCs w:val="28"/>
          <w:lang w:eastAsia="zh-CN"/>
        </w:rPr>
        <w:t>施工</w:t>
      </w:r>
      <w:r>
        <w:rPr>
          <w:rFonts w:hint="eastAsia" w:ascii="宋体" w:hAnsi="宋体" w:eastAsia="宋体"/>
          <w:color w:val="000000" w:themeColor="text1"/>
          <w:sz w:val="28"/>
          <w:szCs w:val="28"/>
          <w:highlight w:val="none"/>
          <w14:textFill>
            <w14:solidFill>
              <w14:schemeClr w14:val="tx1"/>
            </w14:solidFill>
          </w14:textFill>
        </w:rPr>
        <w:t>，</w:t>
      </w:r>
      <w:r>
        <w:rPr>
          <w:rFonts w:hint="eastAsia" w:ascii="宋体" w:hAnsi="宋体" w:eastAsia="宋体"/>
          <w:color w:val="000000" w:themeColor="text1"/>
          <w:sz w:val="28"/>
          <w:szCs w:val="28"/>
          <w:highlight w:val="none"/>
          <w:lang w:val="en-US" w:eastAsia="zh-CN"/>
          <w14:textFill>
            <w14:solidFill>
              <w14:schemeClr w14:val="tx1"/>
            </w14:solidFill>
          </w14:textFill>
        </w:rPr>
        <w:t>从而</w:t>
      </w:r>
      <w:r>
        <w:rPr>
          <w:rFonts w:hint="eastAsia" w:ascii="宋体" w:hAnsi="宋体" w:eastAsia="宋体"/>
          <w:color w:val="000000" w:themeColor="text1"/>
          <w:sz w:val="28"/>
          <w:szCs w:val="28"/>
          <w:highlight w:val="none"/>
          <w14:textFill>
            <w14:solidFill>
              <w14:schemeClr w14:val="tx1"/>
            </w14:solidFill>
          </w14:textFill>
        </w:rPr>
        <w:t>能够缩短施工周期</w:t>
      </w:r>
      <w:r>
        <w:rPr>
          <w:rFonts w:hint="eastAsia" w:ascii="宋体" w:hAnsi="宋体" w:eastAsia="宋体"/>
          <w:color w:val="000000" w:themeColor="text1"/>
          <w:sz w:val="28"/>
          <w:szCs w:val="28"/>
          <w:highlight w:val="none"/>
          <w:lang w:eastAsia="zh-CN"/>
          <w14:textFill>
            <w14:solidFill>
              <w14:schemeClr w14:val="tx1"/>
            </w14:solidFill>
          </w14:textFill>
        </w:rPr>
        <w:t>、</w:t>
      </w:r>
      <w:r>
        <w:rPr>
          <w:rFonts w:hint="eastAsia" w:ascii="宋体" w:hAnsi="宋体" w:eastAsia="宋体"/>
          <w:color w:val="000000" w:themeColor="text1"/>
          <w:sz w:val="28"/>
          <w:szCs w:val="28"/>
          <w:highlight w:val="none"/>
          <w14:textFill>
            <w14:solidFill>
              <w14:schemeClr w14:val="tx1"/>
            </w14:solidFill>
          </w14:textFill>
        </w:rPr>
        <w:t>减少劳动力成本和资金成本</w:t>
      </w:r>
      <w:r>
        <w:rPr>
          <w:rFonts w:hint="eastAsia" w:ascii="宋体" w:hAnsi="宋体" w:eastAsia="宋体"/>
          <w:color w:val="000000" w:themeColor="text1"/>
          <w:sz w:val="28"/>
          <w:szCs w:val="28"/>
          <w:highlight w:val="none"/>
          <w:lang w:eastAsia="zh-CN"/>
          <w14:textFill>
            <w14:solidFill>
              <w14:schemeClr w14:val="tx1"/>
            </w14:solidFill>
          </w14:textFill>
        </w:rPr>
        <w:t>。</w:t>
      </w:r>
      <w:r>
        <w:rPr>
          <w:rFonts w:hint="eastAsia" w:ascii="宋体" w:hAnsi="宋体" w:eastAsia="宋体"/>
          <w:color w:val="000000" w:themeColor="text1"/>
          <w:sz w:val="28"/>
          <w:szCs w:val="28"/>
          <w:highlight w:val="none"/>
          <w:lang w:val="en-US" w:eastAsia="zh-CN"/>
          <w14:textFill>
            <w14:solidFill>
              <w14:schemeClr w14:val="tx1"/>
            </w14:solidFill>
          </w14:textFill>
        </w:rPr>
        <w:t>此外</w:t>
      </w:r>
      <w:r>
        <w:rPr>
          <w:rFonts w:hint="eastAsia" w:ascii="宋体" w:hAnsi="宋体" w:eastAsia="宋体"/>
          <w:color w:val="000000" w:themeColor="text1"/>
          <w:sz w:val="28"/>
          <w:szCs w:val="28"/>
          <w:highlight w:val="none"/>
          <w:lang w:eastAsia="zh-CN"/>
          <w14:textFill>
            <w14:solidFill>
              <w14:schemeClr w14:val="tx1"/>
            </w14:solidFill>
          </w14:textFill>
        </w:rPr>
        <w:t>零排放光伏废水处理</w:t>
      </w:r>
      <w:r>
        <w:rPr>
          <w:rFonts w:hint="eastAsia" w:ascii="宋体" w:hAnsi="宋体" w:eastAsia="宋体"/>
          <w:color w:val="000000" w:themeColor="text1"/>
          <w:sz w:val="28"/>
          <w:szCs w:val="28"/>
          <w:highlight w:val="none"/>
          <w:lang w:val="en-US" w:eastAsia="zh-CN"/>
          <w14:textFill>
            <w14:solidFill>
              <w14:schemeClr w14:val="tx1"/>
            </w14:solidFill>
          </w14:textFill>
        </w:rPr>
        <w:t>技术可实现</w:t>
      </w:r>
      <w:r>
        <w:rPr>
          <w:rFonts w:hint="eastAsia" w:ascii="宋体" w:hAnsi="宋体" w:eastAsia="宋体"/>
          <w:color w:val="000000" w:themeColor="text1"/>
          <w:sz w:val="28"/>
          <w:szCs w:val="28"/>
          <w:highlight w:val="none"/>
          <w14:textFill>
            <w14:solidFill>
              <w14:schemeClr w14:val="tx1"/>
            </w14:solidFill>
          </w14:textFill>
        </w:rPr>
        <w:t>高品质再生水可降低取水成本，省去纯水制备成本，节约排污处理成本，显著降本增效</w:t>
      </w:r>
      <w:r>
        <w:rPr>
          <w:rFonts w:hint="eastAsia" w:ascii="宋体" w:hAnsi="宋体" w:eastAsia="宋体"/>
          <w:color w:val="000000" w:themeColor="text1"/>
          <w:sz w:val="28"/>
          <w:szCs w:val="28"/>
          <w:highlight w:val="none"/>
          <w:lang w:eastAsia="zh-CN"/>
          <w14:textFill>
            <w14:solidFill>
              <w14:schemeClr w14:val="tx1"/>
            </w14:solidFill>
          </w14:textFill>
        </w:rPr>
        <w:t>。</w:t>
      </w:r>
      <w:r>
        <w:rPr>
          <w:rFonts w:hint="eastAsia" w:ascii="宋体" w:hAnsi="宋体" w:eastAsia="宋体"/>
          <w:color w:val="000000" w:themeColor="text1"/>
          <w:sz w:val="28"/>
          <w:szCs w:val="28"/>
          <w:highlight w:val="none"/>
          <w:lang w:val="en-US" w:eastAsia="zh-CN"/>
          <w14:textFill>
            <w14:solidFill>
              <w14:schemeClr w14:val="tx1"/>
            </w14:solidFill>
          </w14:textFill>
        </w:rPr>
        <w:t>不仅有利于节能减排、资源循环、实现水资源平衡，对于推动产业升级、促进光伏废水的零排放、电池废水的处理的发展具有积极的推动作用。</w:t>
      </w:r>
    </w:p>
    <w:p w14:paraId="58EDE266">
      <w:pPr>
        <w:numPr>
          <w:ilvl w:val="0"/>
          <w:numId w:val="4"/>
        </w:numPr>
        <w:spacing w:line="360" w:lineRule="auto"/>
        <w:ind w:left="0" w:leftChars="0" w:firstLine="0" w:firstLineChars="0"/>
        <w:jc w:val="left"/>
        <w:rPr>
          <w:rFonts w:hint="eastAsia" w:ascii="宋体" w:hAnsi="宋体" w:eastAsia="宋体"/>
          <w:b/>
          <w:bCs/>
          <w:sz w:val="28"/>
          <w:szCs w:val="28"/>
        </w:rPr>
      </w:pPr>
      <w:r>
        <w:rPr>
          <w:rFonts w:hint="eastAsia" w:ascii="宋体" w:hAnsi="宋体" w:eastAsia="宋体"/>
          <w:b/>
          <w:bCs/>
          <w:sz w:val="28"/>
          <w:szCs w:val="28"/>
        </w:rPr>
        <w:t>在标准体系中的位置，与现行相关法律、法规、规章及相关标准，特别是强制性标准的协调性</w:t>
      </w:r>
    </w:p>
    <w:p w14:paraId="560534DB">
      <w:pPr>
        <w:numPr>
          <w:ilvl w:val="0"/>
          <w:numId w:val="0"/>
        </w:numPr>
        <w:spacing w:line="360" w:lineRule="auto"/>
        <w:ind w:leftChars="0" w:firstLine="560" w:firstLineChars="200"/>
        <w:jc w:val="left"/>
        <w:rPr>
          <w:rFonts w:hint="eastAsia" w:ascii="宋体" w:hAnsi="宋体" w:eastAsia="宋体"/>
          <w:b/>
          <w:bCs/>
          <w:sz w:val="28"/>
          <w:szCs w:val="28"/>
        </w:rPr>
      </w:pPr>
      <w:r>
        <w:rPr>
          <w:rFonts w:hint="eastAsia" w:ascii="宋体" w:hAnsi="宋体" w:eastAsia="宋体"/>
          <w:sz w:val="28"/>
          <w:szCs w:val="28"/>
        </w:rPr>
        <w:t>本标准符合国家相关</w:t>
      </w:r>
      <w:r>
        <w:rPr>
          <w:rFonts w:hint="eastAsia" w:ascii="宋体" w:hAnsi="宋体" w:eastAsia="宋体"/>
          <w:sz w:val="28"/>
          <w:szCs w:val="28"/>
          <w:lang w:eastAsia="zh-CN"/>
        </w:rPr>
        <w:t>法律法规</w:t>
      </w:r>
      <w:r>
        <w:rPr>
          <w:rFonts w:hint="eastAsia" w:ascii="宋体" w:hAnsi="宋体" w:eastAsia="宋体"/>
          <w:sz w:val="28"/>
          <w:szCs w:val="28"/>
        </w:rPr>
        <w:t>、规章及相关标准，与强制性标准的协调一致。</w:t>
      </w:r>
    </w:p>
    <w:p w14:paraId="29536E99">
      <w:pPr>
        <w:numPr>
          <w:ilvl w:val="0"/>
          <w:numId w:val="4"/>
        </w:numPr>
        <w:spacing w:line="360" w:lineRule="auto"/>
        <w:ind w:left="0" w:leftChars="0" w:firstLine="0" w:firstLineChars="0"/>
        <w:jc w:val="left"/>
        <w:rPr>
          <w:rFonts w:hint="eastAsia" w:ascii="宋体" w:hAnsi="宋体" w:eastAsia="宋体"/>
          <w:b/>
          <w:bCs/>
          <w:sz w:val="28"/>
          <w:szCs w:val="28"/>
        </w:rPr>
      </w:pPr>
      <w:r>
        <w:rPr>
          <w:rFonts w:hint="eastAsia" w:ascii="宋体" w:hAnsi="宋体" w:eastAsia="宋体"/>
          <w:b/>
          <w:bCs/>
          <w:sz w:val="28"/>
          <w:szCs w:val="28"/>
        </w:rPr>
        <w:t>重大分歧意见的处理经过和依据</w:t>
      </w:r>
    </w:p>
    <w:p w14:paraId="6925FAD6">
      <w:pPr>
        <w:numPr>
          <w:ilvl w:val="0"/>
          <w:numId w:val="0"/>
        </w:numPr>
        <w:spacing w:line="360" w:lineRule="auto"/>
        <w:ind w:leftChars="0" w:firstLine="560" w:firstLineChars="200"/>
        <w:jc w:val="left"/>
        <w:rPr>
          <w:rFonts w:hint="eastAsia" w:ascii="宋体" w:hAnsi="宋体" w:eastAsia="宋体"/>
          <w:b/>
          <w:bCs/>
          <w:sz w:val="28"/>
          <w:szCs w:val="28"/>
          <w:lang w:eastAsia="zh-CN"/>
        </w:rPr>
      </w:pPr>
      <w:r>
        <w:rPr>
          <w:rFonts w:hint="eastAsia" w:ascii="宋体" w:hAnsi="宋体" w:eastAsia="宋体"/>
          <w:sz w:val="28"/>
          <w:szCs w:val="28"/>
        </w:rPr>
        <w:t>本标准在起草过程中无重大意见分歧</w:t>
      </w:r>
      <w:r>
        <w:rPr>
          <w:rFonts w:hint="eastAsia" w:ascii="宋体" w:hAnsi="宋体" w:eastAsia="宋体"/>
          <w:sz w:val="28"/>
          <w:szCs w:val="28"/>
          <w:lang w:eastAsia="zh-CN"/>
        </w:rPr>
        <w:t>。</w:t>
      </w:r>
    </w:p>
    <w:p w14:paraId="5FF6B117">
      <w:pPr>
        <w:numPr>
          <w:ilvl w:val="0"/>
          <w:numId w:val="4"/>
        </w:numPr>
        <w:spacing w:line="360" w:lineRule="auto"/>
        <w:ind w:left="0" w:leftChars="0" w:firstLine="0" w:firstLineChars="0"/>
        <w:jc w:val="left"/>
        <w:rPr>
          <w:rFonts w:hint="eastAsia" w:ascii="宋体" w:hAnsi="宋体" w:eastAsia="宋体"/>
          <w:b/>
          <w:bCs/>
          <w:sz w:val="28"/>
          <w:szCs w:val="28"/>
        </w:rPr>
      </w:pPr>
      <w:r>
        <w:rPr>
          <w:rFonts w:hint="eastAsia" w:ascii="宋体" w:hAnsi="宋体" w:eastAsia="宋体"/>
          <w:b/>
          <w:bCs/>
          <w:sz w:val="28"/>
          <w:szCs w:val="28"/>
        </w:rPr>
        <w:t>标准性质的建议说明</w:t>
      </w:r>
    </w:p>
    <w:p w14:paraId="4AD573C3">
      <w:pPr>
        <w:numPr>
          <w:ilvl w:val="0"/>
          <w:numId w:val="0"/>
        </w:numPr>
        <w:spacing w:line="360" w:lineRule="auto"/>
        <w:ind w:leftChars="0" w:firstLine="560" w:firstLineChars="200"/>
        <w:jc w:val="left"/>
        <w:rPr>
          <w:rFonts w:hint="eastAsia" w:ascii="宋体" w:hAnsi="宋体" w:eastAsia="宋体"/>
          <w:b/>
          <w:bCs/>
          <w:sz w:val="28"/>
          <w:szCs w:val="28"/>
          <w:lang w:eastAsia="zh-CN"/>
        </w:rPr>
      </w:pPr>
      <w:r>
        <w:rPr>
          <w:rFonts w:hint="eastAsia" w:ascii="宋体" w:hAnsi="宋体" w:eastAsia="宋体"/>
          <w:sz w:val="28"/>
          <w:szCs w:val="28"/>
        </w:rPr>
        <w:t>建议将本标准作为推荐性团体标准，供社会各界自愿使用</w:t>
      </w:r>
      <w:r>
        <w:rPr>
          <w:rFonts w:hint="eastAsia" w:ascii="宋体" w:hAnsi="宋体" w:eastAsia="宋体"/>
          <w:sz w:val="28"/>
          <w:szCs w:val="28"/>
          <w:lang w:eastAsia="zh-CN"/>
        </w:rPr>
        <w:t>。</w:t>
      </w:r>
    </w:p>
    <w:p w14:paraId="79C2BF16">
      <w:pPr>
        <w:numPr>
          <w:ilvl w:val="0"/>
          <w:numId w:val="4"/>
        </w:numPr>
        <w:spacing w:line="360" w:lineRule="auto"/>
        <w:ind w:left="0" w:leftChars="0" w:firstLine="0" w:firstLineChars="0"/>
        <w:jc w:val="left"/>
        <w:rPr>
          <w:rFonts w:hint="eastAsia" w:ascii="宋体" w:hAnsi="宋体" w:eastAsia="宋体"/>
          <w:b/>
          <w:bCs/>
          <w:sz w:val="28"/>
          <w:szCs w:val="28"/>
        </w:rPr>
      </w:pPr>
      <w:r>
        <w:rPr>
          <w:rFonts w:hint="eastAsia" w:ascii="宋体" w:hAnsi="宋体" w:eastAsia="宋体"/>
          <w:b/>
          <w:bCs/>
          <w:sz w:val="28"/>
          <w:szCs w:val="28"/>
        </w:rPr>
        <w:t>贯彻标准的要求和措施建议</w:t>
      </w:r>
    </w:p>
    <w:p w14:paraId="7B9A5E13">
      <w:pPr>
        <w:keepNext w:val="0"/>
        <w:keepLines w:val="0"/>
        <w:pageBreakBefore w:val="0"/>
        <w:widowControl w:val="0"/>
        <w:kinsoku/>
        <w:wordWrap/>
        <w:overflowPunct/>
        <w:topLinePunct/>
        <w:autoSpaceDE/>
        <w:autoSpaceDN/>
        <w:bidi w:val="0"/>
        <w:adjustRightInd/>
        <w:snapToGrid/>
        <w:spacing w:line="360" w:lineRule="auto"/>
        <w:ind w:firstLine="560" w:firstLineChars="200"/>
        <w:jc w:val="both"/>
        <w:textAlignment w:val="auto"/>
        <w:rPr>
          <w:rFonts w:hint="eastAsia" w:ascii="宋体" w:hAnsi="宋体" w:eastAsia="宋体"/>
          <w:b/>
          <w:bCs/>
          <w:sz w:val="28"/>
          <w:szCs w:val="28"/>
        </w:rPr>
      </w:pPr>
      <w:r>
        <w:rPr>
          <w:rFonts w:hint="eastAsia" w:ascii="宋体" w:hAnsi="宋体" w:eastAsia="宋体"/>
          <w:sz w:val="28"/>
          <w:szCs w:val="28"/>
        </w:rPr>
        <w:t>本标准发布实施后，建议由标准主导起草单位有计划、有组织地开展标准的宣贯培训工作。通过举办培训班、宣贯会、研讨会等多种形式，广泛宣传本标准的地位和作用，确保标准中的有关规定得到准确理解、掌握和执行。</w:t>
      </w:r>
    </w:p>
    <w:p w14:paraId="6AE8BA9B">
      <w:pPr>
        <w:numPr>
          <w:ilvl w:val="0"/>
          <w:numId w:val="4"/>
        </w:numPr>
        <w:spacing w:line="360" w:lineRule="auto"/>
        <w:ind w:left="0" w:leftChars="0" w:firstLine="0" w:firstLineChars="0"/>
        <w:jc w:val="left"/>
        <w:rPr>
          <w:rFonts w:hint="eastAsia" w:ascii="宋体" w:hAnsi="宋体" w:eastAsia="宋体"/>
          <w:b/>
          <w:bCs/>
          <w:sz w:val="28"/>
          <w:szCs w:val="28"/>
        </w:rPr>
      </w:pPr>
      <w:r>
        <w:rPr>
          <w:rFonts w:hint="eastAsia" w:ascii="宋体" w:hAnsi="宋体" w:eastAsia="宋体"/>
          <w:b/>
          <w:bCs/>
          <w:sz w:val="28"/>
          <w:szCs w:val="28"/>
        </w:rPr>
        <w:t>废止现行相关标准的建议</w:t>
      </w:r>
    </w:p>
    <w:p w14:paraId="2D3F6B70">
      <w:pPr>
        <w:numPr>
          <w:ilvl w:val="0"/>
          <w:numId w:val="0"/>
        </w:numPr>
        <w:spacing w:line="360" w:lineRule="auto"/>
        <w:ind w:leftChars="0" w:firstLine="560" w:firstLineChars="200"/>
        <w:jc w:val="left"/>
        <w:rPr>
          <w:rFonts w:hint="eastAsia" w:ascii="宋体" w:hAnsi="宋体" w:eastAsia="宋体"/>
          <w:b/>
          <w:bCs/>
          <w:sz w:val="28"/>
          <w:szCs w:val="28"/>
          <w:lang w:eastAsia="zh-CN"/>
        </w:rPr>
      </w:pPr>
      <w:r>
        <w:rPr>
          <w:rFonts w:hint="eastAsia" w:ascii="宋体" w:hAnsi="宋体" w:eastAsia="宋体"/>
          <w:sz w:val="28"/>
          <w:szCs w:val="28"/>
        </w:rPr>
        <w:t>无</w:t>
      </w:r>
      <w:r>
        <w:rPr>
          <w:rFonts w:hint="eastAsia" w:ascii="宋体" w:hAnsi="宋体" w:eastAsia="宋体"/>
          <w:sz w:val="28"/>
          <w:szCs w:val="28"/>
          <w:lang w:eastAsia="zh-CN"/>
        </w:rPr>
        <w:t>。</w:t>
      </w:r>
    </w:p>
    <w:p w14:paraId="5F451718">
      <w:pPr>
        <w:numPr>
          <w:ilvl w:val="0"/>
          <w:numId w:val="4"/>
        </w:numPr>
        <w:spacing w:line="360" w:lineRule="auto"/>
        <w:ind w:left="0" w:leftChars="0" w:firstLine="0" w:firstLineChars="0"/>
        <w:jc w:val="left"/>
        <w:rPr>
          <w:rFonts w:hint="eastAsia" w:ascii="宋体" w:hAnsi="宋体" w:eastAsia="宋体"/>
          <w:b/>
          <w:bCs/>
          <w:sz w:val="28"/>
          <w:szCs w:val="28"/>
        </w:rPr>
      </w:pPr>
      <w:r>
        <w:rPr>
          <w:rFonts w:hint="eastAsia" w:ascii="宋体" w:hAnsi="宋体" w:eastAsia="宋体"/>
          <w:b/>
          <w:bCs/>
          <w:sz w:val="28"/>
          <w:szCs w:val="28"/>
        </w:rPr>
        <w:t>其他应予说明的事项</w:t>
      </w:r>
    </w:p>
    <w:p w14:paraId="1B868991">
      <w:pPr>
        <w:numPr>
          <w:ilvl w:val="0"/>
          <w:numId w:val="0"/>
        </w:numPr>
        <w:spacing w:line="360" w:lineRule="auto"/>
        <w:ind w:leftChars="0" w:firstLine="560" w:firstLineChars="200"/>
        <w:jc w:val="left"/>
        <w:rPr>
          <w:rFonts w:hint="eastAsia" w:ascii="宋体" w:hAnsi="宋体" w:eastAsia="宋体"/>
          <w:b/>
          <w:bCs/>
          <w:sz w:val="28"/>
          <w:szCs w:val="28"/>
          <w:lang w:eastAsia="zh-CN"/>
        </w:rPr>
      </w:pPr>
      <w:r>
        <w:rPr>
          <w:rFonts w:hint="eastAsia" w:ascii="宋体" w:hAnsi="宋体" w:eastAsia="宋体"/>
          <w:sz w:val="28"/>
          <w:szCs w:val="28"/>
        </w:rPr>
        <w:t>无</w:t>
      </w:r>
      <w:r>
        <w:rPr>
          <w:rFonts w:hint="eastAsia" w:ascii="宋体" w:hAnsi="宋体" w:eastAsia="宋体"/>
          <w:sz w:val="28"/>
          <w:szCs w:val="28"/>
          <w:lang w:eastAsia="zh-CN"/>
        </w:rPr>
        <w:t>。</w:t>
      </w:r>
    </w:p>
    <w:p w14:paraId="5CCE0FC1">
      <w:pPr>
        <w:topLinePunct/>
        <w:spacing w:line="360" w:lineRule="auto"/>
        <w:ind w:firstLine="560" w:firstLineChars="200"/>
        <w:jc w:val="right"/>
        <w:rPr>
          <w:rFonts w:ascii="宋体" w:hAnsi="宋体" w:eastAsia="宋体"/>
          <w:sz w:val="28"/>
          <w:szCs w:val="28"/>
        </w:rPr>
      </w:pPr>
      <w:r>
        <w:rPr>
          <w:rFonts w:ascii="宋体" w:hAnsi="宋体" w:eastAsia="宋体"/>
          <w:sz w:val="28"/>
          <w:szCs w:val="28"/>
        </w:rPr>
        <w:t xml:space="preserve">  </w:t>
      </w:r>
    </w:p>
    <w:p w14:paraId="683F3AC0">
      <w:pPr>
        <w:topLinePunct/>
        <w:spacing w:line="360" w:lineRule="auto"/>
        <w:ind w:firstLine="560" w:firstLineChars="200"/>
        <w:jc w:val="right"/>
        <w:rPr>
          <w:rFonts w:ascii="宋体" w:hAnsi="宋体" w:eastAsia="宋体"/>
          <w:sz w:val="28"/>
          <w:szCs w:val="28"/>
        </w:rPr>
      </w:pPr>
      <w:r>
        <w:rPr>
          <w:rFonts w:hint="eastAsia" w:ascii="宋体" w:hAnsi="宋体" w:eastAsia="宋体"/>
          <w:sz w:val="28"/>
          <w:szCs w:val="28"/>
        </w:rPr>
        <w:t>《</w:t>
      </w:r>
      <w:r>
        <w:rPr>
          <w:rFonts w:hint="eastAsia" w:ascii="宋体" w:hAnsi="宋体" w:eastAsia="宋体"/>
          <w:sz w:val="28"/>
          <w:szCs w:val="28"/>
          <w:lang w:eastAsia="zh-CN"/>
        </w:rPr>
        <w:t>零排放光伏废水处理技术规范</w:t>
      </w:r>
      <w:r>
        <w:rPr>
          <w:rFonts w:hint="eastAsia" w:ascii="宋体" w:hAnsi="宋体" w:eastAsia="宋体"/>
          <w:sz w:val="28"/>
          <w:szCs w:val="28"/>
        </w:rPr>
        <w:t>》起草组</w:t>
      </w:r>
      <w:r>
        <w:rPr>
          <w:rFonts w:ascii="宋体" w:hAnsi="宋体" w:eastAsia="宋体"/>
          <w:sz w:val="28"/>
          <w:szCs w:val="28"/>
        </w:rPr>
        <w:t xml:space="preserve"> </w:t>
      </w:r>
    </w:p>
    <w:p w14:paraId="5488F83D">
      <w:pPr>
        <w:topLinePunct/>
        <w:spacing w:line="360" w:lineRule="auto"/>
        <w:ind w:firstLine="560" w:firstLineChars="200"/>
        <w:jc w:val="right"/>
        <w:rPr>
          <w:rFonts w:hint="eastAsia" w:ascii="宋体" w:hAnsi="宋体" w:eastAsia="宋体"/>
          <w:sz w:val="28"/>
          <w:szCs w:val="28"/>
        </w:rPr>
      </w:pPr>
      <w:r>
        <w:rPr>
          <w:rFonts w:hint="eastAsia" w:ascii="宋体" w:hAnsi="宋体" w:eastAsia="宋体"/>
          <w:sz w:val="28"/>
          <w:szCs w:val="28"/>
        </w:rPr>
        <w:t>二零二四</w:t>
      </w:r>
      <w:r>
        <w:rPr>
          <w:rFonts w:ascii="宋体" w:hAnsi="宋体" w:eastAsia="宋体"/>
          <w:sz w:val="28"/>
          <w:szCs w:val="28"/>
        </w:rPr>
        <w:t>年</w:t>
      </w:r>
      <w:r>
        <w:rPr>
          <w:rFonts w:hint="eastAsia" w:ascii="宋体" w:hAnsi="宋体" w:eastAsia="宋体"/>
          <w:sz w:val="28"/>
          <w:szCs w:val="28"/>
        </w:rPr>
        <w:t>十</w:t>
      </w:r>
      <w:r>
        <w:rPr>
          <w:rFonts w:hint="eastAsia" w:ascii="宋体" w:hAnsi="宋体" w:eastAsia="宋体"/>
          <w:sz w:val="28"/>
          <w:szCs w:val="28"/>
          <w:lang w:val="en-US" w:eastAsia="zh-CN"/>
        </w:rPr>
        <w:t>一</w:t>
      </w:r>
      <w:r>
        <w:rPr>
          <w:rFonts w:ascii="宋体" w:hAnsi="宋体" w:eastAsia="宋体"/>
          <w:sz w:val="28"/>
          <w:szCs w:val="28"/>
        </w:rPr>
        <w:t>月</w:t>
      </w:r>
    </w:p>
    <w:p w14:paraId="23DEE833">
      <w:pPr>
        <w:topLinePunct/>
        <w:spacing w:line="360" w:lineRule="auto"/>
        <w:ind w:firstLine="560" w:firstLineChars="200"/>
        <w:jc w:val="right"/>
        <w:rPr>
          <w:rFonts w:ascii="宋体" w:hAnsi="宋体" w:eastAsia="宋体"/>
          <w:sz w:val="28"/>
          <w:szCs w:val="28"/>
        </w:rPr>
      </w:pPr>
      <w:bookmarkStart w:id="2" w:name="_GoBack"/>
      <w:bookmarkEnd w:id="2"/>
    </w:p>
    <w:sectPr>
      <w:type w:val="continuous"/>
      <w:pgSz w:w="11906" w:h="16841"/>
      <w:pgMar w:top="1440" w:right="1800" w:bottom="1440" w:left="1800" w:header="720" w:footer="720" w:gutter="0"/>
      <w:cols w:space="425"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迷你简小标宋">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C5859B"/>
    <w:multiLevelType w:val="singleLevel"/>
    <w:tmpl w:val="06C5859B"/>
    <w:lvl w:ilvl="0" w:tentative="0">
      <w:start w:val="2"/>
      <w:numFmt w:val="chineseCounting"/>
      <w:suff w:val="space"/>
      <w:lvlText w:val="（%1）"/>
      <w:lvlJc w:val="left"/>
      <w:rPr>
        <w:rFonts w:hint="eastAsia"/>
      </w:rPr>
    </w:lvl>
  </w:abstractNum>
  <w:abstractNum w:abstractNumId="1">
    <w:nsid w:val="3D7EE88E"/>
    <w:multiLevelType w:val="singleLevel"/>
    <w:tmpl w:val="3D7EE88E"/>
    <w:lvl w:ilvl="0" w:tentative="0">
      <w:start w:val="3"/>
      <w:numFmt w:val="decimal"/>
      <w:suff w:val="nothing"/>
      <w:lvlText w:val="（%1）"/>
      <w:lvlJc w:val="left"/>
    </w:lvl>
  </w:abstractNum>
  <w:abstractNum w:abstractNumId="2">
    <w:nsid w:val="585B7623"/>
    <w:multiLevelType w:val="singleLevel"/>
    <w:tmpl w:val="585B7623"/>
    <w:lvl w:ilvl="0" w:tentative="0">
      <w:start w:val="5"/>
      <w:numFmt w:val="decimal"/>
      <w:suff w:val="nothing"/>
      <w:lvlText w:val="%1、"/>
      <w:lvlJc w:val="left"/>
    </w:lvl>
  </w:abstractNum>
  <w:abstractNum w:abstractNumId="3">
    <w:nsid w:val="606D5677"/>
    <w:multiLevelType w:val="singleLevel"/>
    <w:tmpl w:val="606D5677"/>
    <w:lvl w:ilvl="0" w:tentative="0">
      <w:start w:val="2"/>
      <w:numFmt w:val="chineseCounting"/>
      <w:suff w:val="nothing"/>
      <w:lvlText w:val="（%1）"/>
      <w:lvlJc w:val="left"/>
      <w:rPr>
        <w:rFonts w:hint="eastAsia"/>
      </w:rPr>
    </w:lvl>
  </w:abstractNum>
  <w:abstractNum w:abstractNumId="4">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7"/>
      <w:suff w:val="nothing"/>
      <w:lvlText w:val="%1%2　"/>
      <w:lvlJc w:val="left"/>
      <w:pPr>
        <w:ind w:left="0" w:firstLine="0"/>
      </w:pPr>
      <w:rPr>
        <w:rFonts w:hint="eastAsia" w:ascii="黑体" w:eastAsia="黑体"/>
        <w:b w:val="0"/>
        <w:i w:val="0"/>
        <w:sz w:val="21"/>
      </w:rPr>
    </w:lvl>
    <w:lvl w:ilvl="2" w:tentative="0">
      <w:start w:val="1"/>
      <w:numFmt w:val="decimal"/>
      <w:pStyle w:val="16"/>
      <w:suff w:val="nothing"/>
      <w:lvlText w:val="%1%2.%3　"/>
      <w:lvlJc w:val="left"/>
      <w:pPr>
        <w:ind w:left="0" w:firstLine="0"/>
      </w:pPr>
      <w:rPr>
        <w:rFonts w:hint="eastAsia" w:ascii="黑体" w:hAnsi="黑体"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bordersDoNotSurroundHeader w:val="0"/>
  <w:bordersDoNotSurroundFooter w:val="0"/>
  <w:documentProtection w:enforcement="0"/>
  <w:defaultTabStop w:val="420"/>
  <w:drawingGridHorizontalSpacing w:val="110"/>
  <w:drawingGridVerticalSpacing w:val="29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k4MzM4ZWM2YWJkMjFhM2M1YmVmNzk0ZDM4M2ExMWQifQ=="/>
  </w:docVars>
  <w:rsids>
    <w:rsidRoot w:val="00080FCE"/>
    <w:rsid w:val="00013CD7"/>
    <w:rsid w:val="00021E0D"/>
    <w:rsid w:val="00031415"/>
    <w:rsid w:val="000711D3"/>
    <w:rsid w:val="00076E6A"/>
    <w:rsid w:val="0007729C"/>
    <w:rsid w:val="00080FCE"/>
    <w:rsid w:val="000841BD"/>
    <w:rsid w:val="00086D78"/>
    <w:rsid w:val="00096631"/>
    <w:rsid w:val="000D7E80"/>
    <w:rsid w:val="00100F6C"/>
    <w:rsid w:val="00100FA1"/>
    <w:rsid w:val="0010711D"/>
    <w:rsid w:val="001171FC"/>
    <w:rsid w:val="00122E25"/>
    <w:rsid w:val="00124E74"/>
    <w:rsid w:val="001552ED"/>
    <w:rsid w:val="00172D1B"/>
    <w:rsid w:val="00184316"/>
    <w:rsid w:val="001A1C3A"/>
    <w:rsid w:val="001A3971"/>
    <w:rsid w:val="001A7B8A"/>
    <w:rsid w:val="001E5452"/>
    <w:rsid w:val="001E59E1"/>
    <w:rsid w:val="00200A33"/>
    <w:rsid w:val="002212B2"/>
    <w:rsid w:val="00223390"/>
    <w:rsid w:val="00227D9E"/>
    <w:rsid w:val="00233775"/>
    <w:rsid w:val="00237A71"/>
    <w:rsid w:val="00253FA1"/>
    <w:rsid w:val="00276C1B"/>
    <w:rsid w:val="0029410D"/>
    <w:rsid w:val="002A116B"/>
    <w:rsid w:val="002A16BD"/>
    <w:rsid w:val="002C7C84"/>
    <w:rsid w:val="002E34E6"/>
    <w:rsid w:val="002F3F4D"/>
    <w:rsid w:val="00301337"/>
    <w:rsid w:val="003073A8"/>
    <w:rsid w:val="00374298"/>
    <w:rsid w:val="003C4C2B"/>
    <w:rsid w:val="003F6507"/>
    <w:rsid w:val="004357F5"/>
    <w:rsid w:val="00462A1E"/>
    <w:rsid w:val="00467311"/>
    <w:rsid w:val="00486151"/>
    <w:rsid w:val="00495229"/>
    <w:rsid w:val="004A0525"/>
    <w:rsid w:val="004A5E54"/>
    <w:rsid w:val="004A6E9D"/>
    <w:rsid w:val="004B116E"/>
    <w:rsid w:val="004D46D1"/>
    <w:rsid w:val="004D5495"/>
    <w:rsid w:val="004E5DAF"/>
    <w:rsid w:val="004F32FF"/>
    <w:rsid w:val="0052542A"/>
    <w:rsid w:val="00543CA9"/>
    <w:rsid w:val="00555D75"/>
    <w:rsid w:val="00560FA5"/>
    <w:rsid w:val="00566FEC"/>
    <w:rsid w:val="00587745"/>
    <w:rsid w:val="005C7B43"/>
    <w:rsid w:val="00612447"/>
    <w:rsid w:val="006379F1"/>
    <w:rsid w:val="00647F5C"/>
    <w:rsid w:val="006770FA"/>
    <w:rsid w:val="006771DA"/>
    <w:rsid w:val="0068107B"/>
    <w:rsid w:val="00683BC8"/>
    <w:rsid w:val="00693278"/>
    <w:rsid w:val="00696DC6"/>
    <w:rsid w:val="006A2989"/>
    <w:rsid w:val="006A7619"/>
    <w:rsid w:val="007236F7"/>
    <w:rsid w:val="00780878"/>
    <w:rsid w:val="00793EA3"/>
    <w:rsid w:val="007A285E"/>
    <w:rsid w:val="007B647A"/>
    <w:rsid w:val="007D143A"/>
    <w:rsid w:val="007D4ACF"/>
    <w:rsid w:val="007E71D6"/>
    <w:rsid w:val="007E765D"/>
    <w:rsid w:val="007F46FC"/>
    <w:rsid w:val="007F784F"/>
    <w:rsid w:val="00802198"/>
    <w:rsid w:val="00820BE7"/>
    <w:rsid w:val="00831C13"/>
    <w:rsid w:val="008374F8"/>
    <w:rsid w:val="00855EF3"/>
    <w:rsid w:val="008639DD"/>
    <w:rsid w:val="00873DB6"/>
    <w:rsid w:val="00895E54"/>
    <w:rsid w:val="008F2746"/>
    <w:rsid w:val="00901136"/>
    <w:rsid w:val="00905D53"/>
    <w:rsid w:val="00921AEC"/>
    <w:rsid w:val="00925E06"/>
    <w:rsid w:val="009349E7"/>
    <w:rsid w:val="009468CF"/>
    <w:rsid w:val="00954D9A"/>
    <w:rsid w:val="009603D3"/>
    <w:rsid w:val="00975BD6"/>
    <w:rsid w:val="009D3675"/>
    <w:rsid w:val="009D498C"/>
    <w:rsid w:val="009D796E"/>
    <w:rsid w:val="00A32DBC"/>
    <w:rsid w:val="00A3749C"/>
    <w:rsid w:val="00A76277"/>
    <w:rsid w:val="00A824EF"/>
    <w:rsid w:val="00A869F3"/>
    <w:rsid w:val="00A86B89"/>
    <w:rsid w:val="00B36263"/>
    <w:rsid w:val="00B379B8"/>
    <w:rsid w:val="00B5633A"/>
    <w:rsid w:val="00B77F39"/>
    <w:rsid w:val="00B82572"/>
    <w:rsid w:val="00B83264"/>
    <w:rsid w:val="00BB60E1"/>
    <w:rsid w:val="00BE3B0F"/>
    <w:rsid w:val="00BF54BF"/>
    <w:rsid w:val="00C12B64"/>
    <w:rsid w:val="00C21C0E"/>
    <w:rsid w:val="00C27EC1"/>
    <w:rsid w:val="00C312CC"/>
    <w:rsid w:val="00C3266C"/>
    <w:rsid w:val="00C336CE"/>
    <w:rsid w:val="00C352B8"/>
    <w:rsid w:val="00C44BF8"/>
    <w:rsid w:val="00C53848"/>
    <w:rsid w:val="00C71078"/>
    <w:rsid w:val="00C72DAC"/>
    <w:rsid w:val="00CA3F74"/>
    <w:rsid w:val="00CE3183"/>
    <w:rsid w:val="00CF7082"/>
    <w:rsid w:val="00D06A12"/>
    <w:rsid w:val="00D24B3F"/>
    <w:rsid w:val="00D2603E"/>
    <w:rsid w:val="00D47D49"/>
    <w:rsid w:val="00D56B4C"/>
    <w:rsid w:val="00D66359"/>
    <w:rsid w:val="00D83C32"/>
    <w:rsid w:val="00DA74DA"/>
    <w:rsid w:val="00DB002D"/>
    <w:rsid w:val="00DC22FD"/>
    <w:rsid w:val="00DC5CD1"/>
    <w:rsid w:val="00DE0621"/>
    <w:rsid w:val="00DE4309"/>
    <w:rsid w:val="00DF638A"/>
    <w:rsid w:val="00DF7390"/>
    <w:rsid w:val="00E00D3E"/>
    <w:rsid w:val="00E01BCF"/>
    <w:rsid w:val="00E12A88"/>
    <w:rsid w:val="00E50746"/>
    <w:rsid w:val="00E650FA"/>
    <w:rsid w:val="00EA1735"/>
    <w:rsid w:val="00EC3FE9"/>
    <w:rsid w:val="00ED4E5B"/>
    <w:rsid w:val="00F30933"/>
    <w:rsid w:val="00F7230A"/>
    <w:rsid w:val="00F724A6"/>
    <w:rsid w:val="00F829FC"/>
    <w:rsid w:val="00F92024"/>
    <w:rsid w:val="00FA1182"/>
    <w:rsid w:val="00FC34D9"/>
    <w:rsid w:val="00FE27EF"/>
    <w:rsid w:val="00FF28A7"/>
    <w:rsid w:val="0250441F"/>
    <w:rsid w:val="03A74512"/>
    <w:rsid w:val="04C64E6C"/>
    <w:rsid w:val="06E94E42"/>
    <w:rsid w:val="08803584"/>
    <w:rsid w:val="09A908B8"/>
    <w:rsid w:val="101A1DCD"/>
    <w:rsid w:val="116E041E"/>
    <w:rsid w:val="14B61397"/>
    <w:rsid w:val="14D9247C"/>
    <w:rsid w:val="15AC3C0A"/>
    <w:rsid w:val="165A5414"/>
    <w:rsid w:val="171E6164"/>
    <w:rsid w:val="17EC4792"/>
    <w:rsid w:val="19241D0A"/>
    <w:rsid w:val="192B3098"/>
    <w:rsid w:val="19483C4A"/>
    <w:rsid w:val="1B040045"/>
    <w:rsid w:val="1B334486"/>
    <w:rsid w:val="1B9F5F43"/>
    <w:rsid w:val="1DD12460"/>
    <w:rsid w:val="1E206F43"/>
    <w:rsid w:val="222A0391"/>
    <w:rsid w:val="24156E1F"/>
    <w:rsid w:val="242F6132"/>
    <w:rsid w:val="247578BD"/>
    <w:rsid w:val="259B05FC"/>
    <w:rsid w:val="26A85D28"/>
    <w:rsid w:val="27FD20A3"/>
    <w:rsid w:val="284101E2"/>
    <w:rsid w:val="28447CD2"/>
    <w:rsid w:val="2A68414C"/>
    <w:rsid w:val="2A9A007E"/>
    <w:rsid w:val="2ADA66CC"/>
    <w:rsid w:val="2B3202B6"/>
    <w:rsid w:val="307D1FD3"/>
    <w:rsid w:val="32AE46C6"/>
    <w:rsid w:val="3325762D"/>
    <w:rsid w:val="340477DB"/>
    <w:rsid w:val="37377380"/>
    <w:rsid w:val="382F0057"/>
    <w:rsid w:val="385E6B8E"/>
    <w:rsid w:val="3B1D688D"/>
    <w:rsid w:val="3BE9626B"/>
    <w:rsid w:val="3BF515B8"/>
    <w:rsid w:val="3C243C4B"/>
    <w:rsid w:val="3CA1529C"/>
    <w:rsid w:val="3DF35139"/>
    <w:rsid w:val="408D1DBF"/>
    <w:rsid w:val="41434B73"/>
    <w:rsid w:val="417E3DFD"/>
    <w:rsid w:val="42470693"/>
    <w:rsid w:val="448259B3"/>
    <w:rsid w:val="46C2653A"/>
    <w:rsid w:val="47F1602C"/>
    <w:rsid w:val="49AD702E"/>
    <w:rsid w:val="4B644064"/>
    <w:rsid w:val="4C777A97"/>
    <w:rsid w:val="4D551EB6"/>
    <w:rsid w:val="4EBE3A8B"/>
    <w:rsid w:val="501E2A33"/>
    <w:rsid w:val="50C16D9B"/>
    <w:rsid w:val="51AC5F66"/>
    <w:rsid w:val="51CB6BEB"/>
    <w:rsid w:val="523E73BD"/>
    <w:rsid w:val="52A7766D"/>
    <w:rsid w:val="53683028"/>
    <w:rsid w:val="53982AFD"/>
    <w:rsid w:val="54A43723"/>
    <w:rsid w:val="56DA342C"/>
    <w:rsid w:val="58421289"/>
    <w:rsid w:val="59260BAB"/>
    <w:rsid w:val="592866D1"/>
    <w:rsid w:val="59BB5797"/>
    <w:rsid w:val="5A542060"/>
    <w:rsid w:val="5B863B83"/>
    <w:rsid w:val="5B900373"/>
    <w:rsid w:val="5E7128C8"/>
    <w:rsid w:val="61CA67F0"/>
    <w:rsid w:val="62571DD5"/>
    <w:rsid w:val="63057A83"/>
    <w:rsid w:val="63974902"/>
    <w:rsid w:val="65B5753E"/>
    <w:rsid w:val="666A657B"/>
    <w:rsid w:val="69B55D5F"/>
    <w:rsid w:val="69C935B8"/>
    <w:rsid w:val="6A097E59"/>
    <w:rsid w:val="6C90660F"/>
    <w:rsid w:val="6D090170"/>
    <w:rsid w:val="6D967C55"/>
    <w:rsid w:val="6D9B34BE"/>
    <w:rsid w:val="6E641B01"/>
    <w:rsid w:val="6ED8604B"/>
    <w:rsid w:val="6F92269E"/>
    <w:rsid w:val="6FDA1548"/>
    <w:rsid w:val="72BF7C4E"/>
    <w:rsid w:val="730C2768"/>
    <w:rsid w:val="738E13CF"/>
    <w:rsid w:val="73905147"/>
    <w:rsid w:val="73EF00BF"/>
    <w:rsid w:val="744A3547"/>
    <w:rsid w:val="749E5641"/>
    <w:rsid w:val="74E7523A"/>
    <w:rsid w:val="75640639"/>
    <w:rsid w:val="761C0F14"/>
    <w:rsid w:val="766E461E"/>
    <w:rsid w:val="79D35D8D"/>
    <w:rsid w:val="7DF369FE"/>
    <w:rsid w:val="7F8F55C5"/>
    <w:rsid w:val="7FE920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Date"/>
    <w:basedOn w:val="1"/>
    <w:next w:val="1"/>
    <w:link w:val="10"/>
    <w:semiHidden/>
    <w:unhideWhenUsed/>
    <w:qFormat/>
    <w:uiPriority w:val="99"/>
    <w:pPr>
      <w:ind w:left="100" w:leftChars="2500"/>
    </w:p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rPr>
      <w:sz w:val="24"/>
    </w:rPr>
  </w:style>
  <w:style w:type="character" w:styleId="9">
    <w:name w:val="Hyperlink"/>
    <w:basedOn w:val="8"/>
    <w:unhideWhenUsed/>
    <w:qFormat/>
    <w:uiPriority w:val="99"/>
    <w:rPr>
      <w:color w:val="0563C1" w:themeColor="hyperlink"/>
      <w:u w:val="single"/>
      <w14:textFill>
        <w14:solidFill>
          <w14:schemeClr w14:val="hlink"/>
        </w14:solidFill>
      </w14:textFill>
    </w:rPr>
  </w:style>
  <w:style w:type="character" w:customStyle="1" w:styleId="10">
    <w:name w:val="日期 字符"/>
    <w:basedOn w:val="8"/>
    <w:link w:val="2"/>
    <w:semiHidden/>
    <w:qFormat/>
    <w:uiPriority w:val="99"/>
  </w:style>
  <w:style w:type="character" w:customStyle="1" w:styleId="11">
    <w:name w:val="未处理的提及1"/>
    <w:basedOn w:val="8"/>
    <w:semiHidden/>
    <w:unhideWhenUsed/>
    <w:qFormat/>
    <w:uiPriority w:val="99"/>
    <w:rPr>
      <w:color w:val="605E5C"/>
      <w:shd w:val="clear" w:color="auto" w:fill="E1DFDD"/>
    </w:rPr>
  </w:style>
  <w:style w:type="character" w:customStyle="1" w:styleId="12">
    <w:name w:val="页眉 字符"/>
    <w:basedOn w:val="8"/>
    <w:link w:val="5"/>
    <w:qFormat/>
    <w:uiPriority w:val="99"/>
    <w:rPr>
      <w:sz w:val="18"/>
      <w:szCs w:val="18"/>
    </w:rPr>
  </w:style>
  <w:style w:type="character" w:customStyle="1" w:styleId="13">
    <w:name w:val="页脚 字符"/>
    <w:basedOn w:val="8"/>
    <w:link w:val="4"/>
    <w:qFormat/>
    <w:uiPriority w:val="99"/>
    <w:rPr>
      <w:sz w:val="18"/>
      <w:szCs w:val="18"/>
    </w:rPr>
  </w:style>
  <w:style w:type="character" w:customStyle="1" w:styleId="14">
    <w:name w:val="批注框文本 字符"/>
    <w:basedOn w:val="8"/>
    <w:link w:val="3"/>
    <w:semiHidden/>
    <w:qFormat/>
    <w:uiPriority w:val="99"/>
    <w:rPr>
      <w:sz w:val="18"/>
      <w:szCs w:val="18"/>
    </w:rPr>
  </w:style>
  <w:style w:type="paragraph" w:customStyle="1" w:styleId="1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6">
    <w:name w:val="标准文件_一级条标题"/>
    <w:basedOn w:val="17"/>
    <w:next w:val="18"/>
    <w:qFormat/>
    <w:uiPriority w:val="0"/>
    <w:pPr>
      <w:numPr>
        <w:ilvl w:val="2"/>
      </w:numPr>
      <w:spacing w:before="50" w:beforeLines="50" w:after="50" w:afterLines="50"/>
      <w:outlineLvl w:val="1"/>
    </w:pPr>
  </w:style>
  <w:style w:type="paragraph" w:customStyle="1" w:styleId="17">
    <w:name w:val="标准文件_章标题"/>
    <w:next w:val="18"/>
    <w:qFormat/>
    <w:uiPriority w:val="0"/>
    <w:pPr>
      <w:numPr>
        <w:ilvl w:val="1"/>
        <w:numId w:val="1"/>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8">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EA021-E50B-4E84-AE6B-FC91A41D5E3D}">
  <ds:schemaRefs/>
</ds:datastoreItem>
</file>

<file path=docProps/app.xml><?xml version="1.0" encoding="utf-8"?>
<Properties xmlns="http://schemas.openxmlformats.org/officeDocument/2006/extended-properties" xmlns:vt="http://schemas.openxmlformats.org/officeDocument/2006/docPropsVTypes">
  <Template>Normal</Template>
  <Pages>7</Pages>
  <Words>2634</Words>
  <Characters>2732</Characters>
  <Lines>2</Lines>
  <Paragraphs>1</Paragraphs>
  <TotalTime>0</TotalTime>
  <ScaleCrop>false</ScaleCrop>
  <LinksUpToDate>false</LinksUpToDate>
  <CharactersWithSpaces>2760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2022-04-21T01:39:00Z</dcterms:created>
  <dc:creator>高 福云</dc:creator>
  <cp:lastModifiedBy>阿北</cp:lastModifiedBy>
  <cp:lastPrinted>2022-05-11T05:51:00Z</cp:lastPrinted>
  <dcterms:modified xsi:type="dcterms:W3CDTF">2024-11-07T10:50:57Z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4E3C298A573245BDA04C402D746E1331_12</vt:lpwstr>
  </property>
</Properties>
</file>