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0A21095B">
      <w:pPr>
        <w:jc w:val="center"/>
        <w:rPr>
          <w:rFonts w:hint="eastAsia"/>
        </w:rPr>
      </w:pPr>
      <w:r>
        <w:rPr>
          <w:rFonts w:hint="eastAsia" w:ascii="迷你简小标宋" w:hAnsi="宋体" w:eastAsia="迷你简小标宋"/>
          <w:sz w:val="44"/>
          <w:szCs w:val="44"/>
        </w:rPr>
        <w:t>中国中小企业协会团体标准</w:t>
      </w:r>
    </w:p>
    <w:p w14:paraId="30709085">
      <w:pPr>
        <w:jc w:val="center"/>
        <w:rPr>
          <w:rFonts w:hint="eastAsia"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sz w:val="44"/>
          <w:szCs w:val="44"/>
        </w:rPr>
        <w:t>防微振隔振器性能检测规范</w:t>
      </w:r>
      <w:r>
        <w:rPr>
          <w:rFonts w:hint="eastAsia" w:ascii="迷你简小标宋" w:hAnsi="宋体" w:eastAsia="迷你简小标宋"/>
          <w:w w:val="90"/>
          <w:sz w:val="44"/>
          <w:szCs w:val="44"/>
        </w:rPr>
        <w:t>》</w:t>
      </w:r>
    </w:p>
    <w:p w14:paraId="69651B73">
      <w:pPr>
        <w:jc w:val="center"/>
        <w:rPr>
          <w:rFonts w:hint="eastAsia" w:ascii="迷你简小标宋" w:hAnsi="宋体" w:eastAsia="迷你简小标宋"/>
          <w:sz w:val="44"/>
          <w:szCs w:val="44"/>
        </w:rPr>
      </w:pPr>
    </w:p>
    <w:p w14:paraId="66DB0283">
      <w:pPr>
        <w:jc w:val="center"/>
        <w:rPr>
          <w:rFonts w:hint="eastAsia"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rPr>
          <w:rFonts w:hint="eastAsia"/>
        </w:rPr>
      </w:pPr>
    </w:p>
    <w:p w14:paraId="3A1BBD4E">
      <w:pPr>
        <w:jc w:val="center"/>
        <w:rPr>
          <w:rFonts w:hint="eastAsia"/>
        </w:rPr>
      </w:pPr>
    </w:p>
    <w:p w14:paraId="553A2397">
      <w:pPr>
        <w:jc w:val="center"/>
        <w:rPr>
          <w:rFonts w:hint="eastAsia"/>
        </w:rPr>
      </w:pPr>
    </w:p>
    <w:p w14:paraId="327431EC">
      <w:pPr>
        <w:jc w:val="center"/>
        <w:rPr>
          <w:rFonts w:hint="eastAsia"/>
        </w:rPr>
      </w:pPr>
    </w:p>
    <w:p w14:paraId="2EABEAF3">
      <w:pPr>
        <w:jc w:val="center"/>
        <w:rPr>
          <w:rFonts w:hint="eastAsia"/>
        </w:rPr>
      </w:pPr>
    </w:p>
    <w:p w14:paraId="1461394E">
      <w:pPr>
        <w:jc w:val="center"/>
        <w:rPr>
          <w:rFonts w:hint="eastAsia"/>
        </w:rPr>
      </w:pPr>
    </w:p>
    <w:p w14:paraId="70E034AF">
      <w:pPr>
        <w:jc w:val="center"/>
        <w:rPr>
          <w:rFonts w:hint="eastAsia"/>
        </w:rPr>
      </w:pPr>
    </w:p>
    <w:p w14:paraId="64520520">
      <w:pPr>
        <w:jc w:val="center"/>
        <w:rPr>
          <w:rFonts w:hint="eastAsia"/>
        </w:rPr>
      </w:pPr>
    </w:p>
    <w:p w14:paraId="399B77AA">
      <w:pPr>
        <w:jc w:val="center"/>
        <w:rPr>
          <w:rFonts w:hint="eastAsia"/>
        </w:rPr>
      </w:pPr>
    </w:p>
    <w:p w14:paraId="1C4A82D6">
      <w:pPr>
        <w:jc w:val="center"/>
        <w:rPr>
          <w:rFonts w:hint="eastAsia"/>
        </w:rPr>
      </w:pPr>
    </w:p>
    <w:p w14:paraId="718A098E">
      <w:pPr>
        <w:jc w:val="center"/>
        <w:rPr>
          <w:rFonts w:hint="eastAsia"/>
        </w:rPr>
      </w:pPr>
    </w:p>
    <w:p w14:paraId="579D872B">
      <w:pPr>
        <w:jc w:val="center"/>
        <w:rPr>
          <w:rFonts w:hint="eastAsia"/>
        </w:rPr>
      </w:pPr>
    </w:p>
    <w:p w14:paraId="51575CC1">
      <w:pPr>
        <w:jc w:val="center"/>
        <w:rPr>
          <w:rFonts w:hint="eastAsia"/>
        </w:rPr>
      </w:pPr>
    </w:p>
    <w:p w14:paraId="1F8E33AE">
      <w:pPr>
        <w:jc w:val="center"/>
        <w:rPr>
          <w:rFonts w:hint="eastAsia"/>
        </w:rPr>
      </w:pPr>
    </w:p>
    <w:p w14:paraId="2D614C57">
      <w:pPr>
        <w:jc w:val="center"/>
        <w:rPr>
          <w:rFonts w:hint="eastAsia"/>
        </w:rPr>
      </w:pPr>
    </w:p>
    <w:p w14:paraId="08BA6CF1">
      <w:pPr>
        <w:jc w:val="center"/>
        <w:rPr>
          <w:rFonts w:hint="eastAsia"/>
        </w:rPr>
      </w:pPr>
    </w:p>
    <w:p w14:paraId="72F20A07">
      <w:pPr>
        <w:jc w:val="center"/>
        <w:rPr>
          <w:rFonts w:hint="eastAsia"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hint="eastAsia" w:ascii="宋体" w:hAnsi="宋体" w:eastAsia="宋体"/>
          <w:sz w:val="28"/>
          <w:szCs w:val="28"/>
        </w:rPr>
      </w:pPr>
    </w:p>
    <w:p w14:paraId="69B766E4">
      <w:pPr>
        <w:jc w:val="center"/>
        <w:rPr>
          <w:rFonts w:hint="eastAsia" w:ascii="宋体" w:hAnsi="宋体" w:eastAsia="宋体"/>
          <w:sz w:val="28"/>
          <w:szCs w:val="28"/>
        </w:rPr>
      </w:pPr>
      <w:r>
        <w:rPr>
          <w:rFonts w:hint="eastAsia" w:ascii="宋体" w:hAnsi="宋体" w:eastAsia="宋体"/>
          <w:sz w:val="28"/>
          <w:szCs w:val="28"/>
        </w:rPr>
        <w:t>二零二四年十月</w:t>
      </w: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616354A2">
      <w:pPr>
        <w:jc w:val="center"/>
        <w:rPr>
          <w:rFonts w:hint="eastAsia" w:ascii="宋体" w:hAnsi="宋体" w:eastAsia="宋体"/>
          <w:sz w:val="28"/>
          <w:szCs w:val="28"/>
        </w:rPr>
      </w:pPr>
    </w:p>
    <w:p w14:paraId="70875990">
      <w:pPr>
        <w:jc w:val="center"/>
        <w:rPr>
          <w:rFonts w:hint="eastAsia" w:ascii="宋体" w:hAnsi="宋体" w:eastAsia="宋体"/>
          <w:sz w:val="28"/>
          <w:szCs w:val="28"/>
        </w:rPr>
      </w:pPr>
    </w:p>
    <w:p w14:paraId="1345B5ED">
      <w:pPr>
        <w:jc w:val="center"/>
        <w:rPr>
          <w:rFonts w:hint="eastAsia" w:ascii="宋体" w:hAnsi="宋体" w:eastAsia="宋体"/>
          <w:sz w:val="28"/>
          <w:szCs w:val="28"/>
        </w:rPr>
      </w:pPr>
    </w:p>
    <w:p w14:paraId="44B6B4BD">
      <w:pPr>
        <w:jc w:val="center"/>
        <w:rPr>
          <w:rFonts w:hint="eastAsia" w:ascii="宋体" w:hAnsi="宋体" w:eastAsia="宋体"/>
          <w:sz w:val="28"/>
          <w:szCs w:val="28"/>
        </w:rPr>
      </w:pPr>
    </w:p>
    <w:p w14:paraId="3AB2A67D">
      <w:pPr>
        <w:jc w:val="center"/>
        <w:rPr>
          <w:rFonts w:hint="eastAsia" w:ascii="宋体" w:hAnsi="宋体" w:eastAsia="宋体"/>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63298406">
      <w:pPr>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根据</w:t>
      </w:r>
      <w:r>
        <w:rPr>
          <w:rFonts w:ascii="宋体" w:hAnsi="宋体" w:eastAsia="宋体"/>
          <w:sz w:val="28"/>
          <w:szCs w:val="28"/>
        </w:rPr>
        <w:t xml:space="preserve"> 202</w:t>
      </w:r>
      <w:r>
        <w:rPr>
          <w:rFonts w:hint="eastAsia" w:ascii="宋体" w:hAnsi="宋体" w:eastAsia="宋体"/>
          <w:sz w:val="28"/>
          <w:szCs w:val="28"/>
        </w:rPr>
        <w:t>4</w:t>
      </w:r>
      <w:r>
        <w:rPr>
          <w:rFonts w:ascii="宋体" w:hAnsi="宋体" w:eastAsia="宋体"/>
          <w:sz w:val="28"/>
          <w:szCs w:val="28"/>
        </w:rPr>
        <w:t>年全国标准化工作要点，大力推动实施标准化战略，</w:t>
      </w:r>
      <w:r>
        <w:rPr>
          <w:rFonts w:hint="eastAsia" w:ascii="宋体" w:hAnsi="宋体" w:eastAsia="宋体"/>
          <w:sz w:val="28"/>
          <w:szCs w:val="28"/>
        </w:rPr>
        <w:t>持续深化标准化工作改革，加强标准体系建设，提升引领高质量发展的能力。依据《中华人民共和国标准化法》，以及《团体标准管理规定》相关规定，上海路博减振科技股份有限</w:t>
      </w:r>
      <w:r>
        <w:rPr>
          <w:rFonts w:hint="eastAsia" w:ascii="宋体" w:hAnsi="宋体" w:eastAsia="宋体"/>
          <w:sz w:val="28"/>
          <w:szCs w:val="28"/>
          <w:lang w:val="en-US" w:eastAsia="zh-CN"/>
        </w:rPr>
        <w:t>公司</w:t>
      </w:r>
      <w:r>
        <w:rPr>
          <w:rFonts w:hint="eastAsia" w:ascii="宋体" w:hAnsi="宋体" w:eastAsia="宋体"/>
          <w:sz w:val="28"/>
          <w:szCs w:val="28"/>
        </w:rPr>
        <w:t>联合扬州弘思百佳科技有限公司、纵坐标（江苏）标准技术服务有限公司等相关单位共同制定《防微振隔振器性能检测规范》团体标准。</w:t>
      </w:r>
    </w:p>
    <w:p w14:paraId="42F5D486">
      <w:pPr>
        <w:numPr>
          <w:ilvl w:val="0"/>
          <w:numId w:val="2"/>
        </w:numPr>
        <w:spacing w:line="360" w:lineRule="auto"/>
        <w:jc w:val="left"/>
        <w:rPr>
          <w:rFonts w:hint="eastAsia" w:ascii="宋体" w:hAnsi="宋体" w:eastAsia="宋体"/>
          <w:sz w:val="28"/>
          <w:szCs w:val="28"/>
        </w:rPr>
      </w:pPr>
      <w:r>
        <w:rPr>
          <w:rFonts w:hint="eastAsia" w:ascii="宋体" w:hAnsi="宋体" w:eastAsia="宋体"/>
          <w:b/>
          <w:bCs/>
          <w:sz w:val="28"/>
          <w:szCs w:val="28"/>
        </w:rPr>
        <w:t>编制</w:t>
      </w:r>
      <w:r>
        <w:rPr>
          <w:rFonts w:ascii="宋体" w:hAnsi="宋体" w:eastAsia="宋体"/>
          <w:b/>
          <w:bCs/>
          <w:sz w:val="28"/>
          <w:szCs w:val="28"/>
        </w:rPr>
        <w:t>背景及目的</w:t>
      </w:r>
      <w:r>
        <w:rPr>
          <w:rFonts w:hint="eastAsia" w:ascii="宋体" w:hAnsi="宋体" w:eastAsia="宋体"/>
          <w:sz w:val="28"/>
          <w:szCs w:val="28"/>
        </w:rPr>
        <w:t xml:space="preserve"> </w:t>
      </w:r>
    </w:p>
    <w:p w14:paraId="12E082D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随着科技的快速发展，尤其是精密仪器在诸如光学、微电子、半导体等产业中的广泛应用，微振动已经成为影响其正常工作的关键因素。防微振隔振器应运而生，用于减少或消除这些微振动对设备的影响。</w:t>
      </w:r>
    </w:p>
    <w:p w14:paraId="14C97D01">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随着国内半导体、光学、精密测量等产业的快速发展，对高性能防微振隔振器的需求不断增加。这些领域的快速发展为防微振隔振器行业提供了广阔的市场空间。并且，我国制造业正处于产业升级转型的关键时期，对高精度、高性能的机械设备和零部件需求增加。防微振隔振器作为关键零部件之一，其市场需求也将持续增长。</w:t>
      </w:r>
    </w:p>
    <w:p w14:paraId="7A0231A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随着防微振隔振器市场的快速发展，相关的标准化工作已略显滞后，且亟需完善。特别是涉及产品的性能、测试方法、安全要求等方面的标准，这些标准将为产品的质量和安全性提供充分保障。</w:t>
      </w:r>
    </w:p>
    <w:p w14:paraId="32E2091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综上所述，制定《防微振隔振器性能检测规范》团体标准，将为我司及行业内的防微振隔振器性能检测工作提供了明确的指导规范，有助于规范和引领防微振隔振器行业的高质量发展。</w:t>
      </w:r>
    </w:p>
    <w:p w14:paraId="6E34CEBA">
      <w:pPr>
        <w:numPr>
          <w:ilvl w:val="0"/>
          <w:numId w:val="2"/>
        </w:numPr>
        <w:spacing w:line="360" w:lineRule="auto"/>
        <w:jc w:val="left"/>
        <w:rPr>
          <w:rFonts w:hint="eastAsia"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126EA744">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1、项目立项阶段</w:t>
      </w:r>
    </w:p>
    <w:p w14:paraId="3A139A58">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由上海路博减振科技股份有限公司、扬州弘思百佳科技有限公司、纵坐标（江苏）标准技术服务有限公司等相关单位的</w:t>
      </w:r>
      <w:r>
        <w:rPr>
          <w:rFonts w:ascii="宋体" w:hAnsi="宋体" w:eastAsia="宋体"/>
          <w:sz w:val="28"/>
          <w:szCs w:val="28"/>
        </w:rPr>
        <w:t>技术人员共同成立了标准起草组，制定了详细的工作方案和实施计划，</w:t>
      </w:r>
      <w:r>
        <w:rPr>
          <w:rFonts w:hint="eastAsia" w:ascii="宋体" w:hAnsi="宋体" w:eastAsia="宋体"/>
          <w:sz w:val="28"/>
          <w:szCs w:val="28"/>
        </w:rPr>
        <w:t>研究分析相关领域标准制修订情况和防微振隔振器</w:t>
      </w:r>
      <w:r>
        <w:rPr>
          <w:rFonts w:hint="eastAsia" w:ascii="宋体" w:hAnsi="宋体" w:eastAsia="宋体"/>
          <w:sz w:val="28"/>
          <w:szCs w:val="28"/>
          <w:lang w:val="en-US" w:eastAsia="zh-CN"/>
        </w:rPr>
        <w:t>生产和</w:t>
      </w:r>
      <w:r>
        <w:rPr>
          <w:rFonts w:hint="eastAsia" w:ascii="宋体" w:hAnsi="宋体" w:eastAsia="宋体"/>
          <w:sz w:val="28"/>
          <w:szCs w:val="28"/>
        </w:rPr>
        <w:t>性能检测行业发展现状</w:t>
      </w:r>
      <w:r>
        <w:rPr>
          <w:rFonts w:ascii="宋体" w:hAnsi="宋体" w:eastAsia="宋体"/>
          <w:sz w:val="28"/>
          <w:szCs w:val="28"/>
        </w:rPr>
        <w:t>，在此基础上结合</w:t>
      </w:r>
      <w:r>
        <w:rPr>
          <w:rFonts w:hint="eastAsia" w:ascii="宋体" w:hAnsi="宋体" w:eastAsia="宋体"/>
          <w:sz w:val="28"/>
          <w:szCs w:val="28"/>
        </w:rPr>
        <w:t>起草单位的</w:t>
      </w:r>
      <w:r>
        <w:rPr>
          <w:rFonts w:ascii="宋体" w:hAnsi="宋体" w:eastAsia="宋体"/>
          <w:sz w:val="28"/>
          <w:szCs w:val="28"/>
        </w:rPr>
        <w:t>生产实际，多次召开内部研讨会议，确定了标准名称，并完成该项团体标准的立项工作。</w:t>
      </w:r>
    </w:p>
    <w:p w14:paraId="1D14F61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2、理论研究阶段</w:t>
      </w:r>
    </w:p>
    <w:p w14:paraId="48328FB3">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标准起草组广泛搜集相关标准和国外技术资料，进行了大量的研究分析、资料查证工作，确定了标准的制定原则，结合现有产品实际生产</w:t>
      </w:r>
      <w:r>
        <w:rPr>
          <w:rFonts w:hint="eastAsia" w:ascii="宋体" w:hAnsi="宋体" w:eastAsia="宋体"/>
          <w:sz w:val="28"/>
          <w:szCs w:val="28"/>
          <w:lang w:val="en-US" w:eastAsia="zh-CN"/>
        </w:rPr>
        <w:t>和检测</w:t>
      </w:r>
      <w:r>
        <w:rPr>
          <w:rFonts w:hint="eastAsia" w:ascii="宋体" w:hAnsi="宋体" w:eastAsia="宋体"/>
          <w:sz w:val="28"/>
          <w:szCs w:val="28"/>
        </w:rPr>
        <w:t>经验，为标准的起草奠定了基础。</w:t>
      </w:r>
    </w:p>
    <w:p w14:paraId="56BFA5B6">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标准起草组进一步研究防微振隔振器性能检测的主要技术内容</w:t>
      </w:r>
      <w:r>
        <w:rPr>
          <w:rFonts w:hint="eastAsia" w:ascii="宋体" w:hAnsi="宋体" w:eastAsia="宋体"/>
          <w:sz w:val="28"/>
          <w:szCs w:val="28"/>
          <w:lang w:val="en-US" w:eastAsia="zh-CN"/>
        </w:rPr>
        <w:t>和检测方法</w:t>
      </w:r>
      <w:r>
        <w:rPr>
          <w:rFonts w:hint="eastAsia" w:ascii="宋体" w:hAnsi="宋体" w:eastAsia="宋体"/>
          <w:sz w:val="28"/>
          <w:szCs w:val="28"/>
        </w:rPr>
        <w:t>，明确了要求，为标准的具体起草指明方向。</w:t>
      </w:r>
    </w:p>
    <w:p w14:paraId="11450F3C">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3、</w:t>
      </w:r>
      <w:r>
        <w:rPr>
          <w:rFonts w:ascii="宋体" w:hAnsi="宋体" w:eastAsia="宋体"/>
          <w:sz w:val="28"/>
          <w:szCs w:val="28"/>
        </w:rPr>
        <w:t>标准起草阶段</w:t>
      </w:r>
    </w:p>
    <w:p w14:paraId="21663BA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在理论研究基础上，标准起草组在标准编制过程中充分借鉴已有的理论研究和实践成果经过多次研讨和数次修改，形成了《防微振隔振器性能检测》（标准草案稿）。</w:t>
      </w:r>
    </w:p>
    <w:p w14:paraId="6A0B3AC0">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4、标准征求意见阶段</w:t>
      </w:r>
    </w:p>
    <w:p w14:paraId="4BD9C3B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从理论完善和实践应用方面提升标准的适用性和实用性。经过理论研究和方法验证，形成了《防微振隔振器性能检测》（征求意见稿）。</w:t>
      </w:r>
    </w:p>
    <w:p w14:paraId="38C16F82">
      <w:pPr>
        <w:numPr>
          <w:ilvl w:val="0"/>
          <w:numId w:val="3"/>
        </w:numPr>
        <w:topLinePunct/>
        <w:spacing w:line="360" w:lineRule="auto"/>
        <w:ind w:firstLine="560" w:firstLineChars="200"/>
        <w:rPr>
          <w:rFonts w:hint="eastAsia" w:ascii="宋体" w:hAnsi="宋体" w:eastAsia="宋体"/>
          <w:sz w:val="28"/>
          <w:szCs w:val="28"/>
        </w:rPr>
      </w:pPr>
      <w:bookmarkStart w:id="0" w:name="_Hlk179391965"/>
      <w:r>
        <w:rPr>
          <w:rFonts w:hint="eastAsia" w:ascii="宋体" w:hAnsi="宋体" w:eastAsia="宋体"/>
          <w:sz w:val="28"/>
          <w:szCs w:val="28"/>
        </w:rPr>
        <w:t>专家审核</w:t>
      </w:r>
    </w:p>
    <w:p w14:paraId="5A9BC1C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本标准拟定于2024年11月进行专家审核。</w:t>
      </w:r>
    </w:p>
    <w:p w14:paraId="736498A7">
      <w:pPr>
        <w:topLinePunct/>
        <w:spacing w:line="36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6、发布</w:t>
      </w:r>
    </w:p>
    <w:p w14:paraId="2FFB9F60">
      <w:pPr>
        <w:topLinePunct/>
        <w:spacing w:line="360" w:lineRule="auto"/>
        <w:ind w:firstLine="560" w:firstLineChars="200"/>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本标准拟定于</w:t>
      </w:r>
      <w:r>
        <w:rPr>
          <w:rFonts w:ascii="宋体" w:hAnsi="宋体" w:eastAsia="宋体"/>
          <w:color w:val="000000" w:themeColor="text1"/>
          <w:sz w:val="28"/>
          <w:szCs w:val="28"/>
          <w14:textFill>
            <w14:solidFill>
              <w14:schemeClr w14:val="tx1"/>
            </w14:solidFill>
          </w14:textFill>
        </w:rPr>
        <w:t>2024</w:t>
      </w:r>
      <w:r>
        <w:rPr>
          <w:rFonts w:hint="eastAsia" w:ascii="宋体" w:hAnsi="宋体" w:eastAsia="宋体"/>
          <w:color w:val="000000" w:themeColor="text1"/>
          <w:sz w:val="28"/>
          <w:szCs w:val="28"/>
          <w14:textFill>
            <w14:solidFill>
              <w14:schemeClr w14:val="tx1"/>
            </w14:solidFill>
          </w14:textFill>
        </w:rPr>
        <w:t>年12月发布并实施</w:t>
      </w:r>
      <w:r>
        <w:rPr>
          <w:rFonts w:hint="eastAsia" w:ascii="宋体" w:hAnsi="宋体" w:eastAsia="宋体"/>
          <w:sz w:val="28"/>
          <w:szCs w:val="28"/>
        </w:rPr>
        <w:t>。</w:t>
      </w:r>
      <w:bookmarkEnd w:id="0"/>
    </w:p>
    <w:p w14:paraId="3854FE17">
      <w:pPr>
        <w:numPr>
          <w:ilvl w:val="0"/>
          <w:numId w:val="2"/>
        </w:numPr>
        <w:spacing w:line="360" w:lineRule="auto"/>
        <w:jc w:val="left"/>
        <w:rPr>
          <w:rFonts w:hint="eastAsia" w:ascii="宋体" w:hAnsi="宋体" w:eastAsia="宋体"/>
          <w:sz w:val="28"/>
          <w:szCs w:val="28"/>
        </w:rPr>
      </w:pPr>
      <w:r>
        <w:rPr>
          <w:rFonts w:hint="eastAsia" w:ascii="宋体" w:hAnsi="宋体" w:eastAsia="宋体"/>
          <w:b/>
          <w:bCs/>
          <w:sz w:val="28"/>
          <w:szCs w:val="28"/>
        </w:rPr>
        <w:t>主要起草单位及起草人所做的工作</w:t>
      </w:r>
      <w:r>
        <w:rPr>
          <w:rFonts w:ascii="宋体" w:hAnsi="宋体" w:eastAsia="宋体"/>
          <w:sz w:val="28"/>
          <w:szCs w:val="28"/>
        </w:rPr>
        <w:t xml:space="preserve"> </w:t>
      </w:r>
    </w:p>
    <w:p w14:paraId="68C2C550">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1、主要起草单位</w:t>
      </w:r>
    </w:p>
    <w:p w14:paraId="13187A56">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上海路博减振科技股份有限公司</w:t>
      </w:r>
      <w:r>
        <w:rPr>
          <w:rFonts w:hint="eastAsia" w:ascii="宋体" w:hAnsi="宋体" w:eastAsia="宋体"/>
          <w:color w:val="000000" w:themeColor="text1"/>
          <w:sz w:val="28"/>
          <w:szCs w:val="28"/>
          <w14:textFill>
            <w14:solidFill>
              <w14:schemeClr w14:val="tx1"/>
            </w14:solidFill>
          </w14:textFill>
        </w:rPr>
        <w:t>、</w:t>
      </w:r>
      <w:r>
        <w:rPr>
          <w:rFonts w:hint="eastAsia" w:ascii="宋体" w:hAnsi="宋体" w:eastAsia="宋体"/>
          <w:sz w:val="28"/>
          <w:szCs w:val="28"/>
        </w:rPr>
        <w:t>扬州弘思百佳科技有限公司、纵坐标（江苏）标准技术服务有限公司。</w:t>
      </w:r>
    </w:p>
    <w:p w14:paraId="2D19FAC7">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、工作内容</w:t>
      </w:r>
    </w:p>
    <w:p w14:paraId="58B66D5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（1）扬州市飞鹰电子科技有限公司主要负责标准制定过程的协调工作；负责标准制定工作，资料查询、标准正文及编制说明草案起草、方法验证等工作。</w:t>
      </w:r>
    </w:p>
    <w:p w14:paraId="2FEF959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（2）上海路博减振科技股份有限公司、纵坐标（江苏）标准技术服务有限公司主要参与资料查询、标准正文草案修改、方法验证等。</w:t>
      </w:r>
    </w:p>
    <w:p w14:paraId="469ED75D">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FA22B97">
      <w:pPr>
        <w:spacing w:line="360" w:lineRule="auto"/>
        <w:jc w:val="left"/>
        <w:rPr>
          <w:rFonts w:hint="eastAsia"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224F9EF5">
      <w:pPr>
        <w:topLinePunct/>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本标准依据相关行业标准，标准编制遵循“前瞻性、实用性、统一性、规范性”的原则，注重标准的可操作性，严格按照</w:t>
      </w:r>
      <w:r>
        <w:rPr>
          <w:rFonts w:ascii="宋体" w:hAnsi="宋体" w:eastAsia="宋体"/>
          <w:sz w:val="28"/>
          <w:szCs w:val="28"/>
        </w:rPr>
        <w:t xml:space="preserve"> GB/T 1.1</w:t>
      </w:r>
      <w:r>
        <w:rPr>
          <w:rFonts w:hint="eastAsia" w:ascii="宋体" w:hAnsi="宋体" w:eastAsia="宋体"/>
          <w:sz w:val="28"/>
          <w:szCs w:val="28"/>
        </w:rPr>
        <w:t>最新版本的要求进行编写。</w:t>
      </w:r>
    </w:p>
    <w:p w14:paraId="4963B5F3">
      <w:pPr>
        <w:numPr>
          <w:ilvl w:val="0"/>
          <w:numId w:val="4"/>
        </w:numPr>
        <w:spacing w:line="360" w:lineRule="auto"/>
        <w:jc w:val="left"/>
        <w:rPr>
          <w:rFonts w:hint="eastAsia" w:ascii="宋体" w:hAnsi="宋体" w:eastAsia="宋体"/>
          <w:b/>
          <w:bCs/>
          <w:sz w:val="28"/>
          <w:szCs w:val="28"/>
        </w:rPr>
      </w:pPr>
      <w:r>
        <w:rPr>
          <w:rFonts w:ascii="宋体" w:hAnsi="宋体" w:eastAsia="宋体"/>
          <w:b/>
          <w:bCs/>
          <w:sz w:val="28"/>
          <w:szCs w:val="28"/>
        </w:rPr>
        <w:t xml:space="preserve">标准主要技术内容 </w:t>
      </w:r>
    </w:p>
    <w:p w14:paraId="09A2D6F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1、适用范围</w:t>
      </w:r>
    </w:p>
    <w:p w14:paraId="471DB56B">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本标准适用于防微振隔振器性能检测。</w:t>
      </w:r>
    </w:p>
    <w:p w14:paraId="59C5B518">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、有关条款的说明</w:t>
      </w:r>
    </w:p>
    <w:p w14:paraId="10C130CA">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 标题</w:t>
      </w:r>
    </w:p>
    <w:p w14:paraId="5E796B68">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标准中文名称：防微振隔振器性能检测规范；</w:t>
      </w:r>
    </w:p>
    <w:p w14:paraId="731A4D32">
      <w:pPr>
        <w:pStyle w:val="14"/>
        <w:keepNext w:val="0"/>
        <w:keepLines w:val="0"/>
        <w:pageBreakBefore w:val="0"/>
        <w:widowControl w:val="0"/>
        <w:kinsoku/>
        <w:wordWrap w:val="0"/>
        <w:overflowPunct/>
        <w:topLinePunct w:val="0"/>
        <w:autoSpaceDE/>
        <w:autoSpaceDN/>
        <w:bidi w:val="0"/>
        <w:adjustRightInd/>
        <w:snapToGrid/>
        <w:ind w:firstLine="560" w:firstLineChars="200"/>
        <w:jc w:val="left"/>
        <w:textAlignment w:val="bottom"/>
        <w:rPr>
          <w:rFonts w:hint="eastAsia" w:ascii="宋体" w:hAnsi="宋体"/>
          <w:color w:val="000000" w:themeColor="text1"/>
          <w:szCs w:val="28"/>
          <w14:textFill>
            <w14:solidFill>
              <w14:schemeClr w14:val="tx1"/>
            </w14:solidFill>
          </w14:textFill>
        </w:rPr>
      </w:pPr>
      <w:r>
        <w:rPr>
          <w:rFonts w:hint="eastAsia" w:ascii="宋体" w:hAnsi="宋体"/>
          <w:szCs w:val="28"/>
        </w:rPr>
        <w:t>英文翻译：</w:t>
      </w:r>
      <w:r>
        <w:rPr>
          <w:rFonts w:hint="eastAsia" w:ascii="宋体" w:hAnsi="宋体" w:cstheme="minorBidi"/>
          <w:kern w:val="2"/>
          <w:szCs w:val="28"/>
        </w:rPr>
        <w:t>Performance</w:t>
      </w:r>
      <w:r>
        <w:rPr>
          <w:rFonts w:hint="eastAsia" w:ascii="宋体" w:hAnsi="宋体" w:cstheme="minorBidi"/>
          <w:kern w:val="2"/>
          <w:szCs w:val="28"/>
          <w:lang w:val="en-US" w:eastAsia="zh-CN"/>
        </w:rPr>
        <w:t xml:space="preserve"> </w:t>
      </w:r>
      <w:r>
        <w:rPr>
          <w:rFonts w:hint="eastAsia" w:ascii="宋体" w:hAnsi="宋体" w:cstheme="minorBidi"/>
          <w:kern w:val="2"/>
          <w:szCs w:val="28"/>
        </w:rPr>
        <w:t>test specification for micro-vibration isolator。</w:t>
      </w:r>
    </w:p>
    <w:p w14:paraId="53105DE4">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（2）术语和定义</w:t>
      </w:r>
    </w:p>
    <w:p w14:paraId="35EECED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本章节对“</w:t>
      </w:r>
      <w:r>
        <w:rPr>
          <w:rFonts w:hint="eastAsia" w:ascii="宋体" w:hAnsi="宋体" w:eastAsia="宋体"/>
          <w:sz w:val="28"/>
          <w:szCs w:val="28"/>
          <w:lang w:val="en-US" w:eastAsia="zh-CN"/>
        </w:rPr>
        <w:t>微振动</w:t>
      </w:r>
      <w:r>
        <w:rPr>
          <w:rFonts w:hint="eastAsia" w:ascii="宋体" w:hAnsi="宋体" w:eastAsia="宋体"/>
          <w:sz w:val="28"/>
          <w:szCs w:val="28"/>
        </w:rPr>
        <w:t>”</w:t>
      </w:r>
      <w:r>
        <w:rPr>
          <w:rFonts w:hint="eastAsia" w:ascii="宋体" w:hAnsi="宋体" w:eastAsia="宋体"/>
          <w:sz w:val="28"/>
          <w:szCs w:val="28"/>
          <w:lang w:eastAsia="zh-CN"/>
        </w:rPr>
        <w:t>、“</w:t>
      </w:r>
      <w:r>
        <w:rPr>
          <w:rFonts w:hint="eastAsia" w:ascii="宋体" w:hAnsi="宋体" w:eastAsia="宋体"/>
          <w:sz w:val="28"/>
          <w:szCs w:val="28"/>
          <w:lang w:val="en-US" w:eastAsia="zh-CN"/>
        </w:rPr>
        <w:t>容许振动值</w:t>
      </w:r>
      <w:r>
        <w:rPr>
          <w:rFonts w:hint="eastAsia" w:ascii="宋体" w:hAnsi="宋体" w:eastAsia="宋体"/>
          <w:sz w:val="28"/>
          <w:szCs w:val="28"/>
          <w:lang w:eastAsia="zh-CN"/>
        </w:rPr>
        <w:t>”、“</w:t>
      </w:r>
      <w:r>
        <w:rPr>
          <w:rFonts w:hint="eastAsia" w:ascii="宋体" w:hAnsi="宋体" w:eastAsia="宋体"/>
          <w:sz w:val="28"/>
          <w:szCs w:val="28"/>
          <w:lang w:val="en-US" w:eastAsia="zh-CN"/>
        </w:rPr>
        <w:t>隔振器</w:t>
      </w:r>
      <w:r>
        <w:rPr>
          <w:rFonts w:hint="eastAsia" w:ascii="宋体" w:hAnsi="宋体" w:eastAsia="宋体"/>
          <w:sz w:val="28"/>
          <w:szCs w:val="28"/>
          <w:lang w:eastAsia="zh-CN"/>
        </w:rPr>
        <w:t>”、“</w:t>
      </w:r>
      <w:r>
        <w:rPr>
          <w:rFonts w:hint="eastAsia" w:ascii="宋体" w:hAnsi="宋体" w:eastAsia="宋体"/>
          <w:sz w:val="28"/>
          <w:szCs w:val="28"/>
          <w:lang w:val="en-US" w:eastAsia="zh-CN"/>
        </w:rPr>
        <w:t>零刚度传感器</w:t>
      </w:r>
      <w:r>
        <w:rPr>
          <w:rFonts w:hint="eastAsia" w:ascii="宋体" w:hAnsi="宋体" w:eastAsia="宋体"/>
          <w:sz w:val="28"/>
          <w:szCs w:val="28"/>
          <w:lang w:eastAsia="zh-CN"/>
        </w:rPr>
        <w:t>”、“</w:t>
      </w:r>
      <w:r>
        <w:rPr>
          <w:rFonts w:hint="eastAsia" w:ascii="宋体" w:hAnsi="宋体" w:eastAsia="宋体"/>
          <w:sz w:val="28"/>
          <w:szCs w:val="28"/>
          <w:lang w:val="en-US" w:eastAsia="zh-CN"/>
        </w:rPr>
        <w:t>信号发生器</w:t>
      </w:r>
      <w:r>
        <w:rPr>
          <w:rFonts w:hint="eastAsia" w:ascii="宋体" w:hAnsi="宋体" w:eastAsia="宋体"/>
          <w:sz w:val="28"/>
          <w:szCs w:val="28"/>
          <w:lang w:eastAsia="zh-CN"/>
        </w:rPr>
        <w:t>”、“</w:t>
      </w:r>
      <w:r>
        <w:rPr>
          <w:rFonts w:hint="eastAsia" w:ascii="宋体" w:hAnsi="宋体" w:eastAsia="宋体"/>
          <w:sz w:val="28"/>
          <w:szCs w:val="28"/>
          <w:lang w:val="en-US" w:eastAsia="zh-CN"/>
        </w:rPr>
        <w:t>检测点</w:t>
      </w:r>
      <w:r>
        <w:rPr>
          <w:rFonts w:hint="eastAsia" w:ascii="宋体" w:hAnsi="宋体" w:eastAsia="宋体"/>
          <w:sz w:val="28"/>
          <w:szCs w:val="28"/>
          <w:lang w:eastAsia="zh-CN"/>
        </w:rPr>
        <w:t>”</w:t>
      </w:r>
      <w:r>
        <w:rPr>
          <w:rFonts w:hint="eastAsia" w:ascii="宋体" w:hAnsi="宋体" w:eastAsia="宋体"/>
          <w:sz w:val="28"/>
          <w:szCs w:val="28"/>
        </w:rPr>
        <w:t>等术语进行了定义</w:t>
      </w:r>
      <w:r>
        <w:rPr>
          <w:rFonts w:ascii="宋体" w:hAnsi="宋体" w:eastAsia="宋体"/>
          <w:sz w:val="28"/>
          <w:szCs w:val="28"/>
        </w:rPr>
        <w:t>。</w:t>
      </w:r>
    </w:p>
    <w:p w14:paraId="242372AD">
      <w:pPr>
        <w:numPr>
          <w:ilvl w:val="0"/>
          <w:numId w:val="5"/>
        </w:num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主要内容</w:t>
      </w:r>
    </w:p>
    <w:p w14:paraId="7AE136E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 xml:space="preserve">第四章 </w:t>
      </w:r>
      <w:r>
        <w:rPr>
          <w:rFonts w:hint="eastAsia" w:ascii="宋体" w:hAnsi="宋体" w:eastAsia="宋体"/>
          <w:sz w:val="28"/>
          <w:szCs w:val="28"/>
          <w:lang w:val="en-US" w:eastAsia="zh-CN"/>
        </w:rPr>
        <w:t>产品分类</w:t>
      </w:r>
      <w:r>
        <w:rPr>
          <w:rFonts w:hint="eastAsia" w:ascii="宋体" w:hAnsi="宋体" w:eastAsia="宋体"/>
          <w:sz w:val="28"/>
          <w:szCs w:val="28"/>
        </w:rPr>
        <w:t>：本章节主要对防微振隔振器的</w:t>
      </w:r>
      <w:r>
        <w:rPr>
          <w:rFonts w:hint="eastAsia" w:ascii="宋体" w:hAnsi="宋体" w:eastAsia="宋体"/>
          <w:sz w:val="28"/>
          <w:szCs w:val="28"/>
          <w:lang w:val="en-US" w:eastAsia="zh-CN"/>
        </w:rPr>
        <w:t>产品分类进行了规定</w:t>
      </w:r>
      <w:r>
        <w:rPr>
          <w:rFonts w:hint="eastAsia" w:ascii="宋体" w:hAnsi="宋体" w:eastAsia="宋体" w:cs="Times New Roman"/>
          <w:sz w:val="28"/>
          <w:szCs w:val="28"/>
        </w:rPr>
        <w:t>。</w:t>
      </w:r>
    </w:p>
    <w:p w14:paraId="7C0ACF70">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第</w:t>
      </w:r>
      <w:bookmarkStart w:id="1" w:name="_Hlk80881849"/>
      <w:r>
        <w:rPr>
          <w:rFonts w:hint="eastAsia" w:ascii="宋体" w:hAnsi="宋体" w:eastAsia="宋体"/>
          <w:sz w:val="28"/>
          <w:szCs w:val="28"/>
        </w:rPr>
        <w:t xml:space="preserve">五章 </w:t>
      </w:r>
      <w:r>
        <w:rPr>
          <w:rFonts w:hint="eastAsia" w:ascii="宋体" w:hAnsi="宋体" w:eastAsia="宋体"/>
          <w:sz w:val="28"/>
          <w:szCs w:val="28"/>
          <w:lang w:val="en-US" w:eastAsia="zh-CN"/>
        </w:rPr>
        <w:t>基本要求</w:t>
      </w:r>
      <w:r>
        <w:rPr>
          <w:rFonts w:hint="eastAsia" w:ascii="宋体" w:hAnsi="宋体" w:eastAsia="宋体"/>
          <w:sz w:val="28"/>
          <w:szCs w:val="28"/>
        </w:rPr>
        <w:t>：本章节主要对防微振隔振器</w:t>
      </w:r>
      <w:r>
        <w:rPr>
          <w:rFonts w:hint="eastAsia" w:ascii="宋体" w:hAnsi="宋体" w:eastAsia="宋体"/>
          <w:sz w:val="28"/>
          <w:szCs w:val="28"/>
          <w:lang w:val="en-US" w:eastAsia="zh-CN"/>
        </w:rPr>
        <w:t>性能检测的基本要求进行了规定</w:t>
      </w:r>
      <w:r>
        <w:rPr>
          <w:rFonts w:hint="eastAsia" w:ascii="宋体" w:hAnsi="宋体" w:eastAsia="宋体"/>
          <w:sz w:val="28"/>
          <w:szCs w:val="28"/>
        </w:rPr>
        <w:t>。</w:t>
      </w:r>
    </w:p>
    <w:p w14:paraId="109892EC">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 xml:space="preserve">第六章 </w:t>
      </w:r>
      <w:r>
        <w:rPr>
          <w:rFonts w:hint="eastAsia" w:ascii="宋体" w:hAnsi="宋体" w:eastAsia="宋体"/>
          <w:sz w:val="28"/>
          <w:szCs w:val="28"/>
          <w:lang w:val="en-US" w:eastAsia="zh-CN"/>
        </w:rPr>
        <w:t>检测要求</w:t>
      </w:r>
      <w:r>
        <w:rPr>
          <w:rFonts w:hint="eastAsia" w:ascii="宋体" w:hAnsi="宋体" w:eastAsia="宋体"/>
          <w:sz w:val="28"/>
          <w:szCs w:val="28"/>
        </w:rPr>
        <w:t>：本章节主要对防微振隔振器</w:t>
      </w:r>
      <w:r>
        <w:rPr>
          <w:rFonts w:hint="eastAsia" w:ascii="宋体" w:hAnsi="宋体" w:eastAsia="宋体"/>
          <w:sz w:val="28"/>
          <w:szCs w:val="28"/>
          <w:lang w:val="en-US" w:eastAsia="zh-CN"/>
        </w:rPr>
        <w:t>性能检测的要求</w:t>
      </w:r>
      <w:r>
        <w:rPr>
          <w:rFonts w:hint="eastAsia" w:ascii="宋体" w:hAnsi="宋体" w:eastAsia="宋体"/>
          <w:sz w:val="28"/>
          <w:szCs w:val="28"/>
        </w:rPr>
        <w:t>进行了规定</w:t>
      </w:r>
      <w:r>
        <w:rPr>
          <w:rFonts w:hint="eastAsia" w:ascii="宋体" w:hAnsi="宋体" w:eastAsia="宋体"/>
          <w:sz w:val="28"/>
          <w:szCs w:val="28"/>
          <w:lang w:eastAsia="zh-CN"/>
        </w:rPr>
        <w:t>，</w:t>
      </w:r>
      <w:r>
        <w:rPr>
          <w:rFonts w:hint="eastAsia" w:ascii="宋体" w:hAnsi="宋体" w:eastAsia="宋体"/>
          <w:sz w:val="28"/>
          <w:szCs w:val="28"/>
          <w:lang w:val="en-US" w:eastAsia="zh-CN"/>
        </w:rPr>
        <w:t>包括一般要求、基本外形、尺寸偏差、安装、材料、环境适应性、振动、冲击和碰撞性能、静、动态性能、减振性能、防腐性、表面涂层</w:t>
      </w:r>
      <w:r>
        <w:rPr>
          <w:rFonts w:hint="eastAsia" w:ascii="宋体" w:hAnsi="宋体" w:eastAsia="宋体"/>
          <w:sz w:val="28"/>
          <w:szCs w:val="28"/>
        </w:rPr>
        <w:t>。</w:t>
      </w:r>
    </w:p>
    <w:bookmarkEnd w:id="1"/>
    <w:p w14:paraId="2D6ACD0D">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第七章：</w:t>
      </w:r>
      <w:r>
        <w:rPr>
          <w:rFonts w:hint="eastAsia" w:ascii="宋体" w:hAnsi="宋体" w:eastAsia="宋体"/>
          <w:sz w:val="28"/>
          <w:szCs w:val="28"/>
          <w:lang w:val="en-US" w:eastAsia="zh-CN"/>
        </w:rPr>
        <w:t>检验规则</w:t>
      </w:r>
      <w:r>
        <w:rPr>
          <w:rFonts w:hint="eastAsia" w:ascii="宋体" w:hAnsi="宋体" w:eastAsia="宋体"/>
          <w:sz w:val="28"/>
          <w:szCs w:val="28"/>
        </w:rPr>
        <w:t>：本章节</w:t>
      </w:r>
      <w:r>
        <w:rPr>
          <w:rFonts w:hint="eastAsia" w:ascii="宋体" w:hAnsi="宋体" w:eastAsia="宋体"/>
          <w:sz w:val="28"/>
          <w:szCs w:val="28"/>
          <w:lang w:eastAsia="zh-CN"/>
        </w:rPr>
        <w:t>主要对</w:t>
      </w:r>
      <w:r>
        <w:rPr>
          <w:rFonts w:hint="eastAsia" w:ascii="宋体" w:hAnsi="宋体" w:eastAsia="宋体"/>
          <w:sz w:val="28"/>
          <w:szCs w:val="28"/>
        </w:rPr>
        <w:t>防微振隔振器</w:t>
      </w:r>
      <w:r>
        <w:rPr>
          <w:rFonts w:hint="eastAsia" w:ascii="宋体" w:hAnsi="宋体" w:eastAsia="宋体"/>
          <w:sz w:val="28"/>
          <w:szCs w:val="28"/>
          <w:lang w:val="en-US" w:eastAsia="zh-CN"/>
        </w:rPr>
        <w:t>的检验规则</w:t>
      </w:r>
      <w:r>
        <w:rPr>
          <w:rFonts w:hint="eastAsia" w:ascii="宋体" w:hAnsi="宋体" w:eastAsia="宋体"/>
          <w:sz w:val="28"/>
          <w:szCs w:val="28"/>
        </w:rPr>
        <w:t>进行了规定。</w:t>
      </w:r>
    </w:p>
    <w:p w14:paraId="28DD3A46">
      <w:pPr>
        <w:numPr>
          <w:ilvl w:val="0"/>
          <w:numId w:val="4"/>
        </w:numPr>
        <w:spacing w:line="360" w:lineRule="auto"/>
        <w:jc w:val="left"/>
        <w:rPr>
          <w:rFonts w:hint="eastAsia" w:ascii="宋体" w:hAnsi="宋体" w:eastAsia="宋体"/>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37230259">
      <w:pPr>
        <w:topLinePunct/>
        <w:spacing w:line="360" w:lineRule="auto"/>
        <w:ind w:firstLine="560" w:firstLineChars="200"/>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结合国内外的行业测试和通过起草单位在</w:t>
      </w:r>
      <w:r>
        <w:rPr>
          <w:rFonts w:hint="eastAsia" w:ascii="宋体" w:hAnsi="宋体" w:eastAsia="宋体"/>
          <w:sz w:val="28"/>
          <w:szCs w:val="28"/>
        </w:rPr>
        <w:t>防微振隔振器的生产</w:t>
      </w:r>
      <w:r>
        <w:rPr>
          <w:rFonts w:hint="eastAsia" w:ascii="宋体" w:hAnsi="宋体" w:eastAsia="宋体"/>
          <w:sz w:val="28"/>
          <w:szCs w:val="28"/>
          <w:lang w:val="en-US" w:eastAsia="zh-CN"/>
        </w:rPr>
        <w:t>中出厂、型式等各项</w:t>
      </w:r>
      <w:r>
        <w:rPr>
          <w:rFonts w:hint="eastAsia" w:ascii="宋体" w:hAnsi="宋体" w:eastAsia="宋体"/>
          <w:color w:val="000000" w:themeColor="text1"/>
          <w:sz w:val="28"/>
          <w:szCs w:val="28"/>
          <w14:textFill>
            <w14:solidFill>
              <w14:schemeClr w14:val="tx1"/>
            </w14:solidFill>
          </w14:textFill>
        </w:rPr>
        <w:t>试验和检验所积累的大量数据，对标准内容进行了充分的验证。</w:t>
      </w:r>
    </w:p>
    <w:p w14:paraId="0C794921">
      <w:pPr>
        <w:numPr>
          <w:ilvl w:val="0"/>
          <w:numId w:val="4"/>
        </w:numPr>
        <w:spacing w:line="360" w:lineRule="auto"/>
        <w:jc w:val="left"/>
        <w:rPr>
          <w:rFonts w:hint="eastAsia" w:ascii="宋体" w:hAnsi="宋体" w:eastAsia="宋体"/>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1914358A">
      <w:pPr>
        <w:spacing w:line="360" w:lineRule="auto"/>
        <w:ind w:firstLine="560" w:firstLineChars="200"/>
        <w:jc w:val="left"/>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本标准不涉及专利。</w:t>
      </w:r>
    </w:p>
    <w:p w14:paraId="2559754D">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p>
    <w:p w14:paraId="5F160704">
      <w:pPr>
        <w:spacing w:line="360" w:lineRule="auto"/>
        <w:ind w:firstLine="560" w:firstLineChars="200"/>
        <w:rPr>
          <w:rFonts w:hint="eastAsia" w:ascii="宋体" w:hAnsi="宋体" w:eastAsia="宋体"/>
          <w:b/>
          <w:bCs/>
          <w:sz w:val="28"/>
          <w:szCs w:val="28"/>
        </w:rPr>
      </w:pPr>
      <w:r>
        <w:rPr>
          <w:rFonts w:hint="eastAsia" w:ascii="宋体" w:hAnsi="宋体" w:eastAsia="宋体"/>
          <w:color w:val="000000" w:themeColor="text1"/>
          <w:sz w:val="28"/>
          <w:szCs w:val="28"/>
          <w14:textFill>
            <w14:solidFill>
              <w14:schemeClr w14:val="tx1"/>
            </w14:solidFill>
          </w14:textFill>
        </w:rPr>
        <w:t>通过本项标准的制定和发布实施，将标准起草单位在该领域的核心技术以标准形式固化并加以实施，积极</w:t>
      </w:r>
      <w:r>
        <w:rPr>
          <w:rFonts w:hint="eastAsia" w:ascii="宋体" w:hAnsi="宋体" w:eastAsia="宋体"/>
          <w:color w:val="000000" w:themeColor="text1"/>
          <w:sz w:val="28"/>
          <w:szCs w:val="28"/>
          <w:lang w:val="en-US" w:eastAsia="zh-CN"/>
          <w14:textFill>
            <w14:solidFill>
              <w14:schemeClr w14:val="tx1"/>
            </w14:solidFill>
          </w14:textFill>
        </w:rPr>
        <w:t>提高</w:t>
      </w:r>
      <w:r>
        <w:rPr>
          <w:rFonts w:hint="eastAsia" w:ascii="宋体" w:hAnsi="宋体" w:eastAsia="宋体"/>
          <w:sz w:val="28"/>
          <w:szCs w:val="28"/>
        </w:rPr>
        <w:t>防微振隔振器</w:t>
      </w:r>
      <w:r>
        <w:rPr>
          <w:rFonts w:hint="eastAsia" w:ascii="宋体" w:hAnsi="宋体" w:eastAsia="宋体"/>
          <w:sz w:val="28"/>
          <w:szCs w:val="28"/>
          <w:lang w:val="en-US" w:eastAsia="zh-CN"/>
        </w:rPr>
        <w:t>性能检测水平，</w:t>
      </w:r>
      <w:r>
        <w:rPr>
          <w:rFonts w:hint="eastAsia" w:ascii="宋体" w:hAnsi="宋体" w:eastAsia="宋体"/>
          <w:color w:val="000000" w:themeColor="text1"/>
          <w:sz w:val="28"/>
          <w:szCs w:val="28"/>
          <w14:textFill>
            <w14:solidFill>
              <w14:schemeClr w14:val="tx1"/>
            </w14:solidFill>
          </w14:textFill>
        </w:rPr>
        <w:t>保障</w:t>
      </w:r>
      <w:r>
        <w:rPr>
          <w:rFonts w:hint="eastAsia" w:ascii="宋体" w:hAnsi="宋体" w:eastAsia="宋体"/>
          <w:sz w:val="28"/>
          <w:szCs w:val="28"/>
          <w:lang w:val="en-US" w:eastAsia="zh-CN"/>
        </w:rPr>
        <w:t>产品</w:t>
      </w:r>
      <w:r>
        <w:rPr>
          <w:rFonts w:hint="eastAsia" w:ascii="宋体" w:hAnsi="宋体" w:eastAsia="宋体"/>
          <w:color w:val="000000" w:themeColor="text1"/>
          <w:sz w:val="28"/>
          <w:szCs w:val="28"/>
          <w14:textFill>
            <w14:solidFill>
              <w14:schemeClr w14:val="tx1"/>
            </w14:solidFill>
          </w14:textFill>
        </w:rPr>
        <w:t>质量，并进一步促进生产技术发展，这将促进行业规模扩大，创造更多就业机会，同时将有助于推动整个行业的健康发展，提升行业整体水平。</w:t>
      </w:r>
    </w:p>
    <w:p w14:paraId="58EDE266">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在标准体系中的位置，与现行相关</w:t>
      </w:r>
      <w:r>
        <w:rPr>
          <w:rFonts w:hint="eastAsia" w:ascii="宋体" w:hAnsi="宋体" w:eastAsia="宋体"/>
          <w:b/>
          <w:bCs/>
          <w:sz w:val="28"/>
          <w:szCs w:val="28"/>
          <w:lang w:eastAsia="zh-CN"/>
        </w:rPr>
        <w:t>法律法规</w:t>
      </w:r>
      <w:r>
        <w:rPr>
          <w:rFonts w:hint="eastAsia" w:ascii="宋体" w:hAnsi="宋体" w:eastAsia="宋体"/>
          <w:b/>
          <w:bCs/>
          <w:sz w:val="28"/>
          <w:szCs w:val="28"/>
        </w:rPr>
        <w:t>、规章及相关标准，特别是强制性标准的协调性</w:t>
      </w:r>
    </w:p>
    <w:p w14:paraId="560534DB">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本标准符合国家相关法律法规、规章及相关标准，与强制性标准的协调一致。</w:t>
      </w:r>
    </w:p>
    <w:p w14:paraId="29536E99">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6925FAD6">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本标准在起草过程中无重大意见分歧。</w:t>
      </w:r>
    </w:p>
    <w:p w14:paraId="5FF6B117">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4AD573C3">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建议将本标准作为推荐性团体标准，供社会各界自愿使用。</w:t>
      </w:r>
    </w:p>
    <w:p w14:paraId="79C2BF16">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贯彻标准的要求和措施建议</w:t>
      </w:r>
    </w:p>
    <w:p w14:paraId="7B9A5E13">
      <w:pPr>
        <w:topLinePunct/>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本标准发布实施后，建议由标准主导起草单位有计划、有组织地开展标准的宣贯培训工作。通过举办培训班、宣贯会、研讨会等多种形式，广泛宣传本标准的地位和作用，确保标准中的有关规定得到准确理解、掌握和执行。</w:t>
      </w:r>
    </w:p>
    <w:p w14:paraId="6AE8BA9B">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2D3F6B70">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无。</w:t>
      </w:r>
    </w:p>
    <w:p w14:paraId="5F451718">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1B868991">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《防微振隔振器</w:t>
      </w:r>
      <w:r>
        <w:rPr>
          <w:rFonts w:hint="eastAsia" w:ascii="宋体" w:hAnsi="宋体" w:eastAsia="宋体"/>
          <w:sz w:val="28"/>
          <w:szCs w:val="28"/>
          <w:lang w:val="en-US" w:eastAsia="zh-CN"/>
        </w:rPr>
        <w:t>性能检测规范</w:t>
      </w:r>
      <w:r>
        <w:rPr>
          <w:rFonts w:hint="eastAsia" w:ascii="宋体" w:hAnsi="宋体" w:eastAsia="宋体"/>
          <w:sz w:val="28"/>
          <w:szCs w:val="28"/>
        </w:rPr>
        <w:t>》起草组</w:t>
      </w:r>
      <w:r>
        <w:rPr>
          <w:rFonts w:ascii="宋体" w:hAnsi="宋体" w:eastAsia="宋体"/>
          <w:sz w:val="28"/>
          <w:szCs w:val="28"/>
        </w:rPr>
        <w:t xml:space="preserve"> </w:t>
      </w:r>
    </w:p>
    <w:p w14:paraId="5488F83D">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二零二四</w:t>
      </w:r>
      <w:r>
        <w:rPr>
          <w:rFonts w:ascii="宋体" w:hAnsi="宋体" w:eastAsia="宋体"/>
          <w:sz w:val="28"/>
          <w:szCs w:val="28"/>
        </w:rPr>
        <w:t>年</w:t>
      </w:r>
      <w:r>
        <w:rPr>
          <w:rFonts w:hint="eastAsia" w:ascii="宋体" w:hAnsi="宋体" w:eastAsia="宋体"/>
          <w:sz w:val="28"/>
          <w:szCs w:val="28"/>
        </w:rPr>
        <w:t>十</w:t>
      </w:r>
      <w:r>
        <w:rPr>
          <w:rFonts w:hint="eastAsia" w:ascii="宋体" w:hAnsi="宋体" w:eastAsia="宋体"/>
          <w:sz w:val="28"/>
          <w:szCs w:val="28"/>
          <w:lang w:val="en-US" w:eastAsia="zh-CN"/>
        </w:rPr>
        <w:t>一</w:t>
      </w:r>
      <w:r>
        <w:rPr>
          <w:rFonts w:ascii="宋体" w:hAnsi="宋体" w:eastAsia="宋体"/>
          <w:sz w:val="28"/>
          <w:szCs w:val="28"/>
        </w:rPr>
        <w:t>月</w:t>
      </w:r>
    </w:p>
    <w:p w14:paraId="23DEE833">
      <w:pPr>
        <w:topLinePunct/>
        <w:spacing w:line="360" w:lineRule="auto"/>
        <w:ind w:firstLine="560" w:firstLineChars="200"/>
        <w:jc w:val="right"/>
        <w:rPr>
          <w:rFonts w:hint="eastAsia" w:ascii="宋体" w:hAnsi="宋体" w:eastAsia="宋体"/>
          <w:sz w:val="28"/>
          <w:szCs w:val="28"/>
        </w:rPr>
      </w:pPr>
      <w:bookmarkStart w:id="2" w:name="_GoBack"/>
      <w:bookmarkEnd w:id="2"/>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5859B"/>
    <w:multiLevelType w:val="singleLevel"/>
    <w:tmpl w:val="06C5859B"/>
    <w:lvl w:ilvl="0" w:tentative="0">
      <w:start w:val="2"/>
      <w:numFmt w:val="chineseCounting"/>
      <w:suff w:val="space"/>
      <w:lvlText w:val="（%1）"/>
      <w:lvlJc w:val="left"/>
      <w:rPr>
        <w:rFonts w:hint="eastAsia"/>
      </w:rPr>
    </w:lvl>
  </w:abstractNum>
  <w:abstractNum w:abstractNumId="1">
    <w:nsid w:val="3D7EE88E"/>
    <w:multiLevelType w:val="singleLevel"/>
    <w:tmpl w:val="3D7EE88E"/>
    <w:lvl w:ilvl="0" w:tentative="0">
      <w:start w:val="3"/>
      <w:numFmt w:val="decimal"/>
      <w:suff w:val="nothing"/>
      <w:lvlText w:val="（%1）"/>
      <w:lvlJc w:val="left"/>
    </w:lvl>
  </w:abstractNum>
  <w:abstractNum w:abstractNumId="2">
    <w:nsid w:val="585B7623"/>
    <w:multiLevelType w:val="singleLevel"/>
    <w:tmpl w:val="585B7623"/>
    <w:lvl w:ilvl="0" w:tentative="0">
      <w:start w:val="5"/>
      <w:numFmt w:val="decimal"/>
      <w:suff w:val="nothing"/>
      <w:lvlText w:val="%1、"/>
      <w:lvlJc w:val="left"/>
    </w:lvl>
  </w:abstractNum>
  <w:abstractNum w:abstractNumId="3">
    <w:nsid w:val="606D5677"/>
    <w:multiLevelType w:val="singleLevel"/>
    <w:tmpl w:val="606D5677"/>
    <w:lvl w:ilvl="0" w:tentative="0">
      <w:start w:val="2"/>
      <w:numFmt w:val="chineseCounting"/>
      <w:suff w:val="nothing"/>
      <w:lvlText w:val="（%1）"/>
      <w:lvlJc w:val="left"/>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
      <w:suff w:val="nothing"/>
      <w:lvlText w:val="%1%2　"/>
      <w:lvlJc w:val="left"/>
      <w:pPr>
        <w:ind w:left="0" w:firstLine="0"/>
      </w:pPr>
      <w:rPr>
        <w:rFonts w:hint="eastAsia" w:ascii="黑体" w:eastAsia="黑体"/>
        <w:b w:val="0"/>
        <w:i w:val="0"/>
        <w:sz w:val="21"/>
      </w:rPr>
    </w:lvl>
    <w:lvl w:ilvl="2" w:tentative="0">
      <w:start w:val="1"/>
      <w:numFmt w:val="decimal"/>
      <w:pStyle w:val="15"/>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HorizontalSpacing w:val="110"/>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4MzM4ZWM2YWJkMjFhM2M1YmVmNzk0ZDM4M2ExMWQ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279B"/>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6B46F7"/>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20CC"/>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67651EA"/>
    <w:rsid w:val="15AC3C0A"/>
    <w:rsid w:val="165F780A"/>
    <w:rsid w:val="1A1847DD"/>
    <w:rsid w:val="340477DB"/>
    <w:rsid w:val="47F1602C"/>
    <w:rsid w:val="54A43723"/>
    <w:rsid w:val="5E7128C8"/>
    <w:rsid w:val="60FD6929"/>
    <w:rsid w:val="639749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字符"/>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sz w:val="18"/>
      <w:szCs w:val="18"/>
    </w:rPr>
  </w:style>
  <w:style w:type="paragraph" w:customStyle="1" w:styleId="1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
    <w:name w:val="标准文件_一级条标题"/>
    <w:basedOn w:val="16"/>
    <w:next w:val="17"/>
    <w:qFormat/>
    <w:uiPriority w:val="0"/>
    <w:pPr>
      <w:numPr>
        <w:ilvl w:val="2"/>
      </w:numPr>
      <w:spacing w:before="50" w:beforeLines="50" w:after="50" w:afterLines="50"/>
      <w:outlineLvl w:val="1"/>
    </w:pPr>
  </w:style>
  <w:style w:type="paragraph" w:customStyle="1" w:styleId="16">
    <w:name w:val="标准文件_章标题"/>
    <w:next w:val="17"/>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6</Pages>
  <Words>2352</Words>
  <Characters>2395</Characters>
  <Lines>17</Lines>
  <Paragraphs>5</Paragraphs>
  <TotalTime>2</TotalTime>
  <ScaleCrop>false</ScaleCrop>
  <LinksUpToDate>false</LinksUpToDate>
  <CharactersWithSpaces>2419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阿北</cp:lastModifiedBy>
  <cp:lastPrinted>2022-05-11T05:51:00Z</cp:lastPrinted>
  <dcterms:modified xsi:type="dcterms:W3CDTF">2024-11-03T09:19:39Z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4E3C298A573245BDA04C402D746E1331_12</vt:lpwstr>
  </property>
</Properties>
</file>