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2D2A3"/>
    <w:p w14:paraId="70AA4479">
      <w:pPr>
        <w:jc w:val="center"/>
        <w:rPr>
          <w:rFonts w:ascii="方正大标宋简体" w:hAnsi="黑体" w:eastAsia="方正大标宋简体"/>
          <w:spacing w:val="-14"/>
          <w:sz w:val="28"/>
          <w:szCs w:val="36"/>
        </w:rPr>
      </w:pPr>
      <w:r>
        <w:rPr>
          <w:rFonts w:hint="eastAsia" w:ascii="方正大标宋简体" w:hAnsi="黑体" w:eastAsia="方正大标宋简体"/>
          <w:spacing w:val="-14"/>
          <w:sz w:val="28"/>
          <w:szCs w:val="36"/>
        </w:rPr>
        <w:t>《</w:t>
      </w:r>
      <w:r>
        <w:rPr>
          <w:rFonts w:hint="eastAsia" w:ascii="方正大标宋简体" w:hAnsi="黑体" w:eastAsia="方正大标宋简体"/>
          <w:spacing w:val="-14"/>
          <w:sz w:val="28"/>
          <w:szCs w:val="36"/>
          <w:lang w:eastAsia="zh-CN"/>
        </w:rPr>
        <w:t>电力金具行业 绿色工厂评价导则</w:t>
      </w:r>
      <w:r>
        <w:rPr>
          <w:rFonts w:hint="eastAsia" w:ascii="方正大标宋简体" w:hAnsi="黑体" w:eastAsia="方正大标宋简体"/>
          <w:spacing w:val="-14"/>
          <w:sz w:val="28"/>
          <w:szCs w:val="36"/>
        </w:rPr>
        <w:t>》团体标准</w:t>
      </w:r>
    </w:p>
    <w:p w14:paraId="4F11D69C">
      <w:pPr>
        <w:jc w:val="center"/>
        <w:rPr>
          <w:rFonts w:ascii="方正大标宋简体" w:hAnsi="黑体" w:eastAsia="方正大标宋简体"/>
          <w:sz w:val="28"/>
          <w:szCs w:val="36"/>
        </w:rPr>
      </w:pPr>
      <w:r>
        <w:rPr>
          <w:rFonts w:hint="eastAsia" w:ascii="方正大标宋简体" w:hAnsi="黑体" w:eastAsia="方正大标宋简体"/>
          <w:sz w:val="28"/>
          <w:szCs w:val="36"/>
        </w:rPr>
        <w:t>（征求意见稿）编制说明</w:t>
      </w:r>
    </w:p>
    <w:p w14:paraId="7A62F3DD">
      <w:pPr>
        <w:jc w:val="center"/>
        <w:rPr>
          <w:rFonts w:ascii="黑体" w:hAnsi="黑体" w:eastAsia="黑体"/>
          <w:sz w:val="36"/>
          <w:szCs w:val="36"/>
        </w:rPr>
      </w:pPr>
    </w:p>
    <w:p w14:paraId="41325348">
      <w:pPr>
        <w:ind w:firstLine="560" w:firstLineChars="200"/>
        <w:rPr>
          <w:rFonts w:ascii="黑体" w:hAnsi="黑体" w:eastAsia="黑体"/>
          <w:sz w:val="28"/>
          <w:szCs w:val="28"/>
        </w:rPr>
      </w:pPr>
      <w:r>
        <w:rPr>
          <w:rFonts w:hint="eastAsia" w:ascii="黑体" w:hAnsi="黑体" w:eastAsia="黑体"/>
          <w:sz w:val="28"/>
          <w:szCs w:val="28"/>
        </w:rPr>
        <w:t>一、任务来源，主要起草单位，参与起草单位</w:t>
      </w:r>
    </w:p>
    <w:p w14:paraId="4F84D72B">
      <w:pPr>
        <w:ind w:firstLine="480" w:firstLineChars="200"/>
        <w:rPr>
          <w:rFonts w:hint="eastAsia" w:ascii="华文宋体" w:hAnsi="华文宋体" w:eastAsia="华文宋体"/>
          <w:sz w:val="24"/>
          <w:szCs w:val="24"/>
          <w:highlight w:val="none"/>
        </w:rPr>
      </w:pPr>
      <w:bookmarkStart w:id="0" w:name="_Hlk529782780"/>
      <w:r>
        <w:rPr>
          <w:rFonts w:hint="eastAsia" w:ascii="华文宋体" w:hAnsi="华文宋体" w:eastAsia="华文宋体"/>
          <w:sz w:val="24"/>
          <w:szCs w:val="24"/>
          <w:highlight w:val="none"/>
        </w:rPr>
        <w:t>中国中小企业协会</w:t>
      </w:r>
      <w:bookmarkEnd w:id="0"/>
      <w:r>
        <w:rPr>
          <w:rFonts w:hint="eastAsia" w:ascii="华文宋体" w:hAnsi="华文宋体" w:eastAsia="华文宋体"/>
          <w:sz w:val="24"/>
          <w:szCs w:val="24"/>
          <w:highlight w:val="none"/>
        </w:rPr>
        <w:t>下达的</w:t>
      </w:r>
      <w:r>
        <w:rPr>
          <w:rFonts w:hint="eastAsia" w:ascii="华文宋体" w:hAnsi="华文宋体" w:eastAsia="华文宋体"/>
          <w:sz w:val="24"/>
          <w:szCs w:val="24"/>
          <w:highlight w:val="none"/>
          <w:lang w:val="en-US" w:eastAsia="zh-CN"/>
        </w:rPr>
        <w:t>2024</w:t>
      </w:r>
      <w:r>
        <w:rPr>
          <w:rFonts w:hint="eastAsia" w:ascii="华文宋体" w:hAnsi="华文宋体" w:eastAsia="华文宋体"/>
          <w:sz w:val="24"/>
          <w:szCs w:val="24"/>
          <w:highlight w:val="none"/>
        </w:rPr>
        <w:t>年团体标准修订编制计划，将《</w:t>
      </w:r>
      <w:r>
        <w:rPr>
          <w:rFonts w:hint="eastAsia" w:ascii="华文宋体" w:hAnsi="华文宋体" w:eastAsia="华文宋体"/>
          <w:sz w:val="24"/>
          <w:szCs w:val="24"/>
          <w:highlight w:val="none"/>
          <w:lang w:eastAsia="zh-CN"/>
        </w:rPr>
        <w:t>电力金具行业 绿色工厂评价导则</w:t>
      </w:r>
      <w:r>
        <w:rPr>
          <w:rFonts w:hint="eastAsia" w:ascii="华文宋体" w:hAnsi="华文宋体" w:eastAsia="华文宋体"/>
          <w:sz w:val="24"/>
          <w:szCs w:val="24"/>
          <w:highlight w:val="none"/>
        </w:rPr>
        <w:t>》列为标准编制项目，并于</w:t>
      </w:r>
      <w:r>
        <w:rPr>
          <w:rFonts w:hint="eastAsia" w:ascii="华文宋体" w:hAnsi="华文宋体" w:eastAsia="华文宋体"/>
          <w:sz w:val="24"/>
          <w:szCs w:val="24"/>
          <w:highlight w:val="none"/>
          <w:lang w:val="en-US" w:eastAsia="zh-CN"/>
        </w:rPr>
        <w:t>2024</w:t>
      </w:r>
      <w:r>
        <w:rPr>
          <w:rFonts w:hint="eastAsia" w:ascii="华文宋体" w:hAnsi="华文宋体" w:eastAsia="华文宋体"/>
          <w:sz w:val="24"/>
          <w:szCs w:val="24"/>
          <w:highlight w:val="none"/>
        </w:rPr>
        <w:t>年</w:t>
      </w:r>
      <w:r>
        <w:rPr>
          <w:rFonts w:hint="eastAsia" w:ascii="华文宋体" w:hAnsi="华文宋体" w:eastAsia="华文宋体"/>
          <w:sz w:val="24"/>
          <w:szCs w:val="24"/>
          <w:highlight w:val="none"/>
          <w:lang w:val="en-US" w:eastAsia="zh-CN"/>
        </w:rPr>
        <w:t>11</w:t>
      </w:r>
      <w:r>
        <w:rPr>
          <w:rFonts w:hint="eastAsia" w:ascii="华文宋体" w:hAnsi="华文宋体" w:eastAsia="华文宋体"/>
          <w:sz w:val="24"/>
          <w:szCs w:val="24"/>
          <w:highlight w:val="none"/>
        </w:rPr>
        <w:t>月</w:t>
      </w:r>
      <w:r>
        <w:rPr>
          <w:rFonts w:hint="eastAsia" w:ascii="华文宋体" w:hAnsi="华文宋体" w:eastAsia="华文宋体"/>
          <w:sz w:val="24"/>
          <w:szCs w:val="24"/>
          <w:highlight w:val="none"/>
          <w:lang w:val="en-US" w:eastAsia="zh-CN"/>
        </w:rPr>
        <w:t>08</w:t>
      </w:r>
      <w:r>
        <w:rPr>
          <w:rFonts w:hint="eastAsia" w:ascii="华文宋体" w:hAnsi="华文宋体" w:eastAsia="华文宋体"/>
          <w:sz w:val="24"/>
          <w:szCs w:val="24"/>
          <w:highlight w:val="none"/>
        </w:rPr>
        <w:t>日在全国团体标准信息平台上进行了立项公告。</w:t>
      </w:r>
    </w:p>
    <w:p w14:paraId="105490F3">
      <w:pPr>
        <w:ind w:firstLine="480" w:firstLineChars="200"/>
        <w:rPr>
          <w:rFonts w:hint="eastAsia" w:ascii="华文宋体" w:hAnsi="华文宋体" w:eastAsia="华文宋体"/>
          <w:sz w:val="24"/>
          <w:szCs w:val="24"/>
          <w:highlight w:val="none"/>
        </w:rPr>
      </w:pPr>
      <w:r>
        <w:rPr>
          <w:rFonts w:hint="eastAsia" w:ascii="华文宋体" w:hAnsi="华文宋体" w:eastAsia="华文宋体"/>
          <w:sz w:val="24"/>
          <w:szCs w:val="24"/>
          <w:highlight w:val="none"/>
        </w:rPr>
        <w:t>责任单位、起草单位为</w:t>
      </w:r>
      <w:bookmarkStart w:id="1" w:name="_GoBack"/>
      <w:bookmarkEnd w:id="1"/>
      <w:r>
        <w:rPr>
          <w:rFonts w:hint="eastAsia" w:ascii="华文宋体" w:hAnsi="华文宋体" w:eastAsia="华文宋体"/>
          <w:sz w:val="24"/>
          <w:szCs w:val="24"/>
          <w:highlight w:val="none"/>
        </w:rPr>
        <w:t>北京国标东方标准技术院</w:t>
      </w:r>
      <w:r>
        <w:rPr>
          <w:rFonts w:hint="eastAsia" w:ascii="华文宋体" w:hAnsi="华文宋体" w:eastAsia="华文宋体"/>
          <w:sz w:val="24"/>
          <w:szCs w:val="24"/>
          <w:highlight w:val="none"/>
          <w:lang w:eastAsia="zh-CN"/>
        </w:rPr>
        <w:t>，</w:t>
      </w:r>
      <w:r>
        <w:rPr>
          <w:rFonts w:hint="eastAsia" w:ascii="华文宋体" w:hAnsi="华文宋体" w:eastAsia="华文宋体"/>
          <w:sz w:val="24"/>
          <w:szCs w:val="24"/>
          <w:highlight w:val="none"/>
        </w:rPr>
        <w:t>参与起草单位澳希电力金具有限公司</w:t>
      </w:r>
      <w:r>
        <w:rPr>
          <w:rFonts w:hint="eastAsia" w:ascii="华文宋体" w:hAnsi="华文宋体" w:eastAsia="华文宋体"/>
          <w:sz w:val="24"/>
          <w:szCs w:val="24"/>
          <w:highlight w:val="none"/>
          <w:lang w:eastAsia="zh-CN"/>
        </w:rPr>
        <w:t>、</w:t>
      </w:r>
      <w:r>
        <w:rPr>
          <w:rFonts w:hint="eastAsia" w:ascii="华文宋体" w:hAnsi="华文宋体" w:eastAsia="华文宋体"/>
          <w:sz w:val="24"/>
          <w:szCs w:val="24"/>
          <w:highlight w:val="none"/>
        </w:rPr>
        <w:t>江苏畅源电气设备有限公司</w:t>
      </w:r>
      <w:r>
        <w:rPr>
          <w:rFonts w:hint="eastAsia" w:ascii="华文宋体" w:hAnsi="华文宋体" w:eastAsia="华文宋体"/>
          <w:sz w:val="24"/>
          <w:szCs w:val="24"/>
          <w:highlight w:val="none"/>
          <w:lang w:eastAsia="zh-CN"/>
        </w:rPr>
        <w:t>、火炬电气集团有限公司、山东鲁强电缆(集团)股份有限公司</w:t>
      </w:r>
      <w:r>
        <w:rPr>
          <w:rFonts w:hint="eastAsia" w:ascii="华文宋体" w:hAnsi="华文宋体" w:eastAsia="华文宋体"/>
          <w:sz w:val="24"/>
          <w:szCs w:val="24"/>
          <w:highlight w:val="none"/>
          <w:lang w:val="en-US" w:eastAsia="zh-CN"/>
        </w:rPr>
        <w:t>等</w:t>
      </w:r>
      <w:r>
        <w:rPr>
          <w:rFonts w:hint="eastAsia" w:ascii="华文宋体" w:hAnsi="华文宋体" w:eastAsia="华文宋体"/>
          <w:sz w:val="24"/>
          <w:szCs w:val="24"/>
          <w:highlight w:val="none"/>
        </w:rPr>
        <w:t>。</w:t>
      </w:r>
    </w:p>
    <w:p w14:paraId="45170ADC">
      <w:pPr>
        <w:ind w:firstLine="560" w:firstLineChars="200"/>
        <w:rPr>
          <w:rFonts w:ascii="黑体" w:hAnsi="黑体" w:eastAsia="黑体"/>
          <w:sz w:val="28"/>
          <w:szCs w:val="28"/>
        </w:rPr>
      </w:pPr>
      <w:r>
        <w:rPr>
          <w:rFonts w:hint="eastAsia" w:ascii="黑体" w:hAnsi="黑体" w:eastAsia="黑体"/>
          <w:sz w:val="28"/>
          <w:szCs w:val="28"/>
        </w:rPr>
        <w:t>二、制定标准的必要性和意义</w:t>
      </w:r>
    </w:p>
    <w:p w14:paraId="7B7F934B">
      <w:pPr>
        <w:ind w:firstLine="482" w:firstLineChars="200"/>
        <w:rPr>
          <w:rFonts w:ascii="华文宋体" w:hAnsi="华文宋体" w:eastAsia="华文宋体"/>
          <w:b/>
          <w:sz w:val="24"/>
          <w:szCs w:val="24"/>
        </w:rPr>
      </w:pPr>
      <w:r>
        <w:rPr>
          <w:rFonts w:ascii="华文宋体" w:hAnsi="华文宋体" w:eastAsia="华文宋体"/>
          <w:b/>
          <w:sz w:val="24"/>
          <w:szCs w:val="24"/>
        </w:rPr>
        <w:t>1、项目必要性</w:t>
      </w:r>
    </w:p>
    <w:p w14:paraId="357D1B2E">
      <w:pPr>
        <w:ind w:firstLine="480" w:firstLineChars="200"/>
        <w:rPr>
          <w:rFonts w:hint="eastAsia" w:ascii="华文宋体" w:hAnsi="华文宋体" w:eastAsia="华文宋体"/>
          <w:sz w:val="24"/>
          <w:szCs w:val="24"/>
          <w:lang w:val="en-US" w:eastAsia="zh-CN"/>
        </w:rPr>
      </w:pPr>
      <w:r>
        <w:rPr>
          <w:rFonts w:hint="eastAsia" w:ascii="华文宋体" w:hAnsi="华文宋体" w:eastAsia="华文宋体"/>
          <w:sz w:val="24"/>
          <w:szCs w:val="24"/>
          <w:lang w:val="en-US" w:eastAsia="zh-CN"/>
        </w:rPr>
        <w:t>2024年1月，工信部新印发实施《绿色工厂梯度培育及管理暂行办法》，该办法指出，要加快构建绿色制造和服务体系，发挥绿色工厂在制造业绿色低碳转型中的基础性和导向性作用，加快形成规范化、长效化培育机制，打造绿色制造领军力量。</w:t>
      </w:r>
    </w:p>
    <w:p w14:paraId="55426C4C">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目前</w:t>
      </w:r>
      <w:r>
        <w:rPr>
          <w:rFonts w:hint="eastAsia" w:ascii="华文宋体" w:hAnsi="华文宋体" w:eastAsia="华文宋体"/>
          <w:sz w:val="24"/>
          <w:szCs w:val="24"/>
        </w:rPr>
        <w:t>国家大力推动绿色发展，强调实现经济的可持续增长和环境保护的协同共进。工业领域是能源消耗和环境污染的重要来源，电力金具行业作为工业的一部分，制定绿色工厂评价导则是响应国家绿色发展战略的具体举措。这有助于行业整体向绿色低碳转型，为国家实现碳达峰碳中和目标做出贡献。</w:t>
      </w:r>
    </w:p>
    <w:p w14:paraId="67EFDD55">
      <w:pPr>
        <w:ind w:firstLine="482" w:firstLineChars="200"/>
        <w:rPr>
          <w:rFonts w:ascii="华文宋体" w:hAnsi="华文宋体" w:eastAsia="华文宋体"/>
          <w:b/>
          <w:sz w:val="24"/>
          <w:szCs w:val="24"/>
        </w:rPr>
      </w:pPr>
      <w:r>
        <w:rPr>
          <w:rFonts w:ascii="华文宋体" w:hAnsi="华文宋体" w:eastAsia="华文宋体"/>
          <w:b/>
          <w:sz w:val="24"/>
          <w:szCs w:val="24"/>
        </w:rPr>
        <w:t>2、项目意义</w:t>
      </w:r>
    </w:p>
    <w:p w14:paraId="41028237">
      <w:pPr>
        <w:ind w:firstLine="480" w:firstLineChars="200"/>
        <w:rPr>
          <w:rFonts w:hint="eastAsia" w:ascii="华文宋体" w:hAnsi="华文宋体" w:eastAsia="华文宋体"/>
          <w:sz w:val="24"/>
          <w:szCs w:val="24"/>
          <w:lang w:eastAsia="zh-CN"/>
        </w:rPr>
      </w:pPr>
      <w:r>
        <w:rPr>
          <w:rFonts w:hint="eastAsia" w:ascii="华文宋体" w:hAnsi="华文宋体" w:eastAsia="华文宋体"/>
          <w:sz w:val="24"/>
          <w:szCs w:val="24"/>
        </w:rPr>
        <w:t>团体标准《电力金具行业 绿色工厂评价导则》</w:t>
      </w:r>
      <w:r>
        <w:rPr>
          <w:rFonts w:hint="eastAsia" w:ascii="华文宋体" w:hAnsi="华文宋体" w:eastAsia="华文宋体"/>
          <w:sz w:val="24"/>
          <w:szCs w:val="24"/>
          <w:lang w:val="en-US" w:eastAsia="zh-CN"/>
        </w:rPr>
        <w:t>的制定</w:t>
      </w:r>
      <w:r>
        <w:rPr>
          <w:rFonts w:hint="eastAsia" w:ascii="华文宋体" w:hAnsi="华文宋体" w:eastAsia="华文宋体"/>
          <w:sz w:val="24"/>
          <w:szCs w:val="24"/>
        </w:rPr>
        <w:t>具有多方面的重大意义。它为企业的绿色转型提供了明确的方向和规范，促使企业在用地集约化、原料无害化、生产洁净化、废物资源化和能源低碳化等方面积极作为。对于行业，该标准有助于推动产业升级，提升整体竞争力，树立绿色发展标杆，促进产业链协同进步。从社会和环境层面看，它有力地促进了可持续发展，减少资源消耗和环境污染，推动经济绿色转型，创造绿色就业机会，增强公众环保意识，营造全社会共同参与环保的良好氛围，为建设美丽家园、实现人类可持续发展的宏伟目标贡献力量。</w:t>
      </w:r>
    </w:p>
    <w:p w14:paraId="56CD69A4">
      <w:pPr>
        <w:ind w:firstLine="482" w:firstLineChars="200"/>
        <w:rPr>
          <w:rFonts w:ascii="华文宋体" w:hAnsi="华文宋体" w:eastAsia="华文宋体"/>
          <w:b/>
          <w:sz w:val="24"/>
          <w:szCs w:val="24"/>
        </w:rPr>
      </w:pPr>
      <w:r>
        <w:rPr>
          <w:rFonts w:ascii="华文宋体" w:hAnsi="华文宋体" w:eastAsia="华文宋体"/>
          <w:b/>
          <w:sz w:val="24"/>
          <w:szCs w:val="24"/>
        </w:rPr>
        <w:t>3、应用前景</w:t>
      </w:r>
    </w:p>
    <w:p w14:paraId="442DC93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团体标准《电力金具行业 绿色工厂评价导则》具有广阔的应用前景。对于企业来说，它能引导企业进行绿色转型升级，促使企业不断优化生产流程、提高能源利用效率、加强资源回收利用，降低生产运营成本，增强企业在市场中的竞争力；同时，符合该标准的企业更容易获得政府的政策支持与资金奖励，如税收优惠、绿色信贷等，为企业发展提供有力的经济保障。从行业角度看，该导则为行业建立了统一的绿色评价标准，规范了行业内企业的生产行为，有助于避免无序竞争，推动行业整体向绿色、低碳、可持续方向发展，激发行业的创新活力，促使企业加大对绿色技术和设备的研发投入，提高行业的技术水平和生产效率。在社会和环境层面，《绿色工厂评价导则》的应用有助于减少能源消耗和污染物排放，缓解资源短缺和环境压力，推动全社会的可持续发展；并且能引导消费者关注绿色产品，提高公众的环保意识，形成良好的社会氛围。总之，《电力金具行业 绿色工厂评价导则》在企业发展、行业进步、社会与环境可持续等方面都具有重要的推动作用，未来将得到广泛的应用和推广。</w:t>
      </w:r>
    </w:p>
    <w:p w14:paraId="7020BB14">
      <w:pPr>
        <w:ind w:firstLine="560" w:firstLineChars="200"/>
        <w:rPr>
          <w:rFonts w:ascii="黑体" w:hAnsi="黑体" w:eastAsia="黑体"/>
          <w:b w:val="0"/>
          <w:bCs w:val="0"/>
          <w:sz w:val="28"/>
          <w:szCs w:val="28"/>
          <w:highlight w:val="none"/>
        </w:rPr>
      </w:pPr>
      <w:r>
        <w:rPr>
          <w:rFonts w:hint="eastAsia" w:ascii="黑体" w:hAnsi="黑体" w:eastAsia="黑体"/>
          <w:b w:val="0"/>
          <w:bCs w:val="0"/>
          <w:sz w:val="28"/>
          <w:szCs w:val="28"/>
          <w:highlight w:val="none"/>
        </w:rPr>
        <w:t>三、主要工作过程</w:t>
      </w:r>
    </w:p>
    <w:p w14:paraId="1BDEE194">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（一）前期研究工作</w:t>
      </w:r>
    </w:p>
    <w:p w14:paraId="45F92ECA">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起草单位通过</w:t>
      </w:r>
      <w:r>
        <w:rPr>
          <w:rFonts w:hint="eastAsia" w:ascii="华文宋体" w:hAnsi="华文宋体" w:eastAsia="华文宋体"/>
          <w:sz w:val="24"/>
          <w:szCs w:val="24"/>
        </w:rPr>
        <w:t>系统收集、整理电力金具行业</w:t>
      </w:r>
      <w:r>
        <w:rPr>
          <w:rFonts w:hint="eastAsia" w:ascii="华文宋体" w:hAnsi="华文宋体" w:eastAsia="华文宋体"/>
          <w:sz w:val="24"/>
          <w:szCs w:val="24"/>
          <w:lang w:val="en-US" w:eastAsia="zh-CN"/>
        </w:rPr>
        <w:t xml:space="preserve">行业 </w:t>
      </w:r>
      <w:r>
        <w:rPr>
          <w:rFonts w:hint="eastAsia" w:ascii="华文宋体" w:hAnsi="华文宋体" w:eastAsia="华文宋体"/>
          <w:sz w:val="24"/>
          <w:szCs w:val="24"/>
        </w:rPr>
        <w:t>绿色工厂评价</w:t>
      </w:r>
      <w:r>
        <w:rPr>
          <w:rFonts w:hint="eastAsia" w:ascii="华文宋体" w:hAnsi="华文宋体" w:eastAsia="华文宋体"/>
          <w:sz w:val="24"/>
          <w:szCs w:val="24"/>
          <w:lang w:val="en-US" w:eastAsia="zh-CN"/>
        </w:rPr>
        <w:t>的</w:t>
      </w:r>
      <w:r>
        <w:rPr>
          <w:rFonts w:hint="eastAsia" w:ascii="华文宋体" w:hAnsi="华文宋体" w:eastAsia="华文宋体"/>
          <w:sz w:val="24"/>
          <w:szCs w:val="24"/>
        </w:rPr>
        <w:t>相关标准、法规等材料，进一步了解</w:t>
      </w:r>
      <w:r>
        <w:rPr>
          <w:rFonts w:hint="eastAsia" w:ascii="华文宋体" w:hAnsi="华文宋体" w:eastAsia="华文宋体"/>
          <w:sz w:val="24"/>
          <w:szCs w:val="24"/>
          <w:lang w:val="en-US" w:eastAsia="zh-CN"/>
        </w:rPr>
        <w:t>国家</w:t>
      </w:r>
      <w:r>
        <w:rPr>
          <w:rFonts w:hint="eastAsia" w:ascii="华文宋体" w:hAnsi="华文宋体" w:eastAsia="华文宋体"/>
          <w:sz w:val="24"/>
          <w:szCs w:val="24"/>
        </w:rPr>
        <w:t>对电力金具行业</w:t>
      </w:r>
      <w:r>
        <w:rPr>
          <w:rFonts w:hint="eastAsia" w:ascii="华文宋体" w:hAnsi="华文宋体" w:eastAsia="华文宋体"/>
          <w:sz w:val="24"/>
          <w:szCs w:val="24"/>
          <w:lang w:val="en-US" w:eastAsia="zh-CN"/>
        </w:rPr>
        <w:t>行业</w:t>
      </w:r>
      <w:r>
        <w:rPr>
          <w:rFonts w:hint="eastAsia" w:ascii="华文宋体" w:hAnsi="华文宋体" w:eastAsia="华文宋体"/>
          <w:sz w:val="24"/>
          <w:szCs w:val="24"/>
        </w:rPr>
        <w:t>绿色工厂评价</w:t>
      </w:r>
      <w:r>
        <w:rPr>
          <w:rFonts w:hint="eastAsia" w:ascii="华文宋体" w:hAnsi="华文宋体" w:eastAsia="华文宋体"/>
          <w:sz w:val="24"/>
          <w:szCs w:val="24"/>
          <w:lang w:val="en-US" w:eastAsia="zh-CN"/>
        </w:rPr>
        <w:t>的</w:t>
      </w:r>
      <w:r>
        <w:rPr>
          <w:rFonts w:hint="eastAsia" w:ascii="华文宋体" w:hAnsi="华文宋体" w:eastAsia="华文宋体"/>
          <w:sz w:val="24"/>
          <w:szCs w:val="24"/>
        </w:rPr>
        <w:t>发展规划和政策，分析近几年电力金具行业</w:t>
      </w:r>
      <w:r>
        <w:rPr>
          <w:rFonts w:hint="eastAsia" w:ascii="华文宋体" w:hAnsi="华文宋体" w:eastAsia="华文宋体"/>
          <w:sz w:val="24"/>
          <w:szCs w:val="24"/>
          <w:lang w:val="en-US" w:eastAsia="zh-CN"/>
        </w:rPr>
        <w:t>行业</w:t>
      </w:r>
      <w:r>
        <w:rPr>
          <w:rFonts w:hint="eastAsia" w:ascii="华文宋体" w:hAnsi="华文宋体" w:eastAsia="华文宋体"/>
          <w:sz w:val="24"/>
          <w:szCs w:val="24"/>
        </w:rPr>
        <w:t>绿色工厂发展现状。</w:t>
      </w:r>
    </w:p>
    <w:p w14:paraId="550D326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起草单位</w:t>
      </w:r>
      <w:r>
        <w:rPr>
          <w:rFonts w:hint="eastAsia" w:ascii="华文宋体" w:hAnsi="华文宋体" w:eastAsia="华文宋体"/>
          <w:sz w:val="24"/>
          <w:szCs w:val="24"/>
        </w:rPr>
        <w:t>深入电力金具生产企业</w:t>
      </w:r>
      <w:r>
        <w:rPr>
          <w:rFonts w:hint="eastAsia" w:ascii="华文宋体" w:hAnsi="华文宋体" w:eastAsia="华文宋体"/>
          <w:sz w:val="24"/>
          <w:szCs w:val="24"/>
          <w:lang w:val="en-US" w:eastAsia="zh-CN"/>
        </w:rPr>
        <w:t>进行</w:t>
      </w:r>
      <w:r>
        <w:rPr>
          <w:rFonts w:hint="eastAsia" w:ascii="华文宋体" w:hAnsi="华文宋体" w:eastAsia="华文宋体"/>
          <w:sz w:val="24"/>
          <w:szCs w:val="24"/>
        </w:rPr>
        <w:t>实地调研，召开研讨会，积极推进电力金具行业</w:t>
      </w:r>
      <w:r>
        <w:rPr>
          <w:rFonts w:hint="eastAsia" w:ascii="华文宋体" w:hAnsi="华文宋体" w:eastAsia="华文宋体"/>
          <w:sz w:val="24"/>
          <w:szCs w:val="24"/>
          <w:lang w:val="en-US" w:eastAsia="zh-CN"/>
        </w:rPr>
        <w:t>的</w:t>
      </w:r>
      <w:r>
        <w:rPr>
          <w:rFonts w:hint="eastAsia" w:ascii="华文宋体" w:hAnsi="华文宋体" w:eastAsia="华文宋体"/>
          <w:sz w:val="24"/>
          <w:szCs w:val="24"/>
        </w:rPr>
        <w:t>绿色工厂</w:t>
      </w:r>
      <w:r>
        <w:rPr>
          <w:rFonts w:hint="eastAsia" w:ascii="华文宋体" w:hAnsi="华文宋体" w:eastAsia="华文宋体"/>
          <w:sz w:val="24"/>
          <w:szCs w:val="24"/>
          <w:lang w:val="en-US" w:eastAsia="zh-CN"/>
        </w:rPr>
        <w:t>评价。</w:t>
      </w:r>
    </w:p>
    <w:p w14:paraId="018E0FE9">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以上前期研究工作为本标准的制订提供了大量、</w:t>
      </w:r>
      <w:r>
        <w:rPr>
          <w:rFonts w:hint="eastAsia" w:ascii="华文宋体" w:hAnsi="华文宋体" w:eastAsia="华文宋体"/>
          <w:sz w:val="24"/>
          <w:szCs w:val="24"/>
          <w:lang w:val="en-US" w:eastAsia="zh-CN"/>
        </w:rPr>
        <w:t>详</w:t>
      </w:r>
      <w:r>
        <w:rPr>
          <w:rFonts w:hint="eastAsia" w:ascii="华文宋体" w:hAnsi="华文宋体" w:eastAsia="华文宋体"/>
          <w:sz w:val="24"/>
          <w:szCs w:val="24"/>
        </w:rPr>
        <w:t>实的</w:t>
      </w:r>
      <w:r>
        <w:rPr>
          <w:rFonts w:hint="eastAsia" w:ascii="华文宋体" w:hAnsi="华文宋体" w:eastAsia="华文宋体"/>
          <w:sz w:val="24"/>
          <w:szCs w:val="24"/>
          <w:lang w:val="en-US" w:eastAsia="zh-CN"/>
        </w:rPr>
        <w:t>资料</w:t>
      </w:r>
      <w:r>
        <w:rPr>
          <w:rFonts w:hint="eastAsia" w:ascii="华文宋体" w:hAnsi="华文宋体" w:eastAsia="华文宋体"/>
          <w:sz w:val="24"/>
          <w:szCs w:val="24"/>
        </w:rPr>
        <w:t>和经验。</w:t>
      </w:r>
    </w:p>
    <w:p w14:paraId="43C916F4">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（二）成立标准编制工作组</w:t>
      </w:r>
    </w:p>
    <w:p w14:paraId="43537645">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2024</w:t>
      </w:r>
      <w:r>
        <w:rPr>
          <w:rFonts w:hint="eastAsia" w:ascii="华文宋体" w:hAnsi="华文宋体" w:eastAsia="华文宋体"/>
          <w:sz w:val="24"/>
          <w:szCs w:val="24"/>
        </w:rPr>
        <w:t>年</w:t>
      </w:r>
      <w:r>
        <w:rPr>
          <w:rFonts w:hint="eastAsia" w:ascii="华文宋体" w:hAnsi="华文宋体" w:eastAsia="华文宋体"/>
          <w:sz w:val="24"/>
          <w:szCs w:val="24"/>
          <w:lang w:val="en-US" w:eastAsia="zh-CN"/>
        </w:rPr>
        <w:t>11</w:t>
      </w:r>
      <w:r>
        <w:rPr>
          <w:rFonts w:hint="eastAsia" w:ascii="华文宋体" w:hAnsi="华文宋体" w:eastAsia="华文宋体"/>
          <w:sz w:val="24"/>
          <w:szCs w:val="24"/>
        </w:rPr>
        <w:t>月，中国中小企业协会标准制定任务下达后，北京国标东方标准技术院</w:t>
      </w:r>
      <w:r>
        <w:rPr>
          <w:rFonts w:hint="eastAsia" w:ascii="华文宋体" w:hAnsi="华文宋体" w:eastAsia="华文宋体"/>
          <w:sz w:val="24"/>
          <w:szCs w:val="24"/>
          <w:lang w:val="en-US" w:eastAsia="zh-CN"/>
        </w:rPr>
        <w:t>、</w:t>
      </w:r>
      <w:r>
        <w:rPr>
          <w:rFonts w:hint="eastAsia" w:ascii="华文宋体" w:hAnsi="华文宋体" w:eastAsia="华文宋体"/>
          <w:sz w:val="24"/>
          <w:szCs w:val="24"/>
        </w:rPr>
        <w:t>兴泰中研（北京）标准技术研究有限公司成立了标准编制工作组，制订了编制工作方案，并就标准研制进行了任务分工。</w:t>
      </w:r>
    </w:p>
    <w:p w14:paraId="7E4899FC">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（三）调研、形成征求意见稿</w:t>
      </w:r>
    </w:p>
    <w:p w14:paraId="5571AB75">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highlight w:val="none"/>
          <w:lang w:val="en-US" w:eastAsia="zh-CN"/>
        </w:rPr>
        <w:t>2024</w:t>
      </w:r>
      <w:r>
        <w:rPr>
          <w:rFonts w:hint="eastAsia" w:ascii="华文宋体" w:hAnsi="华文宋体" w:eastAsia="华文宋体"/>
          <w:sz w:val="24"/>
          <w:szCs w:val="24"/>
          <w:highlight w:val="none"/>
        </w:rPr>
        <w:t>年</w:t>
      </w:r>
      <w:r>
        <w:rPr>
          <w:rFonts w:hint="eastAsia" w:ascii="华文宋体" w:hAnsi="华文宋体" w:eastAsia="华文宋体"/>
          <w:sz w:val="24"/>
          <w:szCs w:val="24"/>
          <w:highlight w:val="none"/>
          <w:lang w:val="en-US" w:eastAsia="zh-CN"/>
        </w:rPr>
        <w:t>08</w:t>
      </w:r>
      <w:r>
        <w:rPr>
          <w:rFonts w:hint="eastAsia" w:ascii="华文宋体" w:hAnsi="华文宋体" w:eastAsia="华文宋体"/>
          <w:sz w:val="24"/>
          <w:szCs w:val="24"/>
          <w:highlight w:val="none"/>
        </w:rPr>
        <w:t>月-</w:t>
      </w:r>
      <w:r>
        <w:rPr>
          <w:rFonts w:hint="eastAsia" w:ascii="华文宋体" w:hAnsi="华文宋体" w:eastAsia="华文宋体"/>
          <w:sz w:val="24"/>
          <w:szCs w:val="24"/>
          <w:highlight w:val="none"/>
          <w:lang w:val="en-US" w:eastAsia="zh-CN"/>
        </w:rPr>
        <w:t>2024</w:t>
      </w:r>
      <w:r>
        <w:rPr>
          <w:rFonts w:hint="eastAsia" w:ascii="华文宋体" w:hAnsi="华文宋体" w:eastAsia="华文宋体"/>
          <w:sz w:val="24"/>
          <w:szCs w:val="24"/>
          <w:highlight w:val="none"/>
        </w:rPr>
        <w:t>年</w:t>
      </w:r>
      <w:r>
        <w:rPr>
          <w:rFonts w:hint="eastAsia" w:ascii="华文宋体" w:hAnsi="华文宋体" w:eastAsia="华文宋体"/>
          <w:sz w:val="24"/>
          <w:szCs w:val="24"/>
          <w:highlight w:val="none"/>
          <w:lang w:val="en-US" w:eastAsia="zh-CN"/>
        </w:rPr>
        <w:t>10</w:t>
      </w:r>
      <w:r>
        <w:rPr>
          <w:rFonts w:hint="eastAsia" w:ascii="华文宋体" w:hAnsi="华文宋体" w:eastAsia="华文宋体"/>
          <w:sz w:val="24"/>
          <w:szCs w:val="24"/>
          <w:highlight w:val="none"/>
        </w:rPr>
        <w:t>月，</w:t>
      </w:r>
      <w:r>
        <w:rPr>
          <w:rFonts w:hint="eastAsia" w:ascii="华文宋体" w:hAnsi="华文宋体" w:eastAsia="华文宋体"/>
          <w:sz w:val="24"/>
          <w:szCs w:val="24"/>
        </w:rPr>
        <w:t>标准起草工作小组在电力金具生产企业</w:t>
      </w:r>
      <w:r>
        <w:rPr>
          <w:rFonts w:hint="eastAsia" w:ascii="华文宋体" w:hAnsi="华文宋体" w:eastAsia="华文宋体"/>
          <w:sz w:val="24"/>
          <w:szCs w:val="24"/>
          <w:lang w:val="en-US" w:eastAsia="zh-CN"/>
        </w:rPr>
        <w:t>开</w:t>
      </w:r>
      <w:r>
        <w:rPr>
          <w:rFonts w:hint="eastAsia" w:ascii="华文宋体" w:hAnsi="华文宋体" w:eastAsia="华文宋体"/>
          <w:sz w:val="24"/>
          <w:szCs w:val="24"/>
        </w:rPr>
        <w:t>展调研工作，针对</w:t>
      </w:r>
      <w:r>
        <w:rPr>
          <w:rFonts w:hint="eastAsia" w:ascii="华文宋体" w:hAnsi="华文宋体" w:eastAsia="华文宋体"/>
          <w:sz w:val="24"/>
          <w:szCs w:val="24"/>
          <w:lang w:val="en-US" w:eastAsia="zh-CN"/>
        </w:rPr>
        <w:t>标准内容中</w:t>
      </w:r>
      <w:r>
        <w:rPr>
          <w:rFonts w:hint="eastAsia" w:ascii="华文宋体" w:hAnsi="华文宋体" w:eastAsia="华文宋体"/>
          <w:sz w:val="24"/>
          <w:szCs w:val="24"/>
        </w:rPr>
        <w:t>存在的主要困难和问题进行讨论。后期通过查阅大量的国内外文献资料，并进行系统总结后，形成了标准的基本构架。同时对项目的工作进行部署和安排。</w:t>
      </w:r>
    </w:p>
    <w:p w14:paraId="120A3A6A">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highlight w:val="none"/>
          <w:lang w:val="en-US" w:eastAsia="zh-CN"/>
        </w:rPr>
        <w:t>2024</w:t>
      </w:r>
      <w:r>
        <w:rPr>
          <w:rFonts w:hint="eastAsia" w:ascii="华文宋体" w:hAnsi="华文宋体" w:eastAsia="华文宋体"/>
          <w:sz w:val="24"/>
          <w:szCs w:val="24"/>
          <w:highlight w:val="none"/>
        </w:rPr>
        <w:t>年</w:t>
      </w:r>
      <w:r>
        <w:rPr>
          <w:rFonts w:hint="eastAsia" w:ascii="华文宋体" w:hAnsi="华文宋体" w:eastAsia="华文宋体"/>
          <w:sz w:val="24"/>
          <w:szCs w:val="24"/>
          <w:highlight w:val="none"/>
          <w:lang w:val="en-US" w:eastAsia="zh-CN"/>
        </w:rPr>
        <w:t>09</w:t>
      </w:r>
      <w:r>
        <w:rPr>
          <w:rFonts w:hint="eastAsia" w:ascii="华文宋体" w:hAnsi="华文宋体" w:eastAsia="华文宋体"/>
          <w:sz w:val="24"/>
          <w:szCs w:val="24"/>
          <w:highlight w:val="none"/>
        </w:rPr>
        <w:t>月-</w:t>
      </w:r>
      <w:r>
        <w:rPr>
          <w:rFonts w:hint="eastAsia" w:ascii="华文宋体" w:hAnsi="华文宋体" w:eastAsia="华文宋体"/>
          <w:sz w:val="24"/>
          <w:szCs w:val="24"/>
          <w:highlight w:val="none"/>
          <w:lang w:val="en-US" w:eastAsia="zh-CN"/>
        </w:rPr>
        <w:t>2024</w:t>
      </w:r>
      <w:r>
        <w:rPr>
          <w:rFonts w:hint="eastAsia" w:ascii="华文宋体" w:hAnsi="华文宋体" w:eastAsia="华文宋体"/>
          <w:sz w:val="24"/>
          <w:szCs w:val="24"/>
          <w:highlight w:val="none"/>
        </w:rPr>
        <w:t>年</w:t>
      </w:r>
      <w:r>
        <w:rPr>
          <w:rFonts w:hint="eastAsia" w:ascii="华文宋体" w:hAnsi="华文宋体" w:eastAsia="华文宋体"/>
          <w:sz w:val="24"/>
          <w:szCs w:val="24"/>
          <w:highlight w:val="none"/>
          <w:lang w:val="en-US" w:eastAsia="zh-CN"/>
        </w:rPr>
        <w:t>10</w:t>
      </w:r>
      <w:r>
        <w:rPr>
          <w:rFonts w:hint="eastAsia" w:ascii="华文宋体" w:hAnsi="华文宋体" w:eastAsia="华文宋体"/>
          <w:sz w:val="24"/>
          <w:szCs w:val="24"/>
          <w:highlight w:val="none"/>
        </w:rPr>
        <w:t>月，</w:t>
      </w:r>
      <w:r>
        <w:rPr>
          <w:rFonts w:hint="eastAsia" w:ascii="华文宋体" w:hAnsi="华文宋体" w:eastAsia="华文宋体"/>
          <w:sz w:val="24"/>
          <w:szCs w:val="24"/>
        </w:rPr>
        <w:t>在前期工作的基础之上，通过理清逻辑脉络，整合已有的参考资料中有关绿色工厂</w:t>
      </w:r>
      <w:r>
        <w:rPr>
          <w:rFonts w:hint="eastAsia" w:ascii="华文宋体" w:hAnsi="华文宋体" w:eastAsia="华文宋体"/>
          <w:sz w:val="24"/>
          <w:szCs w:val="24"/>
          <w:lang w:val="en-US" w:eastAsia="zh-CN"/>
        </w:rPr>
        <w:t>评价</w:t>
      </w:r>
      <w:r>
        <w:rPr>
          <w:rFonts w:hint="eastAsia" w:ascii="华文宋体" w:hAnsi="华文宋体" w:eastAsia="华文宋体"/>
          <w:sz w:val="24"/>
          <w:szCs w:val="24"/>
        </w:rPr>
        <w:t>的要求，并结合实际的基础上，按照简化、统一等原则编制完成</w:t>
      </w:r>
      <w:r>
        <w:rPr>
          <w:rFonts w:hint="eastAsia" w:ascii="华文宋体" w:hAnsi="华文宋体" w:eastAsia="华文宋体"/>
          <w:sz w:val="24"/>
          <w:szCs w:val="24"/>
          <w:lang w:val="en-US" w:eastAsia="zh-CN"/>
        </w:rPr>
        <w:t>团体</w:t>
      </w:r>
      <w:r>
        <w:rPr>
          <w:rFonts w:hint="eastAsia" w:ascii="华文宋体" w:hAnsi="华文宋体" w:eastAsia="华文宋体"/>
          <w:sz w:val="24"/>
          <w:szCs w:val="24"/>
        </w:rPr>
        <w:t>标准《电力金具行业 绿色工厂评价导则》（草案）。</w:t>
      </w:r>
    </w:p>
    <w:p w14:paraId="2DF9A727">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highlight w:val="none"/>
          <w:lang w:val="en-US" w:eastAsia="zh-CN"/>
        </w:rPr>
        <w:t>2024</w:t>
      </w:r>
      <w:r>
        <w:rPr>
          <w:rFonts w:hint="eastAsia" w:ascii="华文宋体" w:hAnsi="华文宋体" w:eastAsia="华文宋体"/>
          <w:sz w:val="24"/>
          <w:szCs w:val="24"/>
          <w:highlight w:val="none"/>
        </w:rPr>
        <w:t>年</w:t>
      </w:r>
      <w:r>
        <w:rPr>
          <w:rFonts w:hint="eastAsia" w:ascii="华文宋体" w:hAnsi="华文宋体" w:eastAsia="华文宋体"/>
          <w:sz w:val="24"/>
          <w:szCs w:val="24"/>
          <w:highlight w:val="none"/>
          <w:lang w:val="en-US" w:eastAsia="zh-CN"/>
        </w:rPr>
        <w:t>10</w:t>
      </w:r>
      <w:r>
        <w:rPr>
          <w:rFonts w:hint="eastAsia" w:ascii="华文宋体" w:hAnsi="华文宋体" w:eastAsia="华文宋体"/>
          <w:sz w:val="24"/>
          <w:szCs w:val="24"/>
          <w:highlight w:val="none"/>
        </w:rPr>
        <w:t>月-</w:t>
      </w:r>
      <w:r>
        <w:rPr>
          <w:rFonts w:hint="eastAsia" w:ascii="华文宋体" w:hAnsi="华文宋体" w:eastAsia="华文宋体"/>
          <w:sz w:val="24"/>
          <w:szCs w:val="24"/>
          <w:highlight w:val="none"/>
          <w:lang w:val="en-US" w:eastAsia="zh-CN"/>
        </w:rPr>
        <w:t>2024</w:t>
      </w:r>
      <w:r>
        <w:rPr>
          <w:rFonts w:hint="eastAsia" w:ascii="华文宋体" w:hAnsi="华文宋体" w:eastAsia="华文宋体"/>
          <w:sz w:val="24"/>
          <w:szCs w:val="24"/>
          <w:highlight w:val="none"/>
        </w:rPr>
        <w:t>年</w:t>
      </w:r>
      <w:r>
        <w:rPr>
          <w:rFonts w:hint="eastAsia" w:ascii="华文宋体" w:hAnsi="华文宋体" w:eastAsia="华文宋体"/>
          <w:sz w:val="24"/>
          <w:szCs w:val="24"/>
          <w:highlight w:val="none"/>
          <w:lang w:val="en-US" w:eastAsia="zh-CN"/>
        </w:rPr>
        <w:t>11</w:t>
      </w:r>
      <w:r>
        <w:rPr>
          <w:rFonts w:hint="eastAsia" w:ascii="华文宋体" w:hAnsi="华文宋体" w:eastAsia="华文宋体"/>
          <w:sz w:val="24"/>
          <w:szCs w:val="24"/>
          <w:highlight w:val="none"/>
        </w:rPr>
        <w:t>月，</w:t>
      </w:r>
      <w:r>
        <w:rPr>
          <w:rFonts w:hint="eastAsia" w:ascii="华文宋体" w:hAnsi="华文宋体" w:eastAsia="华文宋体"/>
          <w:sz w:val="24"/>
          <w:szCs w:val="24"/>
        </w:rPr>
        <w:t>开展多次小组内部意见的讨论会，通过讨论会的修改意见结合标准要点框架技术内容，多次修改标准草案，形成</w:t>
      </w:r>
      <w:r>
        <w:rPr>
          <w:rFonts w:hint="eastAsia" w:ascii="华文宋体" w:hAnsi="华文宋体" w:eastAsia="华文宋体"/>
          <w:sz w:val="24"/>
          <w:szCs w:val="24"/>
          <w:lang w:val="en-US" w:eastAsia="zh-CN"/>
        </w:rPr>
        <w:t>团体</w:t>
      </w:r>
      <w:r>
        <w:rPr>
          <w:rFonts w:hint="eastAsia" w:ascii="华文宋体" w:hAnsi="华文宋体" w:eastAsia="华文宋体"/>
          <w:sz w:val="24"/>
          <w:szCs w:val="24"/>
        </w:rPr>
        <w:t>标准《电力金具行业 绿色工厂评价导则》（征求意见稿）及（征求意见稿）编制说明。</w:t>
      </w:r>
    </w:p>
    <w:p w14:paraId="37293B2D">
      <w:pPr>
        <w:ind w:firstLine="560" w:firstLineChars="200"/>
        <w:rPr>
          <w:rFonts w:ascii="黑体" w:hAnsi="黑体" w:eastAsia="黑体"/>
          <w:sz w:val="28"/>
          <w:szCs w:val="28"/>
        </w:rPr>
      </w:pPr>
      <w:r>
        <w:rPr>
          <w:rFonts w:hint="eastAsia" w:ascii="黑体" w:hAnsi="黑体" w:eastAsia="黑体"/>
          <w:sz w:val="28"/>
          <w:szCs w:val="28"/>
        </w:rPr>
        <w:t>四、制定标准的原则和依据，与现行法律、法规、标准的关系</w:t>
      </w:r>
    </w:p>
    <w:p w14:paraId="69E126F1">
      <w:pPr>
        <w:numPr>
          <w:ilvl w:val="0"/>
          <w:numId w:val="0"/>
        </w:numPr>
        <w:ind w:firstLine="480" w:firstLineChars="200"/>
        <w:rPr>
          <w:rFonts w:hint="eastAsia" w:ascii="华文宋体" w:hAnsi="华文宋体" w:eastAsia="华文宋体"/>
          <w:sz w:val="24"/>
          <w:szCs w:val="24"/>
          <w:lang w:val="en-US" w:eastAsia="zh-CN"/>
        </w:rPr>
      </w:pPr>
      <w:r>
        <w:rPr>
          <w:rFonts w:hint="eastAsia" w:ascii="华文宋体" w:hAnsi="华文宋体" w:eastAsia="华文宋体"/>
          <w:sz w:val="24"/>
          <w:szCs w:val="24"/>
          <w:lang w:val="en-US" w:eastAsia="zh-CN"/>
        </w:rPr>
        <w:t>1、制定标准的原则和依据</w:t>
      </w:r>
    </w:p>
    <w:p w14:paraId="243E3D40">
      <w:pPr>
        <w:numPr>
          <w:ilvl w:val="0"/>
          <w:numId w:val="0"/>
        </w:num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规范性原则</w:t>
      </w:r>
    </w:p>
    <w:p w14:paraId="13990CD1">
      <w:pPr>
        <w:numPr>
          <w:ilvl w:val="0"/>
          <w:numId w:val="0"/>
        </w:numPr>
        <w:ind w:firstLine="480" w:firstLineChars="200"/>
        <w:rPr>
          <w:rFonts w:ascii="华文宋体" w:hAnsi="华文宋体" w:eastAsia="华文宋体"/>
          <w:sz w:val="24"/>
          <w:szCs w:val="24"/>
        </w:rPr>
      </w:pPr>
      <w:r>
        <w:rPr>
          <w:rFonts w:hint="eastAsia" w:ascii="华文宋体" w:hAnsi="华文宋体" w:eastAsia="华文宋体"/>
          <w:sz w:val="24"/>
          <w:szCs w:val="24"/>
        </w:rPr>
        <w:t>本文件按照GB/T 1.1—2020《标准化工作导则  第1部分：标准化文件的结构和起草规则》的规定起草</w:t>
      </w:r>
      <w:r>
        <w:rPr>
          <w:rFonts w:ascii="华文宋体" w:hAnsi="华文宋体" w:eastAsia="华文宋体"/>
          <w:sz w:val="24"/>
          <w:szCs w:val="24"/>
        </w:rPr>
        <w:t>。</w:t>
      </w:r>
    </w:p>
    <w:p w14:paraId="174295F3">
      <w:pPr>
        <w:numPr>
          <w:ilvl w:val="0"/>
          <w:numId w:val="0"/>
        </w:num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协调性原则</w:t>
      </w:r>
    </w:p>
    <w:p w14:paraId="43F1F62A">
      <w:pPr>
        <w:numPr>
          <w:ilvl w:val="0"/>
          <w:numId w:val="0"/>
        </w:num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分析了国内外相关政策和</w:t>
      </w:r>
      <w:r>
        <w:rPr>
          <w:rFonts w:hint="eastAsia" w:ascii="华文宋体" w:hAnsi="华文宋体" w:eastAsia="华文宋体"/>
          <w:sz w:val="24"/>
          <w:szCs w:val="24"/>
          <w:lang w:eastAsia="zh-CN"/>
        </w:rPr>
        <w:t>绿色工厂评价</w:t>
      </w:r>
      <w:r>
        <w:rPr>
          <w:rFonts w:hint="eastAsia" w:ascii="华文宋体" w:hAnsi="华文宋体" w:eastAsia="华文宋体"/>
          <w:sz w:val="24"/>
          <w:szCs w:val="24"/>
        </w:rPr>
        <w:t>相关的现状和特点，对已发布实施的相关标准、进行整理、归纳和分类，标准内容与现行的国家和相关法律法规、政策、标准等保持一致。</w:t>
      </w:r>
    </w:p>
    <w:p w14:paraId="02A506A6">
      <w:pPr>
        <w:numPr>
          <w:ilvl w:val="0"/>
          <w:numId w:val="0"/>
        </w:num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（3）</w:t>
      </w:r>
      <w:r>
        <w:rPr>
          <w:rFonts w:hint="eastAsia" w:ascii="华文宋体" w:hAnsi="华文宋体" w:eastAsia="华文宋体"/>
          <w:sz w:val="24"/>
          <w:szCs w:val="24"/>
        </w:rPr>
        <w:t>科学实用原则</w:t>
      </w:r>
    </w:p>
    <w:p w14:paraId="2F82F1E3">
      <w:pPr>
        <w:numPr>
          <w:ilvl w:val="0"/>
          <w:numId w:val="0"/>
        </w:num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在紧密结合企业实际、广泛征求意见及调查研究基础上，紧贴电力金具行业实际，具有良好的实用性和可操作性。</w:t>
      </w:r>
    </w:p>
    <w:p w14:paraId="6C6CD101">
      <w:pPr>
        <w:numPr>
          <w:ilvl w:val="0"/>
          <w:numId w:val="0"/>
        </w:numPr>
        <w:ind w:firstLine="480" w:firstLineChars="200"/>
        <w:rPr>
          <w:rFonts w:hint="eastAsia" w:ascii="华文宋体" w:hAnsi="华文宋体" w:eastAsia="华文宋体"/>
          <w:sz w:val="24"/>
          <w:szCs w:val="24"/>
          <w:lang w:val="en-US" w:eastAsia="zh-CN"/>
        </w:rPr>
      </w:pPr>
      <w:r>
        <w:rPr>
          <w:rFonts w:hint="eastAsia" w:ascii="华文宋体" w:hAnsi="华文宋体" w:eastAsia="华文宋体" w:cstheme="minorBidi"/>
          <w:kern w:val="2"/>
          <w:sz w:val="24"/>
          <w:szCs w:val="24"/>
          <w:lang w:val="en-US" w:eastAsia="zh-CN" w:bidi="ar-SA"/>
        </w:rPr>
        <w:t>2、</w:t>
      </w:r>
      <w:r>
        <w:rPr>
          <w:rFonts w:hint="eastAsia" w:ascii="华文宋体" w:hAnsi="华文宋体" w:eastAsia="华文宋体"/>
          <w:sz w:val="24"/>
          <w:szCs w:val="24"/>
          <w:lang w:val="en-US" w:eastAsia="zh-CN"/>
        </w:rPr>
        <w:t>与现行法律、法规、标准的关系</w:t>
      </w:r>
    </w:p>
    <w:p w14:paraId="38DE90F5">
      <w:pPr>
        <w:numPr>
          <w:ilvl w:val="0"/>
          <w:numId w:val="0"/>
        </w:numPr>
        <w:ind w:firstLine="480" w:firstLineChars="200"/>
        <w:rPr>
          <w:rFonts w:hint="eastAsia" w:ascii="华文宋体" w:hAnsi="华文宋体" w:eastAsia="华文宋体"/>
          <w:sz w:val="24"/>
          <w:szCs w:val="24"/>
          <w:lang w:val="en-US" w:eastAsia="zh-CN"/>
        </w:rPr>
      </w:pPr>
      <w:r>
        <w:rPr>
          <w:rFonts w:hint="eastAsia" w:ascii="华文宋体" w:hAnsi="华文宋体" w:eastAsia="华文宋体"/>
          <w:sz w:val="24"/>
          <w:szCs w:val="24"/>
          <w:lang w:val="en-US" w:eastAsia="zh-CN"/>
        </w:rPr>
        <w:t>本标准符合国家现行法律、法规和强制性国家标准的要求，与相关法律、法规及标准在技术内容上协调一致。</w:t>
      </w:r>
    </w:p>
    <w:p w14:paraId="64C66DD4">
      <w:pPr>
        <w:ind w:firstLine="560" w:firstLineChars="200"/>
        <w:rPr>
          <w:rFonts w:ascii="黑体" w:hAnsi="黑体" w:eastAsia="黑体"/>
          <w:sz w:val="28"/>
          <w:szCs w:val="28"/>
        </w:rPr>
      </w:pPr>
      <w:r>
        <w:rPr>
          <w:rFonts w:hint="eastAsia" w:ascii="黑体" w:hAnsi="黑体" w:eastAsia="黑体"/>
          <w:sz w:val="28"/>
          <w:szCs w:val="28"/>
        </w:rPr>
        <w:t>五、主要条款的说明，主要技术指标的论述</w:t>
      </w:r>
    </w:p>
    <w:p w14:paraId="40B17560">
      <w:pPr>
        <w:ind w:firstLine="482" w:firstLineChars="200"/>
        <w:rPr>
          <w:rFonts w:ascii="华文宋体" w:hAnsi="华文宋体" w:eastAsia="华文宋体"/>
          <w:b/>
          <w:sz w:val="24"/>
          <w:szCs w:val="24"/>
        </w:rPr>
      </w:pPr>
      <w:r>
        <w:rPr>
          <w:rFonts w:ascii="华文宋体" w:hAnsi="华文宋体" w:eastAsia="华文宋体"/>
          <w:b/>
          <w:sz w:val="24"/>
          <w:szCs w:val="24"/>
        </w:rPr>
        <w:t>1、主要技术内容</w:t>
      </w:r>
    </w:p>
    <w:p w14:paraId="27477FE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本文件</w:t>
      </w:r>
      <w:r>
        <w:rPr>
          <w:rFonts w:hint="eastAsia" w:ascii="华文宋体" w:hAnsi="华文宋体" w:eastAsia="华文宋体"/>
          <w:sz w:val="24"/>
          <w:szCs w:val="24"/>
          <w:lang w:val="en-US" w:eastAsia="zh-CN"/>
        </w:rPr>
        <w:t>界定了</w:t>
      </w:r>
      <w:r>
        <w:rPr>
          <w:rFonts w:hint="eastAsia" w:ascii="华文宋体" w:hAnsi="华文宋体" w:eastAsia="华文宋体"/>
          <w:sz w:val="24"/>
          <w:szCs w:val="24"/>
        </w:rPr>
        <w:t>电力金具行业绿色工厂评价相关</w:t>
      </w:r>
      <w:r>
        <w:rPr>
          <w:rFonts w:hint="eastAsia" w:ascii="华文宋体" w:hAnsi="华文宋体" w:eastAsia="华文宋体"/>
          <w:sz w:val="24"/>
          <w:szCs w:val="24"/>
          <w:lang w:val="en-US" w:eastAsia="zh-CN"/>
        </w:rPr>
        <w:t>术语和定义，</w:t>
      </w:r>
      <w:r>
        <w:rPr>
          <w:rFonts w:hint="eastAsia" w:ascii="华文宋体" w:hAnsi="华文宋体" w:eastAsia="华文宋体"/>
          <w:sz w:val="24"/>
          <w:szCs w:val="24"/>
        </w:rPr>
        <w:t>规定了</w:t>
      </w:r>
      <w:r>
        <w:rPr>
          <w:rFonts w:hint="eastAsia" w:ascii="华文宋体" w:hAnsi="华文宋体" w:eastAsia="华文宋体"/>
          <w:sz w:val="24"/>
          <w:szCs w:val="24"/>
          <w:lang w:val="en-US" w:eastAsia="zh-CN"/>
        </w:rPr>
        <w:t>总则、</w:t>
      </w:r>
      <w:r>
        <w:rPr>
          <w:rFonts w:hint="eastAsia" w:ascii="华文宋体" w:hAnsi="华文宋体" w:eastAsia="华文宋体"/>
          <w:sz w:val="24"/>
          <w:szCs w:val="24"/>
        </w:rPr>
        <w:t>评价要求、评价程序、评价报告</w:t>
      </w:r>
      <w:r>
        <w:rPr>
          <w:rFonts w:hint="eastAsia" w:ascii="华文宋体" w:hAnsi="华文宋体" w:eastAsia="华文宋体"/>
          <w:sz w:val="24"/>
          <w:szCs w:val="24"/>
          <w:lang w:val="en-US" w:eastAsia="zh-CN"/>
        </w:rPr>
        <w:t>的技术内容</w:t>
      </w:r>
      <w:r>
        <w:rPr>
          <w:rFonts w:hint="eastAsia" w:ascii="华文宋体" w:hAnsi="华文宋体" w:eastAsia="华文宋体"/>
          <w:sz w:val="24"/>
          <w:szCs w:val="24"/>
        </w:rPr>
        <w:t>。</w:t>
      </w:r>
    </w:p>
    <w:p w14:paraId="191B021C">
      <w:pPr>
        <w:ind w:firstLine="480" w:firstLineChars="200"/>
        <w:rPr>
          <w:rFonts w:ascii="华文宋体" w:hAnsi="华文宋体" w:eastAsia="华文宋体"/>
          <w:sz w:val="24"/>
          <w:szCs w:val="24"/>
        </w:rPr>
      </w:pPr>
      <w:r>
        <w:rPr>
          <w:rFonts w:hint="eastAsia" w:ascii="华文宋体" w:hAnsi="华文宋体" w:eastAsia="华文宋体"/>
          <w:sz w:val="24"/>
          <w:szCs w:val="24"/>
        </w:rPr>
        <w:t>本文件适用于电力金具生产企业的绿色工厂评价。</w:t>
      </w:r>
    </w:p>
    <w:p w14:paraId="3C2CBE5E">
      <w:pPr>
        <w:ind w:firstLine="482" w:firstLineChars="200"/>
        <w:rPr>
          <w:rFonts w:ascii="华文宋体" w:hAnsi="华文宋体" w:eastAsia="华文宋体"/>
          <w:b/>
          <w:sz w:val="24"/>
          <w:szCs w:val="24"/>
        </w:rPr>
      </w:pPr>
      <w:r>
        <w:rPr>
          <w:rFonts w:ascii="华文宋体" w:hAnsi="华文宋体" w:eastAsia="华文宋体"/>
          <w:b/>
          <w:sz w:val="24"/>
          <w:szCs w:val="24"/>
        </w:rPr>
        <w:t>2、技术要素</w:t>
      </w:r>
    </w:p>
    <w:p w14:paraId="4252F40A">
      <w:pPr>
        <w:ind w:firstLine="482" w:firstLineChars="200"/>
        <w:rPr>
          <w:rFonts w:hint="eastAsia" w:ascii="华文宋体" w:hAnsi="华文宋体" w:eastAsia="华文宋体"/>
          <w:b/>
          <w:bCs/>
          <w:sz w:val="24"/>
          <w:szCs w:val="24"/>
        </w:rPr>
      </w:pPr>
      <w:r>
        <w:rPr>
          <w:rFonts w:hint="eastAsia" w:ascii="华文宋体" w:hAnsi="华文宋体" w:eastAsia="华文宋体"/>
          <w:b/>
          <w:bCs/>
          <w:sz w:val="24"/>
          <w:szCs w:val="24"/>
          <w:lang w:val="en-US" w:eastAsia="zh-CN"/>
        </w:rPr>
        <w:t xml:space="preserve">1 </w:t>
      </w:r>
      <w:r>
        <w:rPr>
          <w:rFonts w:hint="eastAsia" w:ascii="华文宋体" w:hAnsi="华文宋体" w:eastAsia="华文宋体"/>
          <w:b/>
          <w:bCs/>
          <w:sz w:val="24"/>
          <w:szCs w:val="24"/>
        </w:rPr>
        <w:t>基本要求</w:t>
      </w:r>
    </w:p>
    <w:p w14:paraId="084F161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1.1 </w:t>
      </w:r>
      <w:r>
        <w:rPr>
          <w:rFonts w:hint="eastAsia" w:ascii="华文宋体" w:hAnsi="华文宋体" w:eastAsia="华文宋体"/>
          <w:sz w:val="24"/>
          <w:szCs w:val="24"/>
        </w:rPr>
        <w:t>合规性与相关方</w:t>
      </w:r>
    </w:p>
    <w:p w14:paraId="2DCD57E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工厂应依法设立，遵守相关法律、法规、政策和标准。</w:t>
      </w:r>
    </w:p>
    <w:p w14:paraId="2419591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近三年无较大及以上安全、环保、质量等事故（成立不足三年的企业自成立以来无此类事故）。</w:t>
      </w:r>
    </w:p>
    <w:p w14:paraId="67B20F22">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3</w:t>
      </w:r>
      <w:r>
        <w:rPr>
          <w:rFonts w:hint="eastAsia" w:ascii="华文宋体" w:hAnsi="华文宋体" w:eastAsia="华文宋体"/>
          <w:sz w:val="24"/>
          <w:szCs w:val="24"/>
          <w:lang w:eastAsia="zh-CN"/>
        </w:rPr>
        <w:t>）</w:t>
      </w:r>
      <w:r>
        <w:rPr>
          <w:rFonts w:hint="eastAsia" w:ascii="华文宋体" w:hAnsi="华文宋体" w:eastAsia="华文宋体"/>
          <w:sz w:val="24"/>
          <w:szCs w:val="24"/>
        </w:rPr>
        <w:t>满足利益相关方的环境承诺要求。</w:t>
      </w:r>
    </w:p>
    <w:p w14:paraId="457D1D17">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1.2 </w:t>
      </w:r>
      <w:r>
        <w:rPr>
          <w:rFonts w:hint="eastAsia" w:ascii="华文宋体" w:hAnsi="华文宋体" w:eastAsia="华文宋体"/>
          <w:sz w:val="24"/>
          <w:szCs w:val="24"/>
        </w:rPr>
        <w:t>管理职责（最高管理者）</w:t>
      </w:r>
    </w:p>
    <w:p w14:paraId="352D1925">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在绿色工厂方面发挥领导作用，满足相关标准要求，包括对绿色工厂有效性负责等。</w:t>
      </w:r>
    </w:p>
    <w:p w14:paraId="3C7C6B27">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确保在工厂内部分配并沟通与绿色工厂相关角色的职责和权限。</w:t>
      </w:r>
    </w:p>
    <w:p w14:paraId="0C4D9E1A">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1.3 </w:t>
      </w:r>
      <w:r>
        <w:rPr>
          <w:rFonts w:hint="eastAsia" w:ascii="华文宋体" w:hAnsi="华文宋体" w:eastAsia="华文宋体"/>
          <w:sz w:val="24"/>
          <w:szCs w:val="24"/>
        </w:rPr>
        <w:t>管理职责（工厂）</w:t>
      </w:r>
    </w:p>
    <w:p w14:paraId="6B9D2A00">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设有绿色工厂管理机构，负责制度建设等工作。</w:t>
      </w:r>
    </w:p>
    <w:p w14:paraId="0FF5F36A">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建立目标责任制，有中长期规划及年度目标、指标和实施方案（可行时应明确且可量化）。</w:t>
      </w:r>
    </w:p>
    <w:p w14:paraId="35C959CF">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3</w:t>
      </w:r>
      <w:r>
        <w:rPr>
          <w:rFonts w:hint="eastAsia" w:ascii="华文宋体" w:hAnsi="华文宋体" w:eastAsia="华文宋体"/>
          <w:sz w:val="24"/>
          <w:szCs w:val="24"/>
          <w:lang w:eastAsia="zh-CN"/>
        </w:rPr>
        <w:t>）</w:t>
      </w:r>
      <w:r>
        <w:rPr>
          <w:rFonts w:hint="eastAsia" w:ascii="华文宋体" w:hAnsi="华文宋体" w:eastAsia="华文宋体"/>
          <w:sz w:val="24"/>
          <w:szCs w:val="24"/>
        </w:rPr>
        <w:t>传播绿色制造概念和知识，定期提供教育培训并考评结果。</w:t>
      </w:r>
    </w:p>
    <w:p w14:paraId="509041A4">
      <w:pPr>
        <w:ind w:firstLine="482" w:firstLineChars="200"/>
        <w:rPr>
          <w:rFonts w:hint="eastAsia" w:ascii="华文宋体" w:hAnsi="华文宋体" w:eastAsia="华文宋体"/>
          <w:b/>
          <w:bCs/>
          <w:sz w:val="24"/>
          <w:szCs w:val="24"/>
        </w:rPr>
      </w:pPr>
      <w:r>
        <w:rPr>
          <w:rFonts w:hint="eastAsia" w:ascii="华文宋体" w:hAnsi="华文宋体" w:eastAsia="华文宋体"/>
          <w:b/>
          <w:bCs/>
          <w:sz w:val="24"/>
          <w:szCs w:val="24"/>
          <w:lang w:val="en-US" w:eastAsia="zh-CN"/>
        </w:rPr>
        <w:t xml:space="preserve">2 </w:t>
      </w:r>
      <w:r>
        <w:rPr>
          <w:rFonts w:hint="eastAsia" w:ascii="华文宋体" w:hAnsi="华文宋体" w:eastAsia="华文宋体"/>
          <w:b/>
          <w:bCs/>
          <w:sz w:val="24"/>
          <w:szCs w:val="24"/>
        </w:rPr>
        <w:t>基础设施</w:t>
      </w:r>
    </w:p>
    <w:p w14:paraId="41D93DFC">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2.1 </w:t>
      </w:r>
      <w:r>
        <w:rPr>
          <w:rFonts w:hint="eastAsia" w:ascii="华文宋体" w:hAnsi="华文宋体" w:eastAsia="华文宋体"/>
          <w:sz w:val="24"/>
          <w:szCs w:val="24"/>
        </w:rPr>
        <w:t>建筑</w:t>
      </w:r>
    </w:p>
    <w:p w14:paraId="06799A26">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满足国家和地方法律法规及标准要求。</w:t>
      </w:r>
    </w:p>
    <w:p w14:paraId="39C58E0D">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新建、改建和扩建遵守相关产业政策。</w:t>
      </w:r>
    </w:p>
    <w:p w14:paraId="5359A780">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3</w:t>
      </w:r>
      <w:r>
        <w:rPr>
          <w:rFonts w:hint="eastAsia" w:ascii="华文宋体" w:hAnsi="华文宋体" w:eastAsia="华文宋体"/>
          <w:sz w:val="24"/>
          <w:szCs w:val="24"/>
          <w:lang w:eastAsia="zh-CN"/>
        </w:rPr>
        <w:t>）</w:t>
      </w:r>
      <w:r>
        <w:rPr>
          <w:rFonts w:hint="eastAsia" w:ascii="华文宋体" w:hAnsi="华文宋体" w:eastAsia="华文宋体"/>
          <w:sz w:val="24"/>
          <w:szCs w:val="24"/>
        </w:rPr>
        <w:t>厂房内部装饰装修材料符合有害物质限量要求，危险品仓库等按法规要求独立设置。</w:t>
      </w:r>
    </w:p>
    <w:p w14:paraId="5C6D4DB2">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4</w:t>
      </w:r>
      <w:r>
        <w:rPr>
          <w:rFonts w:hint="eastAsia" w:ascii="华文宋体" w:hAnsi="华文宋体" w:eastAsia="华文宋体"/>
          <w:sz w:val="24"/>
          <w:szCs w:val="24"/>
          <w:lang w:eastAsia="zh-CN"/>
        </w:rPr>
        <w:t>）</w:t>
      </w:r>
      <w:r>
        <w:rPr>
          <w:rFonts w:hint="eastAsia" w:ascii="华文宋体" w:hAnsi="华文宋体" w:eastAsia="华文宋体"/>
          <w:sz w:val="24"/>
          <w:szCs w:val="24"/>
        </w:rPr>
        <w:t>集约利用厂区，优先采用联合厂房等。</w:t>
      </w:r>
    </w:p>
    <w:p w14:paraId="4A8CC889">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5</w:t>
      </w:r>
      <w:r>
        <w:rPr>
          <w:rFonts w:hint="eastAsia" w:ascii="华文宋体" w:hAnsi="华文宋体" w:eastAsia="华文宋体"/>
          <w:sz w:val="24"/>
          <w:szCs w:val="24"/>
          <w:lang w:eastAsia="zh-CN"/>
        </w:rPr>
        <w:t>）</w:t>
      </w:r>
      <w:r>
        <w:rPr>
          <w:rFonts w:hint="eastAsia" w:ascii="华文宋体" w:hAnsi="华文宋体" w:eastAsia="华文宋体"/>
          <w:sz w:val="24"/>
          <w:szCs w:val="24"/>
        </w:rPr>
        <w:t>选用蕴能低等建材，减少建材全生命周期能耗，室内装饰装修材料满足相关标准要求。</w:t>
      </w:r>
    </w:p>
    <w:p w14:paraId="2E608BF9">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6</w:t>
      </w:r>
      <w:r>
        <w:rPr>
          <w:rFonts w:hint="eastAsia" w:ascii="华文宋体" w:hAnsi="华文宋体" w:eastAsia="华文宋体"/>
          <w:sz w:val="24"/>
          <w:szCs w:val="24"/>
          <w:lang w:eastAsia="zh-CN"/>
        </w:rPr>
        <w:t>）</w:t>
      </w:r>
      <w:r>
        <w:rPr>
          <w:rFonts w:hint="eastAsia" w:ascii="华文宋体" w:hAnsi="华文宋体" w:eastAsia="华文宋体"/>
          <w:sz w:val="24"/>
          <w:szCs w:val="24"/>
        </w:rPr>
        <w:t>采用资源消耗和环境影响小的建筑结构体系。</w:t>
      </w:r>
    </w:p>
    <w:p w14:paraId="4C6E035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7</w:t>
      </w:r>
      <w:r>
        <w:rPr>
          <w:rFonts w:hint="eastAsia" w:ascii="华文宋体" w:hAnsi="华文宋体" w:eastAsia="华文宋体"/>
          <w:sz w:val="24"/>
          <w:szCs w:val="24"/>
          <w:lang w:eastAsia="zh-CN"/>
        </w:rPr>
        <w:t>）</w:t>
      </w:r>
      <w:r>
        <w:rPr>
          <w:rFonts w:hint="eastAsia" w:ascii="华文宋体" w:hAnsi="华文宋体" w:eastAsia="华文宋体"/>
          <w:sz w:val="24"/>
          <w:szCs w:val="24"/>
        </w:rPr>
        <w:t>设置可遮荫避雨的步行连廊。</w:t>
      </w:r>
    </w:p>
    <w:p w14:paraId="761E16D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8</w:t>
      </w:r>
      <w:r>
        <w:rPr>
          <w:rFonts w:hint="eastAsia" w:ascii="华文宋体" w:hAnsi="华文宋体" w:eastAsia="华文宋体"/>
          <w:sz w:val="24"/>
          <w:szCs w:val="24"/>
          <w:lang w:eastAsia="zh-CN"/>
        </w:rPr>
        <w:t>）</w:t>
      </w:r>
      <w:r>
        <w:rPr>
          <w:rFonts w:hint="eastAsia" w:ascii="华文宋体" w:hAnsi="华文宋体" w:eastAsia="华文宋体"/>
          <w:sz w:val="24"/>
          <w:szCs w:val="24"/>
        </w:rPr>
        <w:t>厂区绿化优先种植乡土植物，绿化面积占总占地面积不低于 20％，室外透水地面面积占室外面积不小于 30％。</w:t>
      </w:r>
    </w:p>
    <w:p w14:paraId="1CA8791C">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9</w:t>
      </w:r>
      <w:r>
        <w:rPr>
          <w:rFonts w:hint="eastAsia" w:ascii="华文宋体" w:hAnsi="华文宋体" w:eastAsia="华文宋体"/>
          <w:sz w:val="24"/>
          <w:szCs w:val="24"/>
          <w:lang w:eastAsia="zh-CN"/>
        </w:rPr>
        <w:t>）</w:t>
      </w:r>
      <w:r>
        <w:rPr>
          <w:rFonts w:hint="eastAsia" w:ascii="华文宋体" w:hAnsi="华文宋体" w:eastAsia="华文宋体"/>
          <w:sz w:val="24"/>
          <w:szCs w:val="24"/>
        </w:rPr>
        <w:t>再生资源及能源利用满足一定条件，如再生能源使用占建筑总能耗比例大于 10％，采用节水器具和设备且节水率不低于 10％。</w:t>
      </w:r>
    </w:p>
    <w:p w14:paraId="4828ED70">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2.2 </w:t>
      </w:r>
      <w:r>
        <w:rPr>
          <w:rFonts w:hint="eastAsia" w:ascii="华文宋体" w:hAnsi="华文宋体" w:eastAsia="华文宋体"/>
          <w:sz w:val="24"/>
          <w:szCs w:val="24"/>
        </w:rPr>
        <w:t>照明</w:t>
      </w:r>
    </w:p>
    <w:p w14:paraId="4F81F56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人工照明指标满足相关标准要求。</w:t>
      </w:r>
    </w:p>
    <w:p w14:paraId="5242911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不同场所照明分级设计。</w:t>
      </w:r>
    </w:p>
    <w:p w14:paraId="3BEE64B6">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3</w:t>
      </w:r>
      <w:r>
        <w:rPr>
          <w:rFonts w:hint="eastAsia" w:ascii="华文宋体" w:hAnsi="华文宋体" w:eastAsia="华文宋体"/>
          <w:sz w:val="24"/>
          <w:szCs w:val="24"/>
          <w:lang w:eastAsia="zh-CN"/>
        </w:rPr>
        <w:t>）</w:t>
      </w:r>
      <w:r>
        <w:rPr>
          <w:rFonts w:hint="eastAsia" w:ascii="华文宋体" w:hAnsi="华文宋体" w:eastAsia="华文宋体"/>
          <w:sz w:val="24"/>
          <w:szCs w:val="24"/>
        </w:rPr>
        <w:t>公共场所照明采取分区、分组与定时自动调光等措施。</w:t>
      </w:r>
    </w:p>
    <w:p w14:paraId="5578A4AF">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4</w:t>
      </w:r>
      <w:r>
        <w:rPr>
          <w:rFonts w:hint="eastAsia" w:ascii="华文宋体" w:hAnsi="华文宋体" w:eastAsia="华文宋体"/>
          <w:sz w:val="24"/>
          <w:szCs w:val="24"/>
          <w:lang w:eastAsia="zh-CN"/>
        </w:rPr>
        <w:t>）</w:t>
      </w:r>
      <w:r>
        <w:rPr>
          <w:rFonts w:hint="eastAsia" w:ascii="华文宋体" w:hAnsi="华文宋体" w:eastAsia="华文宋体"/>
          <w:sz w:val="24"/>
          <w:szCs w:val="24"/>
        </w:rPr>
        <w:t>工艺适用时，节能型照明设备使用占比不低于 50％。</w:t>
      </w:r>
    </w:p>
    <w:p w14:paraId="23E7E83B">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2.3 </w:t>
      </w:r>
      <w:r>
        <w:rPr>
          <w:rFonts w:hint="eastAsia" w:ascii="华文宋体" w:hAnsi="华文宋体" w:eastAsia="华文宋体"/>
          <w:sz w:val="24"/>
          <w:szCs w:val="24"/>
        </w:rPr>
        <w:t>设备设施</w:t>
      </w:r>
    </w:p>
    <w:p w14:paraId="72ED2A7C">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不使用国家明令淘汰的设备。</w:t>
      </w:r>
    </w:p>
    <w:p w14:paraId="1D271019">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生产专用设备优先选用资源能源消耗少等的设备。</w:t>
      </w:r>
    </w:p>
    <w:p w14:paraId="79EB8DEF">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3</w:t>
      </w:r>
      <w:r>
        <w:rPr>
          <w:rFonts w:hint="eastAsia" w:ascii="华文宋体" w:hAnsi="华文宋体" w:eastAsia="华文宋体"/>
          <w:sz w:val="24"/>
          <w:szCs w:val="24"/>
          <w:lang w:eastAsia="zh-CN"/>
        </w:rPr>
        <w:t>）</w:t>
      </w:r>
      <w:r>
        <w:rPr>
          <w:rFonts w:hint="eastAsia" w:ascii="华文宋体" w:hAnsi="华文宋体" w:eastAsia="华文宋体"/>
          <w:sz w:val="24"/>
          <w:szCs w:val="24"/>
        </w:rPr>
        <w:t>使用的通用设备应达到相关标准中能效限定值的强制性要求，优先采用节能型等产品，淘汰高能耗、低效率设备，且实际运行效率或主要运行参数符合经济运行要求。</w:t>
      </w:r>
    </w:p>
    <w:p w14:paraId="7D510561">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4</w:t>
      </w:r>
      <w:r>
        <w:rPr>
          <w:rFonts w:hint="eastAsia" w:ascii="华文宋体" w:hAnsi="华文宋体" w:eastAsia="华文宋体"/>
          <w:sz w:val="24"/>
          <w:szCs w:val="24"/>
          <w:lang w:eastAsia="zh-CN"/>
        </w:rPr>
        <w:t>）</w:t>
      </w:r>
      <w:r>
        <w:rPr>
          <w:rFonts w:hint="eastAsia" w:ascii="华文宋体" w:hAnsi="华文宋体" w:eastAsia="华文宋体"/>
          <w:sz w:val="24"/>
          <w:szCs w:val="24"/>
        </w:rPr>
        <w:t>依据相关标准配备、使用和管理能源、水及其他资源的计量器具和装置，满足分类计量要求。</w:t>
      </w:r>
    </w:p>
    <w:p w14:paraId="680EF57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5</w:t>
      </w:r>
      <w:r>
        <w:rPr>
          <w:rFonts w:hint="eastAsia" w:ascii="华文宋体" w:hAnsi="华文宋体" w:eastAsia="华文宋体"/>
          <w:sz w:val="24"/>
          <w:szCs w:val="24"/>
          <w:lang w:eastAsia="zh-CN"/>
        </w:rPr>
        <w:t>）</w:t>
      </w:r>
      <w:r>
        <w:rPr>
          <w:rFonts w:hint="eastAsia" w:ascii="华文宋体" w:hAnsi="华文宋体" w:eastAsia="华文宋体"/>
          <w:sz w:val="24"/>
          <w:szCs w:val="24"/>
        </w:rPr>
        <w:t>投入适宜的污染物处理设备，其处理能力与工厂生产排放相适应并正常运行，确保污染物排放达标，宜满足通用用能设备节能方面的要求，配备事故应急池并符合相关规范，宜配备污染物在线监测系统。</w:t>
      </w:r>
    </w:p>
    <w:p w14:paraId="2F9BD8DA">
      <w:pPr>
        <w:ind w:firstLine="482" w:firstLineChars="200"/>
        <w:rPr>
          <w:rFonts w:hint="eastAsia" w:ascii="华文宋体" w:hAnsi="华文宋体" w:eastAsia="华文宋体"/>
          <w:b/>
          <w:bCs/>
          <w:sz w:val="24"/>
          <w:szCs w:val="24"/>
        </w:rPr>
      </w:pPr>
      <w:r>
        <w:rPr>
          <w:rFonts w:hint="eastAsia" w:ascii="华文宋体" w:hAnsi="华文宋体" w:eastAsia="华文宋体"/>
          <w:b/>
          <w:bCs/>
          <w:sz w:val="24"/>
          <w:szCs w:val="24"/>
          <w:lang w:val="en-US" w:eastAsia="zh-CN"/>
        </w:rPr>
        <w:t xml:space="preserve">3 </w:t>
      </w:r>
      <w:r>
        <w:rPr>
          <w:rFonts w:hint="eastAsia" w:ascii="华文宋体" w:hAnsi="华文宋体" w:eastAsia="华文宋体"/>
          <w:b/>
          <w:bCs/>
          <w:sz w:val="24"/>
          <w:szCs w:val="24"/>
        </w:rPr>
        <w:t>管理体系</w:t>
      </w:r>
    </w:p>
    <w:p w14:paraId="36FBA81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3.1 </w:t>
      </w:r>
      <w:r>
        <w:rPr>
          <w:rFonts w:hint="eastAsia" w:ascii="华文宋体" w:hAnsi="华文宋体" w:eastAsia="华文宋体"/>
          <w:sz w:val="24"/>
          <w:szCs w:val="24"/>
        </w:rPr>
        <w:t>建立、实施并保持满足 GB/T 19001 要求的质量管理体系，宜通过第三方认证。</w:t>
      </w:r>
    </w:p>
    <w:p w14:paraId="73BBB8FD">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3.2 </w:t>
      </w:r>
      <w:r>
        <w:rPr>
          <w:rFonts w:hint="eastAsia" w:ascii="华文宋体" w:hAnsi="华文宋体" w:eastAsia="华文宋体"/>
          <w:sz w:val="24"/>
          <w:szCs w:val="24"/>
        </w:rPr>
        <w:t>建立、实施并保持满足 GB/T 28001 要求的职业健康安全管理体系，宜通过第三方认证。</w:t>
      </w:r>
    </w:p>
    <w:p w14:paraId="3CF33E90">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3.3 </w:t>
      </w:r>
      <w:r>
        <w:rPr>
          <w:rFonts w:hint="eastAsia" w:ascii="华文宋体" w:hAnsi="华文宋体" w:eastAsia="华文宋体"/>
          <w:sz w:val="24"/>
          <w:szCs w:val="24"/>
        </w:rPr>
        <w:t>建立、实施并保持满足 GB/T 24001 要求的职业健康安全管理体系，宜通过第三方认证。</w:t>
      </w:r>
    </w:p>
    <w:p w14:paraId="50D4795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3.4 </w:t>
      </w:r>
      <w:r>
        <w:rPr>
          <w:rFonts w:hint="eastAsia" w:ascii="华文宋体" w:hAnsi="华文宋体" w:eastAsia="华文宋体"/>
          <w:sz w:val="24"/>
          <w:szCs w:val="24"/>
        </w:rPr>
        <w:t>建立、实施并保持满足 GB/T 23331 要求的职业健康安全管理体系，宜通过第三方认证。</w:t>
      </w:r>
    </w:p>
    <w:p w14:paraId="6183FC6B">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3.5 </w:t>
      </w:r>
      <w:r>
        <w:rPr>
          <w:rFonts w:hint="eastAsia" w:ascii="华文宋体" w:hAnsi="华文宋体" w:eastAsia="华文宋体"/>
          <w:sz w:val="24"/>
          <w:szCs w:val="24"/>
        </w:rPr>
        <w:t>按照 GB/T 36000 要求编制并发布年度社会责任报告，说明履行利益相关方责任的情况，尤其是环境社会责任的履行情况。</w:t>
      </w:r>
    </w:p>
    <w:p w14:paraId="34E973CC">
      <w:pPr>
        <w:ind w:firstLine="482" w:firstLineChars="200"/>
        <w:rPr>
          <w:rFonts w:hint="eastAsia" w:ascii="华文宋体" w:hAnsi="华文宋体" w:eastAsia="华文宋体"/>
          <w:b/>
          <w:bCs/>
          <w:sz w:val="24"/>
          <w:szCs w:val="24"/>
        </w:rPr>
      </w:pPr>
      <w:r>
        <w:rPr>
          <w:rFonts w:hint="eastAsia" w:ascii="华文宋体" w:hAnsi="华文宋体" w:eastAsia="华文宋体"/>
          <w:b/>
          <w:bCs/>
          <w:sz w:val="24"/>
          <w:szCs w:val="24"/>
          <w:lang w:val="en-US" w:eastAsia="zh-CN"/>
        </w:rPr>
        <w:t xml:space="preserve">4 </w:t>
      </w:r>
      <w:r>
        <w:rPr>
          <w:rFonts w:hint="eastAsia" w:ascii="华文宋体" w:hAnsi="华文宋体" w:eastAsia="华文宋体"/>
          <w:b/>
          <w:bCs/>
          <w:sz w:val="24"/>
          <w:szCs w:val="24"/>
        </w:rPr>
        <w:t>能源资源投入</w:t>
      </w:r>
    </w:p>
    <w:p w14:paraId="744E5DCA">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4.1 </w:t>
      </w:r>
      <w:r>
        <w:rPr>
          <w:rFonts w:hint="eastAsia" w:ascii="华文宋体" w:hAnsi="华文宋体" w:eastAsia="华文宋体"/>
          <w:sz w:val="24"/>
          <w:szCs w:val="24"/>
        </w:rPr>
        <w:t>能源投入</w:t>
      </w:r>
    </w:p>
    <w:p w14:paraId="1BB77027">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优化生产流程和用能结构，减少不可再生能源投入。</w:t>
      </w:r>
    </w:p>
    <w:p w14:paraId="785E209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加强余热、余压、余能等二次能源回收利用。</w:t>
      </w:r>
    </w:p>
    <w:p w14:paraId="26B7A871">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3</w:t>
      </w:r>
      <w:r>
        <w:rPr>
          <w:rFonts w:hint="eastAsia" w:ascii="华文宋体" w:hAnsi="华文宋体" w:eastAsia="华文宋体"/>
          <w:sz w:val="24"/>
          <w:szCs w:val="24"/>
          <w:lang w:eastAsia="zh-CN"/>
        </w:rPr>
        <w:t>）</w:t>
      </w:r>
      <w:r>
        <w:rPr>
          <w:rFonts w:hint="eastAsia" w:ascii="华文宋体" w:hAnsi="华文宋体" w:eastAsia="华文宋体"/>
          <w:sz w:val="24"/>
          <w:szCs w:val="24"/>
        </w:rPr>
        <w:t>使用低碳清洁的新能源和可再生能源，替代不可再生能源。</w:t>
      </w:r>
    </w:p>
    <w:p w14:paraId="796DEAC6">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4</w:t>
      </w:r>
      <w:r>
        <w:rPr>
          <w:rFonts w:hint="eastAsia" w:ascii="华文宋体" w:hAnsi="华文宋体" w:eastAsia="华文宋体"/>
          <w:sz w:val="24"/>
          <w:szCs w:val="24"/>
          <w:lang w:eastAsia="zh-CN"/>
        </w:rPr>
        <w:t>）</w:t>
      </w:r>
      <w:r>
        <w:rPr>
          <w:rFonts w:hint="eastAsia" w:ascii="华文宋体" w:hAnsi="华文宋体" w:eastAsia="华文宋体"/>
          <w:sz w:val="24"/>
          <w:szCs w:val="24"/>
        </w:rPr>
        <w:t>建设光伏电站、智能微电网等优化能源结构。</w:t>
      </w:r>
    </w:p>
    <w:p w14:paraId="57C85C5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5</w:t>
      </w:r>
      <w:r>
        <w:rPr>
          <w:rFonts w:hint="eastAsia" w:ascii="华文宋体" w:hAnsi="华文宋体" w:eastAsia="华文宋体"/>
          <w:sz w:val="24"/>
          <w:szCs w:val="24"/>
          <w:lang w:eastAsia="zh-CN"/>
        </w:rPr>
        <w:t>）</w:t>
      </w:r>
      <w:r>
        <w:rPr>
          <w:rFonts w:hint="eastAsia" w:ascii="华文宋体" w:hAnsi="华文宋体" w:eastAsia="华文宋体"/>
          <w:sz w:val="24"/>
          <w:szCs w:val="24"/>
        </w:rPr>
        <w:t>建有能源管理中心、制定工厂用能和节能发展规划，优化能源管理。</w:t>
      </w:r>
    </w:p>
    <w:p w14:paraId="4B539592">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4.2 </w:t>
      </w:r>
      <w:r>
        <w:rPr>
          <w:rFonts w:hint="eastAsia" w:ascii="华文宋体" w:hAnsi="华文宋体" w:eastAsia="华文宋体"/>
          <w:sz w:val="24"/>
          <w:szCs w:val="24"/>
        </w:rPr>
        <w:t>资源投入</w:t>
      </w:r>
    </w:p>
    <w:p w14:paraId="5C96E00C">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按照相关标准进行节水评价工作。</w:t>
      </w:r>
    </w:p>
    <w:p w14:paraId="258CC95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减少材料尤其是有害物质的使用，评估其减量使用或替代的可行性。</w:t>
      </w:r>
    </w:p>
    <w:p w14:paraId="312C1D71">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3</w:t>
      </w:r>
      <w:r>
        <w:rPr>
          <w:rFonts w:hint="eastAsia" w:ascii="华文宋体" w:hAnsi="华文宋体" w:eastAsia="华文宋体"/>
          <w:sz w:val="24"/>
          <w:szCs w:val="24"/>
          <w:lang w:eastAsia="zh-CN"/>
        </w:rPr>
        <w:t>）</w:t>
      </w:r>
      <w:r>
        <w:rPr>
          <w:rFonts w:hint="eastAsia" w:ascii="华文宋体" w:hAnsi="华文宋体" w:eastAsia="华文宋体"/>
          <w:sz w:val="24"/>
          <w:szCs w:val="24"/>
        </w:rPr>
        <w:t>按照相关标准评价原材料使用情况。</w:t>
      </w:r>
    </w:p>
    <w:p w14:paraId="63D2D5BB">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4</w:t>
      </w:r>
      <w:r>
        <w:rPr>
          <w:rFonts w:hint="eastAsia" w:ascii="华文宋体" w:hAnsi="华文宋体" w:eastAsia="华文宋体"/>
          <w:sz w:val="24"/>
          <w:szCs w:val="24"/>
          <w:lang w:eastAsia="zh-CN"/>
        </w:rPr>
        <w:t>）</w:t>
      </w:r>
      <w:r>
        <w:rPr>
          <w:rFonts w:hint="eastAsia" w:ascii="华文宋体" w:hAnsi="华文宋体" w:eastAsia="华文宋体"/>
          <w:sz w:val="24"/>
          <w:szCs w:val="24"/>
        </w:rPr>
        <w:t>使用回收料、可回收材料替代原生材料、不可作为替代原生材料、不可回收材料。</w:t>
      </w:r>
    </w:p>
    <w:p w14:paraId="2E9DD0A5">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5</w:t>
      </w:r>
      <w:r>
        <w:rPr>
          <w:rFonts w:hint="eastAsia" w:ascii="华文宋体" w:hAnsi="华文宋体" w:eastAsia="华文宋体"/>
          <w:sz w:val="24"/>
          <w:szCs w:val="24"/>
          <w:lang w:eastAsia="zh-CN"/>
        </w:rPr>
        <w:t>）</w:t>
      </w:r>
      <w:r>
        <w:rPr>
          <w:rFonts w:hint="eastAsia" w:ascii="华文宋体" w:hAnsi="华文宋体" w:eastAsia="华文宋体"/>
          <w:sz w:val="24"/>
          <w:szCs w:val="24"/>
        </w:rPr>
        <w:t>使用替代或减少全球增温潜势较高温室气体。</w:t>
      </w:r>
    </w:p>
    <w:p w14:paraId="2032E36B">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6</w:t>
      </w:r>
      <w:r>
        <w:rPr>
          <w:rFonts w:hint="eastAsia" w:ascii="华文宋体" w:hAnsi="华文宋体" w:eastAsia="华文宋体"/>
          <w:sz w:val="24"/>
          <w:szCs w:val="24"/>
          <w:lang w:eastAsia="zh-CN"/>
        </w:rPr>
        <w:t>）</w:t>
      </w:r>
      <w:r>
        <w:rPr>
          <w:rFonts w:hint="eastAsia" w:ascii="华文宋体" w:hAnsi="华文宋体" w:eastAsia="华文宋体"/>
          <w:sz w:val="24"/>
          <w:szCs w:val="24"/>
        </w:rPr>
        <w:t>制定并实施包含环保要求的供应商选择、评价和重新评估准则及程序，向供应商提供包含有害物质使用等环保要求的采购信息，宜满足绿色供应链的评价要求。</w:t>
      </w:r>
    </w:p>
    <w:p w14:paraId="01E40627">
      <w:pPr>
        <w:ind w:firstLine="482" w:firstLineChars="200"/>
        <w:rPr>
          <w:rFonts w:hint="eastAsia" w:ascii="华文宋体" w:hAnsi="华文宋体" w:eastAsia="华文宋体"/>
          <w:b/>
          <w:bCs/>
          <w:sz w:val="24"/>
          <w:szCs w:val="24"/>
        </w:rPr>
      </w:pPr>
      <w:r>
        <w:rPr>
          <w:rFonts w:hint="eastAsia" w:ascii="华文宋体" w:hAnsi="华文宋体" w:eastAsia="华文宋体"/>
          <w:b/>
          <w:bCs/>
          <w:sz w:val="24"/>
          <w:szCs w:val="24"/>
          <w:lang w:val="en-US" w:eastAsia="zh-CN"/>
        </w:rPr>
        <w:t xml:space="preserve">5 </w:t>
      </w:r>
      <w:r>
        <w:rPr>
          <w:rFonts w:hint="eastAsia" w:ascii="华文宋体" w:hAnsi="华文宋体" w:eastAsia="华文宋体"/>
          <w:b/>
          <w:bCs/>
          <w:sz w:val="24"/>
          <w:szCs w:val="24"/>
        </w:rPr>
        <w:t>生产过程</w:t>
      </w:r>
    </w:p>
    <w:p w14:paraId="13197FEF">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5.1</w:t>
      </w:r>
      <w:r>
        <w:rPr>
          <w:rFonts w:hint="eastAsia" w:ascii="华文宋体" w:hAnsi="华文宋体" w:eastAsia="华文宋体"/>
          <w:sz w:val="24"/>
          <w:szCs w:val="24"/>
        </w:rPr>
        <w:t>生产场所整洁，布局先进，满足相关安全、节能、环保要求。</w:t>
      </w:r>
    </w:p>
    <w:p w14:paraId="2490687D">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5.2</w:t>
      </w:r>
      <w:r>
        <w:rPr>
          <w:rFonts w:hint="eastAsia" w:ascii="华文宋体" w:hAnsi="华文宋体" w:eastAsia="华文宋体"/>
          <w:sz w:val="24"/>
          <w:szCs w:val="24"/>
        </w:rPr>
        <w:t>部分工序采用自动化设备，采用无铅焊楼工艺，车间配备焊接废气处理系统，车间无异味。</w:t>
      </w:r>
    </w:p>
    <w:p w14:paraId="605BC7ED">
      <w:pPr>
        <w:ind w:firstLine="482" w:firstLineChars="200"/>
        <w:rPr>
          <w:rFonts w:hint="eastAsia" w:ascii="华文宋体" w:hAnsi="华文宋体" w:eastAsia="华文宋体"/>
          <w:b/>
          <w:bCs/>
          <w:sz w:val="24"/>
          <w:szCs w:val="24"/>
        </w:rPr>
      </w:pPr>
      <w:r>
        <w:rPr>
          <w:rFonts w:hint="eastAsia" w:ascii="华文宋体" w:hAnsi="华文宋体" w:eastAsia="华文宋体"/>
          <w:b/>
          <w:bCs/>
          <w:sz w:val="24"/>
          <w:szCs w:val="24"/>
          <w:lang w:val="en-US" w:eastAsia="zh-CN"/>
        </w:rPr>
        <w:t xml:space="preserve">6 </w:t>
      </w:r>
      <w:r>
        <w:rPr>
          <w:rFonts w:hint="eastAsia" w:ascii="华文宋体" w:hAnsi="华文宋体" w:eastAsia="华文宋体"/>
          <w:b/>
          <w:bCs/>
          <w:sz w:val="24"/>
          <w:szCs w:val="24"/>
        </w:rPr>
        <w:t>产品</w:t>
      </w:r>
    </w:p>
    <w:p w14:paraId="096C33D7">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6.1 </w:t>
      </w:r>
      <w:r>
        <w:rPr>
          <w:rFonts w:hint="eastAsia" w:ascii="华文宋体" w:hAnsi="华文宋体" w:eastAsia="华文宋体"/>
          <w:sz w:val="24"/>
          <w:szCs w:val="24"/>
        </w:rPr>
        <w:t>生态设计</w:t>
      </w:r>
    </w:p>
    <w:p w14:paraId="36DC9A7D">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引入绿色（生态）设计理念，如减少所使用材料种类、使用产品本身或兼容材料进行标识标记、延长产品寿命等。</w:t>
      </w:r>
    </w:p>
    <w:p w14:paraId="2562C4B5">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宜按照 GB/T 24256 进行绿色（生态）设计，并按照 GB/T 32161 进行评价。</w:t>
      </w:r>
    </w:p>
    <w:p w14:paraId="2F0651EE">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6.2 </w:t>
      </w:r>
      <w:r>
        <w:rPr>
          <w:rFonts w:hint="eastAsia" w:ascii="华文宋体" w:hAnsi="华文宋体" w:eastAsia="华文宋体"/>
          <w:sz w:val="24"/>
          <w:szCs w:val="24"/>
        </w:rPr>
        <w:t>有害物质限制使用</w:t>
      </w:r>
    </w:p>
    <w:p w14:paraId="6B476C39">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减少产品有害物质的使用，满足相关限制要求。</w:t>
      </w:r>
    </w:p>
    <w:p w14:paraId="675F6C02">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开展有毒有害原料替代技术、工艺等研究，实现有害物质替代。</w:t>
      </w:r>
    </w:p>
    <w:p w14:paraId="162CC3D6">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6.3 </w:t>
      </w:r>
      <w:r>
        <w:rPr>
          <w:rFonts w:hint="eastAsia" w:ascii="华文宋体" w:hAnsi="华文宋体" w:eastAsia="华文宋体"/>
          <w:sz w:val="24"/>
          <w:szCs w:val="24"/>
        </w:rPr>
        <w:t>节能</w:t>
      </w:r>
    </w:p>
    <w:p w14:paraId="540A2E22">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对产品进行节能设计，适用时应满足 GB/T 24825 中节能评价的 1 级值要求。</w:t>
      </w:r>
    </w:p>
    <w:p w14:paraId="6B802B79">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6.4 </w:t>
      </w:r>
      <w:r>
        <w:rPr>
          <w:rFonts w:hint="eastAsia" w:ascii="华文宋体" w:hAnsi="华文宋体" w:eastAsia="华文宋体"/>
          <w:sz w:val="24"/>
          <w:szCs w:val="24"/>
        </w:rPr>
        <w:t>减碳</w:t>
      </w:r>
    </w:p>
    <w:p w14:paraId="6D39CCAD">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宜采用相关标准规范对产品进行碳足迹核算或核查，并利用结果改善产品碳足迹，核算或缺勤查看结果宜对外公布。</w:t>
      </w:r>
    </w:p>
    <w:p w14:paraId="1C15220C">
      <w:pPr>
        <w:ind w:firstLine="482" w:firstLineChars="200"/>
        <w:rPr>
          <w:rFonts w:hint="eastAsia" w:ascii="华文宋体" w:hAnsi="华文宋体" w:eastAsia="华文宋体"/>
          <w:b/>
          <w:bCs/>
          <w:sz w:val="24"/>
          <w:szCs w:val="24"/>
        </w:rPr>
      </w:pPr>
      <w:r>
        <w:rPr>
          <w:rFonts w:hint="eastAsia" w:ascii="华文宋体" w:hAnsi="华文宋体" w:eastAsia="华文宋体"/>
          <w:b/>
          <w:bCs/>
          <w:sz w:val="24"/>
          <w:szCs w:val="24"/>
          <w:lang w:val="en-US" w:eastAsia="zh-CN"/>
        </w:rPr>
        <w:t xml:space="preserve">7 </w:t>
      </w:r>
      <w:r>
        <w:rPr>
          <w:rFonts w:hint="eastAsia" w:ascii="华文宋体" w:hAnsi="华文宋体" w:eastAsia="华文宋体"/>
          <w:b/>
          <w:bCs/>
          <w:sz w:val="24"/>
          <w:szCs w:val="24"/>
        </w:rPr>
        <w:t>环境排放</w:t>
      </w:r>
    </w:p>
    <w:p w14:paraId="2E7CD832">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7.1 </w:t>
      </w:r>
      <w:r>
        <w:rPr>
          <w:rFonts w:hint="eastAsia" w:ascii="华文宋体" w:hAnsi="华文宋体" w:eastAsia="华文宋体"/>
          <w:sz w:val="24"/>
          <w:szCs w:val="24"/>
        </w:rPr>
        <w:t>大气污染物排放符合相关国家标准、行业标准及地方标准要求，并满足区域内排放总量控制要求，主要大气污染物排放宜满足更高等级要求。</w:t>
      </w:r>
    </w:p>
    <w:p w14:paraId="74EFFE47">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7.2 </w:t>
      </w:r>
      <w:r>
        <w:rPr>
          <w:rFonts w:hint="eastAsia" w:ascii="华文宋体" w:hAnsi="华文宋体" w:eastAsia="华文宋体"/>
          <w:sz w:val="24"/>
          <w:szCs w:val="24"/>
        </w:rPr>
        <w:t>水体污染物排放符合国家、业、地方相关标准要求，或在满足要求前提下委托有能力和资质的处理厂处理，并满足区域内排放总量控制要求，主要水体污染物排放宜满足更高等级要求。</w:t>
      </w:r>
    </w:p>
    <w:p w14:paraId="104EA730">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7.3 </w:t>
      </w:r>
      <w:r>
        <w:rPr>
          <w:rFonts w:hint="eastAsia" w:ascii="华文宋体" w:hAnsi="华文宋体" w:eastAsia="华文宋体"/>
          <w:sz w:val="24"/>
          <w:szCs w:val="24"/>
        </w:rPr>
        <w:t>一般固体废弃物贮存符合相关标准要求，并做好转交手续和记录；危险废物贮存应符合规定，建立管理制度，交给有相应能力和资质的就对其处理机构处理，并做好转交手续和记录。</w:t>
      </w:r>
    </w:p>
    <w:p w14:paraId="2DD7FD62">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7.4 </w:t>
      </w:r>
      <w:r>
        <w:rPr>
          <w:rFonts w:hint="eastAsia" w:ascii="华文宋体" w:hAnsi="华文宋体" w:eastAsia="华文宋体"/>
          <w:sz w:val="24"/>
          <w:szCs w:val="24"/>
        </w:rPr>
        <w:t>厂界噪声排放符合 GB 12348 的要求。</w:t>
      </w:r>
    </w:p>
    <w:p w14:paraId="72C2ABB4">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7.5 </w:t>
      </w:r>
      <w:r>
        <w:rPr>
          <w:rFonts w:hint="eastAsia" w:ascii="华文宋体" w:hAnsi="华文宋体" w:eastAsia="华文宋体"/>
          <w:sz w:val="24"/>
          <w:szCs w:val="24"/>
        </w:rPr>
        <w:t>采用 GB/T 32150 对厂界范围内的温室气体排放进行核算和报告；宜进行温室气体排放量第三方核查，核查结果对外公布，并利用核算或核查结果改善温室气体排放。</w:t>
      </w:r>
    </w:p>
    <w:p w14:paraId="04A02045">
      <w:pPr>
        <w:ind w:firstLine="482" w:firstLineChars="200"/>
        <w:rPr>
          <w:rFonts w:hint="eastAsia" w:ascii="华文宋体" w:hAnsi="华文宋体" w:eastAsia="华文宋体"/>
          <w:b/>
          <w:bCs/>
          <w:sz w:val="24"/>
          <w:szCs w:val="24"/>
        </w:rPr>
      </w:pPr>
      <w:r>
        <w:rPr>
          <w:rFonts w:hint="eastAsia" w:ascii="华文宋体" w:hAnsi="华文宋体" w:eastAsia="华文宋体"/>
          <w:b/>
          <w:bCs/>
          <w:sz w:val="24"/>
          <w:szCs w:val="24"/>
          <w:lang w:val="en-US" w:eastAsia="zh-CN"/>
        </w:rPr>
        <w:t xml:space="preserve">8 </w:t>
      </w:r>
      <w:r>
        <w:rPr>
          <w:rFonts w:hint="eastAsia" w:ascii="华文宋体" w:hAnsi="华文宋体" w:eastAsia="华文宋体"/>
          <w:b/>
          <w:bCs/>
          <w:sz w:val="24"/>
          <w:szCs w:val="24"/>
        </w:rPr>
        <w:t>绩效</w:t>
      </w:r>
    </w:p>
    <w:p w14:paraId="64C04874">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8.1 </w:t>
      </w:r>
      <w:r>
        <w:rPr>
          <w:rFonts w:hint="eastAsia" w:ascii="华文宋体" w:hAnsi="华文宋体" w:eastAsia="华文宋体"/>
          <w:sz w:val="24"/>
          <w:szCs w:val="24"/>
        </w:rPr>
        <w:t>用地集约化</w:t>
      </w:r>
    </w:p>
    <w:p w14:paraId="474E6E7F">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工厂容积率、建筑密度、单位用地面积产能应满足相关要求。</w:t>
      </w:r>
    </w:p>
    <w:p w14:paraId="12A5695D">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8.2 </w:t>
      </w:r>
      <w:r>
        <w:rPr>
          <w:rFonts w:hint="eastAsia" w:ascii="华文宋体" w:hAnsi="华文宋体" w:eastAsia="华文宋体"/>
          <w:sz w:val="24"/>
          <w:szCs w:val="24"/>
        </w:rPr>
        <w:t>原料无害化</w:t>
      </w:r>
    </w:p>
    <w:p w14:paraId="3560FC5B">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按照相关公式识别、统计和计算绿色物料使用情况，优先选用推荐的绿色物料，绿色物料使用率宜大于 30％。</w:t>
      </w:r>
    </w:p>
    <w:p w14:paraId="012BDE6C">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8.3 </w:t>
      </w:r>
      <w:r>
        <w:rPr>
          <w:rFonts w:hint="eastAsia" w:ascii="华文宋体" w:hAnsi="华文宋体" w:eastAsia="华文宋体"/>
          <w:sz w:val="24"/>
          <w:szCs w:val="24"/>
        </w:rPr>
        <w:t>生产洁净化</w:t>
      </w:r>
    </w:p>
    <w:p w14:paraId="37E38AB4">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计算单位产品主要污染物产生量（包括化学需氧量、二氧化硫、氮氧化物等）、单位废气产生量、单位产品废水产生量等指标，应满足行业平均水平要求。</w:t>
      </w:r>
    </w:p>
    <w:p w14:paraId="5233A929">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8.4 </w:t>
      </w:r>
      <w:r>
        <w:rPr>
          <w:rFonts w:hint="eastAsia" w:ascii="华文宋体" w:hAnsi="华文宋体" w:eastAsia="华文宋体"/>
          <w:sz w:val="24"/>
          <w:szCs w:val="24"/>
        </w:rPr>
        <w:t>废物资源化</w:t>
      </w:r>
    </w:p>
    <w:p w14:paraId="11D67E20">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计算单位产品主要原材料消耗量，指标不高于行业平均水平；计算工业固体废物综合利用率，指标应大于 65％；计算废水处理回用率，指标不高于行业平均水平。</w:t>
      </w:r>
    </w:p>
    <w:p w14:paraId="756AED71">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 xml:space="preserve">8.5 </w:t>
      </w:r>
      <w:r>
        <w:rPr>
          <w:rFonts w:hint="eastAsia" w:ascii="华文宋体" w:hAnsi="华文宋体" w:eastAsia="华文宋体"/>
          <w:sz w:val="24"/>
          <w:szCs w:val="24"/>
        </w:rPr>
        <w:t>能源低碳化</w:t>
      </w:r>
    </w:p>
    <w:p w14:paraId="2D060FF1">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按照 GB/T 2589 的要求计算单位产品（产值）能耗，指标应达到行业平均水平；按照相关公式计算单位产品碳排放量，指标应优于行业平均水平。</w:t>
      </w:r>
    </w:p>
    <w:p w14:paraId="236EAE92">
      <w:pPr>
        <w:ind w:firstLine="560" w:firstLineChars="200"/>
        <w:rPr>
          <w:rFonts w:ascii="黑体" w:hAnsi="黑体" w:eastAsia="黑体"/>
          <w:sz w:val="28"/>
          <w:szCs w:val="28"/>
        </w:rPr>
      </w:pPr>
      <w:r>
        <w:rPr>
          <w:rFonts w:hint="eastAsia" w:ascii="黑体" w:hAnsi="黑体" w:eastAsia="黑体"/>
          <w:sz w:val="28"/>
          <w:szCs w:val="28"/>
        </w:rPr>
        <w:t>六、对国际标准和国外先进标准的采标程度，以及与国内外同类标准水平的对比</w:t>
      </w:r>
    </w:p>
    <w:p w14:paraId="2931185B">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1、</w:t>
      </w:r>
      <w:r>
        <w:rPr>
          <w:rFonts w:hint="eastAsia" w:ascii="华文宋体" w:hAnsi="华文宋体" w:eastAsia="华文宋体"/>
          <w:sz w:val="24"/>
          <w:szCs w:val="24"/>
        </w:rPr>
        <w:t>采标程度</w:t>
      </w:r>
    </w:p>
    <w:p w14:paraId="1E751A35">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国际标准</w:t>
      </w:r>
    </w:p>
    <w:p w14:paraId="41164505">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本标准部分引用了国际标准，如 ISO/TS 14067《温室气体产品碳足迹关于量化和通报的要求和指南》和 PAS 2050《商品和服务在生命周期内的温室气体排放评价规范》，用于产品碳足迹核算及核查相关内容。在产品的减碳方面对国际标准有一定程度的采标，但并非完全依赖国际标准构建整个评价导则。</w:t>
      </w:r>
    </w:p>
    <w:p w14:paraId="47EC86CD">
      <w:pPr>
        <w:numPr>
          <w:ilvl w:val="0"/>
          <w:numId w:val="0"/>
        </w:numPr>
        <w:ind w:firstLine="480" w:firstLineChars="200"/>
        <w:rPr>
          <w:rFonts w:hint="eastAsia" w:ascii="华文宋体" w:hAnsi="华文宋体" w:eastAsia="华文宋体"/>
          <w:sz w:val="24"/>
          <w:szCs w:val="24"/>
        </w:rPr>
      </w:pPr>
      <w:r>
        <w:rPr>
          <w:rFonts w:hint="eastAsia" w:ascii="华文宋体" w:hAnsi="华文宋体" w:eastAsia="华文宋体" w:cstheme="minorBidi"/>
          <w:kern w:val="2"/>
          <w:sz w:val="24"/>
          <w:szCs w:val="24"/>
          <w:lang w:val="en-US" w:eastAsia="zh-CN" w:bidi="ar-SA"/>
        </w:rPr>
        <w:t>（2）</w:t>
      </w:r>
      <w:r>
        <w:rPr>
          <w:rFonts w:hint="eastAsia" w:ascii="华文宋体" w:hAnsi="华文宋体" w:eastAsia="华文宋体"/>
          <w:sz w:val="24"/>
          <w:szCs w:val="24"/>
        </w:rPr>
        <w:t>国外先进标准</w:t>
      </w:r>
    </w:p>
    <w:p w14:paraId="1CF6D0F0">
      <w:pPr>
        <w:numPr>
          <w:ilvl w:val="0"/>
          <w:numId w:val="0"/>
        </w:num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未提及明确的国外先进标准采标情况，但在绿色工厂评价的整体理念和部分技术指标设定上可能参考了国际上对于绿色制造、可持续发展的一些通用理念和做法。</w:t>
      </w:r>
    </w:p>
    <w:p w14:paraId="4CABFD9F">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2、</w:t>
      </w:r>
      <w:r>
        <w:rPr>
          <w:rFonts w:hint="eastAsia" w:ascii="华文宋体" w:hAnsi="华文宋体" w:eastAsia="华文宋体"/>
          <w:sz w:val="24"/>
          <w:szCs w:val="24"/>
        </w:rPr>
        <w:t>与国内外同类标准水平对比</w:t>
      </w:r>
    </w:p>
    <w:p w14:paraId="36463518">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1</w:t>
      </w:r>
      <w:r>
        <w:rPr>
          <w:rFonts w:hint="eastAsia" w:ascii="华文宋体" w:hAnsi="华文宋体" w:eastAsia="华文宋体"/>
          <w:sz w:val="24"/>
          <w:szCs w:val="24"/>
          <w:lang w:eastAsia="zh-CN"/>
        </w:rPr>
        <w:t>）</w:t>
      </w:r>
      <w:r>
        <w:rPr>
          <w:rFonts w:hint="eastAsia" w:ascii="华文宋体" w:hAnsi="华文宋体" w:eastAsia="华文宋体"/>
          <w:sz w:val="24"/>
          <w:szCs w:val="24"/>
        </w:rPr>
        <w:t>国内同类标准</w:t>
      </w:r>
    </w:p>
    <w:p w14:paraId="1B07608E">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与 GB/T 36132—2018《绿色工厂评价通则》紧密相关且部分遵循其框架和原则。在电力金具行业的针对性上进行了细化和补充，例如在基础设施部分对电力金具生产相关的设备设施、建筑材料等有更具体的要求；在产品部分针对电力金具产品的生态设计、有害物质限制使用、节能和减碳等方面制定了符合行业特点的标准。相比其他行业的绿色工厂评价标准，该标准更专注于电力金具行业的生产流程、产品特性和环境影响因素，更具行业针对性和可操作性。</w:t>
      </w:r>
    </w:p>
    <w:p w14:paraId="29FBDE7D">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eastAsia="zh-CN"/>
        </w:rPr>
        <w:t>（</w:t>
      </w:r>
      <w:r>
        <w:rPr>
          <w:rFonts w:hint="eastAsia" w:ascii="华文宋体" w:hAnsi="华文宋体" w:eastAsia="华文宋体"/>
          <w:sz w:val="24"/>
          <w:szCs w:val="24"/>
          <w:lang w:val="en-US" w:eastAsia="zh-CN"/>
        </w:rPr>
        <w:t>2</w:t>
      </w:r>
      <w:r>
        <w:rPr>
          <w:rFonts w:hint="eastAsia" w:ascii="华文宋体" w:hAnsi="华文宋体" w:eastAsia="华文宋体"/>
          <w:sz w:val="24"/>
          <w:szCs w:val="24"/>
          <w:lang w:eastAsia="zh-CN"/>
        </w:rPr>
        <w:t>）</w:t>
      </w:r>
      <w:r>
        <w:rPr>
          <w:rFonts w:hint="eastAsia" w:ascii="华文宋体" w:hAnsi="华文宋体" w:eastAsia="华文宋体"/>
          <w:sz w:val="24"/>
          <w:szCs w:val="24"/>
        </w:rPr>
        <w:t>国外同类标准</w:t>
      </w:r>
    </w:p>
    <w:p w14:paraId="696D2661">
      <w:pPr>
        <w:ind w:firstLine="480" w:firstLineChars="200"/>
        <w:rPr>
          <w:rFonts w:ascii="华文宋体" w:hAnsi="华文宋体" w:eastAsia="华文宋体"/>
          <w:sz w:val="24"/>
          <w:szCs w:val="24"/>
        </w:rPr>
      </w:pPr>
      <w:r>
        <w:rPr>
          <w:rFonts w:hint="eastAsia" w:ascii="华文宋体" w:hAnsi="华文宋体" w:eastAsia="华文宋体"/>
          <w:sz w:val="24"/>
          <w:szCs w:val="24"/>
        </w:rPr>
        <w:t>国外可能有一些关于绿色制造或工厂可持续性评价的相关标准，但由于不同国家的产业结构、环境政策和技术发展水平不同，难以直接进行全面对比。不过从涵盖的评价维度来看，本标准在基本涵盖国际上常见的绿色工厂评价要素（如用地集约化、能源低碳化等）的基础上，结合电力金具行业特点进行了深入拓展，符合国际上对于绿色制造和可持续发展的总体趋势。</w:t>
      </w:r>
    </w:p>
    <w:p w14:paraId="24316A74">
      <w:pPr>
        <w:ind w:firstLine="560" w:firstLineChars="200"/>
        <w:rPr>
          <w:rFonts w:hint="eastAsia" w:ascii="黑体" w:hAnsi="黑体" w:eastAsia="黑体"/>
          <w:sz w:val="28"/>
          <w:szCs w:val="28"/>
        </w:rPr>
      </w:pPr>
      <w:r>
        <w:rPr>
          <w:rFonts w:hint="eastAsia" w:ascii="黑体" w:hAnsi="黑体" w:eastAsia="黑体"/>
          <w:sz w:val="28"/>
          <w:szCs w:val="28"/>
        </w:rPr>
        <w:t>七、重大意见分歧的处理依据和结果</w:t>
      </w:r>
    </w:p>
    <w:p w14:paraId="16CDB990">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无重大意见分歧。</w:t>
      </w:r>
    </w:p>
    <w:p w14:paraId="6D547F7C">
      <w:pPr>
        <w:ind w:firstLine="560" w:firstLineChars="200"/>
        <w:rPr>
          <w:rFonts w:hint="eastAsia" w:ascii="黑体" w:hAnsi="黑体" w:eastAsia="黑体"/>
          <w:sz w:val="28"/>
          <w:szCs w:val="28"/>
        </w:rPr>
      </w:pPr>
      <w:r>
        <w:rPr>
          <w:rFonts w:hint="eastAsia" w:ascii="黑体" w:hAnsi="黑体" w:eastAsia="黑体"/>
          <w:sz w:val="28"/>
          <w:szCs w:val="28"/>
        </w:rPr>
        <w:t>八、其他事项说明</w:t>
      </w:r>
    </w:p>
    <w:p w14:paraId="5DAB9E66">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本标准不涉及专利、商标等知识产权问题。</w:t>
      </w:r>
    </w:p>
    <w:p w14:paraId="43908296">
      <w:pPr>
        <w:ind w:firstLine="480" w:firstLineChars="200"/>
        <w:rPr>
          <w:sz w:val="24"/>
          <w:szCs w:val="24"/>
        </w:rPr>
      </w:pPr>
    </w:p>
    <w:p w14:paraId="6B215294">
      <w:pPr>
        <w:ind w:firstLine="480" w:firstLineChars="200"/>
        <w:rPr>
          <w:sz w:val="24"/>
          <w:szCs w:val="24"/>
        </w:rPr>
      </w:pPr>
    </w:p>
    <w:p w14:paraId="19EE92AE">
      <w:pPr>
        <w:ind w:firstLine="480" w:firstLineChars="200"/>
        <w:jc w:val="right"/>
        <w:rPr>
          <w:rFonts w:ascii="仿宋_GB2312" w:hAnsi="仿宋" w:eastAsia="仿宋_GB2312"/>
          <w:sz w:val="24"/>
          <w:szCs w:val="24"/>
        </w:rPr>
      </w:pPr>
      <w:r>
        <w:rPr>
          <w:rFonts w:hint="eastAsia" w:ascii="仿宋_GB2312" w:hAnsi="仿宋" w:eastAsia="仿宋_GB2312"/>
          <w:sz w:val="24"/>
          <w:szCs w:val="24"/>
        </w:rPr>
        <w:t>中国中小企业协会</w:t>
      </w:r>
    </w:p>
    <w:p w14:paraId="78298997">
      <w:pPr>
        <w:ind w:firstLine="480" w:firstLineChars="200"/>
        <w:jc w:val="right"/>
        <w:rPr>
          <w:rFonts w:ascii="仿宋_GB2312" w:hAnsi="仿宋" w:eastAsia="仿宋_GB2312"/>
          <w:sz w:val="24"/>
          <w:szCs w:val="24"/>
        </w:rPr>
      </w:pPr>
      <w:r>
        <w:rPr>
          <w:rFonts w:ascii="仿宋_GB2312" w:hAnsi="仿宋" w:eastAsia="仿宋_GB2312"/>
          <w:sz w:val="24"/>
          <w:szCs w:val="24"/>
        </w:rPr>
        <w:t>20</w:t>
      </w:r>
      <w:r>
        <w:rPr>
          <w:rFonts w:hint="eastAsia" w:ascii="仿宋_GB2312" w:hAnsi="仿宋" w:eastAsia="仿宋_GB2312"/>
          <w:sz w:val="24"/>
          <w:szCs w:val="24"/>
          <w:lang w:val="en-US" w:eastAsia="zh-CN"/>
        </w:rPr>
        <w:t>24</w:t>
      </w:r>
      <w:r>
        <w:rPr>
          <w:rFonts w:ascii="仿宋_GB2312" w:hAnsi="仿宋" w:eastAsia="仿宋_GB2312"/>
          <w:sz w:val="24"/>
          <w:szCs w:val="24"/>
        </w:rPr>
        <w:t>年11月</w:t>
      </w:r>
      <w:r>
        <w:rPr>
          <w:rFonts w:hint="eastAsia" w:ascii="仿宋_GB2312" w:hAnsi="仿宋" w:eastAsia="仿宋_GB2312"/>
          <w:sz w:val="24"/>
          <w:szCs w:val="24"/>
          <w:lang w:val="en-US" w:eastAsia="zh-CN"/>
        </w:rPr>
        <w:t>4</w:t>
      </w:r>
      <w:r>
        <w:rPr>
          <w:rFonts w:ascii="仿宋_GB2312" w:hAnsi="仿宋" w:eastAsia="仿宋_GB2312"/>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docPartObj>
        <w:docPartGallery w:val="autotext"/>
      </w:docPartObj>
    </w:sdtPr>
    <w:sdtContent>
      <w:p w14:paraId="3B9C1C53">
        <w:pPr>
          <w:pStyle w:val="2"/>
          <w:jc w:val="center"/>
        </w:pPr>
        <w:r>
          <w:fldChar w:fldCharType="begin"/>
        </w:r>
        <w:r>
          <w:instrText xml:space="preserve">PAGE   \* MERGEFORMAT</w:instrText>
        </w:r>
        <w:r>
          <w:fldChar w:fldCharType="separate"/>
        </w:r>
        <w:r>
          <w:rPr>
            <w:lang w:val="zh-CN"/>
          </w:rPr>
          <w:t>2</w:t>
        </w:r>
        <w:r>
          <w:fldChar w:fldCharType="end"/>
        </w:r>
      </w:p>
    </w:sdtContent>
  </w:sdt>
  <w:p w14:paraId="4ED9B5C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MjgzNmI1NWVlZWIwYWFhMGY4YTNlNWIwODIzNmMifQ=="/>
  </w:docVars>
  <w:rsids>
    <w:rsidRoot w:val="00374338"/>
    <w:rsid w:val="000125A8"/>
    <w:rsid w:val="00111026"/>
    <w:rsid w:val="001F703B"/>
    <w:rsid w:val="00207C81"/>
    <w:rsid w:val="0022020F"/>
    <w:rsid w:val="00374338"/>
    <w:rsid w:val="003A3501"/>
    <w:rsid w:val="004731BB"/>
    <w:rsid w:val="004D31B6"/>
    <w:rsid w:val="00503232"/>
    <w:rsid w:val="00675856"/>
    <w:rsid w:val="006956BB"/>
    <w:rsid w:val="00813B78"/>
    <w:rsid w:val="008310B7"/>
    <w:rsid w:val="00912660"/>
    <w:rsid w:val="00A66ACC"/>
    <w:rsid w:val="00AB2A0A"/>
    <w:rsid w:val="00AD2E45"/>
    <w:rsid w:val="00B70051"/>
    <w:rsid w:val="00B90213"/>
    <w:rsid w:val="00D61393"/>
    <w:rsid w:val="00EA1E91"/>
    <w:rsid w:val="00FD05E7"/>
    <w:rsid w:val="1B227C68"/>
    <w:rsid w:val="1D2231E0"/>
    <w:rsid w:val="24CD51DC"/>
    <w:rsid w:val="283C684A"/>
    <w:rsid w:val="29565723"/>
    <w:rsid w:val="2DC64A76"/>
    <w:rsid w:val="2F04488D"/>
    <w:rsid w:val="31B859B9"/>
    <w:rsid w:val="375630F7"/>
    <w:rsid w:val="3AEF1277"/>
    <w:rsid w:val="3DB7031A"/>
    <w:rsid w:val="3ED2798E"/>
    <w:rsid w:val="58B662EE"/>
    <w:rsid w:val="58F30F4D"/>
    <w:rsid w:val="68125640"/>
    <w:rsid w:val="68EC1E1C"/>
    <w:rsid w:val="690B30C3"/>
    <w:rsid w:val="6BC417B9"/>
    <w:rsid w:val="7408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5308</Words>
  <Characters>5525</Characters>
  <Lines>19</Lines>
  <Paragraphs>5</Paragraphs>
  <TotalTime>10</TotalTime>
  <ScaleCrop>false</ScaleCrop>
  <LinksUpToDate>false</LinksUpToDate>
  <CharactersWithSpaces>5619</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WPS_1559640550</cp:lastModifiedBy>
  <dcterms:modified xsi:type="dcterms:W3CDTF">2024-11-04T03:12:50Z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D2BABD4BED094328B95C3C07CF656023_13</vt:lpwstr>
  </property>
</Properties>
</file>