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预应力混凝土箱梁施工与验收规范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，满足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决定立项并联合阿克苏城乡建筑工程有限公司等相关单位共同制定《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2BD21D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预应力混凝土箱梁作为桥梁工程中的重要结构形式，其施工质量直接关系到桥梁的安全性、耐久性和使用寿命。然而，目前国内尚无专门针对预应力混凝土箱梁施工与验收的规范标准，导致施工过程中缺乏统一的技术要求和质量控制标准，验收环节也存在不规范、不科学的问题，严重影响了预应力混凝土箱梁的工程质量。</w:t>
      </w:r>
    </w:p>
    <w:p w14:paraId="652AB8C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制定《预应力混凝土箱梁施工与验收规范》团体标准，将为预应力混凝土箱梁的施工与验收提供科学、规范、可操作的技术依据，有利于提高预应力混凝土箱梁的工程质量，确保桥梁的安全运行，同时也有助于推动我国桥梁工程建设的技术进步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本项目旨在借助标准化手段，针对项目所属细分行业的特点，制定相应的标准，填补本行业标准空白，从而规范市场，促进产业标准化应用水平升级，引领行业高质量发展。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</w:rPr>
        <w:t>阿克苏城乡建筑工程有限公司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技术的现状与发展情况进行了全面调研，同时广泛搜集和检索了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箱梁施工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建筑光伏幕墙工程施工与验收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的技术内容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11月初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</w:rPr>
        <w:t>阿克苏城乡建筑工程有限公司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技术要求和验收方法的测试及验证等。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本标准征求意见稿包括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 xml:space="preserve">个部分，主要内容如下： </w:t>
      </w:r>
    </w:p>
    <w:p w14:paraId="3FC1CB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1、范围 </w:t>
      </w:r>
    </w:p>
    <w:p w14:paraId="7D6B588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介绍本文件的主要内容以及本文件所适用的领域。 </w:t>
      </w:r>
    </w:p>
    <w:p w14:paraId="33636BB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2、规范性引用文件 </w:t>
      </w:r>
    </w:p>
    <w:p w14:paraId="3CDCA62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列出了本文件引用的标准文件。 </w:t>
      </w:r>
    </w:p>
    <w:p w14:paraId="4CDE69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3、术语和定义 </w:t>
      </w:r>
    </w:p>
    <w:p w14:paraId="1B77044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列出了本文件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/>
          <w:sz w:val="28"/>
          <w:szCs w:val="28"/>
        </w:rPr>
        <w:t>界定的术语和定义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59AC5AF8">
      <w:pPr>
        <w:numPr>
          <w:ilvl w:val="0"/>
          <w:numId w:val="4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基本要求</w:t>
      </w:r>
    </w:p>
    <w:p w14:paraId="164DB841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材料、工程质量、施工技术、施工方案等方面进行规范。</w:t>
      </w:r>
    </w:p>
    <w:p w14:paraId="4A2E0D0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</w:t>
      </w:r>
    </w:p>
    <w:p w14:paraId="1F55EE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所用材料的品种、规格和质量应符合设计要求和国家现行标准的规定，不得使用国家和行业明令淘汰的材料。</w:t>
      </w:r>
    </w:p>
    <w:p w14:paraId="422E272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6、施工</w:t>
      </w:r>
    </w:p>
    <w:p w14:paraId="709257B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规定了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工程中的一般规定、波形钢腹板施工、连接件施工、混凝土施工和施工过程检测几部分的内容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498A373F">
      <w:pPr>
        <w:numPr>
          <w:ilvl w:val="0"/>
          <w:numId w:val="5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施工环境保护</w:t>
      </w:r>
    </w:p>
    <w:p w14:paraId="1A39FF3A">
      <w:pPr>
        <w:numPr>
          <w:numId w:val="0"/>
        </w:numPr>
        <w:spacing w:line="360" w:lineRule="auto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明确施工过程中的环境保护应符合的要求。</w:t>
      </w:r>
    </w:p>
    <w:p w14:paraId="2DAA2234">
      <w:pPr>
        <w:numPr>
          <w:ilvl w:val="0"/>
          <w:numId w:val="5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验收</w:t>
      </w:r>
    </w:p>
    <w:p w14:paraId="7232C5A3">
      <w:pPr>
        <w:numPr>
          <w:ilvl w:val="0"/>
          <w:numId w:val="0"/>
        </w:numPr>
        <w:spacing w:line="360" w:lineRule="auto"/>
        <w:ind w:firstLine="56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桥梁波形钢腹板预应力混凝土箱梁施工质量验收应按 GB 50204、GB 50205、JTG F80/1和 CJ 2 中的有关规定执行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预应力混凝土箱梁施工与验收规范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预应力混凝土箱梁施工与验收规范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6A3541C"/>
    <w:multiLevelType w:val="singleLevel"/>
    <w:tmpl w:val="16A3541C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F377AE4"/>
    <w:multiLevelType w:val="singleLevel"/>
    <w:tmpl w:val="7F377AE4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729258B"/>
    <w:rsid w:val="0D422A52"/>
    <w:rsid w:val="0D4D0D34"/>
    <w:rsid w:val="2FE875A4"/>
    <w:rsid w:val="608E3F48"/>
    <w:rsid w:val="6B582350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1909</Words>
  <Characters>1943</Characters>
  <Lines>2</Lines>
  <Paragraphs>1</Paragraphs>
  <TotalTime>3</TotalTime>
  <ScaleCrop>false</ScaleCrop>
  <LinksUpToDate>false</LinksUpToDate>
  <CharactersWithSpaces>1978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2024-11-06T03:15:35Z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E74AD880ED1E481D969A33F3DE7C53B9_12</vt:lpwstr>
  </property>
</Properties>
</file>