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85F11">
      <w:pPr>
        <w:jc w:val="center"/>
      </w:pPr>
    </w:p>
    <w:p w14:paraId="06C9200A">
      <w:pPr>
        <w:jc w:val="center"/>
      </w:pPr>
    </w:p>
    <w:p w14:paraId="566E509E">
      <w:pPr>
        <w:jc w:val="center"/>
      </w:pPr>
    </w:p>
    <w:p w14:paraId="1D194A41">
      <w:pPr>
        <w:jc w:val="center"/>
      </w:pPr>
    </w:p>
    <w:p w14:paraId="02B4059C">
      <w:pPr>
        <w:jc w:val="center"/>
      </w:pPr>
    </w:p>
    <w:p w14:paraId="4375CB67">
      <w:pPr>
        <w:jc w:val="center"/>
      </w:pPr>
    </w:p>
    <w:p w14:paraId="0FC228F5">
      <w:pPr>
        <w:jc w:val="center"/>
      </w:pPr>
    </w:p>
    <w:p w14:paraId="2EFACBC8">
      <w:pPr>
        <w:jc w:val="center"/>
      </w:pPr>
    </w:p>
    <w:p w14:paraId="7B452C33">
      <w:pPr>
        <w:jc w:val="center"/>
      </w:pPr>
    </w:p>
    <w:p w14:paraId="11407CA9">
      <w:pPr>
        <w:jc w:val="center"/>
      </w:pPr>
    </w:p>
    <w:p w14:paraId="1690531C">
      <w:pPr>
        <w:jc w:val="center"/>
      </w:pPr>
    </w:p>
    <w:p w14:paraId="1F434EC1">
      <w:pPr>
        <w:jc w:val="center"/>
      </w:pPr>
    </w:p>
    <w:p w14:paraId="276BC2F2">
      <w:pPr>
        <w:jc w:val="center"/>
      </w:pPr>
    </w:p>
    <w:p w14:paraId="3A52CBA1">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房屋建筑工程现浇混凝土楼梯施工技术规范</w:t>
      </w:r>
      <w:r>
        <w:rPr>
          <w:rFonts w:hint="eastAsia" w:ascii="迷你简小标宋" w:hAnsi="宋体" w:eastAsia="迷你简小标宋"/>
          <w:w w:val="90"/>
          <w:sz w:val="44"/>
          <w:szCs w:val="44"/>
        </w:rPr>
        <w:t>》</w:t>
      </w:r>
    </w:p>
    <w:p w14:paraId="3C58679B">
      <w:pPr>
        <w:jc w:val="center"/>
        <w:rPr>
          <w:rFonts w:ascii="迷你简小标宋" w:hAnsi="宋体" w:eastAsia="迷你简小标宋"/>
          <w:sz w:val="44"/>
          <w:szCs w:val="44"/>
        </w:rPr>
      </w:pPr>
    </w:p>
    <w:p w14:paraId="7F1639CA">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792D641B">
      <w:pPr>
        <w:jc w:val="center"/>
      </w:pPr>
    </w:p>
    <w:p w14:paraId="4B383196">
      <w:pPr>
        <w:jc w:val="center"/>
      </w:pPr>
    </w:p>
    <w:p w14:paraId="38CBB0E8">
      <w:pPr>
        <w:jc w:val="center"/>
      </w:pPr>
    </w:p>
    <w:p w14:paraId="1E53D994">
      <w:pPr>
        <w:jc w:val="center"/>
      </w:pPr>
    </w:p>
    <w:p w14:paraId="26904B76">
      <w:pPr>
        <w:jc w:val="center"/>
      </w:pPr>
    </w:p>
    <w:p w14:paraId="21662D3E">
      <w:pPr>
        <w:jc w:val="center"/>
      </w:pPr>
    </w:p>
    <w:p w14:paraId="6798E553">
      <w:pPr>
        <w:jc w:val="center"/>
      </w:pPr>
    </w:p>
    <w:p w14:paraId="400B09C5">
      <w:pPr>
        <w:jc w:val="center"/>
      </w:pPr>
    </w:p>
    <w:p w14:paraId="4404A031">
      <w:pPr>
        <w:jc w:val="center"/>
      </w:pPr>
    </w:p>
    <w:p w14:paraId="3FCB46D6">
      <w:pPr>
        <w:jc w:val="center"/>
      </w:pPr>
    </w:p>
    <w:p w14:paraId="7B737B30">
      <w:pPr>
        <w:jc w:val="center"/>
      </w:pPr>
    </w:p>
    <w:p w14:paraId="2B8A5E85">
      <w:pPr>
        <w:jc w:val="center"/>
      </w:pPr>
    </w:p>
    <w:p w14:paraId="26F20445">
      <w:pPr>
        <w:jc w:val="center"/>
      </w:pPr>
    </w:p>
    <w:p w14:paraId="18351A9B">
      <w:pPr>
        <w:jc w:val="center"/>
      </w:pPr>
    </w:p>
    <w:p w14:paraId="18D9B992">
      <w:pPr>
        <w:jc w:val="center"/>
      </w:pPr>
    </w:p>
    <w:p w14:paraId="020068D8">
      <w:pPr>
        <w:jc w:val="center"/>
      </w:pPr>
    </w:p>
    <w:p w14:paraId="01553021">
      <w:pPr>
        <w:jc w:val="center"/>
        <w:rPr>
          <w:rFonts w:ascii="宋体" w:hAnsi="宋体" w:eastAsia="宋体"/>
          <w:sz w:val="28"/>
          <w:szCs w:val="28"/>
        </w:rPr>
      </w:pPr>
      <w:r>
        <w:rPr>
          <w:rFonts w:hint="eastAsia" w:ascii="宋体" w:hAnsi="宋体" w:eastAsia="宋体"/>
          <w:sz w:val="28"/>
          <w:szCs w:val="28"/>
        </w:rPr>
        <w:t xml:space="preserve">团标制定工作组 </w:t>
      </w:r>
    </w:p>
    <w:p w14:paraId="5A610DF3">
      <w:pPr>
        <w:jc w:val="center"/>
        <w:rPr>
          <w:rFonts w:ascii="宋体" w:hAnsi="宋体" w:eastAsia="宋体"/>
          <w:sz w:val="28"/>
          <w:szCs w:val="28"/>
        </w:rPr>
      </w:pPr>
    </w:p>
    <w:p w14:paraId="73E3392A">
      <w:pPr>
        <w:jc w:val="center"/>
        <w:rPr>
          <w:rFonts w:ascii="宋体" w:hAnsi="宋体" w:eastAsia="宋体"/>
          <w:sz w:val="28"/>
          <w:szCs w:val="28"/>
        </w:rPr>
      </w:pPr>
      <w:r>
        <w:rPr>
          <w:rFonts w:hint="eastAsia" w:ascii="宋体" w:hAnsi="宋体" w:eastAsia="宋体"/>
          <w:sz w:val="28"/>
          <w:szCs w:val="28"/>
        </w:rPr>
        <w:t>二零二四年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10CDA143">
      <w:pPr>
        <w:jc w:val="center"/>
        <w:rPr>
          <w:rFonts w:ascii="宋体" w:hAnsi="宋体" w:eastAsia="宋体"/>
          <w:sz w:val="28"/>
          <w:szCs w:val="28"/>
        </w:rPr>
      </w:pPr>
    </w:p>
    <w:p w14:paraId="7DFC9215">
      <w:pPr>
        <w:jc w:val="center"/>
        <w:rPr>
          <w:rFonts w:ascii="宋体" w:hAnsi="宋体" w:eastAsia="宋体"/>
          <w:sz w:val="28"/>
          <w:szCs w:val="28"/>
        </w:rPr>
      </w:pPr>
    </w:p>
    <w:p w14:paraId="0C2CF79F">
      <w:pPr>
        <w:jc w:val="center"/>
        <w:rPr>
          <w:rFonts w:ascii="宋体" w:hAnsi="宋体" w:eastAsia="宋体"/>
          <w:sz w:val="28"/>
          <w:szCs w:val="28"/>
        </w:rPr>
      </w:pPr>
    </w:p>
    <w:p w14:paraId="2A01CBCF">
      <w:pPr>
        <w:jc w:val="center"/>
        <w:rPr>
          <w:rFonts w:ascii="宋体" w:hAnsi="宋体" w:eastAsia="宋体"/>
          <w:sz w:val="28"/>
          <w:szCs w:val="28"/>
        </w:rPr>
      </w:pPr>
    </w:p>
    <w:p w14:paraId="087DD46C">
      <w:pPr>
        <w:jc w:val="center"/>
        <w:rPr>
          <w:rFonts w:ascii="宋体" w:hAnsi="宋体" w:eastAsia="宋体"/>
          <w:sz w:val="28"/>
          <w:szCs w:val="28"/>
        </w:rPr>
      </w:pPr>
    </w:p>
    <w:p w14:paraId="11E9D134">
      <w:pPr>
        <w:jc w:val="center"/>
        <w:rPr>
          <w:rFonts w:ascii="宋体" w:hAnsi="宋体" w:eastAsia="宋体"/>
          <w:sz w:val="28"/>
          <w:szCs w:val="28"/>
        </w:rPr>
      </w:pPr>
    </w:p>
    <w:p w14:paraId="50A33023">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30ABED85">
      <w:pPr>
        <w:spacing w:line="360" w:lineRule="auto"/>
        <w:jc w:val="left"/>
        <w:rPr>
          <w:rFonts w:ascii="宋体" w:hAnsi="宋体" w:eastAsia="宋体"/>
          <w:b/>
          <w:bCs/>
          <w:sz w:val="28"/>
          <w:szCs w:val="28"/>
        </w:rPr>
      </w:pPr>
      <w:r>
        <w:rPr>
          <w:rFonts w:hint="eastAsia" w:ascii="宋体" w:hAnsi="宋体" w:eastAsia="宋体"/>
          <w:b/>
          <w:bCs/>
          <w:sz w:val="28"/>
          <w:szCs w:val="28"/>
        </w:rPr>
        <w:t>（一）任务来源</w:t>
      </w:r>
    </w:p>
    <w:p w14:paraId="0925EF4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中国中小企业协会下达的</w:t>
      </w:r>
      <w:r>
        <w:rPr>
          <w:rFonts w:ascii="宋体" w:hAnsi="宋体" w:eastAsia="宋体"/>
          <w:sz w:val="28"/>
          <w:szCs w:val="28"/>
        </w:rPr>
        <w:t>2024年团体标准修订编制计划，将《</w:t>
      </w:r>
      <w:r>
        <w:rPr>
          <w:rFonts w:hint="eastAsia" w:ascii="宋体" w:hAnsi="宋体" w:eastAsia="宋体"/>
          <w:sz w:val="28"/>
          <w:szCs w:val="28"/>
          <w:lang w:eastAsia="zh-CN"/>
        </w:rPr>
        <w:t>房屋建筑工程现浇混凝土楼梯施工技术规范</w:t>
      </w:r>
      <w:r>
        <w:rPr>
          <w:rFonts w:ascii="宋体" w:hAnsi="宋体" w:eastAsia="宋体"/>
          <w:sz w:val="28"/>
          <w:szCs w:val="28"/>
        </w:rPr>
        <w:t>》列为标准编制项目，并于2024年</w:t>
      </w:r>
      <w:r>
        <w:rPr>
          <w:rFonts w:hint="eastAsia" w:ascii="宋体" w:hAnsi="宋体" w:eastAsia="宋体"/>
          <w:sz w:val="28"/>
          <w:szCs w:val="28"/>
          <w:lang w:val="en-US" w:eastAsia="zh-CN"/>
        </w:rPr>
        <w:t>10</w:t>
      </w:r>
      <w:r>
        <w:rPr>
          <w:rFonts w:ascii="宋体" w:hAnsi="宋体" w:eastAsia="宋体"/>
          <w:sz w:val="28"/>
          <w:szCs w:val="28"/>
        </w:rPr>
        <w:t>月</w:t>
      </w:r>
      <w:r>
        <w:rPr>
          <w:rFonts w:hint="eastAsia" w:ascii="宋体" w:hAnsi="宋体" w:eastAsia="宋体"/>
          <w:sz w:val="28"/>
          <w:szCs w:val="28"/>
          <w:lang w:val="en-US" w:eastAsia="zh-CN"/>
        </w:rPr>
        <w:t>29</w:t>
      </w:r>
      <w:r>
        <w:rPr>
          <w:rFonts w:hint="eastAsia" w:ascii="宋体" w:hAnsi="宋体" w:eastAsia="宋体"/>
          <w:sz w:val="28"/>
          <w:szCs w:val="28"/>
        </w:rPr>
        <w:t>日</w:t>
      </w:r>
      <w:r>
        <w:rPr>
          <w:rFonts w:ascii="宋体" w:hAnsi="宋体" w:eastAsia="宋体"/>
          <w:sz w:val="28"/>
          <w:szCs w:val="28"/>
        </w:rPr>
        <w:t>在全国团体标准信息平台上进行了立项公告。</w:t>
      </w:r>
    </w:p>
    <w:p w14:paraId="5090FDB1">
      <w:pPr>
        <w:spacing w:line="360" w:lineRule="auto"/>
        <w:jc w:val="left"/>
        <w:rPr>
          <w:rFonts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 xml:space="preserve">背景及目的 </w:t>
      </w:r>
    </w:p>
    <w:p w14:paraId="787D255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在房屋建筑领域，现浇混凝土楼梯作为建筑结构的重要组成部分，其施工质量直接关系到建筑的安全性、耐久性及使用者的舒适度。随着建筑行业的快速发展和技术进步，制定并推广《房屋建筑工程现浇混凝土楼梯施工技术规范》显得尤为重要。以下是编制该标准的目的和意义：</w:t>
      </w:r>
    </w:p>
    <w:p w14:paraId="2D70811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统一施工标准：编制本技术规范的首要目的是为了实现现浇混凝土楼梯施工过程中的标准化与规范化。通过明确施工流程、材料要求、操作方法、验收标准等关键要素，有效避免因施工单位技术水平和理解差异导致的施工质量参差不齐问题。</w:t>
      </w:r>
    </w:p>
    <w:p w14:paraId="3EFBCEF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提升工程质量：技术规范的实施是确保工程质量的关键。详细的技术规定能指导施工人员采用科学合理的方法进行作业，减少人为因素导致的错误和瑕疵。</w:t>
      </w:r>
    </w:p>
    <w:p w14:paraId="137AECE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保障施工安全：施工安全是建筑施工中的头等大事。现浇混凝土楼梯施工涉及高空作业、重型机械操作及电气使用等高风险环节，规范施工操作对预防安全事故至关重要。</w:t>
      </w:r>
    </w:p>
    <w:p w14:paraId="3CBA6FE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促进技术创新：技术规范要求遵守现有成熟技术的同时，也为新技术、新材料、新工艺的应用提供了平台。通过规范中的技术要求和创新引导，可以激发施工企业的研发热情，推动技术进步和创新成果的应用。</w:t>
      </w:r>
    </w:p>
    <w:p w14:paraId="3DDDD9B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节能环保导向：在环境保护和可持续发展的背景下，技术规范中应融入节能环保的理念。通过推广绿色建材、优化施工流程、加强废弃物管理等措施，减少施工过程中对环境的污染和破坏。</w:t>
      </w:r>
    </w:p>
    <w:p w14:paraId="4283943C">
      <w:pPr>
        <w:spacing w:line="360" w:lineRule="auto"/>
        <w:ind w:firstLine="560" w:firstLineChars="200"/>
        <w:jc w:val="left"/>
        <w:rPr>
          <w:rFonts w:ascii="宋体" w:hAnsi="宋体" w:eastAsia="宋体"/>
          <w:sz w:val="28"/>
          <w:szCs w:val="28"/>
        </w:rPr>
      </w:pPr>
    </w:p>
    <w:p w14:paraId="6F94D3A3">
      <w:pPr>
        <w:spacing w:line="360" w:lineRule="auto"/>
        <w:ind w:firstLine="562" w:firstLineChars="200"/>
        <w:jc w:val="left"/>
        <w:rPr>
          <w:rFonts w:ascii="宋体" w:hAnsi="宋体" w:eastAsia="宋体"/>
          <w:sz w:val="28"/>
          <w:szCs w:val="28"/>
        </w:rPr>
      </w:pPr>
      <w:r>
        <w:rPr>
          <w:rFonts w:hint="eastAsia" w:ascii="宋体" w:hAnsi="宋体" w:eastAsia="宋体"/>
          <w:b/>
          <w:bCs/>
          <w:sz w:val="28"/>
          <w:szCs w:val="28"/>
        </w:rPr>
        <w:t>（三）</w:t>
      </w:r>
      <w:r>
        <w:rPr>
          <w:rFonts w:ascii="宋体" w:hAnsi="宋体" w:eastAsia="宋体"/>
          <w:b/>
          <w:bCs/>
          <w:sz w:val="28"/>
          <w:szCs w:val="28"/>
        </w:rPr>
        <w:t>编制过程</w:t>
      </w:r>
      <w:r>
        <w:rPr>
          <w:rFonts w:ascii="宋体" w:hAnsi="宋体" w:eastAsia="宋体"/>
          <w:sz w:val="28"/>
          <w:szCs w:val="28"/>
        </w:rPr>
        <w:t xml:space="preserve"> </w:t>
      </w:r>
    </w:p>
    <w:p w14:paraId="368975E5">
      <w:pPr>
        <w:spacing w:line="360" w:lineRule="auto"/>
        <w:jc w:val="left"/>
        <w:rPr>
          <w:rFonts w:ascii="宋体" w:hAnsi="宋体" w:eastAsia="宋体"/>
          <w:sz w:val="28"/>
          <w:szCs w:val="28"/>
        </w:rPr>
      </w:pPr>
      <w:r>
        <w:rPr>
          <w:rFonts w:hint="eastAsia" w:ascii="宋体" w:hAnsi="宋体" w:eastAsia="宋体"/>
          <w:sz w:val="28"/>
          <w:szCs w:val="28"/>
        </w:rPr>
        <w:t xml:space="preserve">    2024 年</w:t>
      </w:r>
      <w:r>
        <w:rPr>
          <w:rFonts w:hint="eastAsia" w:ascii="宋体" w:hAnsi="宋体" w:eastAsia="宋体"/>
          <w:sz w:val="28"/>
          <w:szCs w:val="28"/>
          <w:lang w:val="en-US" w:eastAsia="zh-CN"/>
        </w:rPr>
        <w:t>10</w:t>
      </w:r>
      <w:r>
        <w:rPr>
          <w:rFonts w:hint="eastAsia" w:ascii="宋体" w:hAnsi="宋体" w:eastAsia="宋体"/>
          <w:sz w:val="28"/>
          <w:szCs w:val="28"/>
        </w:rPr>
        <w:t>月，完成《</w:t>
      </w:r>
      <w:r>
        <w:rPr>
          <w:rFonts w:hint="eastAsia" w:ascii="宋体" w:hAnsi="宋体" w:eastAsia="宋体"/>
          <w:sz w:val="28"/>
          <w:szCs w:val="28"/>
          <w:lang w:eastAsia="zh-CN"/>
        </w:rPr>
        <w:t>房屋建筑工程现浇混凝土楼梯施工技术规范</w:t>
      </w:r>
      <w:r>
        <w:rPr>
          <w:rFonts w:hint="eastAsia" w:ascii="宋体" w:hAnsi="宋体" w:eastAsia="宋体"/>
          <w:sz w:val="28"/>
          <w:szCs w:val="28"/>
        </w:rPr>
        <w:t>》的立项。标准立项计划下达后，根据相关文件的要求，明确小组成员工作任务并制定了详细的工作计划。</w:t>
      </w:r>
    </w:p>
    <w:p w14:paraId="209A73E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2024 年</w:t>
      </w:r>
      <w:r>
        <w:rPr>
          <w:rFonts w:hint="eastAsia" w:ascii="宋体" w:hAnsi="宋体" w:eastAsia="宋体"/>
          <w:sz w:val="28"/>
          <w:szCs w:val="28"/>
          <w:lang w:val="en-US" w:eastAsia="zh-CN"/>
        </w:rPr>
        <w:t>10</w:t>
      </w:r>
      <w:r>
        <w:rPr>
          <w:rFonts w:hint="eastAsia" w:ascii="宋体" w:hAnsi="宋体" w:eastAsia="宋体"/>
          <w:sz w:val="28"/>
          <w:szCs w:val="28"/>
        </w:rPr>
        <w:t>月至2024年</w:t>
      </w:r>
      <w:r>
        <w:rPr>
          <w:rFonts w:hint="eastAsia" w:ascii="宋体" w:hAnsi="宋体" w:eastAsia="宋体"/>
          <w:sz w:val="28"/>
          <w:szCs w:val="28"/>
          <w:lang w:val="en-US" w:eastAsia="zh-CN"/>
        </w:rPr>
        <w:t>11</w:t>
      </w:r>
      <w:r>
        <w:rPr>
          <w:rFonts w:hint="eastAsia" w:ascii="宋体" w:hAnsi="宋体" w:eastAsia="宋体"/>
          <w:sz w:val="28"/>
          <w:szCs w:val="28"/>
        </w:rPr>
        <w:t>月，标准编制组对国内外的相关行业、标准、科研成果、专著等开展广泛、深入的调研，在此基础上完成《</w:t>
      </w:r>
      <w:r>
        <w:rPr>
          <w:rFonts w:hint="eastAsia" w:ascii="宋体" w:hAnsi="宋体" w:eastAsia="宋体"/>
          <w:sz w:val="28"/>
          <w:szCs w:val="28"/>
          <w:lang w:eastAsia="zh-CN"/>
        </w:rPr>
        <w:t>房屋建筑工程现浇混凝土楼梯施工技术规范</w:t>
      </w:r>
      <w:r>
        <w:rPr>
          <w:rFonts w:hint="eastAsia" w:ascii="宋体" w:hAnsi="宋体" w:eastAsia="宋体"/>
          <w:sz w:val="28"/>
          <w:szCs w:val="28"/>
        </w:rPr>
        <w:t>》的草案。随后标准制定小组与相关专家经多次研究、讨论对草案进行数次修改，于2024年</w:t>
      </w:r>
      <w:r>
        <w:rPr>
          <w:rFonts w:hint="eastAsia" w:ascii="宋体" w:hAnsi="宋体" w:eastAsia="宋体"/>
          <w:sz w:val="28"/>
          <w:szCs w:val="28"/>
          <w:lang w:val="en-US" w:eastAsia="zh-CN"/>
        </w:rPr>
        <w:t>11</w:t>
      </w:r>
      <w:r>
        <w:rPr>
          <w:rFonts w:hint="eastAsia" w:ascii="宋体" w:hAnsi="宋体" w:eastAsia="宋体"/>
          <w:sz w:val="28"/>
          <w:szCs w:val="28"/>
        </w:rPr>
        <w:t>月上旬提交《</w:t>
      </w:r>
      <w:r>
        <w:rPr>
          <w:rFonts w:hint="eastAsia" w:ascii="宋体" w:hAnsi="宋体" w:eastAsia="宋体"/>
          <w:sz w:val="28"/>
          <w:szCs w:val="28"/>
          <w:lang w:eastAsia="zh-CN"/>
        </w:rPr>
        <w:t>房屋建筑工程现浇混凝土楼梯施工技术规范</w:t>
      </w:r>
      <w:r>
        <w:rPr>
          <w:rFonts w:hint="eastAsia" w:ascii="宋体" w:hAnsi="宋体" w:eastAsia="宋体"/>
          <w:sz w:val="28"/>
          <w:szCs w:val="28"/>
        </w:rPr>
        <w:t>》标准征求意见稿及征求意见稿编制说明，拟定于2024年</w:t>
      </w:r>
      <w:r>
        <w:rPr>
          <w:rFonts w:hint="eastAsia" w:ascii="宋体" w:hAnsi="宋体" w:eastAsia="宋体"/>
          <w:sz w:val="28"/>
          <w:szCs w:val="28"/>
          <w:lang w:val="en-US" w:eastAsia="zh-CN"/>
        </w:rPr>
        <w:t>11</w:t>
      </w:r>
      <w:r>
        <w:rPr>
          <w:rFonts w:hint="eastAsia" w:ascii="宋体" w:hAnsi="宋体" w:eastAsia="宋体"/>
          <w:sz w:val="28"/>
          <w:szCs w:val="28"/>
        </w:rPr>
        <w:t>月中旬在网上公示征求意见稿，广泛征求各方意见和建议。</w:t>
      </w:r>
    </w:p>
    <w:p w14:paraId="706306D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制定小组将根据各方意见和建议对标准进行修改后形成送审稿。</w:t>
      </w:r>
    </w:p>
    <w:p w14:paraId="7693D99B">
      <w:pPr>
        <w:spacing w:line="360" w:lineRule="auto"/>
        <w:ind w:firstLine="560" w:firstLineChars="200"/>
        <w:jc w:val="left"/>
        <w:rPr>
          <w:rFonts w:ascii="宋体" w:hAnsi="宋体" w:eastAsia="宋体"/>
          <w:sz w:val="28"/>
          <w:szCs w:val="28"/>
        </w:rPr>
      </w:pPr>
    </w:p>
    <w:p w14:paraId="12079965">
      <w:pPr>
        <w:spacing w:line="360" w:lineRule="auto"/>
        <w:jc w:val="left"/>
        <w:rPr>
          <w:rFonts w:ascii="宋体" w:hAnsi="宋体" w:eastAsia="宋体"/>
          <w:sz w:val="28"/>
          <w:szCs w:val="28"/>
        </w:rPr>
      </w:pPr>
      <w:r>
        <w:rPr>
          <w:rFonts w:hint="eastAsia" w:ascii="宋体" w:hAnsi="宋体" w:eastAsia="宋体"/>
          <w:b/>
          <w:bCs/>
          <w:sz w:val="28"/>
          <w:szCs w:val="28"/>
        </w:rPr>
        <w:t>（四）主要起草单位及起草人所做的工作</w:t>
      </w:r>
      <w:r>
        <w:rPr>
          <w:rFonts w:ascii="宋体" w:hAnsi="宋体" w:eastAsia="宋体"/>
          <w:sz w:val="28"/>
          <w:szCs w:val="28"/>
        </w:rPr>
        <w:t xml:space="preserve">  </w:t>
      </w:r>
    </w:p>
    <w:p w14:paraId="381DA5FD">
      <w:pPr>
        <w:spacing w:line="360" w:lineRule="auto"/>
        <w:ind w:firstLine="560"/>
        <w:jc w:val="left"/>
        <w:rPr>
          <w:rFonts w:ascii="宋体" w:hAnsi="宋体" w:eastAsia="宋体"/>
          <w:sz w:val="28"/>
          <w:szCs w:val="28"/>
        </w:rPr>
      </w:pPr>
      <w:r>
        <w:rPr>
          <w:rFonts w:hint="eastAsia" w:ascii="宋体" w:hAnsi="宋体" w:eastAsia="宋体"/>
          <w:sz w:val="28"/>
          <w:szCs w:val="28"/>
        </w:rPr>
        <w:t>由</w:t>
      </w:r>
      <w:r>
        <w:rPr>
          <w:rFonts w:hint="eastAsia" w:ascii="宋体" w:hAnsi="宋体" w:eastAsia="宋体"/>
          <w:sz w:val="28"/>
          <w:szCs w:val="28"/>
          <w:lang w:eastAsia="zh-CN"/>
        </w:rPr>
        <w:t>新疆天恒基建筑工程有限公司</w:t>
      </w:r>
      <w:r>
        <w:rPr>
          <w:rFonts w:hint="eastAsia" w:ascii="宋体" w:hAnsi="宋体" w:eastAsia="宋体"/>
          <w:sz w:val="28"/>
          <w:szCs w:val="28"/>
        </w:rPr>
        <w:t>等相关单位的专家成立的标准制定小组，在广泛调研、查阅和研究国际、国内的现行标准，结合行业现行技术痛点和空白，组织、协调和策划了标准征求意见稿的草拟和修改过程。</w:t>
      </w:r>
    </w:p>
    <w:p w14:paraId="116E8AFE">
      <w:pPr>
        <w:spacing w:line="360" w:lineRule="auto"/>
        <w:ind w:firstLine="560"/>
        <w:jc w:val="left"/>
        <w:rPr>
          <w:rFonts w:ascii="宋体" w:hAnsi="宋体" w:eastAsia="宋体"/>
          <w:sz w:val="28"/>
          <w:szCs w:val="28"/>
        </w:rPr>
      </w:pPr>
    </w:p>
    <w:p w14:paraId="2631E617">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52A7E4F0">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60714849">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本标准依据相关行业标准，标准编制遵循“前瞻性、实用性、 统一性、规范性”的原则，注重标准的可操作性，严格按照 GB/T 1.1-2020《标准化工作导则第1部分：标准化文件的结构和起草规则》的要求进行编写。</w:t>
      </w:r>
    </w:p>
    <w:p w14:paraId="0F02D163">
      <w:pPr>
        <w:spacing w:line="360" w:lineRule="auto"/>
        <w:ind w:firstLine="560" w:firstLineChars="200"/>
        <w:jc w:val="left"/>
        <w:rPr>
          <w:rFonts w:ascii="宋体" w:hAnsi="宋体" w:eastAsia="宋体"/>
          <w:sz w:val="28"/>
          <w:szCs w:val="28"/>
        </w:rPr>
      </w:pPr>
    </w:p>
    <w:p w14:paraId="4A0B8358">
      <w:pPr>
        <w:spacing w:line="360" w:lineRule="auto"/>
        <w:jc w:val="left"/>
        <w:rPr>
          <w:rFonts w:ascii="宋体" w:hAnsi="宋体" w:eastAsia="宋体"/>
          <w:sz w:val="28"/>
          <w:szCs w:val="28"/>
        </w:rPr>
      </w:pPr>
      <w:r>
        <w:rPr>
          <w:rFonts w:hint="eastAsia" w:ascii="宋体" w:hAnsi="宋体" w:eastAsia="宋体"/>
          <w:b/>
          <w:bCs/>
          <w:sz w:val="28"/>
          <w:szCs w:val="28"/>
        </w:rPr>
        <w:t>（二）</w:t>
      </w:r>
      <w:r>
        <w:rPr>
          <w:rFonts w:ascii="宋体" w:hAnsi="宋体" w:eastAsia="宋体"/>
          <w:b/>
          <w:bCs/>
          <w:sz w:val="28"/>
          <w:szCs w:val="28"/>
        </w:rPr>
        <w:t xml:space="preserve"> 标准主要技术内容 </w:t>
      </w:r>
      <w:r>
        <w:rPr>
          <w:rFonts w:ascii="宋体" w:hAnsi="宋体" w:eastAsia="宋体"/>
          <w:sz w:val="28"/>
          <w:szCs w:val="28"/>
        </w:rPr>
        <w:t xml:space="preserve"> </w:t>
      </w:r>
    </w:p>
    <w:p w14:paraId="7022C43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范围：包括本文件的内容及适用范围</w:t>
      </w:r>
      <w:r>
        <w:rPr>
          <w:rFonts w:hint="eastAsia" w:ascii="宋体" w:hAnsi="宋体" w:eastAsia="宋体"/>
          <w:sz w:val="28"/>
          <w:szCs w:val="28"/>
        </w:rPr>
        <w:t>。</w:t>
      </w:r>
    </w:p>
    <w:p w14:paraId="298AB2FD">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2、规范性引用文件：列出了本文件引用的其他规范性文件。</w:t>
      </w:r>
    </w:p>
    <w:p w14:paraId="4AABBFA2">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3、术语和定义：对</w:t>
      </w:r>
      <w:r>
        <w:rPr>
          <w:rFonts w:hint="eastAsia" w:ascii="宋体" w:hAnsi="宋体" w:eastAsia="宋体"/>
          <w:sz w:val="28"/>
          <w:szCs w:val="28"/>
          <w:lang w:val="en-US" w:eastAsia="zh-CN"/>
        </w:rPr>
        <w:t>正文中出现的</w:t>
      </w:r>
      <w:r>
        <w:rPr>
          <w:rFonts w:hint="eastAsia" w:ascii="宋体" w:hAnsi="宋体" w:eastAsia="宋体"/>
          <w:sz w:val="28"/>
          <w:szCs w:val="28"/>
        </w:rPr>
        <w:t>术语进行了定义。</w:t>
      </w:r>
    </w:p>
    <w:p w14:paraId="30A0C35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4、基本规定：规定了房屋建筑工程现浇混凝土楼梯施工技术的基本要求。</w:t>
      </w:r>
    </w:p>
    <w:p w14:paraId="486F6D90">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w:t>
      </w:r>
      <w:r>
        <w:rPr>
          <w:rFonts w:hint="eastAsia" w:ascii="宋体" w:hAnsi="宋体" w:eastAsia="宋体"/>
          <w:sz w:val="28"/>
          <w:szCs w:val="28"/>
          <w:lang w:val="en-US" w:eastAsia="zh-CN"/>
        </w:rPr>
        <w:t>模板分项工程：</w:t>
      </w:r>
      <w:bookmarkStart w:id="0" w:name="_GoBack"/>
      <w:bookmarkEnd w:id="0"/>
      <w:r>
        <w:rPr>
          <w:rFonts w:hint="eastAsia" w:ascii="宋体" w:hAnsi="宋体" w:eastAsia="宋体"/>
          <w:sz w:val="28"/>
          <w:szCs w:val="28"/>
          <w:lang w:val="en-US" w:eastAsia="zh-CN"/>
        </w:rPr>
        <w:t>包括模板的材料和安装的要求</w:t>
      </w:r>
      <w:r>
        <w:rPr>
          <w:rFonts w:hint="eastAsia" w:ascii="宋体" w:hAnsi="宋体" w:eastAsia="宋体"/>
          <w:sz w:val="28"/>
          <w:szCs w:val="28"/>
        </w:rPr>
        <w:t>。</w:t>
      </w:r>
    </w:p>
    <w:p w14:paraId="79986E1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6、</w:t>
      </w:r>
      <w:r>
        <w:rPr>
          <w:rFonts w:hint="eastAsia" w:ascii="宋体" w:hAnsi="宋体" w:eastAsia="宋体"/>
          <w:sz w:val="28"/>
          <w:szCs w:val="28"/>
          <w:lang w:val="en-US" w:eastAsia="zh-CN"/>
        </w:rPr>
        <w:t>钢筋分项工程：包括钢筋的材料、钢筋加工、钢筋绑扎等方面的要求</w:t>
      </w:r>
      <w:r>
        <w:rPr>
          <w:rFonts w:hint="eastAsia" w:ascii="宋体" w:hAnsi="宋体" w:eastAsia="宋体"/>
          <w:sz w:val="28"/>
          <w:szCs w:val="28"/>
        </w:rPr>
        <w:t>。</w:t>
      </w:r>
    </w:p>
    <w:p w14:paraId="1F09ADEC">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7、混凝土分项工程：包括配制材料、配合比、搅拌、拌合物运输、浇筑、振捣、养护等方面的要求。</w:t>
      </w:r>
    </w:p>
    <w:p w14:paraId="6EC06BFC">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8、验收：包括验收的一般规定和施工质量要求。</w:t>
      </w:r>
    </w:p>
    <w:p w14:paraId="252E5299">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9、安全管理：包括安全管理的一般规定、安全生产组织与责任体系、安全生产措施、安全教育与培训、安全技术交底、安全检查、安全事故处理、施工现场用电安全等要求。</w:t>
      </w:r>
    </w:p>
    <w:p w14:paraId="05C2AEC9">
      <w:pPr>
        <w:spacing w:line="360" w:lineRule="auto"/>
        <w:ind w:firstLine="560" w:firstLineChars="200"/>
        <w:jc w:val="left"/>
        <w:rPr>
          <w:rFonts w:ascii="宋体" w:hAnsi="宋体" w:eastAsia="宋体"/>
          <w:sz w:val="28"/>
          <w:szCs w:val="28"/>
        </w:rPr>
      </w:pPr>
    </w:p>
    <w:p w14:paraId="4FD3F723">
      <w:pPr>
        <w:spacing w:line="360" w:lineRule="auto"/>
        <w:jc w:val="left"/>
        <w:rPr>
          <w:rFonts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34B0B67D">
      <w:pPr>
        <w:spacing w:line="360" w:lineRule="auto"/>
        <w:jc w:val="left"/>
        <w:rPr>
          <w:rFonts w:ascii="宋体" w:hAnsi="宋体" w:eastAsia="宋体"/>
          <w:sz w:val="28"/>
          <w:szCs w:val="28"/>
        </w:rPr>
      </w:pPr>
      <w:r>
        <w:rPr>
          <w:rFonts w:hint="eastAsia" w:ascii="宋体" w:hAnsi="宋体" w:eastAsia="宋体"/>
          <w:sz w:val="28"/>
          <w:szCs w:val="28"/>
        </w:rPr>
        <w:t xml:space="preserve">     结合国内外行业情况及公司的实践进行验证。</w:t>
      </w:r>
    </w:p>
    <w:p w14:paraId="36E4EBF9">
      <w:pPr>
        <w:spacing w:line="360" w:lineRule="auto"/>
        <w:jc w:val="left"/>
        <w:rPr>
          <w:rFonts w:ascii="宋体" w:hAnsi="宋体" w:eastAsia="宋体"/>
          <w:sz w:val="28"/>
          <w:szCs w:val="28"/>
        </w:rPr>
      </w:pPr>
    </w:p>
    <w:p w14:paraId="7C54BF3C">
      <w:pPr>
        <w:spacing w:line="360" w:lineRule="auto"/>
        <w:jc w:val="left"/>
        <w:rPr>
          <w:rFonts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4FC10B86">
      <w:pPr>
        <w:spacing w:line="360" w:lineRule="auto"/>
        <w:ind w:firstLine="570"/>
        <w:jc w:val="left"/>
        <w:rPr>
          <w:rFonts w:ascii="宋体" w:hAnsi="宋体" w:eastAsia="宋体"/>
          <w:sz w:val="28"/>
          <w:szCs w:val="28"/>
        </w:rPr>
      </w:pPr>
      <w:r>
        <w:rPr>
          <w:rFonts w:hint="eastAsia" w:ascii="宋体" w:hAnsi="宋体" w:eastAsia="宋体"/>
          <w:sz w:val="28"/>
          <w:szCs w:val="28"/>
        </w:rPr>
        <w:t>无。</w:t>
      </w:r>
    </w:p>
    <w:p w14:paraId="0055D124">
      <w:pPr>
        <w:spacing w:line="360" w:lineRule="auto"/>
        <w:ind w:firstLine="570"/>
        <w:jc w:val="left"/>
        <w:rPr>
          <w:rFonts w:ascii="宋体" w:hAnsi="宋体" w:eastAsia="宋体"/>
          <w:sz w:val="28"/>
          <w:szCs w:val="28"/>
        </w:rPr>
      </w:pPr>
    </w:p>
    <w:p w14:paraId="0244CBA7">
      <w:pPr>
        <w:spacing w:line="360" w:lineRule="auto"/>
        <w:jc w:val="left"/>
        <w:rPr>
          <w:rFonts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40A22402">
      <w:pPr>
        <w:spacing w:line="360" w:lineRule="auto"/>
        <w:jc w:val="left"/>
        <w:rPr>
          <w:rFonts w:ascii="宋体" w:hAnsi="宋体" w:eastAsia="宋体"/>
          <w:sz w:val="28"/>
          <w:szCs w:val="28"/>
        </w:rPr>
      </w:pPr>
      <w:r>
        <w:rPr>
          <w:rFonts w:hint="eastAsia" w:ascii="宋体" w:hAnsi="宋体" w:eastAsia="宋体"/>
          <w:sz w:val="28"/>
          <w:szCs w:val="28"/>
        </w:rPr>
        <w:t xml:space="preserve">   随着现浇混凝土楼梯施工技术的日益成熟与广泛应用，其在建筑工程施工及管理领域的变革性影响愈发显著。将</w:t>
      </w:r>
      <w:r>
        <w:rPr>
          <w:rFonts w:hint="eastAsia" w:ascii="宋体" w:hAnsi="宋体" w:eastAsia="宋体"/>
          <w:sz w:val="28"/>
          <w:szCs w:val="28"/>
          <w:lang w:val="en-US" w:eastAsia="zh-CN"/>
        </w:rPr>
        <w:t>该</w:t>
      </w:r>
      <w:r>
        <w:rPr>
          <w:rFonts w:hint="eastAsia" w:ascii="宋体" w:hAnsi="宋体" w:eastAsia="宋体"/>
          <w:sz w:val="28"/>
          <w:szCs w:val="28"/>
        </w:rPr>
        <w:t>技术应用到建筑工程施工中，系统整合技术优势，规范施工流程，提升</w:t>
      </w:r>
      <w:r>
        <w:rPr>
          <w:rFonts w:hint="eastAsia" w:ascii="宋体" w:hAnsi="宋体" w:eastAsia="宋体"/>
          <w:sz w:val="28"/>
          <w:szCs w:val="28"/>
          <w:lang w:eastAsia="zh-CN"/>
        </w:rPr>
        <w:t>项目管理</w:t>
      </w:r>
      <w:r>
        <w:rPr>
          <w:rFonts w:hint="eastAsia" w:ascii="宋体" w:hAnsi="宋体" w:eastAsia="宋体"/>
          <w:sz w:val="28"/>
          <w:szCs w:val="28"/>
        </w:rPr>
        <w:t>效率。</w:t>
      </w:r>
    </w:p>
    <w:p w14:paraId="0799DE3D">
      <w:pPr>
        <w:spacing w:line="360" w:lineRule="auto"/>
        <w:jc w:val="left"/>
        <w:rPr>
          <w:rFonts w:ascii="宋体" w:hAnsi="宋体" w:eastAsia="宋体"/>
          <w:sz w:val="28"/>
          <w:szCs w:val="28"/>
        </w:rPr>
      </w:pPr>
      <w:r>
        <w:rPr>
          <w:rFonts w:ascii="宋体" w:hAnsi="宋体" w:eastAsia="宋体"/>
          <w:sz w:val="28"/>
          <w:szCs w:val="28"/>
        </w:rPr>
        <w:t xml:space="preserve">  </w:t>
      </w:r>
      <w:r>
        <w:rPr>
          <w:rFonts w:hint="eastAsia" w:ascii="宋体" w:hAnsi="宋体" w:eastAsia="宋体"/>
          <w:sz w:val="28"/>
          <w:szCs w:val="28"/>
        </w:rPr>
        <w:t>预期</w:t>
      </w:r>
      <w:r>
        <w:rPr>
          <w:rFonts w:ascii="宋体" w:hAnsi="宋体" w:eastAsia="宋体"/>
          <w:sz w:val="28"/>
          <w:szCs w:val="28"/>
        </w:rPr>
        <w:t>达到的效益包括但不限于：</w:t>
      </w:r>
    </w:p>
    <w:p w14:paraId="15E8FC31">
      <w:pPr>
        <w:spacing w:line="360" w:lineRule="auto"/>
        <w:ind w:firstLine="560" w:firstLineChars="200"/>
        <w:jc w:val="left"/>
        <w:rPr>
          <w:rFonts w:ascii="宋体" w:hAnsi="宋体" w:eastAsia="宋体"/>
          <w:sz w:val="28"/>
          <w:szCs w:val="28"/>
        </w:rPr>
      </w:pPr>
      <w:r>
        <w:rPr>
          <w:rFonts w:ascii="宋体" w:hAnsi="宋体" w:eastAsia="宋体"/>
          <w:sz w:val="28"/>
          <w:szCs w:val="28"/>
        </w:rPr>
        <w:t>1、</w:t>
      </w:r>
      <w:r>
        <w:rPr>
          <w:rFonts w:hint="eastAsia" w:ascii="宋体" w:hAnsi="宋体" w:eastAsia="宋体"/>
          <w:sz w:val="28"/>
          <w:szCs w:val="28"/>
        </w:rPr>
        <w:t>提升</w:t>
      </w:r>
      <w:r>
        <w:rPr>
          <w:rFonts w:ascii="宋体" w:hAnsi="宋体" w:eastAsia="宋体"/>
          <w:sz w:val="28"/>
          <w:szCs w:val="28"/>
        </w:rPr>
        <w:t>施工效率；</w:t>
      </w:r>
    </w:p>
    <w:p w14:paraId="72BA6348">
      <w:pPr>
        <w:spacing w:line="360" w:lineRule="auto"/>
        <w:ind w:firstLine="560" w:firstLineChars="200"/>
        <w:jc w:val="left"/>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减少</w:t>
      </w:r>
      <w:r>
        <w:rPr>
          <w:rFonts w:ascii="宋体" w:hAnsi="宋体" w:eastAsia="宋体"/>
          <w:sz w:val="28"/>
          <w:szCs w:val="28"/>
        </w:rPr>
        <w:t>设计变更；</w:t>
      </w:r>
    </w:p>
    <w:p w14:paraId="6EA47C40">
      <w:pPr>
        <w:spacing w:line="360" w:lineRule="auto"/>
        <w:ind w:firstLine="560" w:firstLineChars="200"/>
        <w:jc w:val="left"/>
        <w:rPr>
          <w:rFonts w:hint="eastAsia" w:ascii="宋体" w:hAnsi="宋体" w:eastAsia="宋体"/>
          <w:sz w:val="28"/>
          <w:szCs w:val="28"/>
        </w:rPr>
      </w:pPr>
      <w:r>
        <w:rPr>
          <w:rFonts w:ascii="宋体" w:hAnsi="宋体" w:eastAsia="宋体"/>
          <w:sz w:val="28"/>
          <w:szCs w:val="28"/>
        </w:rPr>
        <w:t>3、</w:t>
      </w:r>
      <w:r>
        <w:rPr>
          <w:rFonts w:hint="eastAsia" w:ascii="宋体" w:hAnsi="宋体" w:eastAsia="宋体"/>
          <w:sz w:val="28"/>
          <w:szCs w:val="28"/>
        </w:rPr>
        <w:t>优化</w:t>
      </w:r>
      <w:r>
        <w:rPr>
          <w:rFonts w:ascii="宋体" w:hAnsi="宋体" w:eastAsia="宋体"/>
          <w:sz w:val="28"/>
          <w:szCs w:val="28"/>
        </w:rPr>
        <w:t>成本控制；</w:t>
      </w:r>
    </w:p>
    <w:p w14:paraId="407A0A0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4、增强质量监管；</w:t>
      </w:r>
    </w:p>
    <w:p w14:paraId="1A8E8D64">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5、提高安全管理。</w:t>
      </w:r>
    </w:p>
    <w:p w14:paraId="1D939531">
      <w:pPr>
        <w:spacing w:line="360" w:lineRule="auto"/>
        <w:ind w:firstLine="560" w:firstLineChars="200"/>
        <w:jc w:val="left"/>
        <w:rPr>
          <w:rFonts w:ascii="宋体" w:hAnsi="宋体" w:eastAsia="宋体"/>
          <w:sz w:val="28"/>
          <w:szCs w:val="28"/>
        </w:rPr>
      </w:pPr>
      <w:r>
        <w:rPr>
          <w:rFonts w:ascii="宋体" w:hAnsi="宋体" w:eastAsia="宋体"/>
          <w:sz w:val="28"/>
          <w:szCs w:val="28"/>
        </w:rPr>
        <w:t>并且</w:t>
      </w:r>
      <w:r>
        <w:rPr>
          <w:rFonts w:hint="eastAsia" w:ascii="宋体" w:hAnsi="宋体" w:eastAsia="宋体"/>
          <w:sz w:val="28"/>
          <w:szCs w:val="28"/>
        </w:rPr>
        <w:t>由于</w:t>
      </w:r>
      <w:r>
        <w:rPr>
          <w:rFonts w:hint="eastAsia" w:ascii="宋体" w:hAnsi="宋体" w:eastAsia="宋体"/>
          <w:sz w:val="28"/>
          <w:szCs w:val="28"/>
          <w:lang w:val="en-US" w:eastAsia="zh-CN"/>
        </w:rPr>
        <w:t>现浇混凝土楼梯施工</w:t>
      </w:r>
      <w:r>
        <w:rPr>
          <w:rFonts w:ascii="宋体" w:hAnsi="宋体" w:eastAsia="宋体"/>
          <w:sz w:val="28"/>
          <w:szCs w:val="28"/>
        </w:rPr>
        <w:t>技术在设计优化、施工准备、施工管理等多方面的</w:t>
      </w:r>
      <w:r>
        <w:rPr>
          <w:rFonts w:hint="eastAsia" w:ascii="宋体" w:hAnsi="宋体" w:eastAsia="宋体"/>
          <w:sz w:val="28"/>
          <w:szCs w:val="28"/>
          <w:lang w:eastAsia="zh-CN"/>
        </w:rPr>
        <w:t>综合</w:t>
      </w:r>
      <w:r>
        <w:rPr>
          <w:rFonts w:ascii="宋体" w:hAnsi="宋体" w:eastAsia="宋体"/>
          <w:sz w:val="28"/>
          <w:szCs w:val="28"/>
        </w:rPr>
        <w:t>应用，使得项目各阶段衔接更加紧密，施工效率与质量得到双重提升。这些证明效应叠加，最终实现了项目周期的显著缩短，加速了项目交付与资金回笼</w:t>
      </w:r>
      <w:r>
        <w:rPr>
          <w:rFonts w:hint="eastAsia" w:ascii="宋体" w:hAnsi="宋体" w:eastAsia="宋体"/>
          <w:sz w:val="28"/>
          <w:szCs w:val="28"/>
          <w:lang w:eastAsia="zh-CN"/>
        </w:rPr>
        <w:t>。</w:t>
      </w:r>
    </w:p>
    <w:p w14:paraId="3B84C135">
      <w:pPr>
        <w:spacing w:line="360" w:lineRule="auto"/>
        <w:jc w:val="left"/>
        <w:rPr>
          <w:rFonts w:ascii="宋体" w:hAnsi="宋体" w:eastAsia="宋体"/>
          <w:sz w:val="28"/>
          <w:szCs w:val="28"/>
        </w:rPr>
      </w:pPr>
    </w:p>
    <w:p w14:paraId="3984DFC8">
      <w:pPr>
        <w:spacing w:line="360" w:lineRule="auto"/>
        <w:jc w:val="left"/>
        <w:rPr>
          <w:rFonts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C2C0F32">
      <w:pPr>
        <w:spacing w:line="360" w:lineRule="auto"/>
        <w:ind w:firstLine="562"/>
        <w:jc w:val="left"/>
        <w:rPr>
          <w:rFonts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654C3C38">
      <w:pPr>
        <w:spacing w:line="360" w:lineRule="auto"/>
        <w:ind w:firstLine="562"/>
        <w:jc w:val="left"/>
        <w:rPr>
          <w:rFonts w:ascii="宋体" w:hAnsi="宋体" w:eastAsia="宋体"/>
          <w:sz w:val="28"/>
          <w:szCs w:val="28"/>
        </w:rPr>
      </w:pPr>
    </w:p>
    <w:p w14:paraId="0744D9F6">
      <w:pPr>
        <w:spacing w:line="360" w:lineRule="auto"/>
        <w:jc w:val="left"/>
        <w:rPr>
          <w:rFonts w:ascii="宋体" w:hAnsi="宋体" w:eastAsia="宋体"/>
          <w:b/>
          <w:bCs/>
          <w:sz w:val="28"/>
          <w:szCs w:val="28"/>
        </w:rPr>
      </w:pPr>
      <w:r>
        <w:rPr>
          <w:rFonts w:hint="eastAsia" w:ascii="宋体" w:hAnsi="宋体" w:eastAsia="宋体"/>
          <w:b/>
          <w:bCs/>
          <w:sz w:val="28"/>
          <w:szCs w:val="28"/>
        </w:rPr>
        <w:t>（七）重大分歧意见的处理经过和依据</w:t>
      </w:r>
    </w:p>
    <w:p w14:paraId="5FCF1899">
      <w:pPr>
        <w:spacing w:line="360" w:lineRule="auto"/>
        <w:ind w:firstLine="560"/>
        <w:jc w:val="left"/>
        <w:rPr>
          <w:rFonts w:ascii="宋体" w:hAnsi="宋体" w:eastAsia="宋体"/>
          <w:sz w:val="28"/>
          <w:szCs w:val="28"/>
        </w:rPr>
      </w:pPr>
      <w:r>
        <w:rPr>
          <w:rFonts w:hint="eastAsia" w:ascii="宋体" w:hAnsi="宋体" w:eastAsia="宋体"/>
          <w:sz w:val="28"/>
          <w:szCs w:val="28"/>
        </w:rPr>
        <w:t>无。</w:t>
      </w:r>
    </w:p>
    <w:p w14:paraId="2B535F67">
      <w:pPr>
        <w:spacing w:line="360" w:lineRule="auto"/>
        <w:ind w:firstLine="560"/>
        <w:jc w:val="left"/>
        <w:rPr>
          <w:rFonts w:ascii="宋体" w:hAnsi="宋体" w:eastAsia="宋体"/>
          <w:sz w:val="28"/>
          <w:szCs w:val="28"/>
        </w:rPr>
      </w:pPr>
    </w:p>
    <w:p w14:paraId="45B0400E">
      <w:pPr>
        <w:spacing w:line="360" w:lineRule="auto"/>
        <w:jc w:val="left"/>
        <w:rPr>
          <w:rFonts w:ascii="宋体" w:hAnsi="宋体" w:eastAsia="宋体"/>
          <w:b/>
          <w:bCs/>
          <w:sz w:val="28"/>
          <w:szCs w:val="28"/>
        </w:rPr>
      </w:pPr>
      <w:r>
        <w:rPr>
          <w:rFonts w:hint="eastAsia" w:ascii="宋体" w:hAnsi="宋体" w:eastAsia="宋体"/>
          <w:b/>
          <w:bCs/>
          <w:sz w:val="28"/>
          <w:szCs w:val="28"/>
        </w:rPr>
        <w:t>（八）标准性质的建议说明</w:t>
      </w:r>
    </w:p>
    <w:p w14:paraId="7C598C45">
      <w:pPr>
        <w:spacing w:line="360" w:lineRule="auto"/>
        <w:ind w:firstLine="562"/>
        <w:jc w:val="left"/>
        <w:rPr>
          <w:rFonts w:ascii="宋体" w:hAnsi="宋体" w:eastAsia="宋体"/>
          <w:sz w:val="28"/>
          <w:szCs w:val="28"/>
        </w:rPr>
      </w:pPr>
      <w:r>
        <w:rPr>
          <w:rFonts w:hint="eastAsia" w:ascii="宋体" w:hAnsi="宋体" w:eastAsia="宋体"/>
          <w:sz w:val="28"/>
          <w:szCs w:val="28"/>
        </w:rPr>
        <w:t>本标准为团体标准，供社会各界自愿使用。</w:t>
      </w:r>
    </w:p>
    <w:p w14:paraId="48F0289A">
      <w:pPr>
        <w:spacing w:line="360" w:lineRule="auto"/>
        <w:ind w:firstLine="562"/>
        <w:jc w:val="left"/>
        <w:rPr>
          <w:rFonts w:ascii="宋体" w:hAnsi="宋体" w:eastAsia="宋体"/>
          <w:sz w:val="28"/>
          <w:szCs w:val="28"/>
        </w:rPr>
      </w:pPr>
    </w:p>
    <w:p w14:paraId="4C01DA13">
      <w:pPr>
        <w:spacing w:line="360" w:lineRule="auto"/>
        <w:jc w:val="left"/>
        <w:rPr>
          <w:rFonts w:ascii="宋体" w:hAnsi="宋体" w:eastAsia="宋体"/>
          <w:b/>
          <w:bCs/>
          <w:sz w:val="28"/>
          <w:szCs w:val="28"/>
        </w:rPr>
      </w:pPr>
      <w:r>
        <w:rPr>
          <w:rFonts w:hint="eastAsia" w:ascii="宋体" w:hAnsi="宋体" w:eastAsia="宋体"/>
          <w:b/>
          <w:bCs/>
          <w:sz w:val="28"/>
          <w:szCs w:val="28"/>
        </w:rPr>
        <w:t>（九）贯彻标准的要求和措施建议</w:t>
      </w:r>
    </w:p>
    <w:p w14:paraId="7CCF1B7A">
      <w:pPr>
        <w:spacing w:line="360" w:lineRule="auto"/>
        <w:ind w:firstLine="562"/>
        <w:jc w:val="left"/>
        <w:rPr>
          <w:rFonts w:ascii="宋体" w:hAnsi="宋体" w:eastAsia="宋体"/>
          <w:sz w:val="28"/>
          <w:szCs w:val="28"/>
        </w:rPr>
      </w:pPr>
      <w:r>
        <w:rPr>
          <w:rFonts w:hint="eastAsia" w:ascii="宋体" w:hAnsi="宋体" w:eastAsia="宋体"/>
          <w:sz w:val="28"/>
          <w:szCs w:val="28"/>
        </w:rPr>
        <w:t>1、组织线下宣传活动、线上渠道推广，进行标准的内容宣传。</w:t>
      </w:r>
    </w:p>
    <w:p w14:paraId="5DA81196">
      <w:pPr>
        <w:spacing w:line="360" w:lineRule="auto"/>
        <w:ind w:firstLine="562"/>
        <w:jc w:val="left"/>
        <w:rPr>
          <w:rFonts w:ascii="宋体" w:hAnsi="宋体" w:eastAsia="宋体"/>
          <w:sz w:val="28"/>
          <w:szCs w:val="28"/>
        </w:rPr>
      </w:pPr>
      <w:r>
        <w:rPr>
          <w:rFonts w:hint="eastAsia" w:ascii="宋体" w:hAnsi="宋体" w:eastAsia="宋体"/>
          <w:sz w:val="28"/>
          <w:szCs w:val="28"/>
        </w:rPr>
        <w:t>2、组织相关专家进行培训和讲座，介绍本标准并进行答疑。</w:t>
      </w:r>
    </w:p>
    <w:p w14:paraId="3976A0C7">
      <w:pPr>
        <w:spacing w:line="360" w:lineRule="auto"/>
        <w:ind w:firstLine="562"/>
        <w:jc w:val="left"/>
        <w:rPr>
          <w:rFonts w:ascii="宋体" w:hAnsi="宋体" w:eastAsia="宋体"/>
          <w:sz w:val="28"/>
          <w:szCs w:val="28"/>
        </w:rPr>
      </w:pPr>
      <w:r>
        <w:rPr>
          <w:rFonts w:hint="eastAsia" w:ascii="宋体" w:hAnsi="宋体" w:eastAsia="宋体"/>
          <w:sz w:val="28"/>
          <w:szCs w:val="28"/>
        </w:rPr>
        <w:t>3、与相关协会、机构、企业等合作伙伴共通普及和推广。</w:t>
      </w:r>
    </w:p>
    <w:p w14:paraId="6B105FD4">
      <w:pPr>
        <w:spacing w:line="360" w:lineRule="auto"/>
        <w:ind w:firstLine="562"/>
        <w:jc w:val="left"/>
        <w:rPr>
          <w:rFonts w:ascii="宋体" w:hAnsi="宋体" w:eastAsia="宋体"/>
          <w:b/>
          <w:bCs/>
          <w:sz w:val="28"/>
          <w:szCs w:val="28"/>
        </w:rPr>
      </w:pPr>
    </w:p>
    <w:p w14:paraId="2592B1B7">
      <w:pPr>
        <w:spacing w:line="360" w:lineRule="auto"/>
        <w:jc w:val="left"/>
        <w:rPr>
          <w:rFonts w:ascii="宋体" w:hAnsi="宋体" w:eastAsia="宋体"/>
          <w:b/>
          <w:bCs/>
          <w:sz w:val="28"/>
          <w:szCs w:val="28"/>
        </w:rPr>
      </w:pPr>
      <w:r>
        <w:rPr>
          <w:rFonts w:hint="eastAsia" w:ascii="宋体" w:hAnsi="宋体" w:eastAsia="宋体"/>
          <w:b/>
          <w:bCs/>
          <w:sz w:val="28"/>
          <w:szCs w:val="28"/>
        </w:rPr>
        <w:t>（十）废止现行相关标准的建议</w:t>
      </w:r>
    </w:p>
    <w:p w14:paraId="671B7EBD">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41C35F08">
      <w:pPr>
        <w:spacing w:line="360" w:lineRule="auto"/>
        <w:ind w:firstLine="562"/>
        <w:jc w:val="left"/>
        <w:rPr>
          <w:rFonts w:ascii="宋体" w:hAnsi="宋体" w:eastAsia="宋体"/>
          <w:b/>
          <w:bCs/>
          <w:sz w:val="28"/>
          <w:szCs w:val="28"/>
        </w:rPr>
      </w:pPr>
    </w:p>
    <w:p w14:paraId="0D974E2C">
      <w:pPr>
        <w:spacing w:line="360" w:lineRule="auto"/>
        <w:jc w:val="left"/>
        <w:rPr>
          <w:rFonts w:ascii="宋体" w:hAnsi="宋体" w:eastAsia="宋体"/>
          <w:sz w:val="28"/>
          <w:szCs w:val="28"/>
        </w:rPr>
      </w:pPr>
      <w:r>
        <w:rPr>
          <w:rFonts w:hint="eastAsia" w:ascii="宋体" w:hAnsi="宋体" w:eastAsia="宋体"/>
          <w:b/>
          <w:bCs/>
          <w:sz w:val="28"/>
          <w:szCs w:val="28"/>
        </w:rPr>
        <w:t>（十一）其他应予说明的事项</w:t>
      </w:r>
    </w:p>
    <w:p w14:paraId="7E66D91B">
      <w:pPr>
        <w:spacing w:line="360" w:lineRule="auto"/>
        <w:ind w:firstLine="562"/>
        <w:jc w:val="left"/>
        <w:rPr>
          <w:rFonts w:ascii="宋体" w:hAnsi="宋体" w:eastAsia="宋体"/>
          <w:sz w:val="28"/>
          <w:szCs w:val="28"/>
        </w:rPr>
      </w:pPr>
      <w:r>
        <w:rPr>
          <w:rFonts w:hint="eastAsia" w:ascii="宋体" w:hAnsi="宋体" w:eastAsia="宋体"/>
          <w:sz w:val="28"/>
          <w:szCs w:val="28"/>
        </w:rPr>
        <w:t>无。</w:t>
      </w:r>
    </w:p>
    <w:p w14:paraId="71B78CF3">
      <w:pPr>
        <w:spacing w:line="360" w:lineRule="auto"/>
        <w:jc w:val="left"/>
        <w:rPr>
          <w:rFonts w:ascii="宋体" w:hAnsi="宋体" w:eastAsia="宋体"/>
          <w:b/>
          <w:bCs/>
          <w:sz w:val="28"/>
          <w:szCs w:val="28"/>
        </w:rPr>
      </w:pPr>
    </w:p>
    <w:p w14:paraId="75D98710">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50905710">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房屋建筑工程现浇混凝土楼梯施工技术规范</w:t>
      </w:r>
      <w:r>
        <w:rPr>
          <w:rFonts w:hint="eastAsia" w:ascii="宋体" w:hAnsi="宋体" w:eastAsia="宋体"/>
          <w:sz w:val="28"/>
          <w:szCs w:val="28"/>
        </w:rPr>
        <w:t>》起草组</w:t>
      </w:r>
      <w:r>
        <w:rPr>
          <w:rFonts w:ascii="宋体" w:hAnsi="宋体" w:eastAsia="宋体"/>
          <w:sz w:val="28"/>
          <w:szCs w:val="28"/>
        </w:rPr>
        <w:t xml:space="preserve"> </w:t>
      </w:r>
    </w:p>
    <w:p w14:paraId="65AB8F6E">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rPr>
        <w:t>2024</w:t>
      </w:r>
      <w:r>
        <w:rPr>
          <w:rFonts w:ascii="宋体" w:hAnsi="宋体" w:eastAsia="宋体"/>
          <w:sz w:val="28"/>
          <w:szCs w:val="28"/>
        </w:rPr>
        <w:t>年</w:t>
      </w:r>
      <w:r>
        <w:rPr>
          <w:rFonts w:hint="eastAsia" w:ascii="宋体" w:hAnsi="宋体" w:eastAsia="宋体"/>
          <w:sz w:val="28"/>
          <w:szCs w:val="28"/>
          <w:lang w:val="en-US" w:eastAsia="zh-CN"/>
        </w:rPr>
        <w:t>11</w:t>
      </w:r>
      <w:r>
        <w:rPr>
          <w:rFonts w:ascii="宋体" w:hAnsi="宋体" w:eastAsia="宋体"/>
          <w:sz w:val="28"/>
          <w:szCs w:val="28"/>
        </w:rPr>
        <w:t>月</w:t>
      </w:r>
      <w:r>
        <w:rPr>
          <w:rFonts w:hint="eastAsia" w:ascii="宋体" w:hAnsi="宋体" w:eastAsia="宋体"/>
          <w:sz w:val="28"/>
          <w:szCs w:val="28"/>
        </w:rPr>
        <w:t>0</w:t>
      </w:r>
      <w:r>
        <w:rPr>
          <w:rFonts w:hint="eastAsia" w:ascii="宋体" w:hAnsi="宋体" w:eastAsia="宋体"/>
          <w:sz w:val="28"/>
          <w:szCs w:val="28"/>
          <w:lang w:val="en-US" w:eastAsia="zh-CN"/>
        </w:rPr>
        <w:t>5</w:t>
      </w:r>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jFkYmM4NmFlNTE3OTBhMTQwMGMzYWFiZjdiOGEifQ=="/>
  </w:docVars>
  <w:rsids>
    <w:rsidRoot w:val="00080FCE"/>
    <w:rsid w:val="00004E32"/>
    <w:rsid w:val="00013CD7"/>
    <w:rsid w:val="00021E0D"/>
    <w:rsid w:val="00031415"/>
    <w:rsid w:val="000711D3"/>
    <w:rsid w:val="00076E6A"/>
    <w:rsid w:val="0007729C"/>
    <w:rsid w:val="00080FCE"/>
    <w:rsid w:val="000841BD"/>
    <w:rsid w:val="0008492B"/>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C17B8"/>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824F8"/>
    <w:rsid w:val="003C4C2B"/>
    <w:rsid w:val="003F6507"/>
    <w:rsid w:val="00400730"/>
    <w:rsid w:val="004357F5"/>
    <w:rsid w:val="00462A1E"/>
    <w:rsid w:val="00467311"/>
    <w:rsid w:val="00486151"/>
    <w:rsid w:val="00495229"/>
    <w:rsid w:val="004A0525"/>
    <w:rsid w:val="004A5E54"/>
    <w:rsid w:val="004A6E9D"/>
    <w:rsid w:val="004B116E"/>
    <w:rsid w:val="004D46D1"/>
    <w:rsid w:val="004D5495"/>
    <w:rsid w:val="004E5DAF"/>
    <w:rsid w:val="004F32FF"/>
    <w:rsid w:val="0050656F"/>
    <w:rsid w:val="00514855"/>
    <w:rsid w:val="0052542A"/>
    <w:rsid w:val="005333C6"/>
    <w:rsid w:val="00543CA9"/>
    <w:rsid w:val="00555D75"/>
    <w:rsid w:val="00560FA5"/>
    <w:rsid w:val="00566FEC"/>
    <w:rsid w:val="00576B39"/>
    <w:rsid w:val="00587745"/>
    <w:rsid w:val="005C7B43"/>
    <w:rsid w:val="00612447"/>
    <w:rsid w:val="006379F1"/>
    <w:rsid w:val="00647F5C"/>
    <w:rsid w:val="006770FA"/>
    <w:rsid w:val="006771DA"/>
    <w:rsid w:val="0068107B"/>
    <w:rsid w:val="00683BC8"/>
    <w:rsid w:val="00693278"/>
    <w:rsid w:val="00696DC6"/>
    <w:rsid w:val="006A2989"/>
    <w:rsid w:val="006A7619"/>
    <w:rsid w:val="00712175"/>
    <w:rsid w:val="0071458F"/>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0CF3"/>
    <w:rsid w:val="00855EF3"/>
    <w:rsid w:val="008639DD"/>
    <w:rsid w:val="00873DB6"/>
    <w:rsid w:val="00895E54"/>
    <w:rsid w:val="008F2746"/>
    <w:rsid w:val="00901136"/>
    <w:rsid w:val="00902454"/>
    <w:rsid w:val="00905D53"/>
    <w:rsid w:val="00921AEC"/>
    <w:rsid w:val="00925E06"/>
    <w:rsid w:val="009349E7"/>
    <w:rsid w:val="009411A8"/>
    <w:rsid w:val="009468CF"/>
    <w:rsid w:val="00954D9A"/>
    <w:rsid w:val="009603D3"/>
    <w:rsid w:val="00975BD6"/>
    <w:rsid w:val="009D3675"/>
    <w:rsid w:val="009D498C"/>
    <w:rsid w:val="009D532B"/>
    <w:rsid w:val="009D796E"/>
    <w:rsid w:val="00A32DBC"/>
    <w:rsid w:val="00A3749C"/>
    <w:rsid w:val="00A76277"/>
    <w:rsid w:val="00A824EF"/>
    <w:rsid w:val="00A869F3"/>
    <w:rsid w:val="00A86B89"/>
    <w:rsid w:val="00B36263"/>
    <w:rsid w:val="00B379B8"/>
    <w:rsid w:val="00B5633A"/>
    <w:rsid w:val="00B779CD"/>
    <w:rsid w:val="00B77F39"/>
    <w:rsid w:val="00B82572"/>
    <w:rsid w:val="00B83264"/>
    <w:rsid w:val="00BB60E1"/>
    <w:rsid w:val="00BE3B0F"/>
    <w:rsid w:val="00BF54BF"/>
    <w:rsid w:val="00C12B64"/>
    <w:rsid w:val="00C21C0E"/>
    <w:rsid w:val="00C27EC1"/>
    <w:rsid w:val="00C312CC"/>
    <w:rsid w:val="00C3266C"/>
    <w:rsid w:val="00C336CE"/>
    <w:rsid w:val="00C352B8"/>
    <w:rsid w:val="00C3573B"/>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3608"/>
    <w:rsid w:val="00DF638A"/>
    <w:rsid w:val="00DF7390"/>
    <w:rsid w:val="00E00D3E"/>
    <w:rsid w:val="00E01BCF"/>
    <w:rsid w:val="00E12A88"/>
    <w:rsid w:val="00E50746"/>
    <w:rsid w:val="00E650FA"/>
    <w:rsid w:val="00E7235B"/>
    <w:rsid w:val="00EA1735"/>
    <w:rsid w:val="00EC3FE9"/>
    <w:rsid w:val="00ED4E5B"/>
    <w:rsid w:val="00F30933"/>
    <w:rsid w:val="00F7230A"/>
    <w:rsid w:val="00F724A6"/>
    <w:rsid w:val="00F829FC"/>
    <w:rsid w:val="00F92024"/>
    <w:rsid w:val="00FA1182"/>
    <w:rsid w:val="00FC34D9"/>
    <w:rsid w:val="00FE27EF"/>
    <w:rsid w:val="00FF28A7"/>
    <w:rsid w:val="077633E2"/>
    <w:rsid w:val="0D9633F1"/>
    <w:rsid w:val="0F913D0D"/>
    <w:rsid w:val="1BF34DB3"/>
    <w:rsid w:val="1D9236E6"/>
    <w:rsid w:val="1E8E65A3"/>
    <w:rsid w:val="208337BA"/>
    <w:rsid w:val="20A57BD4"/>
    <w:rsid w:val="21820AF0"/>
    <w:rsid w:val="233E073A"/>
    <w:rsid w:val="24101808"/>
    <w:rsid w:val="29177872"/>
    <w:rsid w:val="292F6A67"/>
    <w:rsid w:val="35E6686D"/>
    <w:rsid w:val="39096AFA"/>
    <w:rsid w:val="3C3761AC"/>
    <w:rsid w:val="459A64D3"/>
    <w:rsid w:val="46EA14CF"/>
    <w:rsid w:val="4C070C02"/>
    <w:rsid w:val="4C324162"/>
    <w:rsid w:val="5200731B"/>
    <w:rsid w:val="525E7A5F"/>
    <w:rsid w:val="52833022"/>
    <w:rsid w:val="53334A48"/>
    <w:rsid w:val="53AF7E46"/>
    <w:rsid w:val="5AE40D1D"/>
    <w:rsid w:val="5CA72002"/>
    <w:rsid w:val="5F994A9B"/>
    <w:rsid w:val="68AE1786"/>
    <w:rsid w:val="68EA193E"/>
    <w:rsid w:val="6A6D6639"/>
    <w:rsid w:val="7FFD5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Char"/>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Windsoft</Company>
  <Pages>6</Pages>
  <Words>2146</Words>
  <Characters>2189</Characters>
  <Lines>16</Lines>
  <Paragraphs>4</Paragraphs>
  <TotalTime>36</TotalTime>
  <ScaleCrop>false</ScaleCrop>
  <LinksUpToDate>false</LinksUpToDate>
  <CharactersWithSpaces>2226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鱼</cp:lastModifiedBy>
  <cp:lastPrinted>2022-05-11T05:51:00Z</cp:lastPrinted>
  <dcterms:modified xsi:type="dcterms:W3CDTF">2024-11-05T07:19:48Z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363D128E8E8C4C2EBD8506CCEEF208AF_12</vt:lpwstr>
  </property>
</Properties>
</file>