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6626">
      <w:pPr>
        <w:jc w:val="center"/>
        <w:rPr>
          <w:rFonts w:ascii="黑体" w:hAnsi="黑体" w:eastAsia="黑体" w:cs="黑体"/>
          <w:bCs/>
          <w:sz w:val="30"/>
          <w:szCs w:val="30"/>
        </w:rPr>
      </w:pPr>
      <w:r>
        <w:rPr>
          <w:rFonts w:hint="eastAsia" w:ascii="黑体" w:hAnsi="黑体" w:eastAsia="黑体" w:cs="黑体"/>
          <w:bCs/>
          <w:sz w:val="30"/>
          <w:szCs w:val="30"/>
        </w:rPr>
        <w:t>《</w:t>
      </w:r>
      <w:r>
        <w:rPr>
          <w:rFonts w:hint="eastAsia" w:ascii="黑体" w:hAnsi="黑体" w:eastAsia="黑体" w:cs="黑体"/>
          <w:bCs/>
          <w:sz w:val="30"/>
          <w:szCs w:val="30"/>
          <w:lang w:val="en-US" w:eastAsia="zh-CN"/>
        </w:rPr>
        <w:t>市域党校（行政学院）现代化建设指南</w:t>
      </w:r>
      <w:r>
        <w:rPr>
          <w:rFonts w:hint="eastAsia" w:ascii="黑体" w:hAnsi="黑体" w:eastAsia="黑体" w:cs="黑体"/>
          <w:bCs/>
          <w:sz w:val="30"/>
          <w:szCs w:val="30"/>
        </w:rPr>
        <w:t>》</w:t>
      </w:r>
    </w:p>
    <w:p w14:paraId="0975E451">
      <w:pPr>
        <w:jc w:val="center"/>
        <w:rPr>
          <w:rFonts w:ascii="黑体" w:hAnsi="黑体" w:eastAsia="黑体" w:cs="黑体"/>
          <w:bCs/>
          <w:sz w:val="30"/>
          <w:szCs w:val="30"/>
        </w:rPr>
      </w:pPr>
      <w:r>
        <w:rPr>
          <w:rFonts w:hint="eastAsia" w:ascii="黑体" w:hAnsi="黑体" w:eastAsia="黑体" w:cs="黑体"/>
          <w:bCs/>
          <w:sz w:val="30"/>
          <w:szCs w:val="30"/>
        </w:rPr>
        <w:t>编制说明</w:t>
      </w:r>
    </w:p>
    <w:p w14:paraId="5881B08E">
      <w:pPr>
        <w:pStyle w:val="2"/>
        <w:numPr>
          <w:ilvl w:val="0"/>
          <w:numId w:val="2"/>
        </w:numPr>
        <w:adjustRightInd w:val="0"/>
        <w:snapToGrid w:val="0"/>
        <w:spacing w:before="156" w:beforeLines="50"/>
        <w:rPr>
          <w:rFonts w:ascii="仿宋" w:hAnsi="仿宋" w:eastAsia="仿宋" w:cs="仿宋"/>
          <w:kern w:val="0"/>
          <w:sz w:val="28"/>
          <w:szCs w:val="28"/>
        </w:rPr>
      </w:pPr>
      <w:r>
        <w:rPr>
          <w:rFonts w:hint="eastAsia" w:ascii="仿宋" w:hAnsi="仿宋" w:eastAsia="仿宋" w:cs="仿宋"/>
          <w:kern w:val="0"/>
          <w:sz w:val="28"/>
          <w:szCs w:val="28"/>
        </w:rPr>
        <w:t>项目背景</w:t>
      </w:r>
    </w:p>
    <w:p w14:paraId="1B76344A">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党的二十大明确了新时代新征程党的中心任务，即全面建成社会主义现代化强国、实现第二个百年奋斗目标，以中国式现代化全面推进中华民族伟大复兴。党校（行政学院）是党领导的培养党的领导干部的学校，是培训党的各级领导干部的主渠道，必须在培养造就堪当民族复兴重任的执政骨干队伍上积极作为。习近平总书记在中央党校建校90周年庆祝大会暨2023年春季学期开学典礼上的重要讲话创造性提出“为党育才、为党献策”的党校初心，鲜明回答了新时代红色学府建设等系列重大问题，精准标注了红色学府的精神本源、时代坐标和发展路径。要完成党中央</w:t>
      </w:r>
      <w:r>
        <w:rPr>
          <w:rFonts w:hint="eastAsia" w:ascii="仿宋" w:hAnsi="仿宋" w:eastAsia="仿宋" w:cs="仿宋"/>
          <w:sz w:val="28"/>
          <w:szCs w:val="28"/>
          <w:lang w:val="en-US" w:eastAsia="zh-CN"/>
        </w:rPr>
        <w:t>在新时代</w:t>
      </w:r>
      <w:r>
        <w:rPr>
          <w:rFonts w:hint="eastAsia" w:ascii="仿宋" w:hAnsi="仿宋" w:eastAsia="仿宋" w:cs="仿宋"/>
          <w:sz w:val="28"/>
          <w:szCs w:val="28"/>
          <w:lang w:eastAsia="zh-CN"/>
        </w:rPr>
        <w:t>赋予的使命任务，党校（行政学院）的现代化建设不仅不可或缺，而且应当先行先试。</w:t>
      </w:r>
    </w:p>
    <w:p w14:paraId="304E9B7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市域党校（行政学院）是以市、县、乡</w:t>
      </w:r>
      <w:r>
        <w:rPr>
          <w:rFonts w:hint="eastAsia" w:ascii="仿宋" w:hAnsi="仿宋" w:eastAsia="仿宋" w:cs="仿宋"/>
          <w:sz w:val="28"/>
          <w:szCs w:val="28"/>
          <w:lang w:val="en-US" w:eastAsia="zh-CN"/>
        </w:rPr>
        <w:t>3级党校为主体，包括行业党校、国有企业党校在内的干部教育培训体系，是党校系统的有机组成部分，也是培训任务最重、培训困难最大的一个层级范围。同时，上下级党校之间为业务指导关系，上级党校对下无人权事权财权，市域党校（行政学院）的现代化建设既要满足提高党员领导干部现代化建设能力的时代要求，又要注重解决内部发展不平衡不充分的矛盾，必须以科学的理念、方法加以指导。</w:t>
      </w:r>
      <w:r>
        <w:rPr>
          <w:rFonts w:hint="eastAsia" w:ascii="仿宋" w:hAnsi="仿宋" w:eastAsia="仿宋" w:cs="仿宋"/>
          <w:sz w:val="28"/>
          <w:szCs w:val="28"/>
        </w:rPr>
        <w:t>《</w:t>
      </w:r>
      <w:r>
        <w:rPr>
          <w:rFonts w:hint="eastAsia" w:ascii="仿宋" w:hAnsi="仿宋" w:eastAsia="仿宋" w:cs="仿宋"/>
          <w:sz w:val="28"/>
          <w:szCs w:val="28"/>
          <w:lang w:eastAsia="zh-CN"/>
        </w:rPr>
        <w:t>中国共产党</w:t>
      </w:r>
      <w:r>
        <w:rPr>
          <w:rFonts w:hint="eastAsia" w:ascii="仿宋" w:hAnsi="仿宋" w:eastAsia="仿宋" w:cs="仿宋"/>
          <w:sz w:val="28"/>
          <w:szCs w:val="28"/>
        </w:rPr>
        <w:t>党校</w:t>
      </w:r>
      <w:r>
        <w:rPr>
          <w:rFonts w:hint="eastAsia" w:ascii="仿宋" w:hAnsi="仿宋" w:eastAsia="仿宋" w:cs="仿宋"/>
          <w:sz w:val="28"/>
          <w:szCs w:val="28"/>
          <w:lang w:eastAsia="zh-CN"/>
        </w:rPr>
        <w:t>（行政学院）</w:t>
      </w:r>
      <w:r>
        <w:rPr>
          <w:rFonts w:hint="eastAsia" w:ascii="仿宋" w:hAnsi="仿宋" w:eastAsia="仿宋" w:cs="仿宋"/>
          <w:sz w:val="28"/>
          <w:szCs w:val="28"/>
        </w:rPr>
        <w:t>工作条例》中</w:t>
      </w:r>
      <w:r>
        <w:rPr>
          <w:rFonts w:hint="eastAsia" w:ascii="仿宋" w:hAnsi="仿宋" w:eastAsia="仿宋" w:cs="仿宋"/>
          <w:sz w:val="28"/>
          <w:szCs w:val="28"/>
          <w:lang w:eastAsia="zh-CN"/>
        </w:rPr>
        <w:t>也</w:t>
      </w:r>
      <w:r>
        <w:rPr>
          <w:rFonts w:hint="eastAsia" w:ascii="仿宋" w:hAnsi="仿宋" w:eastAsia="仿宋" w:cs="仿宋"/>
          <w:sz w:val="28"/>
          <w:szCs w:val="28"/>
        </w:rPr>
        <w:t>明确指出，市（地）级以上党校（行政学院）牵头制定本行政区域内党校（行政学院）系统建设和发展规划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要加强新时代市域党校（行政学院）的现代化建设，必须打破全市党校系统之间的条块分割，推动要素互补、力量共享、资源整合、协同补短，实现市县党校横向联动、纵向贯通，整体提升新时代市域党校（行政学院）现代化水平。新时</w:t>
      </w:r>
      <w:bookmarkStart w:id="18" w:name="_GoBack"/>
      <w:bookmarkEnd w:id="18"/>
      <w:r>
        <w:rPr>
          <w:rFonts w:hint="eastAsia" w:ascii="仿宋" w:hAnsi="仿宋" w:eastAsia="仿宋" w:cs="仿宋"/>
          <w:sz w:val="28"/>
          <w:szCs w:val="28"/>
          <w:lang w:val="en-US" w:eastAsia="zh-CN"/>
        </w:rPr>
        <w:t>代市域党校（行政学院）的现代化建设亟需标准化、规范化引领，为市域党校（行政学院）的建设发展、党的各级领导干部的培养赋能。</w:t>
      </w:r>
    </w:p>
    <w:p w14:paraId="198396D4">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市域党校（行政学院）现代化建设指南</w:t>
      </w:r>
      <w:r>
        <w:rPr>
          <w:rFonts w:hint="eastAsia" w:ascii="仿宋" w:hAnsi="仿宋" w:eastAsia="仿宋" w:cs="仿宋"/>
          <w:sz w:val="28"/>
          <w:szCs w:val="28"/>
          <w:lang w:eastAsia="zh-CN"/>
        </w:rPr>
        <w:t>》的编制发布旨在为市域内</w:t>
      </w:r>
      <w:r>
        <w:rPr>
          <w:rFonts w:hint="eastAsia" w:ascii="仿宋" w:hAnsi="仿宋" w:eastAsia="仿宋" w:cs="仿宋"/>
          <w:sz w:val="28"/>
          <w:szCs w:val="28"/>
          <w:lang w:val="en-US" w:eastAsia="zh-CN"/>
        </w:rPr>
        <w:t>各级</w:t>
      </w:r>
      <w:r>
        <w:rPr>
          <w:rFonts w:hint="eastAsia" w:ascii="仿宋" w:hAnsi="仿宋" w:eastAsia="仿宋" w:cs="仿宋"/>
          <w:sz w:val="28"/>
          <w:szCs w:val="28"/>
          <w:lang w:eastAsia="zh-CN"/>
        </w:rPr>
        <w:t>党校现代化建设提供遵循和指导，明确发展目标和发展路径，坚持分层分类、因地制宜，统筹制度建设和资源共建共享，</w:t>
      </w:r>
      <w:r>
        <w:rPr>
          <w:rFonts w:hint="eastAsia" w:ascii="仿宋" w:hAnsi="仿宋" w:eastAsia="仿宋" w:cs="仿宋"/>
          <w:sz w:val="28"/>
          <w:szCs w:val="28"/>
          <w:lang w:val="en-US" w:eastAsia="zh-CN"/>
        </w:rPr>
        <w:t>从组织体系、教育培训、科研咨询、人才队伍、校园建设角度入手，完善</w:t>
      </w:r>
      <w:r>
        <w:rPr>
          <w:rFonts w:hint="eastAsia" w:ascii="仿宋" w:hAnsi="仿宋" w:eastAsia="仿宋" w:cs="仿宋"/>
          <w:sz w:val="28"/>
          <w:szCs w:val="28"/>
          <w:lang w:eastAsia="zh-CN"/>
        </w:rPr>
        <w:t>建设成效</w:t>
      </w:r>
      <w:r>
        <w:rPr>
          <w:rFonts w:hint="eastAsia" w:ascii="仿宋" w:hAnsi="仿宋" w:eastAsia="仿宋" w:cs="仿宋"/>
          <w:sz w:val="28"/>
          <w:szCs w:val="28"/>
          <w:lang w:val="en-US" w:eastAsia="zh-CN"/>
        </w:rPr>
        <w:t>指标</w:t>
      </w:r>
      <w:r>
        <w:rPr>
          <w:rFonts w:hint="eastAsia" w:ascii="仿宋" w:hAnsi="仿宋" w:eastAsia="仿宋" w:cs="仿宋"/>
          <w:sz w:val="28"/>
          <w:szCs w:val="28"/>
          <w:lang w:eastAsia="zh-CN"/>
        </w:rPr>
        <w:t>评估</w:t>
      </w:r>
      <w:r>
        <w:rPr>
          <w:rFonts w:hint="eastAsia" w:ascii="仿宋" w:hAnsi="仿宋" w:eastAsia="仿宋" w:cs="仿宋"/>
          <w:sz w:val="28"/>
          <w:szCs w:val="28"/>
          <w:lang w:val="en-US" w:eastAsia="zh-CN"/>
        </w:rPr>
        <w:t>体系</w:t>
      </w:r>
      <w:r>
        <w:rPr>
          <w:rFonts w:hint="eastAsia" w:ascii="仿宋" w:hAnsi="仿宋" w:eastAsia="仿宋" w:cs="仿宋"/>
          <w:sz w:val="28"/>
          <w:szCs w:val="28"/>
          <w:lang w:eastAsia="zh-CN"/>
        </w:rPr>
        <w:t>，加快实现办学格局整体优化、办学条件整体迭代、办学质量整体提升，</w:t>
      </w:r>
      <w:r>
        <w:rPr>
          <w:rFonts w:hint="eastAsia" w:ascii="仿宋" w:hAnsi="仿宋" w:eastAsia="仿宋" w:cs="仿宋"/>
          <w:sz w:val="28"/>
          <w:szCs w:val="28"/>
          <w:lang w:val="en-US" w:eastAsia="zh-CN"/>
        </w:rPr>
        <w:t>以高标准引领</w:t>
      </w:r>
      <w:r>
        <w:rPr>
          <w:rFonts w:hint="eastAsia" w:ascii="仿宋" w:hAnsi="仿宋" w:eastAsia="仿宋" w:cs="仿宋"/>
          <w:sz w:val="28"/>
          <w:szCs w:val="28"/>
          <w:lang w:eastAsia="zh-CN"/>
        </w:rPr>
        <w:t>全市党校办学治校</w:t>
      </w:r>
      <w:r>
        <w:rPr>
          <w:rFonts w:hint="eastAsia" w:ascii="仿宋" w:hAnsi="仿宋" w:eastAsia="仿宋" w:cs="仿宋"/>
          <w:sz w:val="28"/>
          <w:szCs w:val="28"/>
          <w:lang w:val="en-US" w:eastAsia="zh-CN"/>
        </w:rPr>
        <w:t>现代化</w:t>
      </w:r>
      <w:r>
        <w:rPr>
          <w:rFonts w:hint="eastAsia" w:ascii="仿宋" w:hAnsi="仿宋" w:eastAsia="仿宋" w:cs="仿宋"/>
          <w:sz w:val="28"/>
          <w:szCs w:val="28"/>
          <w:lang w:eastAsia="zh-CN"/>
        </w:rPr>
        <w:t>，推动市域建成现代化红色学府示范党校。</w:t>
      </w:r>
    </w:p>
    <w:p w14:paraId="359A067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综上所述，本标准的制定势在必行。</w:t>
      </w:r>
    </w:p>
    <w:p w14:paraId="7D120FCC">
      <w:pPr>
        <w:pStyle w:val="2"/>
        <w:numPr>
          <w:ilvl w:val="0"/>
          <w:numId w:val="2"/>
        </w:numPr>
        <w:adjustRightInd w:val="0"/>
        <w:snapToGrid w:val="0"/>
        <w:spacing w:before="156" w:beforeLines="50"/>
        <w:rPr>
          <w:rFonts w:ascii="仿宋" w:hAnsi="仿宋" w:eastAsia="仿宋" w:cs="仿宋"/>
          <w:kern w:val="0"/>
          <w:sz w:val="28"/>
          <w:szCs w:val="28"/>
        </w:rPr>
      </w:pPr>
      <w:r>
        <w:rPr>
          <w:rFonts w:hint="eastAsia" w:ascii="仿宋" w:hAnsi="仿宋" w:eastAsia="仿宋" w:cs="仿宋"/>
          <w:kern w:val="0"/>
          <w:sz w:val="28"/>
          <w:szCs w:val="28"/>
        </w:rPr>
        <w:t>工作简况</w:t>
      </w:r>
    </w:p>
    <w:p w14:paraId="5BC118A8">
      <w:pPr>
        <w:pStyle w:val="2"/>
        <w:numPr>
          <w:ilvl w:val="1"/>
          <w:numId w:val="2"/>
        </w:numPr>
        <w:adjustRightInd w:val="0"/>
        <w:snapToGrid w:val="0"/>
        <w:spacing w:before="156" w:beforeLines="50"/>
        <w:rPr>
          <w:rFonts w:ascii="仿宋" w:hAnsi="仿宋" w:eastAsia="仿宋" w:cs="仿宋"/>
          <w:kern w:val="0"/>
          <w:sz w:val="28"/>
          <w:szCs w:val="28"/>
        </w:rPr>
      </w:pPr>
      <w:r>
        <w:rPr>
          <w:rFonts w:hint="eastAsia" w:ascii="仿宋" w:hAnsi="仿宋" w:eastAsia="仿宋" w:cs="仿宋"/>
          <w:kern w:val="0"/>
          <w:sz w:val="28"/>
          <w:szCs w:val="28"/>
        </w:rPr>
        <w:t>立项计划</w:t>
      </w:r>
    </w:p>
    <w:p w14:paraId="1E68448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本项目</w:t>
      </w:r>
      <w:r>
        <w:rPr>
          <w:rFonts w:hint="eastAsia" w:ascii="仿宋" w:hAnsi="仿宋" w:eastAsia="仿宋" w:cs="仿宋"/>
          <w:sz w:val="28"/>
          <w:szCs w:val="28"/>
          <w:lang w:val="en-US" w:eastAsia="zh-CN"/>
        </w:rPr>
        <w:t>由中共宁波市委党校</w:t>
      </w:r>
      <w:r>
        <w:rPr>
          <w:rFonts w:hint="eastAsia" w:ascii="仿宋" w:hAnsi="仿宋" w:eastAsia="仿宋" w:cs="仿宋"/>
          <w:sz w:val="28"/>
          <w:szCs w:val="28"/>
        </w:rPr>
        <w:t>申请，根据《浙江省产品与工程标准化协会团体标准管理办</w:t>
      </w:r>
      <w:r>
        <w:rPr>
          <w:rFonts w:hint="eastAsia" w:ascii="仿宋" w:hAnsi="仿宋" w:eastAsia="仿宋" w:cs="仿宋"/>
          <w:sz w:val="28"/>
          <w:szCs w:val="28"/>
          <w:lang w:val="en-US" w:eastAsia="zh-CN"/>
        </w:rPr>
        <w:t>法</w:t>
      </w:r>
      <w:r>
        <w:rPr>
          <w:rFonts w:hint="eastAsia" w:ascii="仿宋" w:hAnsi="仿宋" w:eastAsia="仿宋" w:cs="仿宋"/>
          <w:sz w:val="28"/>
          <w:szCs w:val="28"/>
        </w:rPr>
        <w:t>》（浙产工标协〔2017〕1号）的相关规定</w:t>
      </w:r>
      <w:r>
        <w:rPr>
          <w:rFonts w:hint="eastAsia" w:ascii="仿宋" w:hAnsi="仿宋" w:eastAsia="仿宋" w:cs="仿宋"/>
          <w:sz w:val="28"/>
          <w:szCs w:val="28"/>
          <w:lang w:eastAsia="zh-CN"/>
        </w:rPr>
        <w:t>，</w:t>
      </w:r>
      <w:r>
        <w:rPr>
          <w:rFonts w:hint="eastAsia" w:ascii="仿宋" w:hAnsi="仿宋" w:eastAsia="仿宋" w:cs="仿宋"/>
          <w:sz w:val="28"/>
          <w:szCs w:val="28"/>
        </w:rPr>
        <w:t>本团体标准符合立项条件，批准立项。</w:t>
      </w:r>
      <w:r>
        <w:rPr>
          <w:rFonts w:hint="eastAsia" w:ascii="仿宋" w:hAnsi="仿宋" w:eastAsia="仿宋" w:cs="仿宋"/>
          <w:sz w:val="28"/>
          <w:szCs w:val="28"/>
          <w:lang w:val="en-US" w:eastAsia="zh-CN"/>
        </w:rPr>
        <w:t>立项文件：《关于&lt;城市再生水河道生态补水技术规范&gt;等4项团体标准的立项公告》</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年第</w:t>
      </w:r>
      <w:r>
        <w:rPr>
          <w:rFonts w:hint="eastAsia" w:ascii="仿宋" w:hAnsi="仿宋" w:eastAsia="仿宋" w:cs="仿宋"/>
          <w:sz w:val="28"/>
          <w:szCs w:val="28"/>
          <w:lang w:val="en-US" w:eastAsia="zh-CN"/>
        </w:rPr>
        <w:t>64</w:t>
      </w:r>
      <w:r>
        <w:rPr>
          <w:rFonts w:hint="eastAsia" w:ascii="仿宋" w:hAnsi="仿宋" w:eastAsia="仿宋" w:cs="仿宋"/>
          <w:sz w:val="28"/>
          <w:szCs w:val="28"/>
        </w:rPr>
        <w:t>号）</w:t>
      </w:r>
      <w:r>
        <w:rPr>
          <w:rFonts w:hint="eastAsia" w:ascii="仿宋" w:hAnsi="仿宋" w:eastAsia="仿宋" w:cs="仿宋"/>
          <w:sz w:val="28"/>
          <w:szCs w:val="28"/>
          <w:lang w:eastAsia="zh-CN"/>
        </w:rPr>
        <w:t>。</w:t>
      </w:r>
    </w:p>
    <w:p w14:paraId="7D989021">
      <w:pPr>
        <w:pStyle w:val="2"/>
        <w:numPr>
          <w:ilvl w:val="1"/>
          <w:numId w:val="2"/>
        </w:numPr>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起草单位</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人员及其所做的工作</w:t>
      </w:r>
    </w:p>
    <w:p w14:paraId="779E521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lang w:eastAsia="zh-CN"/>
        </w:rPr>
      </w:pPr>
      <w:bookmarkStart w:id="0" w:name="OLE_LINK1"/>
      <w:r>
        <w:rPr>
          <w:rFonts w:hint="eastAsia" w:ascii="仿宋" w:hAnsi="仿宋" w:eastAsia="仿宋" w:cs="仿宋"/>
          <w:sz w:val="28"/>
          <w:szCs w:val="28"/>
        </w:rPr>
        <w:t>本标准</w:t>
      </w:r>
      <w:r>
        <w:rPr>
          <w:rFonts w:hint="eastAsia" w:ascii="仿宋" w:hAnsi="仿宋" w:eastAsia="仿宋" w:cs="仿宋"/>
          <w:sz w:val="28"/>
          <w:szCs w:val="28"/>
          <w:lang w:val="en-US" w:eastAsia="zh-CN"/>
        </w:rPr>
        <w:t>主要</w:t>
      </w:r>
      <w:r>
        <w:rPr>
          <w:rFonts w:hint="eastAsia" w:ascii="仿宋" w:hAnsi="仿宋" w:eastAsia="仿宋" w:cs="仿宋"/>
          <w:sz w:val="28"/>
          <w:szCs w:val="28"/>
        </w:rPr>
        <w:t>起草</w:t>
      </w:r>
      <w:bookmarkEnd w:id="0"/>
      <w:r>
        <w:rPr>
          <w:rFonts w:hint="eastAsia" w:ascii="仿宋" w:hAnsi="仿宋" w:eastAsia="仿宋" w:cs="仿宋"/>
          <w:sz w:val="28"/>
          <w:szCs w:val="28"/>
        </w:rPr>
        <w:t>单位：</w:t>
      </w:r>
      <w:r>
        <w:rPr>
          <w:rFonts w:hint="eastAsia" w:ascii="仿宋" w:hAnsi="仿宋" w:eastAsia="仿宋" w:cs="仿宋"/>
          <w:sz w:val="28"/>
          <w:szCs w:val="28"/>
          <w:lang w:val="en-US" w:eastAsia="zh-CN"/>
        </w:rPr>
        <w:t>中共宁波市委党校</w:t>
      </w:r>
      <w:r>
        <w:rPr>
          <w:rFonts w:hint="eastAsia" w:ascii="仿宋" w:hAnsi="仿宋" w:eastAsia="仿宋" w:cs="仿宋"/>
          <w:sz w:val="28"/>
          <w:szCs w:val="28"/>
          <w:lang w:eastAsia="zh-CN"/>
        </w:rPr>
        <w:t>。</w:t>
      </w:r>
    </w:p>
    <w:p w14:paraId="6EEFABA9">
      <w:pPr>
        <w:widowControl w:val="0"/>
        <w:autoSpaceDE w:val="0"/>
        <w:autoSpaceDN w:val="0"/>
        <w:adjustRightInd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编制团队人员具有丰富的实践经验，拥有较强的业务能力、团结协作精神、文字表达能力，成功主持标准编制工作，完成标准文本编写。</w:t>
      </w:r>
    </w:p>
    <w:p w14:paraId="05F4418A">
      <w:pPr>
        <w:pStyle w:val="2"/>
        <w:numPr>
          <w:ilvl w:val="1"/>
          <w:numId w:val="2"/>
        </w:numPr>
        <w:adjustRightInd w:val="0"/>
        <w:snapToGrid w:val="0"/>
        <w:spacing w:before="156" w:beforeLines="50"/>
        <w:rPr>
          <w:rFonts w:ascii="仿宋" w:hAnsi="仿宋" w:eastAsia="仿宋" w:cs="仿宋"/>
          <w:kern w:val="0"/>
          <w:sz w:val="28"/>
          <w:szCs w:val="28"/>
        </w:rPr>
      </w:pPr>
      <w:r>
        <w:rPr>
          <w:rFonts w:hint="eastAsia" w:ascii="仿宋" w:hAnsi="仿宋" w:eastAsia="仿宋" w:cs="仿宋"/>
          <w:kern w:val="0"/>
          <w:sz w:val="28"/>
          <w:szCs w:val="28"/>
        </w:rPr>
        <w:t>主要工作过程</w:t>
      </w:r>
    </w:p>
    <w:p w14:paraId="543522A0">
      <w:pPr>
        <w:widowControl/>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2.3.1 明确标准起草人员和工作计划</w:t>
      </w:r>
    </w:p>
    <w:p w14:paraId="24EA6C76">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eastAsia="zh-CN"/>
        </w:rPr>
        <w:t>，</w:t>
      </w:r>
      <w:r>
        <w:rPr>
          <w:rFonts w:hint="eastAsia" w:ascii="仿宋" w:hAnsi="仿宋" w:eastAsia="仿宋" w:cs="仿宋"/>
          <w:sz w:val="28"/>
          <w:szCs w:val="28"/>
        </w:rPr>
        <w:t>组建标准编制小组，明确人员职责分工、研制计划、时间进度安排等情况。</w:t>
      </w:r>
    </w:p>
    <w:p w14:paraId="436D383C">
      <w:pPr>
        <w:widowControl/>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2.3.2起草标准初稿</w:t>
      </w:r>
    </w:p>
    <w:p w14:paraId="716333A5">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w:t>
      </w:r>
      <w:r>
        <w:rPr>
          <w:rFonts w:hint="eastAsia" w:ascii="仿宋" w:hAnsi="仿宋" w:eastAsia="仿宋" w:cs="仿宋"/>
          <w:sz w:val="28"/>
          <w:szCs w:val="28"/>
        </w:rPr>
        <w:t>标准编制小组收集</w:t>
      </w:r>
      <w:r>
        <w:rPr>
          <w:rFonts w:hint="eastAsia" w:ascii="仿宋" w:hAnsi="仿宋" w:eastAsia="仿宋" w:cs="仿宋"/>
          <w:sz w:val="28"/>
          <w:szCs w:val="28"/>
          <w:lang w:val="en-US" w:eastAsia="zh-CN"/>
        </w:rPr>
        <w:t>整理相关</w:t>
      </w:r>
      <w:r>
        <w:rPr>
          <w:rFonts w:hint="eastAsia" w:ascii="仿宋" w:hAnsi="仿宋" w:eastAsia="仿宋" w:cs="仿宋"/>
          <w:sz w:val="28"/>
          <w:szCs w:val="28"/>
        </w:rPr>
        <w:t>研究成果、</w:t>
      </w:r>
      <w:r>
        <w:rPr>
          <w:rFonts w:hint="eastAsia" w:ascii="仿宋" w:hAnsi="仿宋" w:eastAsia="仿宋" w:cs="仿宋"/>
          <w:sz w:val="28"/>
          <w:szCs w:val="28"/>
          <w:lang w:val="en-US" w:eastAsia="zh-CN"/>
        </w:rPr>
        <w:t>实践经验</w:t>
      </w:r>
      <w:r>
        <w:rPr>
          <w:rFonts w:hint="eastAsia" w:ascii="仿宋" w:hAnsi="仿宋" w:eastAsia="仿宋" w:cs="仿宋"/>
          <w:sz w:val="28"/>
          <w:szCs w:val="28"/>
        </w:rPr>
        <w:t>，确定标准的主要框架及内容，完成初稿。</w:t>
      </w:r>
      <w:r>
        <w:rPr>
          <w:rFonts w:hint="eastAsia" w:ascii="仿宋" w:hAnsi="仿宋" w:eastAsia="仿宋" w:cs="仿宋"/>
          <w:sz w:val="28"/>
          <w:szCs w:val="28"/>
          <w:lang w:val="en-US" w:eastAsia="zh-CN"/>
        </w:rPr>
        <w:t>标准主要技术内容为</w:t>
      </w:r>
      <w:bookmarkStart w:id="1" w:name="OLE_LINK2"/>
      <w:r>
        <w:rPr>
          <w:rFonts w:hint="eastAsia" w:ascii="仿宋" w:hAnsi="仿宋" w:eastAsia="仿宋" w:cs="仿宋"/>
          <w:sz w:val="28"/>
          <w:szCs w:val="28"/>
          <w:lang w:val="en-US" w:eastAsia="zh-CN"/>
        </w:rPr>
        <w:t>范围、规范性引用文件、术语和定义、基本要求、组织管理现代化、教育培训现代化、科研咨询现代化、人才队伍现代化、校园建设现代化、评价与改进</w:t>
      </w:r>
      <w:bookmarkEnd w:id="1"/>
      <w:r>
        <w:rPr>
          <w:rFonts w:hint="eastAsia" w:ascii="仿宋" w:hAnsi="仿宋" w:eastAsia="仿宋" w:cs="仿宋"/>
          <w:sz w:val="28"/>
          <w:szCs w:val="28"/>
          <w:lang w:val="en-US" w:eastAsia="zh-CN"/>
        </w:rPr>
        <w:t>，定名为《市域党校（行政学院）现代化建设指南》。</w:t>
      </w:r>
    </w:p>
    <w:p w14:paraId="32B0EFB3">
      <w:pPr>
        <w:widowControl/>
        <w:adjustRightInd w:val="0"/>
        <w:snapToGrid w:val="0"/>
        <w:spacing w:line="360" w:lineRule="auto"/>
        <w:jc w:val="left"/>
        <w:rPr>
          <w:rFonts w:ascii="仿宋" w:hAnsi="仿宋" w:eastAsia="仿宋" w:cs="仿宋"/>
          <w:sz w:val="28"/>
          <w:szCs w:val="28"/>
        </w:rPr>
      </w:pPr>
      <w:bookmarkStart w:id="2" w:name="_Hlk139989363"/>
      <w:r>
        <w:rPr>
          <w:rFonts w:hint="eastAsia" w:ascii="仿宋" w:hAnsi="仿宋" w:eastAsia="仿宋" w:cs="仿宋"/>
          <w:sz w:val="28"/>
          <w:szCs w:val="28"/>
        </w:rPr>
        <w:t>2.3.3标准讨论及修改过程</w:t>
      </w:r>
    </w:p>
    <w:bookmarkEnd w:id="2"/>
    <w:p w14:paraId="4C16974F">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2024</w:t>
      </w:r>
      <w:r>
        <w:rPr>
          <w:rFonts w:hint="eastAsia" w:ascii="仿宋" w:hAnsi="仿宋" w:eastAsia="仿宋" w:cs="仿宋"/>
          <w:sz w:val="28"/>
          <w:szCs w:val="28"/>
        </w:rPr>
        <w:t>年</w:t>
      </w:r>
      <w:r>
        <w:rPr>
          <w:rFonts w:hint="eastAsia" w:ascii="仿宋" w:hAnsi="仿宋" w:eastAsia="仿宋" w:cs="仿宋"/>
          <w:sz w:val="28"/>
          <w:szCs w:val="28"/>
          <w:lang w:val="en-US" w:eastAsia="zh-CN"/>
        </w:rPr>
        <w:t>10月1日-10月15日，对标准名称、标准一级、二级指标等内容</w:t>
      </w:r>
      <w:r>
        <w:rPr>
          <w:rFonts w:hint="eastAsia" w:ascii="仿宋" w:hAnsi="仿宋" w:eastAsia="仿宋" w:cs="仿宋"/>
          <w:sz w:val="28"/>
          <w:szCs w:val="28"/>
        </w:rPr>
        <w:t>进行了</w:t>
      </w:r>
      <w:r>
        <w:rPr>
          <w:rFonts w:hint="eastAsia" w:ascii="仿宋" w:hAnsi="仿宋" w:eastAsia="仿宋" w:cs="仿宋"/>
          <w:sz w:val="28"/>
          <w:szCs w:val="28"/>
          <w:lang w:val="en-US" w:eastAsia="zh-CN"/>
        </w:rPr>
        <w:t>讨论</w:t>
      </w:r>
      <w:r>
        <w:rPr>
          <w:rFonts w:hint="eastAsia" w:ascii="仿宋" w:hAnsi="仿宋" w:eastAsia="仿宋" w:cs="仿宋"/>
          <w:sz w:val="28"/>
          <w:szCs w:val="28"/>
        </w:rPr>
        <w:t>修改。</w:t>
      </w:r>
      <w:r>
        <w:rPr>
          <w:rFonts w:hint="eastAsia" w:ascii="仿宋" w:hAnsi="仿宋" w:eastAsia="仿宋" w:cs="仿宋"/>
          <w:sz w:val="28"/>
          <w:szCs w:val="28"/>
          <w:lang w:val="en-US" w:eastAsia="zh-CN"/>
        </w:rPr>
        <w:t>标准主要技术内容更改为范围、规范性引用文件、术语和定义、基本要求、组织体系、教育培训、科研咨询、人才队伍、校园建设、评价改进、新时代市域党校（行政学院）现代化建设关键指标。标准更名为《市域党校（行政学院）现代化建设指南》</w:t>
      </w:r>
    </w:p>
    <w:p w14:paraId="66DEDFF5">
      <w:pPr>
        <w:pStyle w:val="2"/>
        <w:adjustRightInd w:val="0"/>
        <w:snapToGrid w:val="0"/>
        <w:spacing w:before="156" w:beforeLines="50"/>
        <w:rPr>
          <w:rFonts w:hint="eastAsia" w:ascii="仿宋" w:hAnsi="仿宋" w:eastAsia="仿宋" w:cs="仿宋"/>
          <w:kern w:val="0"/>
          <w:sz w:val="28"/>
          <w:szCs w:val="28"/>
          <w:lang w:eastAsia="zh-CN"/>
        </w:rPr>
      </w:pPr>
      <w:r>
        <w:rPr>
          <w:rFonts w:hint="eastAsia" w:ascii="仿宋" w:hAnsi="仿宋" w:eastAsia="仿宋" w:cs="仿宋"/>
          <w:kern w:val="0"/>
          <w:sz w:val="28"/>
          <w:szCs w:val="28"/>
        </w:rPr>
        <w:t>3．标准编制原则和主要技术</w:t>
      </w:r>
      <w:r>
        <w:rPr>
          <w:rFonts w:hint="eastAsia" w:ascii="仿宋" w:hAnsi="仿宋" w:eastAsia="仿宋" w:cs="仿宋"/>
          <w:kern w:val="0"/>
          <w:sz w:val="28"/>
          <w:szCs w:val="28"/>
          <w:lang w:val="en-US" w:eastAsia="zh-CN"/>
        </w:rPr>
        <w:t>内容</w:t>
      </w:r>
    </w:p>
    <w:p w14:paraId="7F3349DA">
      <w:pPr>
        <w:widowControl/>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b/>
          <w:bCs/>
          <w:kern w:val="0"/>
          <w:sz w:val="28"/>
          <w:szCs w:val="28"/>
        </w:rPr>
        <w:t>3.1标准编制原则</w:t>
      </w:r>
    </w:p>
    <w:p w14:paraId="71087432">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本标准兼顾科学性、</w:t>
      </w:r>
      <w:r>
        <w:rPr>
          <w:rFonts w:hint="eastAsia" w:ascii="仿宋" w:hAnsi="仿宋" w:eastAsia="仿宋" w:cs="仿宋"/>
          <w:sz w:val="28"/>
          <w:szCs w:val="28"/>
          <w:lang w:val="en-US" w:eastAsia="zh-CN"/>
        </w:rPr>
        <w:t>实用</w:t>
      </w:r>
      <w:r>
        <w:rPr>
          <w:rFonts w:hint="eastAsia" w:ascii="仿宋" w:hAnsi="仿宋" w:eastAsia="仿宋" w:cs="仿宋"/>
          <w:sz w:val="28"/>
          <w:szCs w:val="28"/>
        </w:rPr>
        <w:t>性、</w:t>
      </w:r>
      <w:r>
        <w:rPr>
          <w:rFonts w:hint="eastAsia" w:ascii="仿宋" w:hAnsi="仿宋" w:eastAsia="仿宋" w:cs="仿宋"/>
          <w:sz w:val="28"/>
          <w:szCs w:val="28"/>
          <w:lang w:val="en-US" w:eastAsia="zh-CN"/>
        </w:rPr>
        <w:t>规范</w:t>
      </w:r>
      <w:r>
        <w:rPr>
          <w:rFonts w:hint="eastAsia" w:ascii="仿宋" w:hAnsi="仿宋" w:eastAsia="仿宋" w:cs="仿宋"/>
          <w:sz w:val="28"/>
          <w:szCs w:val="28"/>
        </w:rPr>
        <w:t>性、</w:t>
      </w:r>
      <w:r>
        <w:rPr>
          <w:rFonts w:hint="eastAsia" w:ascii="仿宋" w:hAnsi="仿宋" w:eastAsia="仿宋" w:cs="仿宋"/>
          <w:sz w:val="28"/>
          <w:szCs w:val="28"/>
          <w:lang w:val="en-US" w:eastAsia="zh-CN"/>
        </w:rPr>
        <w:t>可操作</w:t>
      </w:r>
      <w:r>
        <w:rPr>
          <w:rFonts w:hint="eastAsia" w:ascii="仿宋" w:hAnsi="仿宋" w:eastAsia="仿宋" w:cs="仿宋"/>
          <w:sz w:val="28"/>
          <w:szCs w:val="28"/>
        </w:rPr>
        <w:t>性的原则，严格按照GB/T 1.1</w:t>
      </w:r>
      <w:r>
        <w:rPr>
          <w:rFonts w:hint="eastAsia" w:ascii="仿宋" w:hAnsi="仿宋" w:eastAsia="仿宋" w:cs="仿宋"/>
          <w:sz w:val="28"/>
          <w:szCs w:val="28"/>
          <w:lang w:eastAsia="zh-CN"/>
        </w:rPr>
        <w:t>—</w:t>
      </w:r>
      <w:r>
        <w:rPr>
          <w:rFonts w:hint="eastAsia" w:ascii="仿宋" w:hAnsi="仿宋" w:eastAsia="仿宋" w:cs="仿宋"/>
          <w:sz w:val="28"/>
          <w:szCs w:val="28"/>
        </w:rPr>
        <w:t>2020</w:t>
      </w:r>
      <w:r>
        <w:rPr>
          <w:rFonts w:hint="eastAsia" w:ascii="仿宋" w:hAnsi="仿宋" w:eastAsia="仿宋" w:cs="仿宋"/>
          <w:sz w:val="28"/>
          <w:szCs w:val="28"/>
          <w:lang w:val="en-US" w:eastAsia="zh-CN"/>
        </w:rPr>
        <w:t>和GB/T 20004.1—2016</w:t>
      </w:r>
      <w:r>
        <w:rPr>
          <w:rFonts w:hint="eastAsia" w:ascii="仿宋" w:hAnsi="仿宋" w:eastAsia="仿宋" w:cs="仿宋"/>
          <w:sz w:val="28"/>
          <w:szCs w:val="28"/>
        </w:rPr>
        <w:t>的规则进行标准编制。</w:t>
      </w:r>
    </w:p>
    <w:p w14:paraId="2D176489">
      <w:pPr>
        <w:widowControl/>
        <w:adjustRightInd w:val="0"/>
        <w:snapToGrid w:val="0"/>
        <w:spacing w:line="360" w:lineRule="auto"/>
        <w:jc w:val="lef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rPr>
        <w:t>3.2主要技术</w:t>
      </w:r>
      <w:r>
        <w:rPr>
          <w:rFonts w:hint="eastAsia" w:ascii="仿宋" w:hAnsi="仿宋" w:eastAsia="仿宋" w:cs="仿宋"/>
          <w:b/>
          <w:bCs/>
          <w:kern w:val="0"/>
          <w:sz w:val="28"/>
          <w:szCs w:val="28"/>
          <w:lang w:val="en-US" w:eastAsia="zh-CN"/>
        </w:rPr>
        <w:t>内容</w:t>
      </w:r>
    </w:p>
    <w:p w14:paraId="14CB0744">
      <w:pPr>
        <w:widowControl/>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w:t>
      </w:r>
      <w:r>
        <w:rPr>
          <w:rFonts w:hint="eastAsia" w:ascii="仿宋" w:hAnsi="仿宋" w:eastAsia="仿宋" w:cs="仿宋"/>
          <w:sz w:val="28"/>
          <w:szCs w:val="28"/>
          <w:lang w:val="en-US" w:eastAsia="zh-CN"/>
        </w:rPr>
        <w:t>标准</w:t>
      </w:r>
      <w:r>
        <w:rPr>
          <w:rFonts w:hint="eastAsia" w:ascii="仿宋" w:hAnsi="仿宋" w:eastAsia="仿宋" w:cs="仿宋"/>
          <w:sz w:val="28"/>
          <w:szCs w:val="28"/>
        </w:rPr>
        <w:t>规定了新时代市域党校（行政学院）现代化建设的基本要求、组织体系、教育培训、科研咨询、人才队伍、校园建设、评价改进的内容</w:t>
      </w:r>
      <w:r>
        <w:rPr>
          <w:rFonts w:hint="eastAsia" w:ascii="仿宋" w:hAnsi="仿宋" w:eastAsia="仿宋" w:cs="仿宋"/>
          <w:sz w:val="28"/>
          <w:szCs w:val="28"/>
          <w:lang w:eastAsia="zh-CN"/>
        </w:rPr>
        <w:t>，</w:t>
      </w:r>
      <w:r>
        <w:rPr>
          <w:rFonts w:hint="eastAsia" w:ascii="仿宋" w:hAnsi="仿宋" w:eastAsia="仿宋" w:cs="仿宋"/>
          <w:sz w:val="28"/>
          <w:szCs w:val="28"/>
        </w:rPr>
        <w:t>适用于新时代市域党校（行政学院）现代化建设。</w:t>
      </w:r>
    </w:p>
    <w:p w14:paraId="06ECA74D">
      <w:pPr>
        <w:widowControl/>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1.范围。本章规定了本标准的适用范围。</w:t>
      </w:r>
    </w:p>
    <w:p w14:paraId="1EE65CF0">
      <w:pPr>
        <w:widowControl/>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规范性引用文件。本章列举了本标准的规范性引用文件的名称及编号。</w:t>
      </w:r>
    </w:p>
    <w:p w14:paraId="19B46782">
      <w:pPr>
        <w:widowControl/>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术语和定义。本章对新时代市域党校（行政学院）现代化建设进行了定义。</w:t>
      </w:r>
    </w:p>
    <w:p w14:paraId="69DD4F85">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 基本要求。本章对新时代市域党校（行政学院）现代化建设的方向和原则进行了规定，从党校姓党、党校初心、数智党校、特色党校、市域党校互联共建等角度进行阐述。</w:t>
      </w:r>
    </w:p>
    <w:p w14:paraId="688B7E02">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 组织体系。本章主要对组织体系的党建引领、体系设计、组织领导等内容进行规定。</w:t>
      </w:r>
    </w:p>
    <w:p w14:paraId="4219A902">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 教育培训。本章主要对教育培训的课程设置、班次设置、教学方法、学员管理等内容进行规定。</w:t>
      </w:r>
    </w:p>
    <w:p w14:paraId="4EEDD78E">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 科研咨询。本章主要对科研咨询的工作导向、课题研究、决策咨询、科研协作等内容等内容进行规定。</w:t>
      </w:r>
    </w:p>
    <w:p w14:paraId="57EA1E75">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 人才队伍。本章主要对人才队伍的人员配备、人才培养、考核管理等内容进行了规定。其中人员配备又分为学科团队、专职教师、兼职教师等内容。</w:t>
      </w:r>
    </w:p>
    <w:p w14:paraId="5C6FDD52">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 校园建设。本章主要对校园建设的基础设施、数智校园、校园文化等内容进行了规定。</w:t>
      </w:r>
    </w:p>
    <w:p w14:paraId="04D22581">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 评价改进。本章主要对评价指标、问题整改等内容进行了规定。</w:t>
      </w:r>
    </w:p>
    <w:p w14:paraId="77DD34F1">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附录A(资料性） 新时代市域党校（行政学院）现代化建设关键指标。附录主要列举了新时代市域党校（行政学院）现代化建设关键指标的名称、说明、要求等内容。</w:t>
      </w:r>
    </w:p>
    <w:p w14:paraId="02202BAC">
      <w:pPr>
        <w:pStyle w:val="2"/>
        <w:adjustRightInd w:val="0"/>
        <w:snapToGrid w:val="0"/>
        <w:spacing w:before="156" w:beforeLines="50"/>
        <w:rPr>
          <w:rFonts w:hint="eastAsia" w:ascii="仿宋" w:hAnsi="仿宋" w:eastAsia="仿宋" w:cs="仿宋"/>
          <w:kern w:val="0"/>
          <w:sz w:val="28"/>
          <w:szCs w:val="28"/>
        </w:rPr>
      </w:pPr>
      <w:r>
        <w:rPr>
          <w:rFonts w:hint="eastAsia" w:ascii="仿宋" w:hAnsi="仿宋" w:eastAsia="仿宋" w:cs="仿宋"/>
          <w:kern w:val="0"/>
          <w:sz w:val="28"/>
          <w:szCs w:val="28"/>
        </w:rPr>
        <w:t>4．国内外现行相关法律、法规和标准情况</w:t>
      </w:r>
    </w:p>
    <w:p w14:paraId="02E5D390">
      <w:pPr>
        <w:widowControl/>
        <w:adjustRightInd w:val="0"/>
        <w:snapToGrid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本标准与现行的法律法规及国家标准、行业标准、地方标准协调一致，无任何冲突。</w:t>
      </w:r>
    </w:p>
    <w:p w14:paraId="684462C8">
      <w:pPr>
        <w:widowControl/>
        <w:adjustRightInd w:val="0"/>
        <w:snapToGrid w:val="0"/>
        <w:spacing w:line="360" w:lineRule="auto"/>
        <w:ind w:firstLine="560" w:firstLineChars="200"/>
        <w:jc w:val="left"/>
        <w:rPr>
          <w:rFonts w:hint="eastAsia" w:ascii="仿宋" w:hAnsi="仿宋" w:eastAsia="仿宋" w:cs="仿宋"/>
          <w:sz w:val="28"/>
          <w:szCs w:val="28"/>
          <w:lang w:val="en-US" w:eastAsia="zh-CN"/>
        </w:rPr>
      </w:pPr>
      <w:bookmarkStart w:id="3" w:name="OLE_LINK3"/>
      <w:r>
        <w:rPr>
          <w:rFonts w:hint="eastAsia" w:ascii="仿宋" w:hAnsi="仿宋" w:eastAsia="仿宋" w:cs="仿宋"/>
          <w:sz w:val="28"/>
          <w:szCs w:val="28"/>
          <w:lang w:val="en-US" w:eastAsia="zh-CN"/>
        </w:rPr>
        <w:t>《中国共产党党校（行政学院）工作条例》</w:t>
      </w:r>
      <w:bookmarkEnd w:id="3"/>
      <w:r>
        <w:rPr>
          <w:rFonts w:hint="eastAsia" w:ascii="仿宋" w:hAnsi="仿宋" w:eastAsia="仿宋" w:cs="仿宋"/>
          <w:sz w:val="28"/>
          <w:szCs w:val="28"/>
          <w:lang w:val="en-US" w:eastAsia="zh-CN"/>
        </w:rPr>
        <w:t>规定了党校（行政学院）的性质定位、办学指导思想、遵循原则、基本任务和教育培训目标、体制机制、教学管理、人才队伍、开放办学等内容，本标准在符合条例要求的基础上，针对新时代市域党校（行政学院）的现代化建设进行规范与指导。</w:t>
      </w:r>
    </w:p>
    <w:p w14:paraId="7724E3EF">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国内标准：《干部网络培训 课程审核》GB/T 38862规定了干部网络培训课程的审核要求，给出了干部网络培训课程的审核主体、审核原则、审核范围、审核方法及审核结果形式，本标准规定了线上线下干部教育培训的过程和内容，形式更丰富、范围更宽广且更加注重于党校现代化建设。《干部网络培训 专题班规范》GB/T 38865适用于干部网络专题培训班的设计、组织、管理、实施和评估，本标准规定了干部教育培训如何从现代化建设角度进行线上线下班次设置、课程设置。《教育与学习服务 术语》GB/T 43294界定了ISO/TC 232（教育与学习服务技术委员会）标准的术语和定义，本标准规定了市域党校具体的建设目标、建设方法与建设评价，规定了新时代市域党校（行政学院）现代化建设的全过程。</w:t>
      </w:r>
    </w:p>
    <w:p w14:paraId="7D6CFA37">
      <w:pPr>
        <w:widowControl/>
        <w:adjustRightInd w:val="0"/>
        <w:snapToGrid w:val="0"/>
        <w:spacing w:line="360" w:lineRule="auto"/>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国外标准：无</w:t>
      </w:r>
    </w:p>
    <w:p w14:paraId="287820ED">
      <w:pPr>
        <w:pStyle w:val="2"/>
        <w:adjustRightInd w:val="0"/>
        <w:snapToGrid w:val="0"/>
        <w:spacing w:before="156" w:beforeLines="50"/>
        <w:rPr>
          <w:rFonts w:ascii="仿宋" w:hAnsi="仿宋" w:eastAsia="仿宋" w:cs="仿宋"/>
          <w:kern w:val="0"/>
          <w:sz w:val="28"/>
          <w:szCs w:val="28"/>
        </w:rPr>
      </w:pPr>
      <w:bookmarkStart w:id="4" w:name="_Toc453858718"/>
      <w:bookmarkStart w:id="5" w:name="_Toc453858550"/>
      <w:bookmarkStart w:id="6" w:name="_Toc453858694"/>
      <w:bookmarkStart w:id="7" w:name="_Toc453858447"/>
      <w:bookmarkStart w:id="8" w:name="_Toc434314344"/>
      <w:bookmarkStart w:id="9" w:name="_Toc453858768"/>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w:t>
      </w:r>
      <w:bookmarkEnd w:id="4"/>
      <w:bookmarkEnd w:id="5"/>
      <w:bookmarkEnd w:id="6"/>
      <w:bookmarkEnd w:id="7"/>
      <w:bookmarkEnd w:id="8"/>
      <w:bookmarkEnd w:id="9"/>
      <w:r>
        <w:rPr>
          <w:rFonts w:hint="eastAsia" w:ascii="仿宋" w:hAnsi="仿宋" w:eastAsia="仿宋" w:cs="仿宋"/>
          <w:kern w:val="0"/>
          <w:sz w:val="28"/>
          <w:szCs w:val="28"/>
        </w:rPr>
        <w:t>重大意见分歧的处理依据和结果</w:t>
      </w:r>
    </w:p>
    <w:p w14:paraId="0AF4EF8B">
      <w:pPr>
        <w:widowControl/>
        <w:adjustRightInd w:val="0"/>
        <w:snapToGrid w:val="0"/>
        <w:spacing w:line="360" w:lineRule="auto"/>
        <w:ind w:firstLine="560" w:firstLineChars="200"/>
        <w:jc w:val="left"/>
        <w:rPr>
          <w:rFonts w:hint="default" w:ascii="仿宋" w:hAnsi="仿宋" w:eastAsia="仿宋" w:cs="仿宋"/>
          <w:kern w:val="0"/>
          <w:sz w:val="28"/>
          <w:szCs w:val="28"/>
          <w:lang w:val="en-US" w:eastAsia="zh-CN"/>
        </w:rPr>
      </w:pPr>
      <w:bookmarkStart w:id="10" w:name="_Toc453858695"/>
      <w:bookmarkStart w:id="11" w:name="_Toc453858769"/>
      <w:bookmarkStart w:id="12" w:name="_Toc453858551"/>
      <w:bookmarkStart w:id="13" w:name="_Toc434314345"/>
      <w:bookmarkStart w:id="14" w:name="_Toc453858719"/>
      <w:bookmarkStart w:id="15" w:name="_Toc453858448"/>
      <w:r>
        <w:rPr>
          <w:rFonts w:hint="eastAsia" w:ascii="仿宋" w:hAnsi="仿宋" w:eastAsia="仿宋" w:cs="仿宋"/>
          <w:kern w:val="0"/>
          <w:sz w:val="28"/>
          <w:szCs w:val="28"/>
        </w:rPr>
        <w:t>无</w:t>
      </w:r>
      <w:r>
        <w:rPr>
          <w:rFonts w:hint="eastAsia" w:ascii="仿宋" w:hAnsi="仿宋" w:eastAsia="仿宋" w:cs="仿宋"/>
          <w:kern w:val="0"/>
          <w:sz w:val="28"/>
          <w:szCs w:val="28"/>
          <w:lang w:val="en-US" w:eastAsia="zh-CN"/>
        </w:rPr>
        <w:t>重大意见分歧。</w:t>
      </w:r>
    </w:p>
    <w:bookmarkEnd w:id="10"/>
    <w:bookmarkEnd w:id="11"/>
    <w:bookmarkEnd w:id="12"/>
    <w:bookmarkEnd w:id="13"/>
    <w:bookmarkEnd w:id="14"/>
    <w:bookmarkEnd w:id="15"/>
    <w:p w14:paraId="04206EDB">
      <w:pPr>
        <w:pStyle w:val="2"/>
        <w:adjustRightInd w:val="0"/>
        <w:snapToGrid w:val="0"/>
        <w:spacing w:before="156" w:beforeLines="50"/>
        <w:rPr>
          <w:rFonts w:ascii="仿宋" w:hAnsi="仿宋" w:eastAsia="仿宋" w:cs="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．预期的社会、经济、生态效益及贯彻实施标准的要求、措施等建议</w:t>
      </w:r>
    </w:p>
    <w:p w14:paraId="74D218BE">
      <w:pPr>
        <w:widowControl/>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（一）社会</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经济</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生态</w:t>
      </w:r>
      <w:r>
        <w:rPr>
          <w:rFonts w:hint="eastAsia" w:ascii="仿宋" w:hAnsi="仿宋" w:eastAsia="仿宋" w:cs="仿宋"/>
          <w:kern w:val="0"/>
          <w:sz w:val="28"/>
          <w:szCs w:val="28"/>
        </w:rPr>
        <w:t>效益</w:t>
      </w:r>
    </w:p>
    <w:p w14:paraId="3CEDAE8E">
      <w:pPr>
        <w:pStyle w:val="4"/>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1.有利于贯彻习近平总书记关于党校办学治校重要指示精神</w:t>
      </w:r>
    </w:p>
    <w:p w14:paraId="385C3B02">
      <w:pPr>
        <w:pStyle w:val="4"/>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bookmarkStart w:id="16" w:name="OLE_LINK5"/>
      <w:r>
        <w:rPr>
          <w:rFonts w:hint="eastAsia" w:ascii="仿宋" w:hAnsi="仿宋" w:eastAsia="仿宋" w:cs="仿宋"/>
          <w:kern w:val="0"/>
          <w:sz w:val="28"/>
          <w:szCs w:val="28"/>
          <w:lang w:val="en-US" w:eastAsia="zh-CN"/>
        </w:rPr>
        <w:t>《市域党校（行政学院）现代化建设指南》的实施，</w:t>
      </w:r>
      <w:bookmarkEnd w:id="16"/>
      <w:r>
        <w:rPr>
          <w:rFonts w:hint="eastAsia" w:ascii="仿宋" w:hAnsi="仿宋" w:eastAsia="仿宋" w:cs="仿宋"/>
          <w:kern w:val="0"/>
          <w:sz w:val="28"/>
          <w:szCs w:val="28"/>
          <w:lang w:val="en-US" w:eastAsia="zh-CN"/>
        </w:rPr>
        <w:t>能够推动市域党校（行政学院）更好的履行党校职能使命，这是学习贯彻习近平总书记关于党校办学治校重要指示精神和</w:t>
      </w:r>
      <w:r>
        <w:rPr>
          <w:rFonts w:hint="eastAsia" w:ascii="仿宋" w:hAnsi="仿宋" w:eastAsia="仿宋" w:cs="仿宋"/>
          <w:sz w:val="28"/>
          <w:szCs w:val="28"/>
          <w:lang w:val="en-US" w:eastAsia="zh-CN"/>
        </w:rPr>
        <w:t>《中国共产党党校（行政学院）工作条例》的具体体现。</w:t>
      </w:r>
    </w:p>
    <w:p w14:paraId="65791EDB">
      <w:pPr>
        <w:pStyle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2.有利于推进党校工作服务党和国家工作大局</w:t>
      </w:r>
    </w:p>
    <w:p w14:paraId="4766CDFB">
      <w:pPr>
        <w:pStyle w:val="5"/>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《市域党校（行政学院）现代化建设指南》的实施，能够</w:t>
      </w:r>
      <w:r>
        <w:rPr>
          <w:rFonts w:hint="eastAsia" w:ascii="仿宋" w:hAnsi="仿宋" w:eastAsia="仿宋" w:cs="仿宋"/>
          <w:sz w:val="28"/>
          <w:szCs w:val="28"/>
          <w:lang w:val="en-US" w:eastAsia="zh-CN"/>
        </w:rPr>
        <w:t>推动</w:t>
      </w:r>
      <w:r>
        <w:rPr>
          <w:rFonts w:hint="eastAsia" w:ascii="仿宋" w:hAnsi="仿宋" w:eastAsia="仿宋" w:cs="仿宋"/>
          <w:kern w:val="0"/>
          <w:sz w:val="28"/>
          <w:szCs w:val="28"/>
          <w:lang w:val="en-US" w:eastAsia="zh-CN"/>
        </w:rPr>
        <w:t>市域党校（行政学院）现代化建设，提升党校各项工作质量和水平，发挥党校干部教育培训主渠道主阵地作用，增强党校服务中国式现代化建设事业的能力，彰显党校服务党和国家中心工作的作用和影响力。</w:t>
      </w:r>
    </w:p>
    <w:p w14:paraId="1416EB64">
      <w:pPr>
        <w:pStyle w:val="5"/>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3.有利于党校适应</w:t>
      </w:r>
      <w:bookmarkStart w:id="17" w:name="OLE_LINK4"/>
      <w:r>
        <w:rPr>
          <w:rFonts w:hint="eastAsia" w:ascii="仿宋" w:hAnsi="仿宋" w:eastAsia="仿宋" w:cs="仿宋"/>
          <w:kern w:val="0"/>
          <w:sz w:val="28"/>
          <w:szCs w:val="28"/>
          <w:lang w:val="en-US" w:eastAsia="zh-CN"/>
        </w:rPr>
        <w:t>干部教育培训新形势</w:t>
      </w:r>
      <w:bookmarkEnd w:id="17"/>
      <w:r>
        <w:rPr>
          <w:rFonts w:hint="eastAsia" w:ascii="仿宋" w:hAnsi="仿宋" w:eastAsia="仿宋" w:cs="仿宋"/>
          <w:kern w:val="0"/>
          <w:sz w:val="28"/>
          <w:szCs w:val="28"/>
          <w:lang w:val="en-US" w:eastAsia="zh-CN"/>
        </w:rPr>
        <w:t>新特点</w:t>
      </w:r>
    </w:p>
    <w:p w14:paraId="7E381AEF">
      <w:pPr>
        <w:widowControl/>
        <w:adjustRightInd w:val="0"/>
        <w:snapToGrid w:val="0"/>
        <w:spacing w:line="360" w:lineRule="auto"/>
        <w:ind w:firstLine="560" w:firstLineChars="200"/>
        <w:jc w:val="left"/>
        <w:rPr>
          <w:rFonts w:hint="default" w:ascii="Times New Roman" w:hAnsi="Times New Roman" w:eastAsia="仿宋"/>
          <w:sz w:val="28"/>
          <w:szCs w:val="28"/>
          <w:lang w:val="en-US" w:eastAsia="zh-CN"/>
        </w:rPr>
      </w:pPr>
      <w:r>
        <w:rPr>
          <w:rFonts w:hint="eastAsia" w:ascii="仿宋" w:hAnsi="仿宋" w:eastAsia="仿宋" w:cs="仿宋"/>
          <w:kern w:val="0"/>
          <w:sz w:val="28"/>
          <w:szCs w:val="28"/>
          <w:lang w:val="en-US" w:eastAsia="zh-CN"/>
        </w:rPr>
        <w:t>《市域党校（行政学院）现代化建设指南》的实施，有利于</w:t>
      </w:r>
      <w:r>
        <w:rPr>
          <w:rFonts w:hint="eastAsia" w:ascii="Times New Roman" w:hAnsi="Times New Roman" w:eastAsia="仿宋"/>
          <w:sz w:val="28"/>
          <w:szCs w:val="28"/>
          <w:lang w:val="en-US" w:eastAsia="zh-CN"/>
        </w:rPr>
        <w:t>增强党校教学针对性时效性、科研咨政成果显示度，提升党校管理服务质量、协同发展能力，整体化、系统化推动党校高质量发展，适应</w:t>
      </w:r>
      <w:r>
        <w:rPr>
          <w:rFonts w:hint="eastAsia" w:ascii="仿宋" w:hAnsi="仿宋" w:eastAsia="仿宋" w:cs="仿宋"/>
          <w:kern w:val="0"/>
          <w:sz w:val="28"/>
          <w:szCs w:val="28"/>
          <w:lang w:val="en-US" w:eastAsia="zh-CN"/>
        </w:rPr>
        <w:t>干部教育培训新形势新特点，更好地完成党和国家赋予党校的职责使命。</w:t>
      </w:r>
    </w:p>
    <w:p w14:paraId="284A51A6">
      <w:pPr>
        <w:widowControl/>
        <w:adjustRightInd w:val="0"/>
        <w:snapToGrid w:val="0"/>
        <w:spacing w:line="360" w:lineRule="auto"/>
        <w:ind w:firstLine="560" w:firstLineChars="200"/>
        <w:jc w:val="left"/>
        <w:rPr>
          <w:rFonts w:ascii="Times New Roman" w:hAnsi="Times New Roman" w:eastAsia="仿宋"/>
          <w:sz w:val="28"/>
          <w:szCs w:val="28"/>
        </w:rPr>
      </w:pPr>
      <w:r>
        <w:rPr>
          <w:rFonts w:hint="eastAsia" w:ascii="Times New Roman" w:hAnsi="Times New Roman" w:eastAsia="仿宋"/>
          <w:sz w:val="28"/>
          <w:szCs w:val="28"/>
        </w:rPr>
        <w:t>（二）贯彻实施标准的要求、措施</w:t>
      </w:r>
    </w:p>
    <w:p w14:paraId="2E1E13E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1.组织标准宣贯会，使相关人员及时了解、熟悉并执行标准；</w:t>
      </w:r>
    </w:p>
    <w:p w14:paraId="6935B491">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2.成立标准贯彻实施小组，分工合作</w:t>
      </w:r>
      <w:r>
        <w:rPr>
          <w:rFonts w:hint="eastAsia" w:ascii="仿宋" w:hAnsi="仿宋" w:eastAsia="仿宋" w:cs="仿宋"/>
          <w:sz w:val="28"/>
          <w:szCs w:val="28"/>
          <w:lang w:val="en-US" w:eastAsia="zh-CN"/>
        </w:rPr>
        <w:t>推广标准</w:t>
      </w:r>
      <w:r>
        <w:rPr>
          <w:rFonts w:hint="eastAsia" w:ascii="仿宋" w:hAnsi="仿宋" w:eastAsia="仿宋" w:cs="仿宋"/>
          <w:sz w:val="28"/>
          <w:szCs w:val="28"/>
        </w:rPr>
        <w:t>；</w:t>
      </w:r>
    </w:p>
    <w:p w14:paraId="3B396B83">
      <w:pPr>
        <w:widowControl/>
        <w:adjustRightInd w:val="0"/>
        <w:snapToGrid w:val="0"/>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3.做好标准宣贯记录，并进行长期的反馈意见收集工作。</w:t>
      </w:r>
    </w:p>
    <w:p w14:paraId="47786D49">
      <w:pPr>
        <w:pStyle w:val="2"/>
        <w:adjustRightInd w:val="0"/>
        <w:snapToGrid w:val="0"/>
        <w:spacing w:before="156" w:beforeLines="50"/>
        <w:rPr>
          <w:rFonts w:ascii="仿宋" w:hAnsi="仿宋" w:eastAsia="仿宋" w:cs="仿宋"/>
          <w:kern w:val="0"/>
          <w:sz w:val="28"/>
          <w:szCs w:val="28"/>
        </w:rPr>
      </w:pPr>
      <w:r>
        <w:rPr>
          <w:rFonts w:hint="eastAsia" w:ascii="仿宋" w:hAnsi="仿宋" w:eastAsia="仿宋" w:cs="仿宋"/>
          <w:kern w:val="0"/>
          <w:sz w:val="28"/>
          <w:szCs w:val="28"/>
        </w:rPr>
        <w:t>8．其他应当说明的事项</w:t>
      </w:r>
    </w:p>
    <w:p w14:paraId="4C29BE4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无</w:t>
      </w:r>
    </w:p>
    <w:p w14:paraId="3C1E77DB">
      <w:pPr>
        <w:widowControl/>
        <w:adjustRightInd w:val="0"/>
        <w:snapToGrid w:val="0"/>
        <w:spacing w:line="360" w:lineRule="auto"/>
        <w:ind w:firstLine="560" w:firstLineChars="200"/>
        <w:jc w:val="left"/>
        <w:rPr>
          <w:rFonts w:ascii="仿宋" w:hAnsi="仿宋" w:eastAsia="仿宋" w:cs="仿宋"/>
          <w:color w:val="333333"/>
          <w:kern w:val="0"/>
          <w:sz w:val="28"/>
          <w:szCs w:val="28"/>
        </w:rPr>
      </w:pPr>
    </w:p>
    <w:p w14:paraId="0415236D">
      <w:pPr>
        <w:keepNext w:val="0"/>
        <w:keepLines w:val="0"/>
        <w:pageBreakBefore w:val="0"/>
        <w:widowControl/>
        <w:kinsoku/>
        <w:wordWrap w:val="0"/>
        <w:overflowPunct/>
        <w:topLinePunct w:val="0"/>
        <w:autoSpaceDE/>
        <w:autoSpaceDN/>
        <w:bidi w:val="0"/>
        <w:adjustRightInd w:val="0"/>
        <w:snapToGrid w:val="0"/>
        <w:spacing w:line="360" w:lineRule="auto"/>
        <w:ind w:right="525" w:rightChars="250" w:firstLine="0" w:firstLineChars="0"/>
        <w:jc w:val="righ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标准</w:t>
      </w:r>
      <w:r>
        <w:rPr>
          <w:rFonts w:hint="eastAsia" w:ascii="仿宋" w:hAnsi="仿宋" w:eastAsia="仿宋" w:cs="仿宋"/>
          <w:kern w:val="0"/>
          <w:sz w:val="28"/>
          <w:szCs w:val="28"/>
          <w:lang w:val="en-US" w:eastAsia="zh-CN"/>
        </w:rPr>
        <w:t>编制</w:t>
      </w:r>
      <w:r>
        <w:rPr>
          <w:rFonts w:hint="eastAsia" w:ascii="仿宋" w:hAnsi="仿宋" w:eastAsia="仿宋" w:cs="仿宋"/>
          <w:kern w:val="0"/>
          <w:sz w:val="28"/>
          <w:szCs w:val="28"/>
        </w:rPr>
        <w:t>小组</w:t>
      </w:r>
      <w:r>
        <w:rPr>
          <w:rFonts w:hint="eastAsia" w:ascii="仿宋" w:hAnsi="仿宋" w:eastAsia="仿宋" w:cs="仿宋"/>
          <w:kern w:val="0"/>
          <w:sz w:val="28"/>
          <w:szCs w:val="28"/>
          <w:lang w:val="en-US" w:eastAsia="zh-CN"/>
        </w:rPr>
        <w:t xml:space="preserve"> </w:t>
      </w:r>
    </w:p>
    <w:p w14:paraId="294EA13C">
      <w:pPr>
        <w:keepNext w:val="0"/>
        <w:keepLines w:val="0"/>
        <w:pageBreakBefore w:val="0"/>
        <w:widowControl/>
        <w:kinsoku/>
        <w:wordWrap w:val="0"/>
        <w:overflowPunct/>
        <w:topLinePunct w:val="0"/>
        <w:autoSpaceDE/>
        <w:autoSpaceDN/>
        <w:bidi w:val="0"/>
        <w:adjustRightInd w:val="0"/>
        <w:snapToGrid w:val="0"/>
        <w:spacing w:line="360" w:lineRule="auto"/>
        <w:ind w:right="420" w:rightChars="200" w:firstLine="0" w:firstLineChars="0"/>
        <w:jc w:val="right"/>
        <w:textAlignment w:val="auto"/>
        <w:rPr>
          <w:rFonts w:eastAsia="仿宋" w:cs="Times New Roman"/>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31</w:t>
      </w:r>
      <w:r>
        <w:rPr>
          <w:rFonts w:hint="eastAsia" w:ascii="仿宋" w:hAnsi="仿宋" w:eastAsia="仿宋" w:cs="仿宋"/>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Heiti SC Light">
    <w:altName w:val="宋体"/>
    <w:panose1 w:val="00000000000000000000"/>
    <w:charset w:val="86"/>
    <w:family w:val="auto"/>
    <w:pitch w:val="default"/>
    <w:sig w:usb0="00000000" w:usb1="00000000" w:usb2="00000000" w:usb3="00000000" w:csb0="203E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77EA2"/>
    <w:multiLevelType w:val="multilevel"/>
    <w:tmpl w:val="B1977EA2"/>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lang w:eastAsia="zh-CN"/>
      </w:rPr>
    </w:lvl>
    <w:lvl w:ilvl="1" w:tentative="0">
      <w:start w:val="1"/>
      <w:numFmt w:val="decimal"/>
      <w:pStyle w:val="13"/>
      <w:suff w:val="nothing"/>
      <w:lvlText w:val="%1.%2　"/>
      <w:lvlJc w:val="left"/>
      <w:pPr>
        <w:ind w:left="315" w:firstLine="0"/>
      </w:pPr>
      <w:rPr>
        <w:rFonts w:hint="default" w:ascii="Times New Roman" w:hAnsi="Times New Roman" w:eastAsia="黑体" w:cs="Times New Roman"/>
        <w:b w:val="0"/>
        <w:bCs w:val="0"/>
        <w:i w:val="0"/>
        <w:iCs w:val="0"/>
        <w:caps w:val="0"/>
        <w:strike w:val="0"/>
        <w:dstrike w:val="0"/>
        <w:vanish w:val="0"/>
        <w:spacing w:val="0"/>
        <w:kern w:val="0"/>
        <w:position w:val="0"/>
        <w:sz w:val="21"/>
        <w:szCs w:val="21"/>
        <w:u w:val="none"/>
        <w:vertAlign w:val="baseline"/>
        <w:lang w:val="en-US" w:eastAsia="zh-CN"/>
      </w:rPr>
    </w:lvl>
    <w:lvl w:ilvl="2" w:tentative="0">
      <w:start w:val="1"/>
      <w:numFmt w:val="decimal"/>
      <w:suff w:val="nothing"/>
      <w:lvlText w:val="%1.%2.%3　"/>
      <w:lvlJc w:val="left"/>
      <w:pPr>
        <w:ind w:left="105" w:firstLine="0"/>
      </w:pPr>
      <w:rPr>
        <w:rFonts w:hint="eastAsia" w:ascii="黑体" w:hAnsi="Times New Roman" w:eastAsia="黑体"/>
        <w:b w:val="0"/>
        <w:i w:val="0"/>
        <w:sz w:val="21"/>
        <w:lang w:eastAsia="zh-CN"/>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Y2VlZDJlNDYxOWJlYWY2ZTBjNGU2OTgwYzZhNjUifQ=="/>
  </w:docVars>
  <w:rsids>
    <w:rsidRoot w:val="00172A27"/>
    <w:rsid w:val="00002675"/>
    <w:rsid w:val="00056D45"/>
    <w:rsid w:val="000F40D7"/>
    <w:rsid w:val="00172A27"/>
    <w:rsid w:val="001B206F"/>
    <w:rsid w:val="001C3FCD"/>
    <w:rsid w:val="00253F33"/>
    <w:rsid w:val="002D7960"/>
    <w:rsid w:val="00350079"/>
    <w:rsid w:val="0038499B"/>
    <w:rsid w:val="003D5627"/>
    <w:rsid w:val="00456A25"/>
    <w:rsid w:val="00493115"/>
    <w:rsid w:val="004D3A0B"/>
    <w:rsid w:val="004D6DE2"/>
    <w:rsid w:val="0052122A"/>
    <w:rsid w:val="00566C6A"/>
    <w:rsid w:val="00656655"/>
    <w:rsid w:val="006A4AE6"/>
    <w:rsid w:val="007209DB"/>
    <w:rsid w:val="007907EB"/>
    <w:rsid w:val="0084067A"/>
    <w:rsid w:val="0087302B"/>
    <w:rsid w:val="00884502"/>
    <w:rsid w:val="008D2A02"/>
    <w:rsid w:val="009F3785"/>
    <w:rsid w:val="00A17178"/>
    <w:rsid w:val="00A50645"/>
    <w:rsid w:val="00A86573"/>
    <w:rsid w:val="00AE642B"/>
    <w:rsid w:val="00B34FD8"/>
    <w:rsid w:val="00B77083"/>
    <w:rsid w:val="00C07CDC"/>
    <w:rsid w:val="00C23CA9"/>
    <w:rsid w:val="00C71594"/>
    <w:rsid w:val="00D147BF"/>
    <w:rsid w:val="00D25C52"/>
    <w:rsid w:val="00E20146"/>
    <w:rsid w:val="00EA719C"/>
    <w:rsid w:val="051D4201"/>
    <w:rsid w:val="085067A9"/>
    <w:rsid w:val="08936AFC"/>
    <w:rsid w:val="09552A1E"/>
    <w:rsid w:val="09AE738B"/>
    <w:rsid w:val="09EA5F32"/>
    <w:rsid w:val="0AB41082"/>
    <w:rsid w:val="0B094B87"/>
    <w:rsid w:val="0BFE6C9A"/>
    <w:rsid w:val="0CF407E3"/>
    <w:rsid w:val="0E05748E"/>
    <w:rsid w:val="0E124C7E"/>
    <w:rsid w:val="0EE91E83"/>
    <w:rsid w:val="0F0547B1"/>
    <w:rsid w:val="15962639"/>
    <w:rsid w:val="16862285"/>
    <w:rsid w:val="16A76817"/>
    <w:rsid w:val="16D41018"/>
    <w:rsid w:val="172D4605"/>
    <w:rsid w:val="17CA4472"/>
    <w:rsid w:val="1945415A"/>
    <w:rsid w:val="197A73AC"/>
    <w:rsid w:val="1A277D03"/>
    <w:rsid w:val="1C19367C"/>
    <w:rsid w:val="1CC23D13"/>
    <w:rsid w:val="1FC748BA"/>
    <w:rsid w:val="20461721"/>
    <w:rsid w:val="21093CBF"/>
    <w:rsid w:val="2289144E"/>
    <w:rsid w:val="23F53FDD"/>
    <w:rsid w:val="24670260"/>
    <w:rsid w:val="25B5326B"/>
    <w:rsid w:val="276071C9"/>
    <w:rsid w:val="281F201A"/>
    <w:rsid w:val="2AE36B1D"/>
    <w:rsid w:val="2BF2605F"/>
    <w:rsid w:val="2E4F2562"/>
    <w:rsid w:val="2E725599"/>
    <w:rsid w:val="2FA23351"/>
    <w:rsid w:val="310B5831"/>
    <w:rsid w:val="322A618B"/>
    <w:rsid w:val="327D62BB"/>
    <w:rsid w:val="345B70A9"/>
    <w:rsid w:val="34763579"/>
    <w:rsid w:val="355535A8"/>
    <w:rsid w:val="362B02C3"/>
    <w:rsid w:val="365437D6"/>
    <w:rsid w:val="374F0E39"/>
    <w:rsid w:val="38724BA9"/>
    <w:rsid w:val="3CBB6E0F"/>
    <w:rsid w:val="3DC56B27"/>
    <w:rsid w:val="3E063608"/>
    <w:rsid w:val="3E09134A"/>
    <w:rsid w:val="3FF102E8"/>
    <w:rsid w:val="413F7AA0"/>
    <w:rsid w:val="41720FB5"/>
    <w:rsid w:val="420936C7"/>
    <w:rsid w:val="446E7CCF"/>
    <w:rsid w:val="44F92825"/>
    <w:rsid w:val="4531339A"/>
    <w:rsid w:val="45651577"/>
    <w:rsid w:val="465F7E7D"/>
    <w:rsid w:val="472F38FB"/>
    <w:rsid w:val="476E2965"/>
    <w:rsid w:val="497212D3"/>
    <w:rsid w:val="49BE56DF"/>
    <w:rsid w:val="49CB1BAA"/>
    <w:rsid w:val="4A9D52F4"/>
    <w:rsid w:val="5119769F"/>
    <w:rsid w:val="512C5624"/>
    <w:rsid w:val="51490549"/>
    <w:rsid w:val="52DC7DB4"/>
    <w:rsid w:val="530D659A"/>
    <w:rsid w:val="531620E8"/>
    <w:rsid w:val="542C2930"/>
    <w:rsid w:val="54E702B6"/>
    <w:rsid w:val="57CE2F91"/>
    <w:rsid w:val="57D305A7"/>
    <w:rsid w:val="58445001"/>
    <w:rsid w:val="59503B7D"/>
    <w:rsid w:val="5A0152FB"/>
    <w:rsid w:val="5BD64A1A"/>
    <w:rsid w:val="5E365E3B"/>
    <w:rsid w:val="61B825BC"/>
    <w:rsid w:val="61C36D26"/>
    <w:rsid w:val="64CF45B1"/>
    <w:rsid w:val="66E225B5"/>
    <w:rsid w:val="670E33AA"/>
    <w:rsid w:val="694D1A66"/>
    <w:rsid w:val="6A112C25"/>
    <w:rsid w:val="6C306BAC"/>
    <w:rsid w:val="6C3B1C09"/>
    <w:rsid w:val="6CBE2578"/>
    <w:rsid w:val="6EA36ACE"/>
    <w:rsid w:val="702C0672"/>
    <w:rsid w:val="70820965"/>
    <w:rsid w:val="71277391"/>
    <w:rsid w:val="718A5D17"/>
    <w:rsid w:val="74FE790A"/>
    <w:rsid w:val="75907680"/>
    <w:rsid w:val="760F67F7"/>
    <w:rsid w:val="76CC7942"/>
    <w:rsid w:val="779603D6"/>
    <w:rsid w:val="78063C29"/>
    <w:rsid w:val="790E0FE8"/>
    <w:rsid w:val="7A0902A9"/>
    <w:rsid w:val="7B8F467C"/>
    <w:rsid w:val="7C503241"/>
    <w:rsid w:val="7E3D5ECB"/>
    <w:rsid w:val="7E562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360" w:lineRule="auto"/>
      <w:outlineLvl w:val="0"/>
    </w:pPr>
    <w:rPr>
      <w:rFonts w:eastAsia="仿宋_GB2312"/>
      <w:b/>
      <w:bCs/>
      <w:kern w:val="44"/>
      <w:sz w:val="30"/>
      <w:szCs w:val="4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Body Text"/>
    <w:basedOn w:val="1"/>
    <w:next w:val="5"/>
    <w:qFormat/>
    <w:uiPriority w:val="0"/>
    <w:pPr>
      <w:spacing w:after="120"/>
    </w:pPr>
  </w:style>
  <w:style w:type="paragraph" w:styleId="5">
    <w:name w:val="Body Text First Indent"/>
    <w:basedOn w:val="4"/>
    <w:autoRedefine/>
    <w:qFormat/>
    <w:uiPriority w:val="0"/>
    <w:pPr>
      <w:spacing w:line="312" w:lineRule="auto"/>
      <w:ind w:firstLine="420"/>
    </w:pPr>
  </w:style>
  <w:style w:type="paragraph" w:styleId="6">
    <w:name w:val="Body Text Indent"/>
    <w:qFormat/>
    <w:uiPriority w:val="0"/>
    <w:pPr>
      <w:widowControl w:val="0"/>
      <w:ind w:firstLine="521" w:firstLineChars="217"/>
      <w:jc w:val="both"/>
    </w:pPr>
    <w:rPr>
      <w:rFonts w:ascii="Times New Roman" w:hAnsi="Times New Roman" w:eastAsia="宋体" w:cs="Times New Roman"/>
      <w:kern w:val="2"/>
      <w:sz w:val="24"/>
      <w:szCs w:val="24"/>
      <w:lang w:val="en-US" w:eastAsia="zh-CN" w:bidi="ar-SA"/>
    </w:rPr>
  </w:style>
  <w:style w:type="paragraph" w:styleId="7">
    <w:name w:val="endnote text"/>
    <w:basedOn w:val="1"/>
    <w:autoRedefine/>
    <w:qFormat/>
    <w:uiPriority w:val="0"/>
    <w:pPr>
      <w:snapToGrid w:val="0"/>
      <w:spacing w:line="360" w:lineRule="auto"/>
      <w:ind w:firstLine="800" w:firstLineChars="200"/>
      <w:jc w:val="left"/>
    </w:pPr>
    <w:rPr>
      <w:rFonts w:eastAsia="华文仿宋" w:cs="Heiti SC Light"/>
      <w:sz w:val="28"/>
      <w:lang w:val="zh-CN"/>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qFormat/>
    <w:uiPriority w:val="0"/>
    <w:pPr>
      <w:widowControl w:val="0"/>
      <w:ind w:firstLine="420" w:firstLineChars="200"/>
      <w:jc w:val="both"/>
    </w:pPr>
    <w:rPr>
      <w:rFonts w:ascii="Times New Roman" w:hAnsi="Times New Roman" w:eastAsia="宋体" w:cs="Times New Roman"/>
      <w:kern w:val="2"/>
      <w:sz w:val="24"/>
      <w:szCs w:val="24"/>
      <w:lang w:val="en-US" w:eastAsia="zh-CN" w:bidi="ar-SA"/>
    </w:rPr>
  </w:style>
  <w:style w:type="paragraph" w:customStyle="1" w:styleId="13">
    <w:name w:val="一级条标题"/>
    <w:next w:val="14"/>
    <w:autoRedefine/>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Default"/>
    <w:next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标准文件_段"/>
    <w:autoRedefine/>
    <w:unhideWhenUsed/>
    <w:qFormat/>
    <w:uiPriority w:val="0"/>
    <w:pPr>
      <w:autoSpaceDE w:val="0"/>
      <w:autoSpaceDN w:val="0"/>
      <w:ind w:firstLine="200" w:firstLineChars="200"/>
      <w:jc w:val="both"/>
    </w:pPr>
    <w:rPr>
      <w:rFonts w:hint="eastAsia" w:ascii="宋体" w:hAnsi="Times New Roman" w:eastAsia="宋体" w:cs="Times New Roman"/>
      <w:sz w:val="21"/>
      <w:szCs w:val="24"/>
      <w:lang w:val="en-US" w:eastAsia="zh-CN" w:bidi="ar-SA"/>
    </w:rPr>
  </w:style>
  <w:style w:type="character" w:customStyle="1" w:styleId="17">
    <w:name w:val="页眉 字符"/>
    <w:basedOn w:val="12"/>
    <w:link w:val="9"/>
    <w:autoRedefine/>
    <w:qFormat/>
    <w:uiPriority w:val="0"/>
    <w:rPr>
      <w:rFonts w:asciiTheme="minorHAnsi" w:hAnsiTheme="minorHAnsi" w:eastAsiaTheme="minorEastAsia" w:cstheme="minorBidi"/>
      <w:kern w:val="2"/>
      <w:sz w:val="18"/>
      <w:szCs w:val="18"/>
    </w:rPr>
  </w:style>
  <w:style w:type="character" w:customStyle="1" w:styleId="18">
    <w:name w:val="页脚 字符"/>
    <w:basedOn w:val="12"/>
    <w:link w:val="8"/>
    <w:autoRedefine/>
    <w:qFormat/>
    <w:uiPriority w:val="0"/>
    <w:rPr>
      <w:rFonts w:asciiTheme="minorHAnsi" w:hAnsiTheme="minorHAnsi" w:eastAsiaTheme="minorEastAsia" w:cstheme="minorBidi"/>
      <w:kern w:val="2"/>
      <w:sz w:val="18"/>
      <w:szCs w:val="18"/>
    </w:rPr>
  </w:style>
  <w:style w:type="paragraph" w:customStyle="1" w:styleId="19">
    <w:name w:val="Char Char Char1 Char"/>
    <w:basedOn w:val="1"/>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3290</Words>
  <Characters>3392</Characters>
  <Lines>19</Lines>
  <Paragraphs>5</Paragraphs>
  <TotalTime>44</TotalTime>
  <ScaleCrop>false</ScaleCrop>
  <LinksUpToDate>false</LinksUpToDate>
  <CharactersWithSpaces>3413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2022-09-28T01:06:00Z</dcterms:created>
  <dc:creator>LENOVO</dc:creator>
  <cp:lastModifiedBy>桃子</cp:lastModifiedBy>
  <dcterms:modified xsi:type="dcterms:W3CDTF">2024-11-05T03:03:57Z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157F846E241D49C5923DCE9FB71CB519_13</vt:lpwstr>
  </property>
</Properties>
</file>