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86A918E" w14:textId="77777777" w:rsidR="00573D11" w:rsidRDefault="00000000">
      <w:pPr>
        <w:framePr w:wrap="auto" w:yAlign="inline"/>
        <w:spacing w:line="300" w:lineRule="auto"/>
        <w:jc w:val="center"/>
        <w:outlineLvl w:val="0"/>
        <w:rPr>
          <w:rFonts w:ascii="宋体" w:eastAsia="Arial Unicode MS" w:hAnsi="宋体" w:cs="宋体"/>
          <w:b/>
          <w:bCs/>
          <w:sz w:val="32"/>
          <w:szCs w:val="32"/>
          <w:lang w:val="zh-TW" w:eastAsia="zh-TW"/>
        </w:rPr>
      </w:pPr>
      <w:r>
        <w:rPr>
          <w:rFonts w:ascii="宋体" w:eastAsia="宋体" w:hAnsi="宋体" w:cs="宋体" w:hint="cs"/>
          <w:b/>
          <w:bCs/>
          <w:sz w:val="32"/>
          <w:szCs w:val="32"/>
          <w:lang w:val="zh-TW" w:eastAsia="zh-TW"/>
        </w:rPr>
        <w:t>《</w:t>
      </w:r>
      <w:r>
        <w:rPr>
          <w:rFonts w:ascii="宋体" w:eastAsia="宋体" w:hAnsi="宋体" w:cs="宋体" w:hint="cs"/>
          <w:b/>
          <w:bCs/>
          <w:color w:val="auto"/>
          <w:sz w:val="32"/>
          <w:szCs w:val="32"/>
          <w:lang w:val="zh-TW" w:eastAsia="zh-TW"/>
        </w:rPr>
        <w:t>节假日城市旅游客流风险识别与预警技术规范</w:t>
      </w:r>
      <w:r>
        <w:rPr>
          <w:rFonts w:ascii="宋体" w:eastAsia="宋体" w:hAnsi="宋体" w:cs="宋体" w:hint="cs"/>
          <w:b/>
          <w:bCs/>
          <w:sz w:val="32"/>
          <w:szCs w:val="32"/>
          <w:lang w:val="zh-TW" w:eastAsia="zh-TW"/>
        </w:rPr>
        <w:t>》</w:t>
      </w:r>
    </w:p>
    <w:p w14:paraId="3B5EDCBD" w14:textId="77777777" w:rsidR="00573D11" w:rsidRDefault="00000000">
      <w:pPr>
        <w:framePr w:wrap="auto" w:yAlign="inline"/>
        <w:spacing w:line="300" w:lineRule="auto"/>
        <w:jc w:val="center"/>
        <w:outlineLvl w:val="0"/>
        <w:rPr>
          <w:rFonts w:hint="default"/>
          <w:b/>
          <w:bCs/>
          <w:sz w:val="32"/>
          <w:szCs w:val="32"/>
          <w:lang w:val="zh-TW" w:eastAsia="zh-TW"/>
        </w:rPr>
      </w:pPr>
      <w:r>
        <w:rPr>
          <w:rFonts w:ascii="宋体" w:eastAsia="宋体" w:hAnsi="宋体" w:cs="宋体"/>
          <w:b/>
          <w:bCs/>
          <w:sz w:val="32"/>
          <w:szCs w:val="32"/>
          <w:lang w:val="zh-TW" w:eastAsia="zh-TW"/>
        </w:rPr>
        <w:t>团体标准编制说明</w:t>
      </w:r>
    </w:p>
    <w:p w14:paraId="41470492" w14:textId="77777777" w:rsidR="00573D11" w:rsidRDefault="00573D11">
      <w:pPr>
        <w:framePr w:wrap="auto" w:yAlign="inline"/>
        <w:spacing w:line="360" w:lineRule="auto"/>
        <w:ind w:firstLine="482"/>
        <w:rPr>
          <w:rFonts w:ascii="宋体" w:eastAsia="宋体" w:hAnsi="宋体" w:cs="宋体"/>
          <w:b/>
          <w:bCs/>
          <w:kern w:val="0"/>
          <w:sz w:val="24"/>
          <w:szCs w:val="24"/>
          <w:lang w:eastAsia="zh-TW"/>
        </w:rPr>
      </w:pPr>
    </w:p>
    <w:p w14:paraId="5C871A92" w14:textId="77777777" w:rsidR="00573D11" w:rsidRDefault="00000000">
      <w:pPr>
        <w:pStyle w:val="1"/>
        <w:framePr w:wrap="auto" w:yAlign="inline"/>
        <w:numPr>
          <w:ilvl w:val="0"/>
          <w:numId w:val="2"/>
        </w:numPr>
        <w:spacing w:line="360" w:lineRule="auto"/>
        <w:rPr>
          <w:rFonts w:ascii="宋体" w:eastAsia="PMingLiU" w:hAnsi="宋体" w:cs="宋体"/>
          <w:b/>
          <w:bCs/>
          <w:color w:val="auto"/>
          <w:kern w:val="0"/>
          <w:sz w:val="24"/>
          <w:szCs w:val="24"/>
          <w:u w:color="0000FF"/>
          <w:lang w:val="zh-TW" w:eastAsia="zh-TW"/>
        </w:rPr>
      </w:pPr>
      <w:r>
        <w:rPr>
          <w:rFonts w:ascii="宋体" w:eastAsia="宋体" w:hAnsi="宋体" w:cs="宋体"/>
          <w:b/>
          <w:bCs/>
          <w:color w:val="auto"/>
          <w:kern w:val="0"/>
          <w:sz w:val="24"/>
          <w:szCs w:val="24"/>
          <w:u w:color="0000FF"/>
          <w:lang w:val="zh-TW" w:eastAsia="zh-TW"/>
        </w:rPr>
        <w:t>标准项目来源</w:t>
      </w:r>
    </w:p>
    <w:p w14:paraId="46134275" w14:textId="77777777" w:rsidR="00573D11"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hint="cs"/>
          <w:color w:val="auto"/>
          <w:sz w:val="24"/>
          <w:szCs w:val="24"/>
          <w:lang w:val="zh-TW"/>
        </w:rPr>
        <w:t>近年来，随着经济的快速发展和人民生活水平的不断提高，节假日旅游已成为国民休闲娱乐的重要方式。特别是在国家法定节假日期间，各大旅游城市往往会迎来客流高峰，给城市交通、景区管理、公共安全等方面带来巨大压力。为了确保节假日旅游活动的顺利进行，保障游客的生命财产安全，加强节假日旅游城市客流的监测与预警显得尤为重要。</w:t>
      </w:r>
    </w:p>
    <w:p w14:paraId="6BE96029" w14:textId="77777777" w:rsidR="00573D11"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hint="cs"/>
          <w:color w:val="auto"/>
          <w:sz w:val="24"/>
          <w:szCs w:val="24"/>
          <w:lang w:val="zh-TW"/>
        </w:rPr>
        <w:t>国内层面上，</w:t>
      </w:r>
      <w:r>
        <w:rPr>
          <w:rFonts w:ascii="宋体" w:eastAsia="宋体" w:hAnsi="宋体" w:cs="宋体"/>
          <w:color w:val="auto"/>
          <w:sz w:val="24"/>
          <w:szCs w:val="24"/>
          <w:lang w:val="zh-TW"/>
        </w:rPr>
        <w:t>文化和旅游部</w:t>
      </w:r>
      <w:r>
        <w:rPr>
          <w:rFonts w:ascii="宋体" w:eastAsia="宋体" w:hAnsi="宋体" w:cs="宋体" w:hint="cs"/>
          <w:color w:val="auto"/>
          <w:sz w:val="24"/>
          <w:szCs w:val="24"/>
          <w:lang w:val="zh-TW"/>
        </w:rPr>
        <w:t>及各级地方政府高度重视节假日旅游客流的安全管理工作，相继出台了一系列政策措施，要求加强旅游客流监测，及时发布预警信息，有效应对旅游高峰期的各种突发情况。此外，随着大数据、云计算等信息技术的快速发展，为节假日旅游客流监测与预警提供了有力的技术支持。</w:t>
      </w:r>
    </w:p>
    <w:p w14:paraId="731B070B" w14:textId="77777777" w:rsidR="00573D11"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hint="cs"/>
          <w:color w:val="auto"/>
          <w:sz w:val="24"/>
          <w:szCs w:val="24"/>
          <w:lang w:val="zh-TW"/>
        </w:rPr>
        <w:t>国际层面上，随着全球化的不断深入和旅游业的蓬勃发展，国际间对于旅游安全管理的交流与合作日益加强。许多国家和地区都在积极探索利用现代信息技术手段，提高旅游客流监测与预警的准确性和时效性，以更好地保障游客权益和提升旅游服务质量。</w:t>
      </w:r>
    </w:p>
    <w:p w14:paraId="6EEA1E77" w14:textId="77777777" w:rsidR="00573D11"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hint="cs"/>
          <w:color w:val="auto"/>
          <w:sz w:val="24"/>
          <w:szCs w:val="24"/>
          <w:lang w:val="zh-TW"/>
        </w:rPr>
        <w:t>然而，当前我国在节假日旅游城市客流监测与预警方面仍存在一些问题，如监测手段不够先进、预警指标不够科学、信息发布不够及时等。这些问题不仅影响了旅游城市的形象和声誉，更给游客的出行带来了不便和安全隐患。</w:t>
      </w:r>
    </w:p>
    <w:p w14:paraId="269FA39C" w14:textId="77777777" w:rsidR="00573D11" w:rsidRDefault="00000000">
      <w:pPr>
        <w:framePr w:wrap="auto" w:yAlign="inline"/>
        <w:spacing w:line="360" w:lineRule="auto"/>
        <w:ind w:firstLine="480"/>
        <w:rPr>
          <w:rFonts w:ascii="宋体" w:eastAsia="宋体" w:hAnsi="宋体" w:cs="宋体"/>
          <w:color w:val="auto"/>
          <w:sz w:val="24"/>
          <w:szCs w:val="24"/>
          <w:lang w:val="zh-TW" w:eastAsia="zh-TW"/>
        </w:rPr>
      </w:pPr>
      <w:r>
        <w:rPr>
          <w:rFonts w:ascii="宋体" w:eastAsia="宋体" w:hAnsi="宋体" w:cs="宋体" w:hint="cs"/>
          <w:color w:val="auto"/>
          <w:sz w:val="24"/>
          <w:szCs w:val="24"/>
          <w:lang w:val="zh-TW"/>
        </w:rPr>
        <w:t>为了规范节假日旅游城市客流监测与预警工作，提高监测预警的准确性和时</w:t>
      </w:r>
      <w:r w:rsidRPr="002C15CF">
        <w:rPr>
          <w:rFonts w:ascii="宋体" w:eastAsia="宋体" w:hAnsi="宋体" w:cs="宋体" w:hint="cs"/>
          <w:color w:val="auto"/>
          <w:sz w:val="24"/>
          <w:szCs w:val="24"/>
          <w:lang w:val="zh-TW"/>
        </w:rPr>
        <w:t>效性，保障游客的生命财产安全，中国旅游</w:t>
      </w:r>
      <w:r w:rsidRPr="002C15CF">
        <w:rPr>
          <w:rFonts w:ascii="宋体" w:eastAsia="宋体" w:hAnsi="宋体" w:cs="宋体"/>
          <w:color w:val="auto"/>
          <w:sz w:val="24"/>
          <w:szCs w:val="24"/>
          <w:lang w:val="zh-TW"/>
        </w:rPr>
        <w:t>研究院</w:t>
      </w:r>
      <w:r w:rsidRPr="002C15CF">
        <w:rPr>
          <w:rFonts w:ascii="宋体" w:eastAsia="宋体" w:hAnsi="宋体" w:cs="宋体" w:hint="cs"/>
          <w:color w:val="auto"/>
          <w:sz w:val="24"/>
          <w:szCs w:val="24"/>
          <w:lang w:val="zh-TW"/>
        </w:rPr>
        <w:t>联合相关科研机构及旅游企业，共同起草了团体标准《节假日城市旅游客流风险识别与预警技术规范》。该标准的制定将有利于推动节假日旅游城市客流监测与预警工作的标准化、科学化、信息化进程，为提升我国旅游服务质量和管理水平提供有力支撑。</w:t>
      </w:r>
      <w:r w:rsidRPr="002C15CF">
        <w:rPr>
          <w:rFonts w:ascii="宋体" w:eastAsia="宋体" w:hAnsi="宋体" w:cs="宋体" w:hint="cs"/>
          <w:color w:val="auto"/>
          <w:sz w:val="24"/>
          <w:szCs w:val="24"/>
          <w:lang w:val="zh-TW" w:eastAsia="zh-TW"/>
        </w:rPr>
        <w:t>该标准是起草工作组在对</w:t>
      </w:r>
      <w:r w:rsidRPr="002C15CF">
        <w:rPr>
          <w:rFonts w:ascii="宋体" w:eastAsia="宋体" w:hAnsi="宋体" w:cs="宋体"/>
          <w:color w:val="auto"/>
          <w:sz w:val="24"/>
          <w:szCs w:val="24"/>
          <w:lang w:val="zh-TW"/>
        </w:rPr>
        <w:t>科技创新2030—“新一代人工智能”重大项目的子课题《节假日城市旅游客流管控和智能疏导的关键指标与体系构建》</w:t>
      </w:r>
      <w:r w:rsidRPr="002C15CF">
        <w:rPr>
          <w:rFonts w:ascii="宋体" w:eastAsia="宋体" w:hAnsi="宋体" w:cs="宋体" w:hint="cs"/>
          <w:color w:val="auto"/>
          <w:sz w:val="24"/>
          <w:szCs w:val="24"/>
          <w:lang w:val="zh-TW" w:eastAsia="zh-TW"/>
        </w:rPr>
        <w:t>的</w:t>
      </w:r>
      <w:r w:rsidRPr="002C15CF">
        <w:rPr>
          <w:rFonts w:ascii="宋体" w:eastAsia="宋体" w:hAnsi="宋体" w:cs="宋体"/>
          <w:color w:val="auto"/>
          <w:sz w:val="24"/>
          <w:szCs w:val="24"/>
          <w:lang w:val="zh-TW"/>
        </w:rPr>
        <w:t>研发与示范应用的</w:t>
      </w:r>
      <w:r w:rsidRPr="002C15CF">
        <w:rPr>
          <w:rFonts w:ascii="宋体" w:eastAsia="宋体" w:hAnsi="宋体" w:cs="宋体" w:hint="cs"/>
          <w:color w:val="auto"/>
          <w:sz w:val="24"/>
          <w:szCs w:val="24"/>
          <w:lang w:val="zh-TW" w:eastAsia="zh-TW"/>
        </w:rPr>
        <w:t>基础上提出的，由中国贸促会商业行业委员会立项并管理的团体标准</w:t>
      </w:r>
      <w:r w:rsidRPr="002C15CF">
        <w:rPr>
          <w:rFonts w:ascii="宋体" w:eastAsia="宋体" w:hAnsi="宋体" w:cs="宋体"/>
          <w:color w:val="auto"/>
          <w:sz w:val="24"/>
          <w:szCs w:val="24"/>
          <w:lang w:val="zh-TW" w:eastAsia="zh-TW"/>
        </w:rPr>
        <w:t>，项目编号：</w:t>
      </w:r>
      <w:r w:rsidRPr="002C15CF">
        <w:rPr>
          <w:rFonts w:ascii="宋体" w:eastAsia="宋体" w:hAnsi="宋体" w:cs="宋体" w:hint="default"/>
          <w:color w:val="auto"/>
          <w:sz w:val="24"/>
          <w:szCs w:val="24"/>
          <w:lang w:val="zh-TW" w:eastAsia="zh-TW"/>
        </w:rPr>
        <w:t>CCPIT-CSC-JH2023260</w:t>
      </w:r>
      <w:r w:rsidRPr="002C15CF">
        <w:rPr>
          <w:rFonts w:ascii="宋体" w:eastAsia="宋体" w:hAnsi="宋体" w:cs="宋体" w:hint="cs"/>
          <w:color w:val="auto"/>
          <w:sz w:val="24"/>
          <w:szCs w:val="24"/>
          <w:lang w:val="zh-TW" w:eastAsia="zh-TW"/>
        </w:rPr>
        <w:t>。</w:t>
      </w:r>
    </w:p>
    <w:p w14:paraId="55544C32" w14:textId="77777777" w:rsidR="00573D11" w:rsidRDefault="00000000">
      <w:pPr>
        <w:pStyle w:val="1"/>
        <w:framePr w:wrap="auto" w:yAlign="inline"/>
        <w:spacing w:line="360" w:lineRule="auto"/>
        <w:ind w:left="482" w:firstLine="0"/>
        <w:rPr>
          <w:rFonts w:ascii="宋体" w:eastAsia="宋体" w:hAnsi="宋体" w:cs="宋体"/>
          <w:b/>
          <w:bCs/>
          <w:color w:val="auto"/>
          <w:kern w:val="0"/>
          <w:sz w:val="24"/>
          <w:szCs w:val="24"/>
          <w:u w:color="0000FF"/>
          <w:lang w:val="zh-TW" w:eastAsia="zh-TW"/>
        </w:rPr>
      </w:pPr>
      <w:r>
        <w:rPr>
          <w:rFonts w:ascii="宋体" w:eastAsia="宋体" w:hAnsi="宋体" w:cs="宋体"/>
          <w:b/>
          <w:bCs/>
          <w:color w:val="auto"/>
          <w:kern w:val="0"/>
          <w:sz w:val="24"/>
          <w:szCs w:val="24"/>
          <w:u w:color="0000FF"/>
          <w:lang w:val="zh-TW" w:eastAsia="zh-TW"/>
        </w:rPr>
        <w:t>二、标准制定的目的和意义</w:t>
      </w:r>
    </w:p>
    <w:p w14:paraId="1DFC00AB" w14:textId="77777777" w:rsidR="00573D11"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hint="cs"/>
          <w:color w:val="auto"/>
          <w:sz w:val="24"/>
          <w:szCs w:val="24"/>
          <w:lang w:val="zh-TW"/>
        </w:rPr>
        <w:lastRenderedPageBreak/>
        <w:t>本规范的编制旨在建立科学、系统的节假日城市旅游客流风险识别与预警机制，以应对节假日期间城市旅游客流的剧增带来的各种风险。通过明确风险分类、识别方法、预警等级及应对措施，提升旅游管理部门的风险防控能力，保障游客安全，维护旅游秩序，促进旅游业的健康可持续发展。同时，本规范的实施也有助于推动旅游风险管理领域的标准化建设，提升旅游服务质量和管理水平。</w:t>
      </w:r>
    </w:p>
    <w:p w14:paraId="67B2662D" w14:textId="77777777" w:rsidR="00573D11" w:rsidRPr="002C15CF" w:rsidRDefault="00000000">
      <w:pPr>
        <w:pStyle w:val="1"/>
        <w:framePr w:wrap="auto" w:yAlign="inline"/>
        <w:spacing w:line="360" w:lineRule="auto"/>
        <w:ind w:left="482" w:firstLine="0"/>
        <w:rPr>
          <w:rFonts w:ascii="宋体" w:eastAsia="宋体" w:hAnsi="宋体" w:cs="宋体"/>
          <w:b/>
          <w:bCs/>
          <w:color w:val="auto"/>
          <w:kern w:val="0"/>
          <w:sz w:val="24"/>
          <w:szCs w:val="24"/>
          <w:u w:color="0000FF"/>
          <w:lang w:val="zh-TW" w:eastAsia="zh-TW"/>
        </w:rPr>
      </w:pPr>
      <w:r w:rsidRPr="002C15CF">
        <w:rPr>
          <w:rFonts w:ascii="宋体" w:eastAsia="宋体" w:hAnsi="宋体" w:cs="宋体"/>
          <w:b/>
          <w:bCs/>
          <w:color w:val="auto"/>
          <w:kern w:val="0"/>
          <w:sz w:val="24"/>
          <w:szCs w:val="24"/>
          <w:u w:color="0000FF"/>
          <w:lang w:val="zh-TW" w:eastAsia="zh-TW"/>
        </w:rPr>
        <w:t>三、标准起草的过程简述</w:t>
      </w:r>
    </w:p>
    <w:p w14:paraId="4206C62E" w14:textId="77777777" w:rsidR="00573D11" w:rsidRDefault="00000000">
      <w:pPr>
        <w:framePr w:wrap="auto" w:yAlign="inline"/>
        <w:spacing w:line="360" w:lineRule="auto"/>
        <w:ind w:firstLineChars="98" w:firstLine="236"/>
        <w:rPr>
          <w:rFonts w:ascii="宋体" w:eastAsia="宋体" w:hAnsi="宋体" w:cs="宋体"/>
          <w:b/>
          <w:bCs/>
          <w:color w:val="auto"/>
          <w:sz w:val="24"/>
          <w:szCs w:val="24"/>
          <w:lang w:val="zh-TW" w:eastAsia="zh-TW"/>
        </w:rPr>
      </w:pPr>
      <w:r>
        <w:rPr>
          <w:rFonts w:ascii="宋体" w:eastAsia="宋体" w:hAnsi="宋体" w:cs="宋体"/>
          <w:b/>
          <w:bCs/>
          <w:color w:val="auto"/>
          <w:sz w:val="24"/>
          <w:szCs w:val="24"/>
          <w:lang w:val="zh-TW" w:eastAsia="zh-TW"/>
        </w:rPr>
        <w:t>（一）预研阶段</w:t>
      </w:r>
    </w:p>
    <w:p w14:paraId="18EDB9E4" w14:textId="77777777" w:rsidR="00573D11" w:rsidRDefault="00000000">
      <w:pPr>
        <w:framePr w:wrap="auto" w:yAlign="inline"/>
        <w:topLinePunct/>
        <w:spacing w:line="360" w:lineRule="auto"/>
        <w:ind w:firstLine="482"/>
        <w:rPr>
          <w:rFonts w:ascii="宋体" w:eastAsia="宋体" w:hAnsi="宋体" w:cs="宋体"/>
          <w:color w:val="auto"/>
          <w:sz w:val="24"/>
          <w:szCs w:val="24"/>
        </w:rPr>
      </w:pPr>
      <w:r>
        <w:rPr>
          <w:rFonts w:ascii="宋体" w:eastAsia="宋体" w:hAnsi="宋体" w:cs="宋体" w:hint="default"/>
          <w:color w:val="auto"/>
          <w:sz w:val="24"/>
          <w:szCs w:val="24"/>
        </w:rPr>
        <w:t>20</w:t>
      </w:r>
      <w:r>
        <w:rPr>
          <w:rFonts w:ascii="宋体" w:eastAsia="宋体" w:hAnsi="宋体" w:cs="宋体"/>
          <w:color w:val="auto"/>
          <w:sz w:val="24"/>
          <w:szCs w:val="24"/>
        </w:rPr>
        <w:t>23</w:t>
      </w:r>
      <w:r>
        <w:rPr>
          <w:rFonts w:ascii="宋体" w:eastAsia="宋体" w:hAnsi="宋体" w:cs="宋体" w:hint="default"/>
          <w:color w:val="auto"/>
          <w:sz w:val="24"/>
          <w:szCs w:val="24"/>
        </w:rPr>
        <w:t>年4月</w:t>
      </w:r>
      <w:r>
        <w:rPr>
          <w:rFonts w:ascii="宋体" w:eastAsia="宋体" w:hAnsi="宋体" w:cs="宋体"/>
          <w:color w:val="auto"/>
          <w:sz w:val="24"/>
          <w:szCs w:val="24"/>
        </w:rPr>
        <w:t>上旬，</w:t>
      </w:r>
      <w:r>
        <w:rPr>
          <w:rFonts w:ascii="宋体" w:eastAsia="宋体" w:hAnsi="宋体" w:cs="宋体" w:hint="cs"/>
          <w:color w:val="auto"/>
          <w:sz w:val="24"/>
          <w:szCs w:val="24"/>
        </w:rPr>
        <w:t>启动</w:t>
      </w:r>
      <w:r>
        <w:rPr>
          <w:rFonts w:ascii="宋体" w:eastAsia="宋体" w:hAnsi="宋体" w:cs="宋体" w:hint="cs"/>
          <w:color w:val="auto"/>
          <w:sz w:val="24"/>
          <w:szCs w:val="24"/>
          <w:lang w:val="zh-TW"/>
        </w:rPr>
        <w:t>《节假日城市旅游客流风险识别与预警技术规范》</w:t>
      </w:r>
      <w:r>
        <w:rPr>
          <w:rFonts w:ascii="宋体" w:eastAsia="宋体" w:hAnsi="宋体" w:cs="宋体" w:hint="cs"/>
          <w:color w:val="auto"/>
          <w:sz w:val="24"/>
          <w:szCs w:val="24"/>
        </w:rPr>
        <w:t>团体标准预研工</w:t>
      </w:r>
      <w:r>
        <w:rPr>
          <w:rFonts w:ascii="宋体" w:eastAsia="宋体" w:hAnsi="宋体" w:cs="宋体"/>
          <w:color w:val="auto"/>
          <w:sz w:val="24"/>
          <w:szCs w:val="24"/>
        </w:rPr>
        <w:t>作，</w:t>
      </w:r>
      <w:r>
        <w:rPr>
          <w:rFonts w:ascii="宋体" w:eastAsia="宋体" w:hAnsi="宋体" w:cs="宋体" w:hint="cs"/>
          <w:color w:val="auto"/>
          <w:sz w:val="24"/>
          <w:szCs w:val="24"/>
        </w:rPr>
        <w:t>开展内外部调研，收集和梳理基础素材。</w:t>
      </w:r>
    </w:p>
    <w:p w14:paraId="730117DF" w14:textId="77777777" w:rsidR="00573D11" w:rsidRPr="002C15CF" w:rsidRDefault="00000000">
      <w:pPr>
        <w:framePr w:wrap="auto" w:yAlign="inline"/>
        <w:spacing w:line="360" w:lineRule="auto"/>
        <w:ind w:firstLineChars="98" w:firstLine="236"/>
        <w:rPr>
          <w:rFonts w:ascii="宋体" w:eastAsia="宋体" w:hAnsi="宋体" w:cs="宋体"/>
          <w:b/>
          <w:bCs/>
          <w:color w:val="auto"/>
          <w:sz w:val="24"/>
          <w:szCs w:val="24"/>
          <w:lang w:val="zh-TW" w:eastAsia="zh-TW"/>
        </w:rPr>
      </w:pPr>
      <w:r w:rsidRPr="002C15CF">
        <w:rPr>
          <w:rFonts w:ascii="宋体" w:eastAsia="宋体" w:hAnsi="宋体" w:cs="宋体"/>
          <w:b/>
          <w:bCs/>
          <w:color w:val="auto"/>
          <w:sz w:val="24"/>
          <w:szCs w:val="24"/>
          <w:lang w:val="zh-TW" w:eastAsia="zh-TW"/>
        </w:rPr>
        <w:t>（二）立项阶段</w:t>
      </w:r>
    </w:p>
    <w:p w14:paraId="0BFDC11F" w14:textId="77777777" w:rsidR="00573D11" w:rsidRPr="002C15CF" w:rsidRDefault="00000000">
      <w:pPr>
        <w:framePr w:wrap="auto" w:yAlign="inline"/>
        <w:spacing w:line="360" w:lineRule="auto"/>
        <w:ind w:firstLine="480"/>
        <w:rPr>
          <w:rFonts w:ascii="宋体" w:eastAsia="宋体" w:hAnsi="宋体" w:cs="宋体"/>
          <w:color w:val="auto"/>
          <w:sz w:val="24"/>
          <w:szCs w:val="24"/>
        </w:rPr>
      </w:pPr>
      <w:r w:rsidRPr="002C15CF">
        <w:rPr>
          <w:rFonts w:ascii="宋体" w:eastAsia="宋体" w:hAnsi="宋体" w:cs="宋体" w:hint="default"/>
          <w:color w:val="auto"/>
          <w:sz w:val="24"/>
          <w:szCs w:val="24"/>
        </w:rPr>
        <w:t>20</w:t>
      </w:r>
      <w:r w:rsidRPr="002C15CF">
        <w:rPr>
          <w:rFonts w:ascii="宋体" w:eastAsia="宋体" w:hAnsi="宋体" w:cs="宋体"/>
          <w:color w:val="auto"/>
          <w:sz w:val="24"/>
          <w:szCs w:val="24"/>
        </w:rPr>
        <w:t>23</w:t>
      </w:r>
      <w:r w:rsidRPr="002C15CF">
        <w:rPr>
          <w:rFonts w:ascii="宋体" w:eastAsia="宋体" w:hAnsi="宋体" w:cs="宋体" w:hint="default"/>
          <w:color w:val="auto"/>
          <w:sz w:val="24"/>
          <w:szCs w:val="24"/>
        </w:rPr>
        <w:t>年</w:t>
      </w:r>
      <w:r w:rsidRPr="002C15CF">
        <w:rPr>
          <w:rFonts w:ascii="宋体" w:eastAsia="宋体" w:hAnsi="宋体" w:cs="宋体"/>
          <w:color w:val="auto"/>
          <w:sz w:val="24"/>
          <w:szCs w:val="24"/>
        </w:rPr>
        <w:t>6</w:t>
      </w:r>
      <w:r w:rsidRPr="002C15CF">
        <w:rPr>
          <w:rFonts w:ascii="宋体" w:eastAsia="宋体" w:hAnsi="宋体" w:cs="宋体" w:hint="default"/>
          <w:color w:val="auto"/>
          <w:sz w:val="24"/>
          <w:szCs w:val="24"/>
        </w:rPr>
        <w:t>月</w:t>
      </w:r>
      <w:r w:rsidRPr="002C15CF">
        <w:rPr>
          <w:rFonts w:ascii="宋体" w:eastAsia="宋体" w:hAnsi="宋体" w:cs="宋体"/>
          <w:color w:val="auto"/>
          <w:sz w:val="24"/>
          <w:szCs w:val="24"/>
        </w:rPr>
        <w:t>下</w:t>
      </w:r>
      <w:r w:rsidRPr="002C15CF">
        <w:rPr>
          <w:rFonts w:ascii="宋体" w:eastAsia="宋体" w:hAnsi="宋体" w:cs="宋体" w:hint="default"/>
          <w:color w:val="auto"/>
          <w:sz w:val="24"/>
          <w:szCs w:val="24"/>
        </w:rPr>
        <w:t>旬，中国贸促会商业行业委员会立项</w:t>
      </w:r>
      <w:r w:rsidRPr="002C15CF">
        <w:rPr>
          <w:rFonts w:ascii="宋体" w:eastAsia="宋体" w:hAnsi="宋体" w:cs="宋体" w:hint="cs"/>
          <w:color w:val="auto"/>
          <w:sz w:val="24"/>
          <w:szCs w:val="24"/>
          <w:lang w:val="zh-TW"/>
        </w:rPr>
        <w:t>《节假日城市旅游客流风险识别与预警技术规范》</w:t>
      </w:r>
      <w:r w:rsidRPr="002C15CF">
        <w:rPr>
          <w:rFonts w:ascii="宋体" w:eastAsia="宋体" w:hAnsi="宋体" w:cs="宋体" w:hint="default"/>
          <w:color w:val="auto"/>
          <w:sz w:val="24"/>
          <w:szCs w:val="24"/>
        </w:rPr>
        <w:t>团体标准（项目编号：</w:t>
      </w:r>
      <w:r w:rsidRPr="002C15CF">
        <w:rPr>
          <w:rFonts w:ascii="宋体" w:eastAsia="宋体" w:hAnsi="宋体" w:cs="宋体" w:hint="default"/>
          <w:color w:val="auto"/>
          <w:sz w:val="24"/>
          <w:szCs w:val="24"/>
          <w:lang w:val="zh-TW" w:eastAsia="zh-TW"/>
        </w:rPr>
        <w:t>CCPIT-CSC-JH2023260</w:t>
      </w:r>
      <w:r w:rsidRPr="002C15CF">
        <w:rPr>
          <w:rFonts w:ascii="宋体" w:eastAsia="宋体" w:hAnsi="宋体" w:cs="宋体" w:hint="default"/>
          <w:color w:val="auto"/>
          <w:sz w:val="24"/>
          <w:szCs w:val="24"/>
        </w:rPr>
        <w:t>）。</w:t>
      </w:r>
    </w:p>
    <w:p w14:paraId="20E68686" w14:textId="77777777" w:rsidR="00573D11" w:rsidRDefault="00000000">
      <w:pPr>
        <w:framePr w:wrap="auto" w:yAlign="inline"/>
        <w:spacing w:line="360" w:lineRule="auto"/>
        <w:ind w:firstLineChars="98" w:firstLine="236"/>
        <w:rPr>
          <w:rFonts w:ascii="宋体" w:eastAsia="宋体" w:hAnsi="宋体" w:cs="宋体"/>
          <w:color w:val="auto"/>
          <w:sz w:val="24"/>
          <w:szCs w:val="24"/>
        </w:rPr>
      </w:pPr>
      <w:r>
        <w:rPr>
          <w:rFonts w:ascii="宋体" w:eastAsia="宋体" w:hAnsi="宋体" w:cs="宋体"/>
          <w:b/>
          <w:bCs/>
          <w:color w:val="auto"/>
          <w:sz w:val="24"/>
          <w:szCs w:val="24"/>
          <w:lang w:val="zh-TW" w:eastAsia="zh-TW"/>
        </w:rPr>
        <w:t>（三）起草阶段</w:t>
      </w:r>
    </w:p>
    <w:p w14:paraId="46C3885D" w14:textId="77777777" w:rsidR="00573D11" w:rsidRDefault="00000000">
      <w:pPr>
        <w:framePr w:wrap="auto" w:yAlign="inline"/>
        <w:spacing w:line="360" w:lineRule="auto"/>
        <w:ind w:firstLine="480"/>
        <w:rPr>
          <w:rFonts w:ascii="宋体" w:eastAsia="宋体" w:hAnsi="宋体" w:cs="宋体"/>
          <w:color w:val="auto"/>
          <w:sz w:val="24"/>
          <w:szCs w:val="24"/>
        </w:rPr>
      </w:pPr>
      <w:r>
        <w:rPr>
          <w:rFonts w:ascii="宋体" w:eastAsia="宋体" w:hAnsi="宋体" w:cs="宋体" w:hint="default"/>
          <w:color w:val="auto"/>
          <w:sz w:val="24"/>
          <w:szCs w:val="24"/>
        </w:rPr>
        <w:t>20</w:t>
      </w:r>
      <w:r>
        <w:rPr>
          <w:rFonts w:ascii="宋体" w:eastAsia="宋体" w:hAnsi="宋体" w:cs="宋体"/>
          <w:color w:val="auto"/>
          <w:sz w:val="24"/>
          <w:szCs w:val="24"/>
        </w:rPr>
        <w:t>23</w:t>
      </w:r>
      <w:r>
        <w:rPr>
          <w:rFonts w:ascii="宋体" w:eastAsia="宋体" w:hAnsi="宋体" w:cs="宋体" w:hint="default"/>
          <w:color w:val="auto"/>
          <w:sz w:val="24"/>
          <w:szCs w:val="24"/>
        </w:rPr>
        <w:t>年4月下旬，项目组通过搜集文献、查阅各类书刊对资料进行梳理。</w:t>
      </w:r>
    </w:p>
    <w:p w14:paraId="56532EC7" w14:textId="77777777" w:rsidR="00573D11" w:rsidRDefault="00000000">
      <w:pPr>
        <w:framePr w:wrap="auto" w:yAlign="inline"/>
        <w:spacing w:line="360" w:lineRule="auto"/>
        <w:ind w:firstLine="480"/>
        <w:rPr>
          <w:rFonts w:ascii="宋体" w:eastAsia="宋体" w:hAnsi="宋体" w:cs="宋体"/>
          <w:color w:val="auto"/>
          <w:sz w:val="24"/>
          <w:szCs w:val="24"/>
        </w:rPr>
      </w:pPr>
      <w:r>
        <w:rPr>
          <w:rFonts w:ascii="宋体" w:eastAsia="宋体" w:hAnsi="宋体" w:cs="宋体" w:hint="default"/>
          <w:color w:val="auto"/>
          <w:sz w:val="24"/>
          <w:szCs w:val="24"/>
        </w:rPr>
        <w:t>20</w:t>
      </w:r>
      <w:r>
        <w:rPr>
          <w:rFonts w:ascii="宋体" w:eastAsia="宋体" w:hAnsi="宋体" w:cs="宋体"/>
          <w:color w:val="auto"/>
          <w:sz w:val="24"/>
          <w:szCs w:val="24"/>
        </w:rPr>
        <w:t>23</w:t>
      </w:r>
      <w:r>
        <w:rPr>
          <w:rFonts w:ascii="宋体" w:eastAsia="宋体" w:hAnsi="宋体" w:cs="宋体" w:hint="default"/>
          <w:color w:val="auto"/>
          <w:sz w:val="24"/>
          <w:szCs w:val="24"/>
        </w:rPr>
        <w:t>年7月上旬，召开</w:t>
      </w:r>
      <w:r>
        <w:rPr>
          <w:rFonts w:ascii="宋体" w:eastAsia="宋体" w:hAnsi="宋体" w:cs="宋体"/>
          <w:color w:val="auto"/>
          <w:sz w:val="24"/>
          <w:szCs w:val="24"/>
        </w:rPr>
        <w:t>起草工作启动会</w:t>
      </w:r>
      <w:r>
        <w:rPr>
          <w:rFonts w:ascii="宋体" w:eastAsia="宋体" w:hAnsi="宋体" w:cs="宋体" w:hint="default"/>
          <w:color w:val="auto"/>
          <w:sz w:val="24"/>
          <w:szCs w:val="24"/>
        </w:rPr>
        <w:t>，就标准的内容框架、编写参考依据等内容进行讨论，并</w:t>
      </w:r>
      <w:r>
        <w:rPr>
          <w:rFonts w:ascii="宋体" w:eastAsia="宋体" w:hAnsi="宋体" w:cs="宋体"/>
          <w:color w:val="auto"/>
          <w:sz w:val="24"/>
          <w:szCs w:val="24"/>
        </w:rPr>
        <w:t>成立本标准研制工作组</w:t>
      </w:r>
      <w:r>
        <w:rPr>
          <w:rFonts w:ascii="宋体" w:eastAsia="宋体" w:hAnsi="宋体" w:cs="宋体" w:hint="default"/>
          <w:color w:val="auto"/>
          <w:sz w:val="24"/>
          <w:szCs w:val="24"/>
        </w:rPr>
        <w:t>。</w:t>
      </w:r>
    </w:p>
    <w:p w14:paraId="50365DB6" w14:textId="77777777" w:rsidR="00573D11" w:rsidRDefault="00000000">
      <w:pPr>
        <w:framePr w:wrap="auto" w:yAlign="inline"/>
        <w:spacing w:line="360" w:lineRule="auto"/>
        <w:ind w:firstLine="480"/>
        <w:rPr>
          <w:rFonts w:ascii="宋体" w:eastAsia="宋体" w:hAnsi="宋体" w:cs="宋体"/>
          <w:color w:val="auto"/>
          <w:sz w:val="24"/>
          <w:szCs w:val="24"/>
        </w:rPr>
      </w:pPr>
      <w:r>
        <w:rPr>
          <w:rFonts w:ascii="宋体" w:eastAsia="宋体" w:hAnsi="宋体" w:cs="宋体" w:hint="default"/>
          <w:color w:val="auto"/>
          <w:sz w:val="24"/>
          <w:szCs w:val="24"/>
        </w:rPr>
        <w:t>20</w:t>
      </w:r>
      <w:r>
        <w:rPr>
          <w:rFonts w:ascii="宋体" w:eastAsia="宋体" w:hAnsi="宋体" w:cs="宋体"/>
          <w:color w:val="auto"/>
          <w:sz w:val="24"/>
          <w:szCs w:val="24"/>
        </w:rPr>
        <w:t>23</w:t>
      </w:r>
      <w:r>
        <w:rPr>
          <w:rFonts w:ascii="宋体" w:eastAsia="宋体" w:hAnsi="宋体" w:cs="宋体" w:hint="default"/>
          <w:color w:val="auto"/>
          <w:sz w:val="24"/>
          <w:szCs w:val="24"/>
        </w:rPr>
        <w:t>年8月</w:t>
      </w:r>
      <w:r>
        <w:rPr>
          <w:rFonts w:ascii="宋体" w:eastAsia="宋体" w:hAnsi="宋体" w:cs="宋体"/>
          <w:color w:val="auto"/>
          <w:sz w:val="24"/>
          <w:szCs w:val="24"/>
        </w:rPr>
        <w:t>中</w:t>
      </w:r>
      <w:r>
        <w:rPr>
          <w:rFonts w:ascii="宋体" w:eastAsia="宋体" w:hAnsi="宋体" w:cs="宋体" w:hint="default"/>
          <w:color w:val="auto"/>
          <w:sz w:val="24"/>
          <w:szCs w:val="24"/>
        </w:rPr>
        <w:t>旬，</w:t>
      </w:r>
      <w:r>
        <w:rPr>
          <w:rFonts w:ascii="宋体" w:eastAsia="宋体" w:hAnsi="宋体" w:cs="宋体"/>
          <w:color w:val="auto"/>
          <w:sz w:val="24"/>
          <w:szCs w:val="24"/>
        </w:rPr>
        <w:t>召开起草工作研讨会，就标准讨论稿一稿内容进行研讨交流，</w:t>
      </w:r>
      <w:r>
        <w:rPr>
          <w:rFonts w:ascii="宋体" w:eastAsia="宋体" w:hAnsi="宋体" w:cs="宋体" w:hint="default"/>
          <w:color w:val="auto"/>
          <w:sz w:val="24"/>
          <w:szCs w:val="24"/>
        </w:rPr>
        <w:t>对</w:t>
      </w:r>
      <w:r>
        <w:rPr>
          <w:rFonts w:ascii="宋体" w:eastAsia="宋体" w:hAnsi="宋体" w:cs="宋体"/>
          <w:color w:val="auto"/>
          <w:sz w:val="24"/>
          <w:szCs w:val="24"/>
        </w:rPr>
        <w:t>标准讨论稿</w:t>
      </w:r>
      <w:r>
        <w:rPr>
          <w:rFonts w:ascii="宋体" w:eastAsia="宋体" w:hAnsi="宋体" w:cs="宋体" w:hint="default"/>
          <w:color w:val="auto"/>
          <w:sz w:val="24"/>
          <w:szCs w:val="24"/>
        </w:rPr>
        <w:t>内容、结构进行调整，形成标准讨论稿二稿。</w:t>
      </w:r>
    </w:p>
    <w:p w14:paraId="50B5EBA7" w14:textId="77777777" w:rsidR="00573D11" w:rsidRDefault="00000000">
      <w:pPr>
        <w:framePr w:wrap="auto" w:yAlign="inline"/>
        <w:spacing w:line="360" w:lineRule="auto"/>
        <w:ind w:firstLine="480"/>
        <w:rPr>
          <w:rFonts w:ascii="宋体" w:eastAsia="宋体" w:hAnsi="宋体" w:cs="宋体"/>
          <w:color w:val="auto"/>
          <w:sz w:val="24"/>
          <w:szCs w:val="24"/>
        </w:rPr>
      </w:pPr>
      <w:r>
        <w:rPr>
          <w:rFonts w:ascii="宋体" w:eastAsia="宋体" w:hAnsi="宋体" w:cs="宋体" w:hint="default"/>
          <w:color w:val="auto"/>
          <w:sz w:val="24"/>
          <w:szCs w:val="24"/>
        </w:rPr>
        <w:t>202</w:t>
      </w:r>
      <w:r>
        <w:rPr>
          <w:rFonts w:ascii="宋体" w:eastAsia="宋体" w:hAnsi="宋体" w:cs="宋体"/>
          <w:color w:val="auto"/>
          <w:sz w:val="24"/>
          <w:szCs w:val="24"/>
        </w:rPr>
        <w:t>4</w:t>
      </w:r>
      <w:r>
        <w:rPr>
          <w:rFonts w:ascii="宋体" w:eastAsia="宋体" w:hAnsi="宋体" w:cs="宋体" w:hint="default"/>
          <w:color w:val="auto"/>
          <w:sz w:val="24"/>
          <w:szCs w:val="24"/>
        </w:rPr>
        <w:t>年</w:t>
      </w:r>
      <w:r>
        <w:rPr>
          <w:rFonts w:ascii="宋体" w:eastAsia="宋体" w:hAnsi="宋体" w:cs="宋体"/>
          <w:color w:val="auto"/>
          <w:sz w:val="24"/>
          <w:szCs w:val="24"/>
        </w:rPr>
        <w:t>3</w:t>
      </w:r>
      <w:r>
        <w:rPr>
          <w:rFonts w:ascii="宋体" w:eastAsia="宋体" w:hAnsi="宋体" w:cs="宋体" w:hint="default"/>
          <w:color w:val="auto"/>
          <w:sz w:val="24"/>
          <w:szCs w:val="24"/>
        </w:rPr>
        <w:t>月</w:t>
      </w:r>
      <w:r>
        <w:rPr>
          <w:rFonts w:ascii="宋体" w:eastAsia="宋体" w:hAnsi="宋体" w:cs="宋体"/>
          <w:color w:val="auto"/>
          <w:sz w:val="24"/>
          <w:szCs w:val="24"/>
        </w:rPr>
        <w:t>下</w:t>
      </w:r>
      <w:r>
        <w:rPr>
          <w:rFonts w:ascii="宋体" w:eastAsia="宋体" w:hAnsi="宋体" w:cs="宋体" w:hint="default"/>
          <w:color w:val="auto"/>
          <w:sz w:val="24"/>
          <w:szCs w:val="24"/>
        </w:rPr>
        <w:t>旬，项目组对标准讨论稿二稿内容、结构和逻辑关系进行梳理和优化，在此基础上形成征求意见稿。</w:t>
      </w:r>
    </w:p>
    <w:p w14:paraId="6E1E4C04" w14:textId="77777777" w:rsidR="00573D11" w:rsidRDefault="00000000">
      <w:pPr>
        <w:framePr w:wrap="auto" w:yAlign="inline"/>
        <w:spacing w:line="360" w:lineRule="auto"/>
        <w:ind w:left="420"/>
        <w:rPr>
          <w:rFonts w:ascii="宋体" w:eastAsia="宋体" w:hAnsi="宋体" w:cs="宋体"/>
          <w:b/>
          <w:bCs/>
          <w:color w:val="auto"/>
          <w:sz w:val="24"/>
          <w:szCs w:val="24"/>
          <w:lang w:val="zh-TW" w:eastAsia="zh-TW"/>
        </w:rPr>
      </w:pPr>
      <w:r>
        <w:rPr>
          <w:rFonts w:ascii="宋体" w:eastAsia="宋体" w:hAnsi="宋体" w:cs="宋体"/>
          <w:b/>
          <w:bCs/>
          <w:color w:val="auto"/>
          <w:sz w:val="24"/>
          <w:szCs w:val="24"/>
          <w:lang w:val="zh-TW" w:eastAsia="zh-TW"/>
        </w:rPr>
        <w:t>（四）征求意见阶段</w:t>
      </w:r>
    </w:p>
    <w:p w14:paraId="55065E58" w14:textId="137562B3" w:rsidR="00573D11" w:rsidRDefault="00000000" w:rsidP="002C15CF">
      <w:pPr>
        <w:framePr w:wrap="auto" w:yAlign="inline"/>
        <w:spacing w:line="360" w:lineRule="auto"/>
        <w:ind w:firstLine="480"/>
        <w:rPr>
          <w:rFonts w:ascii="宋体" w:eastAsia="宋体" w:hAnsi="宋体" w:cs="宋体"/>
          <w:color w:val="auto"/>
          <w:sz w:val="24"/>
          <w:szCs w:val="24"/>
        </w:rPr>
      </w:pPr>
      <w:r>
        <w:rPr>
          <w:rFonts w:ascii="宋体" w:eastAsia="宋体" w:hAnsi="宋体" w:cs="宋体" w:hint="default"/>
          <w:color w:val="auto"/>
          <w:sz w:val="24"/>
          <w:szCs w:val="24"/>
        </w:rPr>
        <w:t>20</w:t>
      </w:r>
      <w:r>
        <w:rPr>
          <w:rFonts w:ascii="宋体" w:eastAsia="宋体" w:hAnsi="宋体" w:cs="宋体"/>
          <w:color w:val="auto"/>
          <w:sz w:val="24"/>
          <w:szCs w:val="24"/>
        </w:rPr>
        <w:t>24</w:t>
      </w:r>
      <w:r>
        <w:rPr>
          <w:rFonts w:ascii="宋体" w:eastAsia="宋体" w:hAnsi="宋体" w:cs="宋体" w:hint="default"/>
          <w:color w:val="auto"/>
          <w:sz w:val="24"/>
          <w:szCs w:val="24"/>
        </w:rPr>
        <w:t>年</w:t>
      </w:r>
      <w:r>
        <w:rPr>
          <w:rFonts w:ascii="宋体" w:eastAsia="宋体" w:hAnsi="宋体" w:cs="宋体"/>
          <w:color w:val="auto"/>
          <w:sz w:val="24"/>
          <w:szCs w:val="24"/>
        </w:rPr>
        <w:t>10</w:t>
      </w:r>
      <w:r>
        <w:rPr>
          <w:rFonts w:ascii="宋体" w:eastAsia="宋体" w:hAnsi="宋体" w:cs="宋体" w:hint="default"/>
          <w:color w:val="auto"/>
          <w:sz w:val="24"/>
          <w:szCs w:val="24"/>
        </w:rPr>
        <w:t>月</w:t>
      </w:r>
      <w:r>
        <w:rPr>
          <w:rFonts w:ascii="宋体" w:eastAsia="宋体" w:hAnsi="宋体" w:cs="宋体"/>
          <w:color w:val="auto"/>
          <w:sz w:val="24"/>
          <w:szCs w:val="24"/>
        </w:rPr>
        <w:t>中至11月中</w:t>
      </w:r>
      <w:r>
        <w:rPr>
          <w:rFonts w:ascii="宋体" w:eastAsia="宋体" w:hAnsi="宋体" w:cs="宋体" w:hint="default"/>
          <w:color w:val="auto"/>
          <w:sz w:val="24"/>
          <w:szCs w:val="24"/>
        </w:rPr>
        <w:t>，通过官方网站、微信公众号的渠道进行网上公开发布，同时通过各类专业微信群组等进行反馈意见征集和汇总，开展征求意见工作。</w:t>
      </w:r>
    </w:p>
    <w:p w14:paraId="705E2DEF" w14:textId="77777777" w:rsidR="00573D11" w:rsidRDefault="00000000">
      <w:pPr>
        <w:framePr w:wrap="auto" w:yAlign="inline"/>
        <w:spacing w:line="360" w:lineRule="auto"/>
        <w:ind w:firstLine="482"/>
        <w:rPr>
          <w:rFonts w:ascii="宋体" w:eastAsia="宋体" w:hAnsi="宋体" w:cs="宋体"/>
          <w:b/>
          <w:bCs/>
          <w:kern w:val="0"/>
          <w:sz w:val="24"/>
          <w:szCs w:val="24"/>
          <w:lang w:val="zh-TW" w:eastAsia="zh-TW"/>
        </w:rPr>
      </w:pPr>
      <w:r>
        <w:rPr>
          <w:rFonts w:ascii="宋体" w:eastAsia="宋体" w:hAnsi="宋体" w:cs="宋体"/>
          <w:b/>
          <w:bCs/>
          <w:kern w:val="0"/>
          <w:sz w:val="24"/>
          <w:szCs w:val="24"/>
          <w:lang w:val="zh-TW" w:eastAsia="zh-TW"/>
        </w:rPr>
        <w:t>四、标准的主要内容和依据</w:t>
      </w:r>
    </w:p>
    <w:p w14:paraId="68150D1A" w14:textId="77777777" w:rsidR="00573D11" w:rsidRDefault="00000000">
      <w:pPr>
        <w:framePr w:wrap="auto" w:yAlign="inline"/>
        <w:spacing w:line="360" w:lineRule="auto"/>
        <w:ind w:firstLine="480"/>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color w:val="auto"/>
          <w:sz w:val="24"/>
          <w:szCs w:val="24"/>
          <w:lang w:val="zh-TW" w:eastAsia="zh-TW"/>
        </w:rPr>
        <w:t>制定原则</w:t>
      </w:r>
    </w:p>
    <w:p w14:paraId="0AA49237" w14:textId="77777777" w:rsidR="00573D11" w:rsidRDefault="00000000">
      <w:pPr>
        <w:framePr w:wrap="auto" w:yAlign="inline"/>
        <w:spacing w:line="360" w:lineRule="auto"/>
        <w:ind w:firstLine="480"/>
        <w:rPr>
          <w:rFonts w:ascii="宋体" w:eastAsia="PMingLiU" w:hAnsi="宋体" w:cs="宋体"/>
          <w:color w:val="auto"/>
          <w:sz w:val="24"/>
          <w:szCs w:val="24"/>
          <w:lang w:val="zh-TW" w:eastAsia="zh-TW"/>
        </w:rPr>
      </w:pPr>
      <w:r>
        <w:rPr>
          <w:rFonts w:ascii="宋体" w:eastAsia="宋体" w:hAnsi="宋体" w:cs="宋体"/>
          <w:color w:val="auto"/>
          <w:sz w:val="24"/>
          <w:szCs w:val="24"/>
          <w:lang w:val="zh-TW" w:eastAsia="zh-TW"/>
        </w:rPr>
        <w:t>遵循</w:t>
      </w:r>
      <w:r>
        <w:rPr>
          <w:rFonts w:ascii="宋体" w:eastAsia="宋体" w:hAnsi="宋体" w:cs="宋体"/>
          <w:color w:val="auto"/>
          <w:sz w:val="24"/>
          <w:szCs w:val="24"/>
        </w:rPr>
        <w:t>“</w:t>
      </w:r>
      <w:r>
        <w:rPr>
          <w:rFonts w:ascii="宋体" w:eastAsia="宋体" w:hAnsi="宋体" w:cs="宋体" w:hint="cs"/>
          <w:color w:val="auto"/>
          <w:sz w:val="24"/>
          <w:szCs w:val="24"/>
          <w:lang w:val="zh-TW" w:eastAsia="zh-TW"/>
        </w:rPr>
        <w:t>规范性、协调性、科学性、可操作性</w:t>
      </w:r>
      <w:r>
        <w:rPr>
          <w:rFonts w:ascii="宋体" w:eastAsia="宋体" w:hAnsi="宋体" w:cs="宋体"/>
          <w:color w:val="auto"/>
          <w:sz w:val="24"/>
          <w:szCs w:val="24"/>
        </w:rPr>
        <w:t>”</w:t>
      </w:r>
      <w:r>
        <w:rPr>
          <w:rFonts w:ascii="宋体" w:eastAsia="宋体" w:hAnsi="宋体" w:cs="宋体"/>
          <w:color w:val="auto"/>
          <w:sz w:val="24"/>
          <w:szCs w:val="24"/>
          <w:lang w:val="zh-TW" w:eastAsia="zh-TW"/>
        </w:rPr>
        <w:t>的原则制定本标准，</w:t>
      </w:r>
      <w:r>
        <w:rPr>
          <w:rFonts w:ascii="宋体" w:eastAsia="宋体" w:hAnsi="宋体" w:cs="宋体" w:hint="cs"/>
          <w:color w:val="auto"/>
          <w:sz w:val="24"/>
          <w:szCs w:val="24"/>
          <w:lang w:val="zh-TW" w:eastAsia="zh-TW"/>
        </w:rPr>
        <w:t>标准研制过程应符合标准化相关法律法规</w:t>
      </w:r>
      <w:r>
        <w:rPr>
          <w:rFonts w:ascii="宋体" w:eastAsia="宋体" w:hAnsi="宋体" w:cs="宋体"/>
          <w:color w:val="auto"/>
          <w:sz w:val="24"/>
          <w:szCs w:val="24"/>
          <w:lang w:val="zh-TW" w:eastAsia="zh-TW"/>
        </w:rPr>
        <w:t>。按照</w:t>
      </w:r>
      <w:r>
        <w:rPr>
          <w:rFonts w:ascii="宋体" w:eastAsia="宋体" w:hAnsi="宋体" w:cs="宋体"/>
          <w:color w:val="auto"/>
          <w:sz w:val="24"/>
          <w:szCs w:val="24"/>
        </w:rPr>
        <w:t>GB/T</w:t>
      </w:r>
      <w:r>
        <w:rPr>
          <w:rFonts w:ascii="宋体" w:eastAsia="宋体" w:hAnsi="宋体" w:cs="宋体" w:hint="default"/>
          <w:color w:val="auto"/>
          <w:sz w:val="24"/>
          <w:szCs w:val="24"/>
        </w:rPr>
        <w:t xml:space="preserve"> </w:t>
      </w:r>
      <w:r>
        <w:rPr>
          <w:rFonts w:ascii="宋体" w:eastAsia="宋体" w:hAnsi="宋体" w:cs="宋体"/>
          <w:color w:val="auto"/>
          <w:sz w:val="24"/>
          <w:szCs w:val="24"/>
        </w:rPr>
        <w:t>1.1-20</w:t>
      </w:r>
      <w:r>
        <w:rPr>
          <w:rFonts w:ascii="宋体" w:eastAsia="宋体" w:hAnsi="宋体" w:cs="宋体" w:hint="default"/>
          <w:color w:val="auto"/>
          <w:sz w:val="24"/>
          <w:szCs w:val="24"/>
        </w:rPr>
        <w:t>20</w:t>
      </w:r>
      <w:r>
        <w:rPr>
          <w:rFonts w:ascii="宋体" w:eastAsia="宋体" w:hAnsi="宋体" w:cs="宋体"/>
          <w:color w:val="auto"/>
          <w:sz w:val="24"/>
          <w:szCs w:val="24"/>
          <w:lang w:val="zh-TW" w:eastAsia="zh-TW"/>
        </w:rPr>
        <w:t>《标准化工作导则 第</w:t>
      </w:r>
      <w:r>
        <w:rPr>
          <w:rFonts w:ascii="宋体" w:eastAsia="宋体" w:hAnsi="宋体" w:cs="宋体"/>
          <w:color w:val="auto"/>
          <w:sz w:val="24"/>
          <w:szCs w:val="24"/>
        </w:rPr>
        <w:t>1</w:t>
      </w:r>
      <w:r>
        <w:rPr>
          <w:rFonts w:ascii="宋体" w:eastAsia="宋体" w:hAnsi="宋体" w:cs="宋体"/>
          <w:color w:val="auto"/>
          <w:sz w:val="24"/>
          <w:szCs w:val="24"/>
          <w:lang w:val="zh-TW" w:eastAsia="zh-TW"/>
        </w:rPr>
        <w:t>部分：标准的结构和编写规则》进行编制。</w:t>
      </w:r>
    </w:p>
    <w:p w14:paraId="6689ED71" w14:textId="77777777" w:rsidR="00573D11" w:rsidRDefault="00000000">
      <w:pPr>
        <w:pStyle w:val="a"/>
        <w:numPr>
          <w:ilvl w:val="0"/>
          <w:numId w:val="0"/>
        </w:numPr>
        <w:tabs>
          <w:tab w:val="left" w:pos="312"/>
        </w:tabs>
        <w:spacing w:before="240" w:after="240"/>
      </w:pPr>
      <w:r>
        <w:rPr>
          <w:rFonts w:ascii="宋体" w:eastAsia="宋体" w:hAnsi="宋体" w:cs="宋体" w:hint="eastAsia"/>
          <w:color w:val="FF0000"/>
          <w:sz w:val="24"/>
          <w:szCs w:val="24"/>
          <w:lang w:val="zh-TW"/>
        </w:rPr>
        <w:t xml:space="preserve">   </w:t>
      </w:r>
      <w:r>
        <w:rPr>
          <w:rFonts w:ascii="宋体" w:eastAsia="宋体" w:hAnsi="宋体" w:cs="宋体" w:hint="eastAsia"/>
          <w:sz w:val="24"/>
          <w:szCs w:val="24"/>
          <w:lang w:val="zh-TW"/>
        </w:rPr>
        <w:t xml:space="preserve"> 2．</w:t>
      </w:r>
      <w:r>
        <w:rPr>
          <w:rFonts w:ascii="宋体" w:eastAsia="宋体" w:hAnsi="宋体" w:cs="宋体"/>
          <w:sz w:val="24"/>
          <w:szCs w:val="24"/>
          <w:lang w:val="zh-TW" w:eastAsia="zh-TW"/>
        </w:rPr>
        <w:t>主要技术内容的说</w:t>
      </w:r>
      <w:r>
        <w:rPr>
          <w:rFonts w:ascii="宋体" w:eastAsia="宋体" w:hAnsi="宋体" w:cs="宋体" w:hint="eastAsia"/>
          <w:sz w:val="24"/>
          <w:szCs w:val="24"/>
          <w:lang w:val="zh-TW"/>
        </w:rPr>
        <w:t>明</w:t>
      </w:r>
    </w:p>
    <w:p w14:paraId="5467015C" w14:textId="77777777" w:rsidR="00573D11" w:rsidRDefault="00000000">
      <w:pPr>
        <w:pStyle w:val="ab"/>
        <w:topLinePunct/>
        <w:autoSpaceDN/>
        <w:spacing w:line="360" w:lineRule="auto"/>
        <w:ind w:firstLine="480"/>
        <w:rPr>
          <w:rFonts w:hAnsi="宋体" w:cs="宋体" w:hint="eastAsia"/>
          <w:kern w:val="2"/>
          <w:sz w:val="24"/>
          <w:szCs w:val="24"/>
          <w:u w:color="000000"/>
          <w:lang w:val="zh-TW"/>
        </w:rPr>
      </w:pPr>
      <w:r>
        <w:rPr>
          <w:rFonts w:hAnsi="宋体" w:cs="宋体" w:hint="cs"/>
          <w:kern w:val="2"/>
          <w:sz w:val="24"/>
          <w:szCs w:val="24"/>
          <w:u w:color="000000"/>
          <w:lang w:val="zh-TW"/>
        </w:rPr>
        <w:t>本文件规定了节假日城市旅游客流风险识别与预警工作的一般要求、风险分类、风险识别和预警等级评估方法、客流风险识别报告、监督与沟通等主要技术环节的基本要求，以及适用于节假日城市旅游客流风险识别与预警的基本方法。</w:t>
      </w:r>
    </w:p>
    <w:p w14:paraId="0EAC0330" w14:textId="77777777" w:rsidR="00573D11" w:rsidRDefault="00000000">
      <w:pPr>
        <w:pStyle w:val="ab"/>
        <w:topLinePunct/>
        <w:autoSpaceDN/>
        <w:spacing w:line="360" w:lineRule="auto"/>
        <w:ind w:firstLine="480"/>
        <w:rPr>
          <w:rFonts w:hAnsi="宋体" w:cs="宋体" w:hint="eastAsia"/>
          <w:kern w:val="2"/>
          <w:sz w:val="24"/>
          <w:szCs w:val="24"/>
          <w:u w:color="000000"/>
        </w:rPr>
      </w:pPr>
      <w:r>
        <w:rPr>
          <w:rFonts w:hAnsi="宋体" w:cs="宋体" w:hint="cs"/>
          <w:kern w:val="2"/>
          <w:sz w:val="24"/>
          <w:szCs w:val="24"/>
          <w:u w:color="000000"/>
          <w:lang w:val="zh-TW"/>
        </w:rPr>
        <w:t>本文件适用于节假日城市旅游客流监测工作。其中，“城市”主要指直辖市、地级市、副省级市。</w:t>
      </w:r>
    </w:p>
    <w:p w14:paraId="7802F6F7" w14:textId="77777777" w:rsidR="00573D11" w:rsidRDefault="00000000">
      <w:pPr>
        <w:framePr w:wrap="auto" w:yAlign="inline"/>
        <w:spacing w:line="360" w:lineRule="auto"/>
        <w:ind w:firstLine="482"/>
        <w:rPr>
          <w:rFonts w:ascii="宋体" w:eastAsia="宋体" w:hAnsi="宋体" w:cs="宋体"/>
          <w:b/>
          <w:bCs/>
          <w:kern w:val="0"/>
          <w:sz w:val="24"/>
          <w:szCs w:val="24"/>
          <w:lang w:val="zh-TW" w:eastAsia="zh-TW"/>
        </w:rPr>
      </w:pPr>
      <w:r>
        <w:rPr>
          <w:rFonts w:ascii="宋体" w:eastAsia="宋体" w:hAnsi="宋体" w:cs="宋体"/>
          <w:b/>
          <w:bCs/>
          <w:kern w:val="0"/>
          <w:sz w:val="24"/>
          <w:szCs w:val="24"/>
          <w:lang w:val="zh-TW" w:eastAsia="zh-TW"/>
        </w:rPr>
        <w:t>五、标准的水平</w:t>
      </w:r>
    </w:p>
    <w:p w14:paraId="24C95A38" w14:textId="77777777" w:rsidR="00573D11" w:rsidRDefault="00000000">
      <w:pPr>
        <w:framePr w:wrap="auto" w:yAlign="inline"/>
        <w:spacing w:line="360" w:lineRule="auto"/>
        <w:ind w:firstLine="480"/>
        <w:rPr>
          <w:rFonts w:ascii="宋体" w:eastAsia="宋体" w:hAnsi="宋体" w:cs="宋体"/>
          <w:sz w:val="24"/>
          <w:szCs w:val="24"/>
          <w:lang w:val="zh-TW" w:eastAsia="zh-TW"/>
        </w:rPr>
      </w:pPr>
      <w:r>
        <w:rPr>
          <w:rFonts w:ascii="宋体" w:eastAsia="宋体" w:hAnsi="宋体" w:cs="宋体" w:hint="cs"/>
          <w:sz w:val="24"/>
          <w:szCs w:val="24"/>
          <w:lang w:val="zh-TW" w:eastAsia="zh-TW"/>
        </w:rPr>
        <w:t>本标准系自主制定项目，居国内领先水平。</w:t>
      </w:r>
    </w:p>
    <w:p w14:paraId="5B96CCD1" w14:textId="77777777" w:rsidR="00573D11" w:rsidRDefault="00000000">
      <w:pPr>
        <w:framePr w:wrap="auto" w:yAlign="inline"/>
        <w:spacing w:line="360" w:lineRule="auto"/>
        <w:ind w:firstLine="482"/>
        <w:rPr>
          <w:rFonts w:ascii="宋体" w:eastAsia="宋体" w:hAnsi="宋体" w:cs="宋体"/>
          <w:b/>
          <w:bCs/>
          <w:kern w:val="0"/>
          <w:sz w:val="24"/>
          <w:szCs w:val="24"/>
          <w:lang w:val="zh-TW" w:eastAsia="zh-TW"/>
        </w:rPr>
      </w:pPr>
      <w:r>
        <w:rPr>
          <w:rFonts w:ascii="宋体" w:eastAsia="宋体" w:hAnsi="宋体" w:cs="宋体"/>
          <w:b/>
          <w:bCs/>
          <w:kern w:val="0"/>
          <w:sz w:val="24"/>
          <w:szCs w:val="24"/>
          <w:lang w:val="zh-TW" w:eastAsia="zh-TW"/>
        </w:rPr>
        <w:t>六、与有关的现行法律、法规和强制性国家标准的关系</w:t>
      </w:r>
    </w:p>
    <w:p w14:paraId="433C49CA" w14:textId="77777777" w:rsidR="00573D11" w:rsidRDefault="00000000">
      <w:pPr>
        <w:framePr w:wrap="auto" w:yAlign="inline"/>
        <w:spacing w:line="360" w:lineRule="auto"/>
        <w:ind w:firstLine="480"/>
        <w:rPr>
          <w:rFonts w:ascii="宋体" w:eastAsia="宋体" w:hAnsi="宋体" w:cs="宋体"/>
          <w:color w:val="auto"/>
          <w:sz w:val="24"/>
          <w:szCs w:val="24"/>
        </w:rPr>
      </w:pPr>
      <w:r>
        <w:rPr>
          <w:rFonts w:ascii="宋体" w:eastAsia="宋体" w:hAnsi="宋体" w:cs="宋体" w:hint="cs"/>
          <w:color w:val="auto"/>
          <w:sz w:val="24"/>
          <w:szCs w:val="24"/>
          <w:lang w:val="zh-TW" w:eastAsia="zh-TW"/>
        </w:rPr>
        <w:t>本标准符合国家现行法律、法规、规章和强制性国家标准的要求。按</w:t>
      </w:r>
      <w:r>
        <w:rPr>
          <w:rFonts w:ascii="宋体" w:eastAsia="宋体" w:hAnsi="宋体" w:cs="宋体" w:hint="default"/>
          <w:color w:val="auto"/>
          <w:sz w:val="24"/>
          <w:szCs w:val="24"/>
          <w:lang w:val="zh-TW" w:eastAsia="zh-TW"/>
        </w:rPr>
        <w:t>GB/T</w:t>
      </w:r>
      <w:r>
        <w:rPr>
          <w:rFonts w:ascii="宋体" w:eastAsia="PMingLiU" w:hAnsi="宋体" w:cs="宋体" w:hint="default"/>
          <w:color w:val="auto"/>
          <w:sz w:val="24"/>
          <w:szCs w:val="24"/>
          <w:lang w:val="zh-TW" w:eastAsia="zh-TW"/>
        </w:rPr>
        <w:t xml:space="preserve"> </w:t>
      </w:r>
      <w:r>
        <w:rPr>
          <w:rFonts w:ascii="宋体" w:eastAsia="宋体" w:hAnsi="宋体" w:cs="宋体" w:hint="default"/>
          <w:color w:val="auto"/>
          <w:sz w:val="24"/>
          <w:szCs w:val="24"/>
          <w:lang w:val="zh-TW" w:eastAsia="zh-TW"/>
        </w:rPr>
        <w:t>1.1-20</w:t>
      </w:r>
      <w:r>
        <w:rPr>
          <w:rFonts w:ascii="宋体" w:eastAsia="PMingLiU" w:hAnsi="宋体" w:cs="宋体" w:hint="default"/>
          <w:color w:val="auto"/>
          <w:sz w:val="24"/>
          <w:szCs w:val="24"/>
          <w:lang w:val="zh-TW" w:eastAsia="zh-TW"/>
        </w:rPr>
        <w:t>20</w:t>
      </w:r>
      <w:r>
        <w:rPr>
          <w:rFonts w:ascii="宋体" w:eastAsia="宋体" w:hAnsi="宋体" w:cs="宋体" w:hint="default"/>
          <w:color w:val="auto"/>
          <w:sz w:val="24"/>
          <w:szCs w:val="24"/>
          <w:lang w:val="zh-TW" w:eastAsia="zh-TW"/>
        </w:rPr>
        <w:t>规定进行编写，与其它相关标准没有矛盾和抵触。</w:t>
      </w:r>
    </w:p>
    <w:p w14:paraId="7AE79861" w14:textId="77777777" w:rsidR="00573D11" w:rsidRDefault="00000000">
      <w:pPr>
        <w:framePr w:wrap="auto" w:yAlign="inline"/>
        <w:spacing w:line="360" w:lineRule="auto"/>
        <w:ind w:firstLine="482"/>
        <w:rPr>
          <w:rFonts w:ascii="宋体" w:eastAsia="宋体" w:hAnsi="宋体" w:cs="宋体"/>
          <w:b/>
          <w:bCs/>
          <w:kern w:val="0"/>
          <w:sz w:val="24"/>
          <w:szCs w:val="24"/>
          <w:lang w:val="zh-TW" w:eastAsia="zh-TW"/>
        </w:rPr>
      </w:pPr>
      <w:r>
        <w:rPr>
          <w:rFonts w:ascii="宋体" w:eastAsia="宋体" w:hAnsi="宋体" w:cs="宋体"/>
          <w:b/>
          <w:bCs/>
          <w:kern w:val="0"/>
          <w:sz w:val="24"/>
          <w:szCs w:val="24"/>
          <w:lang w:val="zh-TW" w:eastAsia="zh-TW"/>
        </w:rPr>
        <w:t>七、贯彻标准的要求和措施建议</w:t>
      </w:r>
    </w:p>
    <w:p w14:paraId="21CDC4D1" w14:textId="77777777" w:rsidR="00573D11" w:rsidRDefault="00000000">
      <w:pPr>
        <w:framePr w:wrap="auto" w:yAlign="inline"/>
        <w:spacing w:line="360" w:lineRule="auto"/>
        <w:ind w:firstLine="482"/>
        <w:rPr>
          <w:rFonts w:ascii="宋体" w:eastAsia="Arial Unicode MS" w:hAnsi="宋体" w:cs="宋体"/>
          <w:color w:val="auto"/>
          <w:sz w:val="24"/>
          <w:szCs w:val="24"/>
          <w:lang w:val="zh-TW" w:eastAsia="zh-TW"/>
        </w:rPr>
      </w:pPr>
      <w:r>
        <w:rPr>
          <w:rFonts w:ascii="宋体" w:eastAsia="宋体" w:hAnsi="宋体" w:cs="宋体"/>
          <w:color w:val="auto"/>
          <w:sz w:val="24"/>
          <w:szCs w:val="24"/>
          <w:lang w:val="zh-TW"/>
        </w:rPr>
        <w:t>建议</w:t>
      </w:r>
      <w:r>
        <w:rPr>
          <w:rFonts w:ascii="宋体" w:eastAsia="宋体" w:hAnsi="宋体" w:cs="宋体" w:hint="cs"/>
          <w:color w:val="auto"/>
          <w:sz w:val="24"/>
          <w:szCs w:val="24"/>
          <w:lang w:val="zh-TW" w:eastAsia="zh-TW"/>
        </w:rPr>
        <w:t>主要起草单位应通过组织论坛、研讨会、培训班等多种形式，向旅游城市管理部门、景区运营方、相关科研机构及旅游企业等广泛宣传《节假日城市旅游客流风险识别与预警技术规范》的重要性和实用性。通过标准解读和案例分享，提高行业从业人员对标准的理解和应用能力，形成共识，推动标准的广泛实施。</w:t>
      </w:r>
    </w:p>
    <w:p w14:paraId="6E0437E7" w14:textId="77777777" w:rsidR="00573D11" w:rsidRDefault="00000000">
      <w:pPr>
        <w:framePr w:wrap="auto" w:yAlign="inline"/>
        <w:spacing w:line="360" w:lineRule="auto"/>
        <w:ind w:firstLine="482"/>
        <w:rPr>
          <w:rFonts w:ascii="宋体" w:eastAsia="宋体" w:hAnsi="宋体" w:cs="宋体"/>
          <w:color w:val="auto"/>
          <w:sz w:val="24"/>
          <w:szCs w:val="24"/>
          <w:lang w:val="zh-TW" w:eastAsia="zh-TW"/>
        </w:rPr>
      </w:pPr>
      <w:r>
        <w:rPr>
          <w:rFonts w:ascii="宋体" w:eastAsia="宋体" w:hAnsi="宋体" w:cs="宋体" w:hint="cs"/>
          <w:color w:val="auto"/>
          <w:sz w:val="24"/>
          <w:szCs w:val="24"/>
          <w:lang w:val="zh-TW" w:eastAsia="zh-TW"/>
        </w:rPr>
        <w:t>在标准实施过程中，各相关单位应严格按照标准要求，建立健全节假日旅游城市客流监测与预警体系，确保标准的有效执行。同时，应积极收集标准应用过程中出现的问题和好的改进建议，及时反馈给标准起草工作组。</w:t>
      </w:r>
    </w:p>
    <w:p w14:paraId="32E178AD" w14:textId="77777777" w:rsidR="00573D11" w:rsidRDefault="00000000">
      <w:pPr>
        <w:framePr w:wrap="auto" w:yAlign="inline"/>
        <w:spacing w:line="360" w:lineRule="auto"/>
        <w:ind w:firstLine="482"/>
        <w:rPr>
          <w:rFonts w:ascii="宋体" w:eastAsia="Arial Unicode MS" w:hAnsi="宋体" w:cs="宋体"/>
          <w:color w:val="auto"/>
          <w:sz w:val="24"/>
          <w:szCs w:val="24"/>
          <w:lang w:val="zh-TW" w:eastAsia="zh-TW"/>
        </w:rPr>
      </w:pPr>
      <w:r>
        <w:rPr>
          <w:rFonts w:ascii="宋体" w:eastAsia="宋体" w:hAnsi="宋体" w:cs="宋体" w:hint="cs"/>
          <w:color w:val="auto"/>
          <w:sz w:val="24"/>
          <w:szCs w:val="24"/>
          <w:lang w:val="zh-TW" w:eastAsia="zh-TW"/>
        </w:rPr>
        <w:t>标准起草工作组应根据反馈的问题和改进建议，定期对</w:t>
      </w:r>
      <w:r>
        <w:rPr>
          <w:rFonts w:ascii="宋体" w:eastAsia="宋体" w:hAnsi="宋体" w:cs="宋体"/>
          <w:color w:val="auto"/>
          <w:sz w:val="24"/>
          <w:szCs w:val="24"/>
          <w:lang w:val="zh-TW"/>
        </w:rPr>
        <w:t>标准</w:t>
      </w:r>
      <w:r>
        <w:rPr>
          <w:rFonts w:ascii="宋体" w:eastAsia="宋体" w:hAnsi="宋体" w:cs="宋体" w:hint="cs"/>
          <w:color w:val="auto"/>
          <w:sz w:val="24"/>
          <w:szCs w:val="24"/>
          <w:lang w:val="zh-TW" w:eastAsia="zh-TW"/>
        </w:rPr>
        <w:t>进行修订和完善，以适应旅游业发展的新趋势和新要求。通过持续改进，确保标准的科学性、先进性和实用性，为我国节假日旅游城市客流管</w:t>
      </w:r>
      <w:r>
        <w:rPr>
          <w:rFonts w:ascii="宋体" w:eastAsia="宋体" w:hAnsi="宋体" w:cs="宋体"/>
          <w:color w:val="auto"/>
          <w:sz w:val="24"/>
          <w:szCs w:val="24"/>
          <w:lang w:val="zh-TW"/>
        </w:rPr>
        <w:t>控</w:t>
      </w:r>
      <w:r>
        <w:rPr>
          <w:rFonts w:ascii="宋体" w:eastAsia="宋体" w:hAnsi="宋体" w:cs="宋体" w:hint="cs"/>
          <w:color w:val="auto"/>
          <w:sz w:val="24"/>
          <w:szCs w:val="24"/>
          <w:lang w:val="zh-TW" w:eastAsia="zh-TW"/>
        </w:rPr>
        <w:t>提供有力支撑。</w:t>
      </w:r>
    </w:p>
    <w:p w14:paraId="0EDF6416" w14:textId="77777777" w:rsidR="00573D11" w:rsidRDefault="00000000">
      <w:pPr>
        <w:framePr w:wrap="auto" w:yAlign="inline"/>
        <w:spacing w:line="360" w:lineRule="auto"/>
        <w:ind w:firstLine="482"/>
        <w:rPr>
          <w:rFonts w:ascii="宋体" w:eastAsia="Arial Unicode MS" w:hAnsi="宋体" w:cs="宋体"/>
          <w:b/>
          <w:bCs/>
          <w:kern w:val="0"/>
          <w:sz w:val="24"/>
          <w:szCs w:val="24"/>
          <w:lang w:val="zh-TW" w:eastAsia="zh-TW"/>
        </w:rPr>
      </w:pPr>
      <w:r>
        <w:rPr>
          <w:rFonts w:ascii="宋体" w:eastAsia="宋体" w:hAnsi="宋体" w:cs="宋体"/>
          <w:b/>
          <w:bCs/>
          <w:kern w:val="0"/>
          <w:sz w:val="24"/>
          <w:szCs w:val="24"/>
          <w:lang w:val="zh-TW" w:eastAsia="zh-TW"/>
        </w:rPr>
        <w:t>八、标准实施的预期效果</w:t>
      </w:r>
    </w:p>
    <w:p w14:paraId="2B0F4E4D" w14:textId="77777777" w:rsidR="00573D11" w:rsidRDefault="00000000">
      <w:pPr>
        <w:framePr w:wrap="auto" w:yAlign="inline"/>
        <w:spacing w:line="360" w:lineRule="auto"/>
        <w:ind w:firstLine="480"/>
        <w:rPr>
          <w:rFonts w:ascii="宋体" w:eastAsia="Arial Unicode MS" w:hAnsi="宋体" w:cs="宋体"/>
          <w:color w:val="auto"/>
          <w:sz w:val="24"/>
          <w:szCs w:val="24"/>
          <w:lang w:val="zh-TW" w:eastAsia="zh-TW"/>
        </w:rPr>
      </w:pPr>
      <w:r>
        <w:rPr>
          <w:rFonts w:ascii="宋体" w:eastAsia="宋体" w:hAnsi="宋体" w:cs="宋体"/>
          <w:color w:val="auto"/>
          <w:sz w:val="24"/>
          <w:szCs w:val="24"/>
          <w:lang w:val="zh-TW"/>
        </w:rPr>
        <w:t>标准的实施</w:t>
      </w:r>
      <w:r>
        <w:rPr>
          <w:rFonts w:ascii="宋体" w:eastAsia="宋体" w:hAnsi="宋体" w:cs="宋体" w:hint="cs"/>
          <w:color w:val="auto"/>
          <w:sz w:val="24"/>
          <w:szCs w:val="24"/>
          <w:lang w:val="zh-TW" w:eastAsia="zh-TW"/>
        </w:rPr>
        <w:t>将有效规范和提升节假日期间城市旅游客流风险的管理水平。该标准通过明确风险识别与预警的流程和方法，将促进旅游管理部门和相关机构更加科学、系统地应对旅游客流剧增带来的各类风险。显著提升旅游安全管理能力，降低旅游安全事故发生率</w:t>
      </w:r>
      <w:r>
        <w:rPr>
          <w:rFonts w:ascii="宋体" w:eastAsia="宋体" w:hAnsi="宋体" w:cs="宋体"/>
          <w:color w:val="auto"/>
          <w:sz w:val="24"/>
          <w:szCs w:val="24"/>
          <w:lang w:val="zh-TW"/>
        </w:rPr>
        <w:t>；</w:t>
      </w:r>
      <w:r>
        <w:rPr>
          <w:rFonts w:ascii="宋体" w:eastAsia="宋体" w:hAnsi="宋体" w:cs="宋体" w:hint="cs"/>
          <w:color w:val="auto"/>
          <w:sz w:val="24"/>
          <w:szCs w:val="24"/>
          <w:lang w:val="zh-TW" w:eastAsia="zh-TW"/>
        </w:rPr>
        <w:t>优化旅游客流调控措施，提升游客满意度和旅游体验</w:t>
      </w:r>
      <w:r>
        <w:rPr>
          <w:rFonts w:ascii="宋体" w:eastAsia="宋体" w:hAnsi="宋体" w:cs="宋体"/>
          <w:color w:val="auto"/>
          <w:sz w:val="24"/>
          <w:szCs w:val="24"/>
          <w:lang w:val="zh-TW"/>
        </w:rPr>
        <w:t>；</w:t>
      </w:r>
      <w:r>
        <w:rPr>
          <w:rFonts w:ascii="宋体" w:eastAsia="宋体" w:hAnsi="宋体" w:cs="宋体" w:hint="cs"/>
          <w:color w:val="auto"/>
          <w:sz w:val="24"/>
          <w:szCs w:val="24"/>
          <w:lang w:val="zh-TW" w:eastAsia="zh-TW"/>
        </w:rPr>
        <w:t>促进旅游风险管理标准化，推动旅游业的持续健康发展；同时，增强公众对旅游安全的信心，提升旅游目的地的整体形象和吸引力。此外，该标准的实施还将推动旅游管理部门和相关机构不断完善风险管理机制，提升应对突发事件的能力，为旅游业的稳定发展提供坚实保障。</w:t>
      </w:r>
    </w:p>
    <w:p w14:paraId="053B9D31" w14:textId="77777777" w:rsidR="00573D11" w:rsidRDefault="00573D11">
      <w:pPr>
        <w:framePr w:wrap="auto" w:yAlign="inline"/>
        <w:spacing w:line="360" w:lineRule="auto"/>
        <w:ind w:firstLine="482"/>
        <w:rPr>
          <w:rFonts w:ascii="宋体" w:eastAsia="Arial Unicode MS" w:hAnsi="宋体" w:cs="宋体"/>
          <w:b/>
          <w:bCs/>
          <w:kern w:val="0"/>
          <w:sz w:val="24"/>
          <w:szCs w:val="24"/>
          <w:lang w:val="zh-TW" w:eastAsia="zh-TW"/>
        </w:rPr>
      </w:pPr>
    </w:p>
    <w:sectPr w:rsidR="00573D11">
      <w:headerReference w:type="default" r:id="rId8"/>
      <w:footerReference w:type="default" r:id="rId9"/>
      <w:pgSz w:w="11900" w:h="16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66966" w14:textId="77777777" w:rsidR="0065423F" w:rsidRDefault="0065423F">
      <w:pPr>
        <w:framePr w:wrap="around"/>
        <w:rPr>
          <w:rFonts w:hint="default"/>
        </w:rPr>
      </w:pPr>
      <w:r>
        <w:separator/>
      </w:r>
    </w:p>
  </w:endnote>
  <w:endnote w:type="continuationSeparator" w:id="0">
    <w:p w14:paraId="630B78EA" w14:textId="77777777" w:rsidR="0065423F" w:rsidRDefault="0065423F">
      <w:pPr>
        <w:framePr w:wrap="around"/>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Arial"/>
    <w:charset w:val="00"/>
    <w:family w:val="auto"/>
    <w:pitch w:val="default"/>
    <w:sig w:usb0="00000000" w:usb1="00000000"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444DC" w14:textId="77777777" w:rsidR="00573D11" w:rsidRDefault="00573D11">
    <w:pPr>
      <w:pStyle w:val="a6"/>
      <w:framePr w:wrap="auto" w:yAlign="inline"/>
      <w:tabs>
        <w:tab w:val="clear" w:pos="8306"/>
        <w:tab w:val="right" w:pos="8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01A1E" w14:textId="77777777" w:rsidR="0065423F" w:rsidRDefault="0065423F">
      <w:pPr>
        <w:framePr w:wrap="around"/>
        <w:rPr>
          <w:rFonts w:hint="default"/>
        </w:rPr>
      </w:pPr>
      <w:r>
        <w:separator/>
      </w:r>
    </w:p>
  </w:footnote>
  <w:footnote w:type="continuationSeparator" w:id="0">
    <w:p w14:paraId="669FF949" w14:textId="77777777" w:rsidR="0065423F" w:rsidRDefault="0065423F">
      <w:pPr>
        <w:framePr w:wrap="around"/>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700AD" w14:textId="77777777" w:rsidR="00573D11" w:rsidRDefault="00000000">
    <w:pPr>
      <w:pStyle w:val="ac"/>
      <w:framePr w:wrap="auto" w:yAlign="inline"/>
    </w:pPr>
    <w:r>
      <w:rPr>
        <w:noProof/>
      </w:rPr>
      <mc:AlternateContent>
        <mc:Choice Requires="wps">
          <w:drawing>
            <wp:anchor distT="152400" distB="152400" distL="152400" distR="152400" simplePos="0" relativeHeight="251659264" behindDoc="1" locked="0" layoutInCell="1" allowOverlap="1" wp14:anchorId="79560A1D" wp14:editId="74CEE0F6">
              <wp:simplePos x="0" y="0"/>
              <wp:positionH relativeFrom="page">
                <wp:posOffset>3750945</wp:posOffset>
              </wp:positionH>
              <wp:positionV relativeFrom="page">
                <wp:posOffset>9833610</wp:posOffset>
              </wp:positionV>
              <wp:extent cx="57785" cy="131445"/>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3F9922E5" w14:textId="77777777" w:rsidR="00573D11" w:rsidRDefault="00000000">
                          <w:pPr>
                            <w:pStyle w:val="a6"/>
                          </w:pPr>
                          <w:r>
                            <w:fldChar w:fldCharType="begin"/>
                          </w:r>
                          <w:r>
                            <w:instrText xml:space="preserve"> PAGE </w:instrText>
                          </w:r>
                          <w:r>
                            <w:fldChar w:fldCharType="separate"/>
                          </w:r>
                          <w:r>
                            <w:t>4</w:t>
                          </w:r>
                          <w:r>
                            <w:fldChar w:fldCharType="end"/>
                          </w:r>
                        </w:p>
                      </w:txbxContent>
                    </wps:txbx>
                    <wps:bodyPr wrap="square" lIns="0" tIns="0" rIns="0" bIns="0" numCol="1" anchor="t">
                      <a:noAutofit/>
                    </wps:bodyPr>
                  </wps:wsp>
                </a:graphicData>
              </a:graphic>
            </wp:anchor>
          </w:drawing>
        </mc:Choice>
        <mc:Fallback xmlns:wpsCustomData="http://www.wps.cn/officeDocument/2013/wpsCustomData">
          <w:pict>
            <v:shape id="officeArt object" o:spid="_x0000_s1026" o:spt="202" alt="文本框 1" type="#_x0000_t202" style="position:absolute;left:0pt;margin-left:295.35pt;margin-top:774.3pt;height:10.35pt;width:4.55pt;mso-position-horizontal-relative:page;mso-position-vertical-relative:page;z-index:-251657216;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D3xA4gCgIAAP4DAAAOAAAAZHJzL2Uyb0RvYy54bWyt&#10;U82O0zAQviPxDpbvNEm3pVXVdLVQLUJCgLTwAK5jN0a2x9huk74AvAEnLnvnufocjPPTXS2XPZBD&#10;Mh6Pv5nv85f1dWs0OQofFNiSFpOcEmE5VMruS/r1y+2rJSUhMlsxDVaU9CQCvd68fLFu3EpMoQZd&#10;CU8QxIZV40pax+hWWRZ4LQwLE3DC4qYEb1jEpd9nlWcNohudTfP8ddaAr5wHLkLA7LbfpAOifw4g&#10;SKm42AI/GGFjj+qFZhEphVq5QDfdtFIKHj9JGUQkuqTINHZvbILxLr2zzZqt9p65WvFhBPacEZ5w&#10;MkxZbHqB2rLIyMGrf6CM4h4CyDjhYLKeSKcIsijyJ9rc1cyJjgtKHdxF9PD/YPnH42dPVIVOyBdX&#10;i1mxnM4psczgzffT3fhIYPcNlaSkEoGjeOdfP8+//5zvf5AiCdi4sEKcO4dIsX0DLYKN+YDJpEsr&#10;vUlfxCS4j/KfLvKLNhKOyfliscTmHHeKq2I2myeQ7OGs8yG+E2BICkrq00gJkx0/hNiXjiUpbeFW&#10;ad1dsLakQdDpIsfGnKFrJbqlO/yoyqiIztbKlHSWp2for22CE52bhk6Jck8tRbHdtYMOO6hOKEOD&#10;jipp+H5gXlCi31u8smS/MfBjsBsDezBvAU1aUMIsrwFlHge8OUSQqmOYuvUtUJm0QFt0Gg0WTr57&#10;vO6qHn7b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U1QY2gAAAA0BAAAPAAAAAAAAAAEAIAAA&#10;ACIAAABkcnMvZG93bnJldi54bWxQSwECFAAUAAAACACHTuJA98QOIAoCAAD+AwAADgAAAAAAAAAB&#10;ACAAAAApAQAAZHJzL2Uyb0RvYy54bWxQSwUGAAAAAAYABgBZAQAApQUAAAAA&#10;">
              <v:fill on="f" focussize="0,0"/>
              <v:stroke on="f" weight="1pt" miterlimit="4" joinstyle="miter"/>
              <v:imagedata o:title=""/>
              <o:lock v:ext="edit" aspectratio="f"/>
              <v:textbox inset="0mm,0mm,0mm,0mm">
                <w:txbxContent>
                  <w:p w14:paraId="75E76908">
                    <w:pPr>
                      <w:pStyle w:val="3"/>
                    </w:pPr>
                    <w:r>
                      <w:fldChar w:fldCharType="begin"/>
                    </w:r>
                    <w:r>
                      <w:instrText xml:space="preserve"> PAGE </w:instrText>
                    </w:r>
                    <w:r>
                      <w:fldChar w:fldCharType="separate"/>
                    </w:r>
                    <w:r>
                      <w:t>4</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5" w:firstLine="0"/>
      </w:pPr>
      <w:rPr>
        <w:rFonts w:ascii="黑体" w:eastAsia="黑体" w:hAnsi="Times New Roman" w:cs="Times New Roman" w:hint="eastAsia"/>
        <w:b w:val="0"/>
        <w:bCs w:val="0"/>
        <w:i w:val="0"/>
        <w:iCs w:val="0"/>
        <w:caps w:val="0"/>
        <w:strike w:val="0"/>
        <w:dstrike w:val="0"/>
        <w:vanish w:val="0"/>
        <w:color w:val="800000"/>
        <w:spacing w:val="0"/>
        <w:kern w:val="0"/>
        <w:position w:val="0"/>
        <w:sz w:val="21"/>
        <w:szCs w:val="21"/>
        <w:u w:val="none"/>
        <w:vertAlign w:val="baseline"/>
      </w:rPr>
    </w:lvl>
    <w:lvl w:ilvl="2">
      <w:start w:val="1"/>
      <w:numFmt w:val="decimal"/>
      <w:suff w:val="nothing"/>
      <w:lvlText w:val="%1.%2.%3　"/>
      <w:lvlJc w:val="left"/>
      <w:pPr>
        <w:ind w:left="22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37C542B2"/>
    <w:multiLevelType w:val="multilevel"/>
    <w:tmpl w:val="37C542B2"/>
    <w:lvl w:ilvl="0">
      <w:start w:val="1"/>
      <w:numFmt w:val="japaneseCounting"/>
      <w:lvlText w:val="%1、"/>
      <w:lvlJc w:val="left"/>
      <w:pPr>
        <w:ind w:left="992" w:hanging="510"/>
      </w:pPr>
      <w:rPr>
        <w:rFonts w:eastAsia="宋体"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1334911709">
    <w:abstractNumId w:val="0"/>
  </w:num>
  <w:num w:numId="2" w16cid:durableId="62812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bordersDoNotSurroundHeader/>
  <w:bordersDoNotSurroundFooter/>
  <w:defaultTabStop w:val="420"/>
  <w:characterSpacingControl w:val="compressPunctuation"/>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1NjgwNTk5OTQ0NTU1NmVhYzRmNTI1NjRmYzFjNTIifQ=="/>
  </w:docVars>
  <w:rsids>
    <w:rsidRoot w:val="001C1971"/>
    <w:rsid w:val="00001B5B"/>
    <w:rsid w:val="00010B53"/>
    <w:rsid w:val="000117FA"/>
    <w:rsid w:val="00023AB0"/>
    <w:rsid w:val="00050AEC"/>
    <w:rsid w:val="00065802"/>
    <w:rsid w:val="00082FF1"/>
    <w:rsid w:val="000905AB"/>
    <w:rsid w:val="00094129"/>
    <w:rsid w:val="000C006E"/>
    <w:rsid w:val="000F34CE"/>
    <w:rsid w:val="000F45D3"/>
    <w:rsid w:val="000F4D43"/>
    <w:rsid w:val="000F71FA"/>
    <w:rsid w:val="00102875"/>
    <w:rsid w:val="00136DC2"/>
    <w:rsid w:val="001445DA"/>
    <w:rsid w:val="001C1971"/>
    <w:rsid w:val="00215DD7"/>
    <w:rsid w:val="00226735"/>
    <w:rsid w:val="002512F2"/>
    <w:rsid w:val="00264B72"/>
    <w:rsid w:val="002663D9"/>
    <w:rsid w:val="002665EC"/>
    <w:rsid w:val="0028709D"/>
    <w:rsid w:val="002949DD"/>
    <w:rsid w:val="00295751"/>
    <w:rsid w:val="002C15CF"/>
    <w:rsid w:val="002D4343"/>
    <w:rsid w:val="002F0B8B"/>
    <w:rsid w:val="002F3AA6"/>
    <w:rsid w:val="002F3F3E"/>
    <w:rsid w:val="002F6709"/>
    <w:rsid w:val="0030564F"/>
    <w:rsid w:val="0031319C"/>
    <w:rsid w:val="003737B4"/>
    <w:rsid w:val="00377697"/>
    <w:rsid w:val="00385D80"/>
    <w:rsid w:val="00391E44"/>
    <w:rsid w:val="00392AF6"/>
    <w:rsid w:val="0039677A"/>
    <w:rsid w:val="003B30F9"/>
    <w:rsid w:val="003D652D"/>
    <w:rsid w:val="004005B0"/>
    <w:rsid w:val="004124EA"/>
    <w:rsid w:val="004178EB"/>
    <w:rsid w:val="004240F0"/>
    <w:rsid w:val="00433554"/>
    <w:rsid w:val="00435909"/>
    <w:rsid w:val="00451318"/>
    <w:rsid w:val="004521B4"/>
    <w:rsid w:val="00453F8D"/>
    <w:rsid w:val="00454885"/>
    <w:rsid w:val="004A5A03"/>
    <w:rsid w:val="004B46F1"/>
    <w:rsid w:val="004D05EE"/>
    <w:rsid w:val="004D285A"/>
    <w:rsid w:val="004D69E2"/>
    <w:rsid w:val="00504297"/>
    <w:rsid w:val="00525B9B"/>
    <w:rsid w:val="00540A22"/>
    <w:rsid w:val="00546C9F"/>
    <w:rsid w:val="00550AA3"/>
    <w:rsid w:val="00555768"/>
    <w:rsid w:val="00573D11"/>
    <w:rsid w:val="0059365C"/>
    <w:rsid w:val="00596DEE"/>
    <w:rsid w:val="005A1418"/>
    <w:rsid w:val="005A6EF5"/>
    <w:rsid w:val="005D27A7"/>
    <w:rsid w:val="005D5F2A"/>
    <w:rsid w:val="00601BF5"/>
    <w:rsid w:val="00617F5B"/>
    <w:rsid w:val="00647AAD"/>
    <w:rsid w:val="0065423F"/>
    <w:rsid w:val="00654A01"/>
    <w:rsid w:val="00654B15"/>
    <w:rsid w:val="00686F8A"/>
    <w:rsid w:val="00690041"/>
    <w:rsid w:val="00695C8A"/>
    <w:rsid w:val="006A4054"/>
    <w:rsid w:val="006A5904"/>
    <w:rsid w:val="006A7B9F"/>
    <w:rsid w:val="006C7DCF"/>
    <w:rsid w:val="006D28E6"/>
    <w:rsid w:val="006E4EB5"/>
    <w:rsid w:val="00713B38"/>
    <w:rsid w:val="00716D2A"/>
    <w:rsid w:val="00720891"/>
    <w:rsid w:val="00753EC9"/>
    <w:rsid w:val="007A2BC0"/>
    <w:rsid w:val="007A6EC1"/>
    <w:rsid w:val="007B09D2"/>
    <w:rsid w:val="007C78B9"/>
    <w:rsid w:val="007D7840"/>
    <w:rsid w:val="007F2E1F"/>
    <w:rsid w:val="007F7367"/>
    <w:rsid w:val="00800312"/>
    <w:rsid w:val="0080347E"/>
    <w:rsid w:val="00852083"/>
    <w:rsid w:val="00872310"/>
    <w:rsid w:val="00873104"/>
    <w:rsid w:val="008843C7"/>
    <w:rsid w:val="008850BF"/>
    <w:rsid w:val="008A1E38"/>
    <w:rsid w:val="008E73B2"/>
    <w:rsid w:val="00903D18"/>
    <w:rsid w:val="009078BB"/>
    <w:rsid w:val="0092426D"/>
    <w:rsid w:val="0092709E"/>
    <w:rsid w:val="00951C47"/>
    <w:rsid w:val="009618BF"/>
    <w:rsid w:val="0096218D"/>
    <w:rsid w:val="00964B16"/>
    <w:rsid w:val="009936AB"/>
    <w:rsid w:val="00996E92"/>
    <w:rsid w:val="009A07B6"/>
    <w:rsid w:val="009A2906"/>
    <w:rsid w:val="009A441F"/>
    <w:rsid w:val="009B4725"/>
    <w:rsid w:val="009C08DA"/>
    <w:rsid w:val="009C333D"/>
    <w:rsid w:val="009C543D"/>
    <w:rsid w:val="009F00BE"/>
    <w:rsid w:val="009F19C0"/>
    <w:rsid w:val="00A14861"/>
    <w:rsid w:val="00A329F7"/>
    <w:rsid w:val="00A369F1"/>
    <w:rsid w:val="00A5039D"/>
    <w:rsid w:val="00A527EA"/>
    <w:rsid w:val="00A61EAA"/>
    <w:rsid w:val="00A7221A"/>
    <w:rsid w:val="00A72D65"/>
    <w:rsid w:val="00A75259"/>
    <w:rsid w:val="00A76DB0"/>
    <w:rsid w:val="00AA10C0"/>
    <w:rsid w:val="00AE5E92"/>
    <w:rsid w:val="00AF5B22"/>
    <w:rsid w:val="00B0520A"/>
    <w:rsid w:val="00B154D0"/>
    <w:rsid w:val="00B1775C"/>
    <w:rsid w:val="00B17C1E"/>
    <w:rsid w:val="00B33BF1"/>
    <w:rsid w:val="00B3497B"/>
    <w:rsid w:val="00B45AE7"/>
    <w:rsid w:val="00B45F20"/>
    <w:rsid w:val="00B5017B"/>
    <w:rsid w:val="00B516C6"/>
    <w:rsid w:val="00B809D9"/>
    <w:rsid w:val="00B821C3"/>
    <w:rsid w:val="00B93182"/>
    <w:rsid w:val="00BA5F93"/>
    <w:rsid w:val="00BE1F7B"/>
    <w:rsid w:val="00BE4100"/>
    <w:rsid w:val="00BE44F1"/>
    <w:rsid w:val="00C01246"/>
    <w:rsid w:val="00C223EE"/>
    <w:rsid w:val="00C37A21"/>
    <w:rsid w:val="00C50B12"/>
    <w:rsid w:val="00C731C6"/>
    <w:rsid w:val="00C870A4"/>
    <w:rsid w:val="00C923B3"/>
    <w:rsid w:val="00CC57BB"/>
    <w:rsid w:val="00CC7D25"/>
    <w:rsid w:val="00CD3464"/>
    <w:rsid w:val="00CE046D"/>
    <w:rsid w:val="00CE3C85"/>
    <w:rsid w:val="00CE51C9"/>
    <w:rsid w:val="00CE5FCF"/>
    <w:rsid w:val="00CE6A58"/>
    <w:rsid w:val="00D20D5B"/>
    <w:rsid w:val="00D418D7"/>
    <w:rsid w:val="00D42091"/>
    <w:rsid w:val="00D8662C"/>
    <w:rsid w:val="00D8744D"/>
    <w:rsid w:val="00D92B72"/>
    <w:rsid w:val="00D92D8A"/>
    <w:rsid w:val="00DA1793"/>
    <w:rsid w:val="00DB3344"/>
    <w:rsid w:val="00DC0655"/>
    <w:rsid w:val="00DD1545"/>
    <w:rsid w:val="00DF045C"/>
    <w:rsid w:val="00DF5A59"/>
    <w:rsid w:val="00E045F4"/>
    <w:rsid w:val="00E20101"/>
    <w:rsid w:val="00E21072"/>
    <w:rsid w:val="00E223F5"/>
    <w:rsid w:val="00E42EA4"/>
    <w:rsid w:val="00E476F5"/>
    <w:rsid w:val="00E66352"/>
    <w:rsid w:val="00E86919"/>
    <w:rsid w:val="00E95A59"/>
    <w:rsid w:val="00EA0E6F"/>
    <w:rsid w:val="00EB7D2E"/>
    <w:rsid w:val="00ED4542"/>
    <w:rsid w:val="00ED6663"/>
    <w:rsid w:val="00EE0D56"/>
    <w:rsid w:val="00EE2BFC"/>
    <w:rsid w:val="00EE4186"/>
    <w:rsid w:val="00EF578C"/>
    <w:rsid w:val="00EF79F7"/>
    <w:rsid w:val="00F17D51"/>
    <w:rsid w:val="00F379DE"/>
    <w:rsid w:val="00F4411B"/>
    <w:rsid w:val="00F50968"/>
    <w:rsid w:val="00F609D4"/>
    <w:rsid w:val="00F60ACD"/>
    <w:rsid w:val="00F770A2"/>
    <w:rsid w:val="00F777F9"/>
    <w:rsid w:val="00F91175"/>
    <w:rsid w:val="00F92653"/>
    <w:rsid w:val="00FB455B"/>
    <w:rsid w:val="00FF4CDC"/>
    <w:rsid w:val="062D0592"/>
    <w:rsid w:val="06907B34"/>
    <w:rsid w:val="0C6B2020"/>
    <w:rsid w:val="0CEF76F2"/>
    <w:rsid w:val="1E8D27EC"/>
    <w:rsid w:val="24AC5E86"/>
    <w:rsid w:val="25215D4A"/>
    <w:rsid w:val="2DD66AA1"/>
    <w:rsid w:val="3D9910E3"/>
    <w:rsid w:val="48580610"/>
    <w:rsid w:val="488A4EC3"/>
    <w:rsid w:val="4C5F21E2"/>
    <w:rsid w:val="536C2A87"/>
    <w:rsid w:val="556E3DBC"/>
    <w:rsid w:val="61A31A33"/>
    <w:rsid w:val="791974F6"/>
    <w:rsid w:val="7DDB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BE17A"/>
  <w15:docId w15:val="{BDD99E07-F0D0-4CA3-9A46-A520C790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pPr>
      <w:framePr w:wrap="around"/>
    </w:pPr>
    <w:rPr>
      <w:sz w:val="18"/>
      <w:szCs w:val="18"/>
    </w:rPr>
  </w:style>
  <w:style w:type="paragraph" w:styleId="a6">
    <w:name w:val="footer"/>
    <w:qFormat/>
    <w:pPr>
      <w:framePr w:wrap="around" w:hAnchor="text" w:y="1"/>
      <w:widowControl w:val="0"/>
      <w:tabs>
        <w:tab w:val="center" w:pos="4153"/>
        <w:tab w:val="right" w:pos="8306"/>
      </w:tabs>
    </w:pPr>
    <w:rPr>
      <w:rFonts w:ascii="Times New Roman" w:eastAsia="Arial Unicode MS" w:hAnsi="Times New Roman" w:cs="Arial Unicode MS"/>
      <w:color w:val="000000"/>
      <w:kern w:val="2"/>
      <w:sz w:val="18"/>
      <w:szCs w:val="18"/>
      <w:u w:color="000000"/>
    </w:rPr>
  </w:style>
  <w:style w:type="paragraph" w:styleId="a7">
    <w:name w:val="header"/>
    <w:basedOn w:val="a0"/>
    <w:link w:val="a8"/>
    <w:qFormat/>
    <w:pPr>
      <w:framePr w:wrap="around"/>
      <w:pBdr>
        <w:bottom w:val="single" w:sz="6" w:space="1" w:color="auto"/>
      </w:pBdr>
      <w:tabs>
        <w:tab w:val="center" w:pos="4153"/>
        <w:tab w:val="right" w:pos="8306"/>
      </w:tabs>
      <w:snapToGrid w:val="0"/>
      <w:jc w:val="center"/>
    </w:pPr>
    <w:rPr>
      <w:sz w:val="18"/>
      <w:szCs w:val="18"/>
    </w:rPr>
  </w:style>
  <w:style w:type="paragraph" w:styleId="a9">
    <w:name w:val="Normal (Web)"/>
    <w:basedOn w:val="a0"/>
    <w:qFormat/>
    <w:pPr>
      <w:framePr w:wrap="around"/>
    </w:pPr>
    <w:rPr>
      <w:sz w:val="24"/>
    </w:rPr>
  </w:style>
  <w:style w:type="character" w:styleId="aa">
    <w:name w:val="Hyperlink"/>
    <w:qFormat/>
    <w:rPr>
      <w:u w:val="single"/>
    </w:rPr>
  </w:style>
  <w:style w:type="paragraph" w:customStyle="1" w:styleId="a">
    <w:name w:val="章标题"/>
    <w:next w:val="ab"/>
    <w:qFormat/>
    <w:pPr>
      <w:numPr>
        <w:numId w:val="1"/>
      </w:numPr>
      <w:spacing w:beforeLines="100" w:before="312" w:afterLines="100" w:after="312"/>
      <w:jc w:val="both"/>
      <w:outlineLvl w:val="1"/>
    </w:pPr>
    <w:rPr>
      <w:rFonts w:ascii="黑体" w:eastAsia="黑体" w:hAnsi="Times New Roman"/>
      <w:sz w:val="21"/>
    </w:rPr>
  </w:style>
  <w:style w:type="paragraph" w:customStyle="1" w:styleId="ab">
    <w:name w:val="段"/>
    <w:qFormat/>
    <w:pPr>
      <w:tabs>
        <w:tab w:val="center" w:pos="4201"/>
        <w:tab w:val="right" w:leader="dot" w:pos="9298"/>
      </w:tabs>
      <w:autoSpaceDE w:val="0"/>
      <w:autoSpaceDN w:val="0"/>
      <w:ind w:firstLineChars="200" w:firstLine="420"/>
      <w:jc w:val="both"/>
    </w:pPr>
    <w:rPr>
      <w:rFonts w:ascii="宋体" w:hAnsi="Times New Roman"/>
      <w:sz w:val="21"/>
    </w:rPr>
  </w:style>
  <w:style w:type="table" w:customStyle="1" w:styleId="TableNormal">
    <w:name w:val="Table Normal"/>
    <w:qFormat/>
    <w:tblPr>
      <w:tblCellMar>
        <w:top w:w="0" w:type="dxa"/>
        <w:left w:w="0" w:type="dxa"/>
        <w:bottom w:w="0" w:type="dxa"/>
        <w:right w:w="0" w:type="dxa"/>
      </w:tblCellMar>
    </w:tblPr>
  </w:style>
  <w:style w:type="paragraph" w:customStyle="1" w:styleId="ac">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character" w:customStyle="1" w:styleId="a8">
    <w:name w:val="页眉 字符"/>
    <w:basedOn w:val="a1"/>
    <w:link w:val="a7"/>
    <w:qFormat/>
    <w:rPr>
      <w:rFonts w:ascii="Arial Unicode MS" w:eastAsia="Times New Roman" w:hAnsi="Arial Unicode MS" w:cs="Arial Unicode MS"/>
      <w:color w:val="000000"/>
      <w:kern w:val="2"/>
      <w:sz w:val="18"/>
      <w:szCs w:val="18"/>
      <w:u w:color="000000"/>
    </w:rPr>
  </w:style>
  <w:style w:type="paragraph" w:customStyle="1" w:styleId="10">
    <w:name w:val="列表段落1"/>
    <w:basedOn w:val="a0"/>
    <w:uiPriority w:val="99"/>
    <w:qFormat/>
    <w:pPr>
      <w:framePr w:wrap="around"/>
      <w:ind w:firstLineChars="200" w:firstLine="420"/>
    </w:pPr>
  </w:style>
  <w:style w:type="character" w:customStyle="1" w:styleId="a5">
    <w:name w:val="批注框文本 字符"/>
    <w:basedOn w:val="a1"/>
    <w:link w:val="a4"/>
    <w:qFormat/>
    <w:rPr>
      <w:rFonts w:ascii="Arial Unicode MS" w:eastAsia="Times New Roman" w:hAnsi="Arial Unicode MS" w:cs="Arial Unicode MS"/>
      <w:color w:val="000000"/>
      <w:kern w:val="2"/>
      <w:sz w:val="18"/>
      <w:szCs w:val="18"/>
      <w:u w:color="000000"/>
    </w:rPr>
  </w:style>
  <w:style w:type="paragraph" w:customStyle="1" w:styleId="ad">
    <w:name w:val="段落"/>
    <w:qFormat/>
    <w:pPr>
      <w:autoSpaceDE w:val="0"/>
      <w:autoSpaceDN w:val="0"/>
      <w:ind w:firstLineChars="200" w:firstLine="420"/>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375</Words>
  <Characters>2142</Characters>
  <Application>Microsoft Office Word</Application>
  <DocSecurity>0</DocSecurity>
  <Lines>17</Lines>
  <Paragraphs>5</Paragraphs>
  <ScaleCrop>false</ScaleCrop>
  <Company>Hewlett-Packard Company</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Yuan HUANG</cp:lastModifiedBy>
  <cp:revision>3</cp:revision>
  <cp:lastPrinted>2019-06-17T03:57:00Z</cp:lastPrinted>
  <dcterms:created xsi:type="dcterms:W3CDTF">2024-10-21T10:02:00Z</dcterms:created>
  <dcterms:modified xsi:type="dcterms:W3CDTF">2024-10-21T10:02:00Z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5F202F41719B4144A897FAD062350445_12</vt:lpwstr>
  </property>
</Properties>
</file>