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9A6B3" w14:textId="77777777" w:rsidR="00BA0E1B" w:rsidRDefault="00000000">
      <w:pPr>
        <w:framePr w:wrap="auto" w:yAlign="inline"/>
        <w:spacing w:line="300" w:lineRule="auto"/>
        <w:jc w:val="center"/>
        <w:outlineLvl w:val="0"/>
        <w:rPr>
          <w:rFonts w:ascii="宋体" w:eastAsia="Arial Unicode MS" w:hAnsi="宋体" w:cs="宋体"/>
          <w:b/>
          <w:bCs/>
          <w:sz w:val="32"/>
          <w:szCs w:val="32"/>
          <w:lang w:val="zh-TW" w:eastAsia="zh-TW"/>
        </w:rPr>
      </w:pPr>
      <w:r>
        <w:rPr>
          <w:rFonts w:ascii="宋体" w:eastAsia="宋体" w:hAnsi="宋体" w:cs="宋体" w:hint="cs"/>
          <w:b/>
          <w:bCs/>
          <w:sz w:val="32"/>
          <w:szCs w:val="32"/>
          <w:lang w:val="zh-TW" w:eastAsia="zh-TW"/>
        </w:rPr>
        <w:t>《</w:t>
      </w:r>
      <w:bookmarkStart w:id="0" w:name="OLE_LINK3"/>
      <w:r>
        <w:rPr>
          <w:rFonts w:ascii="宋体" w:eastAsia="宋体" w:hAnsi="宋体" w:cs="宋体" w:hint="cs"/>
          <w:b/>
          <w:bCs/>
          <w:color w:val="auto"/>
          <w:sz w:val="32"/>
          <w:szCs w:val="32"/>
          <w:lang w:val="zh-TW" w:eastAsia="zh-TW"/>
        </w:rPr>
        <w:t>节假日城市旅游客流监测指标体系及技术规范</w:t>
      </w:r>
      <w:bookmarkEnd w:id="0"/>
      <w:r>
        <w:rPr>
          <w:rFonts w:ascii="宋体" w:eastAsia="宋体" w:hAnsi="宋体" w:cs="宋体" w:hint="cs"/>
          <w:b/>
          <w:bCs/>
          <w:sz w:val="32"/>
          <w:szCs w:val="32"/>
          <w:lang w:val="zh-TW" w:eastAsia="zh-TW"/>
        </w:rPr>
        <w:t>》</w:t>
      </w:r>
    </w:p>
    <w:p w14:paraId="7C6D2B6B" w14:textId="77777777" w:rsidR="00BA0E1B" w:rsidRDefault="00000000">
      <w:pPr>
        <w:framePr w:wrap="auto" w:yAlign="inline"/>
        <w:spacing w:line="300" w:lineRule="auto"/>
        <w:jc w:val="center"/>
        <w:outlineLvl w:val="0"/>
        <w:rPr>
          <w:rFonts w:hint="default"/>
          <w:b/>
          <w:bCs/>
          <w:sz w:val="32"/>
          <w:szCs w:val="32"/>
          <w:lang w:val="zh-TW" w:eastAsia="zh-TW"/>
        </w:rPr>
      </w:pPr>
      <w:r>
        <w:rPr>
          <w:rFonts w:ascii="宋体" w:eastAsia="宋体" w:hAnsi="宋体" w:cs="宋体"/>
          <w:b/>
          <w:bCs/>
          <w:sz w:val="32"/>
          <w:szCs w:val="32"/>
          <w:lang w:val="zh-TW" w:eastAsia="zh-TW"/>
        </w:rPr>
        <w:t>团体标准编制说明</w:t>
      </w:r>
    </w:p>
    <w:p w14:paraId="03279499" w14:textId="77777777" w:rsidR="00BA0E1B" w:rsidRDefault="00BA0E1B">
      <w:pPr>
        <w:framePr w:wrap="auto" w:yAlign="inline"/>
        <w:spacing w:line="360" w:lineRule="auto"/>
        <w:ind w:firstLine="482"/>
        <w:rPr>
          <w:rFonts w:ascii="宋体" w:eastAsia="宋体" w:hAnsi="宋体" w:cs="宋体"/>
          <w:b/>
          <w:bCs/>
          <w:kern w:val="0"/>
          <w:sz w:val="24"/>
          <w:szCs w:val="24"/>
          <w:lang w:eastAsia="zh-TW"/>
        </w:rPr>
      </w:pPr>
    </w:p>
    <w:p w14:paraId="207C5447" w14:textId="77777777" w:rsidR="00BA0E1B" w:rsidRDefault="00000000">
      <w:pPr>
        <w:pStyle w:val="1"/>
        <w:framePr w:wrap="auto" w:yAlign="inline"/>
        <w:numPr>
          <w:ilvl w:val="0"/>
          <w:numId w:val="2"/>
        </w:numPr>
        <w:spacing w:line="360" w:lineRule="auto"/>
        <w:rPr>
          <w:rFonts w:ascii="宋体" w:eastAsia="PMingLiU"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标准项目来源</w:t>
      </w:r>
    </w:p>
    <w:p w14:paraId="5CB9DF17" w14:textId="77777777" w:rsidR="00BA0E1B"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近年来，随着经济的快速发展和人民生活水平的不断提高，节假日旅游已成为国民休闲娱乐的重要方式。特别是在国家法定节假日期间，各大旅游城市往往会迎来客流高峰，给城市交通、景区管理、公共安全等方面带来巨大压力。为了确保节假日旅游活动的顺利进行，保障游客的生命财产安全，加强节假日旅游城市客流的监测与预警显得尤为重要。</w:t>
      </w:r>
    </w:p>
    <w:p w14:paraId="61B06825" w14:textId="77777777" w:rsidR="00BA0E1B"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国内层面上，</w:t>
      </w:r>
      <w:r>
        <w:rPr>
          <w:rFonts w:ascii="宋体" w:eastAsia="宋体" w:hAnsi="宋体" w:cs="宋体"/>
          <w:color w:val="auto"/>
          <w:sz w:val="24"/>
          <w:szCs w:val="24"/>
          <w:lang w:val="zh-TW"/>
        </w:rPr>
        <w:t>文化和旅游部</w:t>
      </w:r>
      <w:r>
        <w:rPr>
          <w:rFonts w:ascii="宋体" w:eastAsia="宋体" w:hAnsi="宋体" w:cs="宋体" w:hint="cs"/>
          <w:color w:val="auto"/>
          <w:sz w:val="24"/>
          <w:szCs w:val="24"/>
          <w:lang w:val="zh-TW"/>
        </w:rPr>
        <w:t>及各级地方政府高度重视节假日旅游客流的安全管理工作，相继出台了一系列政策措施，要求加强旅游客流监测，及时发布预警信息，有效应对旅游高峰期的各种突发情况。此外，随着大数据、云计算等信息技术的快速发展，为节假日旅游客流监测与预警提供了有力的技术支持。</w:t>
      </w:r>
    </w:p>
    <w:p w14:paraId="479837C5" w14:textId="77777777" w:rsidR="00BA0E1B"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国际层面上，随着全球化的不断深入和旅游业的蓬勃发展，国际间对于旅游安全管理的交流与合作日益加强。许多国家和地区都在积极探索利用现代信息技术手段，提高旅游客流监测与预警的准确性和时效性，以更好地保障游客权益和提升旅游服务质量。</w:t>
      </w:r>
    </w:p>
    <w:p w14:paraId="35A062B9" w14:textId="77777777" w:rsidR="00BA0E1B" w:rsidRDefault="00000000">
      <w:pPr>
        <w:framePr w:wrap="auto" w:yAlign="inline"/>
        <w:spacing w:line="360" w:lineRule="auto"/>
        <w:ind w:firstLine="480"/>
        <w:rPr>
          <w:rFonts w:ascii="宋体" w:eastAsia="宋体" w:hAnsi="宋体" w:cs="宋体"/>
          <w:color w:val="auto"/>
          <w:sz w:val="24"/>
          <w:szCs w:val="24"/>
          <w:lang w:val="zh-TW"/>
        </w:rPr>
      </w:pPr>
      <w:r>
        <w:rPr>
          <w:rFonts w:ascii="宋体" w:eastAsia="宋体" w:hAnsi="宋体" w:cs="宋体" w:hint="cs"/>
          <w:color w:val="auto"/>
          <w:sz w:val="24"/>
          <w:szCs w:val="24"/>
          <w:lang w:val="zh-TW"/>
        </w:rPr>
        <w:t>然而，当前我国在节假日旅游城市客流监测与预警方面仍存在一些问题，如监测手段不够先进、预警指标不够科学、信息发布不够及时等。这些问题不仅影响了旅游城市的形象和声誉，更给游客的出行带来了不便和安全隐患。</w:t>
      </w:r>
    </w:p>
    <w:p w14:paraId="64F82B19" w14:textId="77777777" w:rsidR="00BA0E1B" w:rsidRPr="00FF6099" w:rsidRDefault="00000000">
      <w:pPr>
        <w:framePr w:wrap="auto" w:yAlign="inline"/>
        <w:spacing w:line="360" w:lineRule="auto"/>
        <w:ind w:firstLine="480"/>
        <w:rPr>
          <w:rFonts w:ascii="宋体" w:eastAsia="宋体" w:hAnsi="宋体" w:cs="宋体"/>
          <w:color w:val="auto"/>
          <w:sz w:val="24"/>
          <w:szCs w:val="24"/>
          <w:lang w:val="zh-TW" w:eastAsia="zh-TW"/>
        </w:rPr>
      </w:pPr>
      <w:r>
        <w:rPr>
          <w:rFonts w:ascii="宋体" w:eastAsia="宋体" w:hAnsi="宋体" w:cs="宋体" w:hint="cs"/>
          <w:color w:val="auto"/>
          <w:sz w:val="24"/>
          <w:szCs w:val="24"/>
          <w:lang w:val="zh-TW"/>
        </w:rPr>
        <w:t>为了规范节假日旅游城市客流监测与预警工作，提高监测预警的准确性和时效性，保障游客的生命财产</w:t>
      </w:r>
      <w:r w:rsidRPr="00FF6099">
        <w:rPr>
          <w:rFonts w:ascii="宋体" w:eastAsia="宋体" w:hAnsi="宋体" w:cs="宋体" w:hint="cs"/>
          <w:color w:val="auto"/>
          <w:sz w:val="24"/>
          <w:szCs w:val="24"/>
          <w:lang w:val="zh-TW"/>
        </w:rPr>
        <w:t>安全，中国旅游</w:t>
      </w:r>
      <w:r w:rsidRPr="00FF6099">
        <w:rPr>
          <w:rFonts w:ascii="宋体" w:eastAsia="宋体" w:hAnsi="宋体" w:cs="宋体"/>
          <w:color w:val="auto"/>
          <w:sz w:val="24"/>
          <w:szCs w:val="24"/>
          <w:lang w:val="zh-TW"/>
        </w:rPr>
        <w:t>研究院</w:t>
      </w:r>
      <w:r w:rsidRPr="00FF6099">
        <w:rPr>
          <w:rFonts w:ascii="宋体" w:eastAsia="宋体" w:hAnsi="宋体" w:cs="宋体" w:hint="cs"/>
          <w:color w:val="auto"/>
          <w:sz w:val="24"/>
          <w:szCs w:val="24"/>
          <w:lang w:val="zh-TW"/>
        </w:rPr>
        <w:t>联合相关科研机构及旅游企业，</w:t>
      </w:r>
      <w:r>
        <w:rPr>
          <w:rFonts w:ascii="宋体" w:eastAsia="宋体" w:hAnsi="宋体" w:cs="宋体" w:hint="cs"/>
          <w:color w:val="auto"/>
          <w:sz w:val="24"/>
          <w:szCs w:val="24"/>
          <w:lang w:val="zh-TW"/>
        </w:rPr>
        <w:t>共同起草了团体标准《节假日城市旅游客流监测指标体系及技术规范》。该标准的制定将有利于推动节假日旅游城市客流监测与预警工作的标准化、科学化、信息化进程，为提升我国旅游服务质量和管理水平提供有力支撑。</w:t>
      </w:r>
      <w:r>
        <w:rPr>
          <w:rFonts w:ascii="宋体" w:eastAsia="宋体" w:hAnsi="宋体" w:cs="宋体" w:hint="cs"/>
          <w:color w:val="auto"/>
          <w:sz w:val="24"/>
          <w:szCs w:val="24"/>
          <w:lang w:val="zh-TW" w:eastAsia="zh-TW"/>
        </w:rPr>
        <w:t>该标准是起草工作组在对</w:t>
      </w:r>
      <w:r>
        <w:rPr>
          <w:rFonts w:ascii="宋体" w:eastAsia="宋体" w:hAnsi="宋体" w:cs="宋体"/>
          <w:color w:val="auto"/>
          <w:sz w:val="24"/>
          <w:szCs w:val="24"/>
          <w:lang w:val="zh-TW"/>
        </w:rPr>
        <w:t>科技创新2030—“新一代人工智能”重大项目的子课题《节假日城市旅游客流管控和智能疏导的关键指标与体系构建》</w:t>
      </w:r>
      <w:r>
        <w:rPr>
          <w:rFonts w:ascii="宋体" w:eastAsia="宋体" w:hAnsi="宋体" w:cs="宋体" w:hint="cs"/>
          <w:color w:val="auto"/>
          <w:sz w:val="24"/>
          <w:szCs w:val="24"/>
          <w:lang w:val="zh-TW" w:eastAsia="zh-TW"/>
        </w:rPr>
        <w:t>的</w:t>
      </w:r>
      <w:r>
        <w:rPr>
          <w:rFonts w:ascii="宋体" w:eastAsia="宋体" w:hAnsi="宋体" w:cs="宋体"/>
          <w:color w:val="auto"/>
          <w:sz w:val="24"/>
          <w:szCs w:val="24"/>
          <w:lang w:val="zh-TW"/>
        </w:rPr>
        <w:t>研发与示范应用的</w:t>
      </w:r>
      <w:r>
        <w:rPr>
          <w:rFonts w:ascii="宋体" w:eastAsia="宋体" w:hAnsi="宋体" w:cs="宋体" w:hint="cs"/>
          <w:color w:val="auto"/>
          <w:sz w:val="24"/>
          <w:szCs w:val="24"/>
          <w:lang w:val="zh-TW" w:eastAsia="zh-TW"/>
        </w:rPr>
        <w:t>基础上提出的，由中国贸促会商业行业委员会立项并管理的团体标准</w:t>
      </w:r>
      <w:r>
        <w:rPr>
          <w:rFonts w:ascii="宋体" w:eastAsia="宋体" w:hAnsi="宋体" w:cs="宋体"/>
          <w:color w:val="auto"/>
          <w:sz w:val="24"/>
          <w:szCs w:val="24"/>
          <w:lang w:val="zh-TW" w:eastAsia="zh-TW"/>
        </w:rPr>
        <w:t>，</w:t>
      </w:r>
      <w:r w:rsidRPr="00FF6099">
        <w:rPr>
          <w:rFonts w:ascii="宋体" w:eastAsia="宋体" w:hAnsi="宋体" w:cs="宋体"/>
          <w:color w:val="auto"/>
          <w:sz w:val="24"/>
          <w:szCs w:val="24"/>
          <w:lang w:val="zh-TW" w:eastAsia="zh-TW"/>
        </w:rPr>
        <w:t>项目编号：</w:t>
      </w:r>
      <w:r w:rsidRPr="00FF6099">
        <w:rPr>
          <w:rFonts w:ascii="宋体" w:eastAsia="宋体" w:hAnsi="宋体" w:cs="宋体" w:hint="default"/>
          <w:color w:val="auto"/>
          <w:sz w:val="24"/>
          <w:szCs w:val="24"/>
          <w:lang w:val="zh-TW" w:eastAsia="zh-TW"/>
        </w:rPr>
        <w:t>CCPIT-CSC-JH2023259</w:t>
      </w:r>
      <w:r w:rsidRPr="00FF6099">
        <w:rPr>
          <w:rFonts w:ascii="宋体" w:eastAsia="宋体" w:hAnsi="宋体" w:cs="宋体" w:hint="cs"/>
          <w:color w:val="auto"/>
          <w:sz w:val="24"/>
          <w:szCs w:val="24"/>
          <w:lang w:val="zh-TW" w:eastAsia="zh-TW"/>
        </w:rPr>
        <w:t>。</w:t>
      </w:r>
    </w:p>
    <w:p w14:paraId="1F9A3A65" w14:textId="77777777" w:rsidR="00BA0E1B" w:rsidRDefault="00000000">
      <w:pPr>
        <w:pStyle w:val="1"/>
        <w:framePr w:wrap="auto" w:yAlign="inline"/>
        <w:spacing w:line="360" w:lineRule="auto"/>
        <w:ind w:left="482" w:firstLine="0"/>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二、标准制定的目的和意义</w:t>
      </w:r>
    </w:p>
    <w:p w14:paraId="7ABF0623" w14:textId="77777777" w:rsidR="00BA0E1B" w:rsidRDefault="00000000">
      <w:pPr>
        <w:pStyle w:val="1"/>
        <w:framePr w:wrap="auto" w:yAlign="inline"/>
        <w:spacing w:line="360" w:lineRule="auto"/>
        <w:ind w:firstLineChars="236" w:firstLine="566"/>
        <w:rPr>
          <w:rFonts w:ascii="宋体" w:eastAsia="宋体" w:hAnsi="宋体" w:cs="宋体"/>
          <w:color w:val="auto"/>
          <w:sz w:val="24"/>
          <w:szCs w:val="24"/>
          <w:lang w:val="zh-TW"/>
        </w:rPr>
      </w:pPr>
      <w:r>
        <w:rPr>
          <w:rFonts w:ascii="宋体" w:eastAsia="宋体" w:hAnsi="宋体" w:cs="宋体" w:hint="cs"/>
          <w:color w:val="auto"/>
          <w:sz w:val="24"/>
          <w:szCs w:val="24"/>
          <w:lang w:val="zh-TW"/>
        </w:rPr>
        <w:lastRenderedPageBreak/>
        <w:t>制定</w:t>
      </w:r>
      <w:r>
        <w:rPr>
          <w:rFonts w:ascii="宋体" w:eastAsia="宋体" w:hAnsi="宋体" w:cs="宋体"/>
          <w:color w:val="auto"/>
          <w:sz w:val="24"/>
          <w:szCs w:val="24"/>
          <w:lang w:val="zh-TW"/>
        </w:rPr>
        <w:t>本标准旨在</w:t>
      </w:r>
      <w:r>
        <w:rPr>
          <w:rFonts w:ascii="宋体" w:eastAsia="宋体" w:hAnsi="宋体" w:cs="宋体" w:hint="cs"/>
          <w:color w:val="auto"/>
          <w:sz w:val="24"/>
          <w:szCs w:val="24"/>
          <w:lang w:val="zh-TW"/>
        </w:rPr>
        <w:t>建立科学、系统的节假日城市旅游客流监测体系，通过明确关键指标和方法</w:t>
      </w:r>
      <w:r>
        <w:rPr>
          <w:rFonts w:ascii="宋体" w:eastAsia="宋体" w:hAnsi="宋体" w:cs="宋体"/>
          <w:color w:val="auto"/>
          <w:sz w:val="24"/>
          <w:szCs w:val="24"/>
          <w:lang w:val="zh-TW"/>
        </w:rPr>
        <w:t>，</w:t>
      </w:r>
      <w:r>
        <w:rPr>
          <w:rFonts w:ascii="宋体" w:eastAsia="宋体" w:hAnsi="宋体" w:cs="宋体" w:hint="cs"/>
          <w:color w:val="auto"/>
          <w:sz w:val="24"/>
          <w:szCs w:val="24"/>
          <w:lang w:val="zh-TW"/>
        </w:rPr>
        <w:t>实时监测和预测旅游客流的动态变化，及时发现潜在的安全隐患，提高旅游管理部门对突发事件的响应速度和处置能力，从而确保游客的人身安全和旅游秩序的稳定。</w:t>
      </w:r>
    </w:p>
    <w:p w14:paraId="0D5B5791" w14:textId="77777777" w:rsidR="00BA0E1B" w:rsidRDefault="00000000">
      <w:pPr>
        <w:pStyle w:val="1"/>
        <w:framePr w:wrap="auto" w:yAlign="inline"/>
        <w:spacing w:line="360" w:lineRule="auto"/>
        <w:ind w:firstLineChars="236" w:firstLine="566"/>
        <w:rPr>
          <w:rFonts w:ascii="宋体" w:eastAsia="宋体" w:hAnsi="宋体" w:cs="宋体"/>
          <w:color w:val="auto"/>
          <w:sz w:val="24"/>
          <w:szCs w:val="24"/>
          <w:lang w:eastAsia="zh-TW"/>
        </w:rPr>
      </w:pPr>
      <w:r>
        <w:rPr>
          <w:rFonts w:ascii="宋体" w:eastAsia="宋体" w:hAnsi="宋体" w:cs="宋体" w:hint="cs"/>
          <w:color w:val="auto"/>
          <w:sz w:val="24"/>
          <w:szCs w:val="24"/>
          <w:lang w:eastAsia="zh-TW"/>
        </w:rPr>
        <w:t>该标准的出台填补了我国在节假日城市旅游客流监测领域的标准空白，为</w:t>
      </w:r>
      <w:r>
        <w:rPr>
          <w:rFonts w:ascii="宋体" w:eastAsia="宋体" w:hAnsi="宋体" w:cs="宋体"/>
          <w:color w:val="auto"/>
          <w:sz w:val="24"/>
          <w:szCs w:val="24"/>
        </w:rPr>
        <w:t>旅游客流监测</w:t>
      </w:r>
      <w:r>
        <w:rPr>
          <w:rFonts w:ascii="宋体" w:eastAsia="宋体" w:hAnsi="宋体" w:cs="宋体" w:hint="cs"/>
          <w:color w:val="auto"/>
          <w:sz w:val="24"/>
          <w:szCs w:val="24"/>
          <w:lang w:eastAsia="zh-TW"/>
        </w:rPr>
        <w:t>提供了明确的工作指导和操作规范，有助于实现旅游客流的规范化管理。</w:t>
      </w:r>
    </w:p>
    <w:p w14:paraId="043B0A0E" w14:textId="77777777" w:rsidR="00BA0E1B" w:rsidRDefault="00000000">
      <w:pPr>
        <w:pStyle w:val="1"/>
        <w:framePr w:wrap="auto" w:yAlign="inline"/>
        <w:spacing w:line="360" w:lineRule="auto"/>
        <w:ind w:left="482" w:firstLine="0"/>
        <w:rPr>
          <w:rFonts w:ascii="宋体" w:eastAsia="宋体" w:hAnsi="宋体" w:cs="宋体"/>
          <w:b/>
          <w:bCs/>
          <w:color w:val="auto"/>
          <w:kern w:val="0"/>
          <w:sz w:val="24"/>
          <w:szCs w:val="24"/>
          <w:u w:color="0000FF"/>
          <w:lang w:val="zh-TW" w:eastAsia="zh-TW"/>
        </w:rPr>
      </w:pPr>
      <w:r>
        <w:rPr>
          <w:rFonts w:ascii="宋体" w:eastAsia="宋体" w:hAnsi="宋体" w:cs="宋体"/>
          <w:b/>
          <w:bCs/>
          <w:color w:val="auto"/>
          <w:kern w:val="0"/>
          <w:sz w:val="24"/>
          <w:szCs w:val="24"/>
          <w:u w:color="0000FF"/>
          <w:lang w:val="zh-TW" w:eastAsia="zh-TW"/>
        </w:rPr>
        <w:t>三、标准起草的过程简述</w:t>
      </w:r>
    </w:p>
    <w:p w14:paraId="67FD6D49" w14:textId="77777777" w:rsidR="00BA0E1B" w:rsidRDefault="00000000">
      <w:pPr>
        <w:framePr w:wrap="auto" w:yAlign="inline"/>
        <w:spacing w:line="360" w:lineRule="auto"/>
        <w:ind w:firstLineChars="98" w:firstLine="236"/>
        <w:rPr>
          <w:rFonts w:ascii="宋体" w:eastAsia="宋体" w:hAnsi="宋体" w:cs="宋体"/>
          <w:b/>
          <w:bCs/>
          <w:color w:val="auto"/>
          <w:sz w:val="24"/>
          <w:szCs w:val="24"/>
          <w:lang w:val="zh-TW" w:eastAsia="zh-TW"/>
        </w:rPr>
      </w:pPr>
      <w:r>
        <w:rPr>
          <w:rFonts w:ascii="宋体" w:eastAsia="宋体" w:hAnsi="宋体" w:cs="宋体"/>
          <w:b/>
          <w:bCs/>
          <w:color w:val="auto"/>
          <w:sz w:val="24"/>
          <w:szCs w:val="24"/>
          <w:lang w:val="zh-TW" w:eastAsia="zh-TW"/>
        </w:rPr>
        <w:t>（一）预研阶段</w:t>
      </w:r>
    </w:p>
    <w:p w14:paraId="00567E30" w14:textId="77777777" w:rsidR="00BA0E1B" w:rsidRDefault="00000000">
      <w:pPr>
        <w:framePr w:wrap="auto" w:yAlign="inline"/>
        <w:topLinePunct/>
        <w:spacing w:line="360" w:lineRule="auto"/>
        <w:ind w:firstLine="482"/>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年4月</w:t>
      </w:r>
      <w:r>
        <w:rPr>
          <w:rFonts w:ascii="宋体" w:eastAsia="宋体" w:hAnsi="宋体" w:cs="宋体"/>
          <w:color w:val="auto"/>
          <w:sz w:val="24"/>
          <w:szCs w:val="24"/>
        </w:rPr>
        <w:t>上旬，</w:t>
      </w:r>
      <w:r>
        <w:rPr>
          <w:rFonts w:ascii="宋体" w:eastAsia="宋体" w:hAnsi="宋体" w:cs="宋体" w:hint="cs"/>
          <w:color w:val="auto"/>
          <w:sz w:val="24"/>
          <w:szCs w:val="24"/>
        </w:rPr>
        <w:t>启动</w:t>
      </w:r>
      <w:r>
        <w:rPr>
          <w:rFonts w:ascii="宋体" w:eastAsia="宋体" w:hAnsi="宋体" w:cs="宋体" w:hint="cs"/>
          <w:color w:val="auto"/>
          <w:sz w:val="24"/>
          <w:szCs w:val="24"/>
          <w:lang w:val="zh-TW"/>
        </w:rPr>
        <w:t>《节假日城市旅游客流监测指标体系及技术规范》</w:t>
      </w:r>
      <w:r>
        <w:rPr>
          <w:rFonts w:ascii="宋体" w:eastAsia="宋体" w:hAnsi="宋体" w:cs="宋体" w:hint="cs"/>
          <w:color w:val="auto"/>
          <w:sz w:val="24"/>
          <w:szCs w:val="24"/>
        </w:rPr>
        <w:t>团体标准预研工</w:t>
      </w:r>
      <w:r>
        <w:rPr>
          <w:rFonts w:ascii="宋体" w:eastAsia="宋体" w:hAnsi="宋体" w:cs="宋体"/>
          <w:color w:val="auto"/>
          <w:sz w:val="24"/>
          <w:szCs w:val="24"/>
        </w:rPr>
        <w:t>作，</w:t>
      </w:r>
      <w:r>
        <w:rPr>
          <w:rFonts w:ascii="宋体" w:eastAsia="宋体" w:hAnsi="宋体" w:cs="宋体" w:hint="cs"/>
          <w:color w:val="auto"/>
          <w:sz w:val="24"/>
          <w:szCs w:val="24"/>
        </w:rPr>
        <w:t>开展内外部调研，收集和梳理基础素材。</w:t>
      </w:r>
    </w:p>
    <w:p w14:paraId="1133A3CC" w14:textId="77777777" w:rsidR="00BA0E1B" w:rsidRDefault="00000000">
      <w:pPr>
        <w:framePr w:wrap="auto" w:yAlign="inline"/>
        <w:spacing w:line="360" w:lineRule="auto"/>
        <w:ind w:firstLineChars="98" w:firstLine="236"/>
        <w:rPr>
          <w:rFonts w:ascii="宋体" w:eastAsia="宋体" w:hAnsi="宋体" w:cs="宋体"/>
          <w:b/>
          <w:bCs/>
          <w:color w:val="auto"/>
          <w:sz w:val="24"/>
          <w:szCs w:val="24"/>
          <w:lang w:val="zh-TW" w:eastAsia="zh-TW"/>
        </w:rPr>
      </w:pPr>
      <w:r>
        <w:rPr>
          <w:rFonts w:ascii="宋体" w:eastAsia="宋体" w:hAnsi="宋体" w:cs="宋体"/>
          <w:b/>
          <w:bCs/>
          <w:color w:val="auto"/>
          <w:sz w:val="24"/>
          <w:szCs w:val="24"/>
          <w:lang w:val="zh-TW" w:eastAsia="zh-TW"/>
        </w:rPr>
        <w:t>（二）立项阶段</w:t>
      </w:r>
    </w:p>
    <w:p w14:paraId="051F90F9"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w:t>
      </w:r>
      <w:r>
        <w:rPr>
          <w:rFonts w:ascii="宋体" w:eastAsia="宋体" w:hAnsi="宋体" w:cs="宋体"/>
          <w:color w:val="auto"/>
          <w:sz w:val="24"/>
          <w:szCs w:val="24"/>
        </w:rPr>
        <w:t>6</w:t>
      </w:r>
      <w:r>
        <w:rPr>
          <w:rFonts w:ascii="宋体" w:eastAsia="宋体" w:hAnsi="宋体" w:cs="宋体" w:hint="default"/>
          <w:color w:val="auto"/>
          <w:sz w:val="24"/>
          <w:szCs w:val="24"/>
        </w:rPr>
        <w:t>月</w:t>
      </w:r>
      <w:r>
        <w:rPr>
          <w:rFonts w:ascii="宋体" w:eastAsia="宋体" w:hAnsi="宋体" w:cs="宋体"/>
          <w:color w:val="auto"/>
          <w:sz w:val="24"/>
          <w:szCs w:val="24"/>
        </w:rPr>
        <w:t>下</w:t>
      </w:r>
      <w:r>
        <w:rPr>
          <w:rFonts w:ascii="宋体" w:eastAsia="宋体" w:hAnsi="宋体" w:cs="宋体" w:hint="default"/>
          <w:color w:val="auto"/>
          <w:sz w:val="24"/>
          <w:szCs w:val="24"/>
        </w:rPr>
        <w:t>旬，中国贸促会商业行业委员会立项</w:t>
      </w:r>
      <w:r>
        <w:rPr>
          <w:rFonts w:ascii="宋体" w:eastAsia="宋体" w:hAnsi="宋体" w:cs="宋体" w:hint="cs"/>
          <w:color w:val="auto"/>
          <w:sz w:val="24"/>
          <w:szCs w:val="24"/>
          <w:lang w:val="zh-TW"/>
        </w:rPr>
        <w:t>《节假日城市旅游客流监测指标体系及技术规范》</w:t>
      </w:r>
      <w:r>
        <w:rPr>
          <w:rFonts w:ascii="宋体" w:eastAsia="宋体" w:hAnsi="宋体" w:cs="宋体" w:hint="default"/>
          <w:color w:val="auto"/>
          <w:sz w:val="24"/>
          <w:szCs w:val="24"/>
        </w:rPr>
        <w:t>团体标准（项</w:t>
      </w:r>
      <w:r w:rsidRPr="00FF6099">
        <w:rPr>
          <w:rFonts w:ascii="宋体" w:eastAsia="宋体" w:hAnsi="宋体" w:cs="宋体" w:hint="default"/>
          <w:color w:val="auto"/>
          <w:sz w:val="24"/>
          <w:szCs w:val="24"/>
        </w:rPr>
        <w:t>目编号：</w:t>
      </w:r>
      <w:r w:rsidRPr="00FF6099">
        <w:rPr>
          <w:rFonts w:ascii="宋体" w:eastAsia="宋体" w:hAnsi="宋体" w:cs="宋体" w:hint="default"/>
          <w:color w:val="auto"/>
          <w:sz w:val="24"/>
          <w:szCs w:val="24"/>
          <w:lang w:val="zh-TW" w:eastAsia="zh-TW"/>
        </w:rPr>
        <w:t>CCPIT-CSC-JH2023259</w:t>
      </w:r>
      <w:r w:rsidRPr="00FF6099">
        <w:rPr>
          <w:rFonts w:ascii="宋体" w:eastAsia="宋体" w:hAnsi="宋体" w:cs="宋体" w:hint="default"/>
          <w:color w:val="auto"/>
          <w:sz w:val="24"/>
          <w:szCs w:val="24"/>
        </w:rPr>
        <w:t>）</w:t>
      </w:r>
      <w:r>
        <w:rPr>
          <w:rFonts w:ascii="宋体" w:eastAsia="宋体" w:hAnsi="宋体" w:cs="宋体" w:hint="default"/>
          <w:color w:val="auto"/>
          <w:sz w:val="24"/>
          <w:szCs w:val="24"/>
        </w:rPr>
        <w:t>。</w:t>
      </w:r>
    </w:p>
    <w:p w14:paraId="2709435B" w14:textId="77777777" w:rsidR="00BA0E1B" w:rsidRDefault="00000000">
      <w:pPr>
        <w:framePr w:wrap="auto" w:yAlign="inline"/>
        <w:spacing w:line="360" w:lineRule="auto"/>
        <w:ind w:firstLineChars="98" w:firstLine="236"/>
        <w:rPr>
          <w:rFonts w:ascii="宋体" w:eastAsia="宋体" w:hAnsi="宋体" w:cs="宋体"/>
          <w:color w:val="auto"/>
          <w:sz w:val="24"/>
          <w:szCs w:val="24"/>
        </w:rPr>
      </w:pPr>
      <w:r>
        <w:rPr>
          <w:rFonts w:ascii="宋体" w:eastAsia="宋体" w:hAnsi="宋体" w:cs="宋体"/>
          <w:b/>
          <w:bCs/>
          <w:color w:val="auto"/>
          <w:sz w:val="24"/>
          <w:szCs w:val="24"/>
          <w:lang w:val="zh-TW" w:eastAsia="zh-TW"/>
        </w:rPr>
        <w:t>（三）起草阶段</w:t>
      </w:r>
    </w:p>
    <w:p w14:paraId="2969CE1C"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年4月下旬，项目组通过搜集文献、查阅各类书刊对资料进行梳理。</w:t>
      </w:r>
    </w:p>
    <w:p w14:paraId="5B14E23C"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年7月上旬，召开</w:t>
      </w:r>
      <w:r>
        <w:rPr>
          <w:rFonts w:ascii="宋体" w:eastAsia="宋体" w:hAnsi="宋体" w:cs="宋体"/>
          <w:color w:val="auto"/>
          <w:sz w:val="24"/>
          <w:szCs w:val="24"/>
        </w:rPr>
        <w:t>起草工作启动会</w:t>
      </w:r>
      <w:r>
        <w:rPr>
          <w:rFonts w:ascii="宋体" w:eastAsia="宋体" w:hAnsi="宋体" w:cs="宋体" w:hint="default"/>
          <w:color w:val="auto"/>
          <w:sz w:val="24"/>
          <w:szCs w:val="24"/>
        </w:rPr>
        <w:t>，就标准的内容框架、编写参考依据等内容进行讨论，并</w:t>
      </w:r>
      <w:r>
        <w:rPr>
          <w:rFonts w:ascii="宋体" w:eastAsia="宋体" w:hAnsi="宋体" w:cs="宋体"/>
          <w:color w:val="auto"/>
          <w:sz w:val="24"/>
          <w:szCs w:val="24"/>
        </w:rPr>
        <w:t>成立本标准研制工作组</w:t>
      </w:r>
      <w:r>
        <w:rPr>
          <w:rFonts w:ascii="宋体" w:eastAsia="宋体" w:hAnsi="宋体" w:cs="宋体" w:hint="default"/>
          <w:color w:val="auto"/>
          <w:sz w:val="24"/>
          <w:szCs w:val="24"/>
        </w:rPr>
        <w:t>。</w:t>
      </w:r>
    </w:p>
    <w:p w14:paraId="4B37FE60"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23</w:t>
      </w:r>
      <w:r>
        <w:rPr>
          <w:rFonts w:ascii="宋体" w:eastAsia="宋体" w:hAnsi="宋体" w:cs="宋体" w:hint="default"/>
          <w:color w:val="auto"/>
          <w:sz w:val="24"/>
          <w:szCs w:val="24"/>
        </w:rPr>
        <w:t>年8月</w:t>
      </w:r>
      <w:r>
        <w:rPr>
          <w:rFonts w:ascii="宋体" w:eastAsia="宋体" w:hAnsi="宋体" w:cs="宋体"/>
          <w:color w:val="auto"/>
          <w:sz w:val="24"/>
          <w:szCs w:val="24"/>
        </w:rPr>
        <w:t>中</w:t>
      </w:r>
      <w:r>
        <w:rPr>
          <w:rFonts w:ascii="宋体" w:eastAsia="宋体" w:hAnsi="宋体" w:cs="宋体" w:hint="default"/>
          <w:color w:val="auto"/>
          <w:sz w:val="24"/>
          <w:szCs w:val="24"/>
        </w:rPr>
        <w:t>旬，</w:t>
      </w:r>
      <w:r>
        <w:rPr>
          <w:rFonts w:ascii="宋体" w:eastAsia="宋体" w:hAnsi="宋体" w:cs="宋体"/>
          <w:color w:val="auto"/>
          <w:sz w:val="24"/>
          <w:szCs w:val="24"/>
        </w:rPr>
        <w:t>召开起草工作研讨会，就标准讨论稿一稿内容进行研讨交流，</w:t>
      </w:r>
      <w:r>
        <w:rPr>
          <w:rFonts w:ascii="宋体" w:eastAsia="宋体" w:hAnsi="宋体" w:cs="宋体" w:hint="default"/>
          <w:color w:val="auto"/>
          <w:sz w:val="24"/>
          <w:szCs w:val="24"/>
        </w:rPr>
        <w:t>对</w:t>
      </w:r>
      <w:r>
        <w:rPr>
          <w:rFonts w:ascii="宋体" w:eastAsia="宋体" w:hAnsi="宋体" w:cs="宋体"/>
          <w:color w:val="auto"/>
          <w:sz w:val="24"/>
          <w:szCs w:val="24"/>
        </w:rPr>
        <w:t>标准讨论稿</w:t>
      </w:r>
      <w:r>
        <w:rPr>
          <w:rFonts w:ascii="宋体" w:eastAsia="宋体" w:hAnsi="宋体" w:cs="宋体" w:hint="default"/>
          <w:color w:val="auto"/>
          <w:sz w:val="24"/>
          <w:szCs w:val="24"/>
        </w:rPr>
        <w:t>内容、结构进行调整，形成标准讨论稿二稿。</w:t>
      </w:r>
    </w:p>
    <w:p w14:paraId="3E2675E7"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202</w:t>
      </w:r>
      <w:r>
        <w:rPr>
          <w:rFonts w:ascii="宋体" w:eastAsia="宋体" w:hAnsi="宋体" w:cs="宋体"/>
          <w:color w:val="auto"/>
          <w:sz w:val="24"/>
          <w:szCs w:val="24"/>
        </w:rPr>
        <w:t>4</w:t>
      </w:r>
      <w:r>
        <w:rPr>
          <w:rFonts w:ascii="宋体" w:eastAsia="宋体" w:hAnsi="宋体" w:cs="宋体" w:hint="default"/>
          <w:color w:val="auto"/>
          <w:sz w:val="24"/>
          <w:szCs w:val="24"/>
        </w:rPr>
        <w:t>年</w:t>
      </w:r>
      <w:r>
        <w:rPr>
          <w:rFonts w:ascii="宋体" w:eastAsia="宋体" w:hAnsi="宋体" w:cs="宋体"/>
          <w:color w:val="auto"/>
          <w:sz w:val="24"/>
          <w:szCs w:val="24"/>
        </w:rPr>
        <w:t>3</w:t>
      </w:r>
      <w:r>
        <w:rPr>
          <w:rFonts w:ascii="宋体" w:eastAsia="宋体" w:hAnsi="宋体" w:cs="宋体" w:hint="default"/>
          <w:color w:val="auto"/>
          <w:sz w:val="24"/>
          <w:szCs w:val="24"/>
        </w:rPr>
        <w:t>月</w:t>
      </w:r>
      <w:r>
        <w:rPr>
          <w:rFonts w:ascii="宋体" w:eastAsia="宋体" w:hAnsi="宋体" w:cs="宋体"/>
          <w:color w:val="auto"/>
          <w:sz w:val="24"/>
          <w:szCs w:val="24"/>
        </w:rPr>
        <w:t>下</w:t>
      </w:r>
      <w:r>
        <w:rPr>
          <w:rFonts w:ascii="宋体" w:eastAsia="宋体" w:hAnsi="宋体" w:cs="宋体" w:hint="default"/>
          <w:color w:val="auto"/>
          <w:sz w:val="24"/>
          <w:szCs w:val="24"/>
        </w:rPr>
        <w:t>旬，项目组对标准讨论稿二稿内容、结构和逻辑关系进行梳理和优化，在此基础上形成征求意见稿。</w:t>
      </w:r>
    </w:p>
    <w:p w14:paraId="6485EE44" w14:textId="77777777" w:rsidR="00BA0E1B" w:rsidRDefault="00000000">
      <w:pPr>
        <w:framePr w:wrap="auto" w:yAlign="inline"/>
        <w:spacing w:line="360" w:lineRule="auto"/>
        <w:ind w:left="420"/>
        <w:rPr>
          <w:rFonts w:ascii="宋体" w:eastAsia="宋体" w:hAnsi="宋体" w:cs="宋体"/>
          <w:b/>
          <w:bCs/>
          <w:color w:val="auto"/>
          <w:sz w:val="24"/>
          <w:szCs w:val="24"/>
          <w:lang w:val="zh-TW" w:eastAsia="zh-TW"/>
        </w:rPr>
      </w:pPr>
      <w:r>
        <w:rPr>
          <w:rFonts w:ascii="宋体" w:eastAsia="宋体" w:hAnsi="宋体" w:cs="宋体"/>
          <w:b/>
          <w:bCs/>
          <w:color w:val="auto"/>
          <w:sz w:val="24"/>
          <w:szCs w:val="24"/>
          <w:lang w:val="zh-TW" w:eastAsia="zh-TW"/>
        </w:rPr>
        <w:t>（四）征求意见阶段</w:t>
      </w:r>
    </w:p>
    <w:p w14:paraId="494CCB01" w14:textId="51CC8E52" w:rsidR="00BA0E1B" w:rsidRDefault="00000000" w:rsidP="00FF6099">
      <w:pPr>
        <w:framePr w:wrap="auto" w:yAlign="inline"/>
        <w:spacing w:line="360" w:lineRule="auto"/>
        <w:ind w:firstLine="480"/>
        <w:rPr>
          <w:rFonts w:ascii="宋体" w:eastAsia="宋体" w:hAnsi="宋体" w:cs="宋体"/>
          <w:color w:val="auto"/>
          <w:sz w:val="24"/>
          <w:szCs w:val="24"/>
        </w:rPr>
      </w:pPr>
      <w:r>
        <w:rPr>
          <w:rFonts w:ascii="宋体" w:eastAsia="宋体" w:hAnsi="宋体" w:cs="宋体" w:hint="default"/>
          <w:color w:val="auto"/>
          <w:sz w:val="24"/>
          <w:szCs w:val="24"/>
        </w:rPr>
        <w:t>20</w:t>
      </w:r>
      <w:r>
        <w:rPr>
          <w:rFonts w:ascii="宋体" w:eastAsia="宋体" w:hAnsi="宋体" w:cs="宋体"/>
          <w:color w:val="auto"/>
          <w:sz w:val="24"/>
          <w:szCs w:val="24"/>
        </w:rPr>
        <w:t>24</w:t>
      </w:r>
      <w:r>
        <w:rPr>
          <w:rFonts w:ascii="宋体" w:eastAsia="宋体" w:hAnsi="宋体" w:cs="宋体" w:hint="default"/>
          <w:color w:val="auto"/>
          <w:sz w:val="24"/>
          <w:szCs w:val="24"/>
        </w:rPr>
        <w:t>年</w:t>
      </w:r>
      <w:r>
        <w:rPr>
          <w:rFonts w:ascii="宋体" w:eastAsia="宋体" w:hAnsi="宋体" w:cs="宋体"/>
          <w:color w:val="auto"/>
          <w:sz w:val="24"/>
          <w:szCs w:val="24"/>
        </w:rPr>
        <w:t>10</w:t>
      </w:r>
      <w:r>
        <w:rPr>
          <w:rFonts w:ascii="宋体" w:eastAsia="宋体" w:hAnsi="宋体" w:cs="宋体" w:hint="default"/>
          <w:color w:val="auto"/>
          <w:sz w:val="24"/>
          <w:szCs w:val="24"/>
        </w:rPr>
        <w:t>月</w:t>
      </w:r>
      <w:r w:rsidR="00FF6099">
        <w:rPr>
          <w:rFonts w:ascii="宋体" w:eastAsia="宋体" w:hAnsi="宋体" w:cs="宋体"/>
          <w:color w:val="auto"/>
          <w:sz w:val="24"/>
          <w:szCs w:val="24"/>
        </w:rPr>
        <w:t>中旬</w:t>
      </w:r>
      <w:r>
        <w:rPr>
          <w:rFonts w:ascii="宋体" w:eastAsia="宋体" w:hAnsi="宋体" w:cs="宋体"/>
          <w:color w:val="auto"/>
          <w:sz w:val="24"/>
          <w:szCs w:val="24"/>
        </w:rPr>
        <w:t>至11月</w:t>
      </w:r>
      <w:r w:rsidR="00FF6099">
        <w:rPr>
          <w:rFonts w:ascii="宋体" w:eastAsia="宋体" w:hAnsi="宋体" w:cs="宋体"/>
          <w:color w:val="auto"/>
          <w:sz w:val="24"/>
          <w:szCs w:val="24"/>
        </w:rPr>
        <w:t>中旬</w:t>
      </w:r>
      <w:r>
        <w:rPr>
          <w:rFonts w:ascii="宋体" w:eastAsia="宋体" w:hAnsi="宋体" w:cs="宋体" w:hint="default"/>
          <w:color w:val="auto"/>
          <w:sz w:val="24"/>
          <w:szCs w:val="24"/>
        </w:rPr>
        <w:t>，通过官方网站、微信公众号的渠道进行网上公开发布，同时通过各类专业微信群组等进行反馈意见征集和汇总，开展征求意见工作。</w:t>
      </w:r>
    </w:p>
    <w:p w14:paraId="0FB8EDEC" w14:textId="77777777" w:rsidR="00BA0E1B"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四、标准的主要内容和依据</w:t>
      </w:r>
    </w:p>
    <w:p w14:paraId="448C26D7"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color w:val="auto"/>
          <w:sz w:val="24"/>
          <w:szCs w:val="24"/>
          <w:lang w:val="zh-TW" w:eastAsia="zh-TW"/>
        </w:rPr>
        <w:t>制定原则</w:t>
      </w:r>
    </w:p>
    <w:p w14:paraId="4FBAD11C" w14:textId="77777777" w:rsidR="00BA0E1B" w:rsidRDefault="00000000">
      <w:pPr>
        <w:framePr w:wrap="auto" w:yAlign="inline"/>
        <w:spacing w:line="360" w:lineRule="auto"/>
        <w:ind w:firstLine="480"/>
        <w:rPr>
          <w:rFonts w:ascii="宋体" w:eastAsia="PMingLiU" w:hAnsi="宋体" w:cs="宋体"/>
          <w:color w:val="auto"/>
          <w:sz w:val="24"/>
          <w:szCs w:val="24"/>
          <w:lang w:val="zh-TW" w:eastAsia="zh-TW"/>
        </w:rPr>
      </w:pPr>
      <w:r>
        <w:rPr>
          <w:rFonts w:ascii="宋体" w:eastAsia="宋体" w:hAnsi="宋体" w:cs="宋体"/>
          <w:color w:val="auto"/>
          <w:sz w:val="24"/>
          <w:szCs w:val="24"/>
          <w:lang w:val="zh-TW" w:eastAsia="zh-TW"/>
        </w:rPr>
        <w:t>遵循</w:t>
      </w:r>
      <w:r>
        <w:rPr>
          <w:rFonts w:ascii="宋体" w:eastAsia="宋体" w:hAnsi="宋体" w:cs="宋体"/>
          <w:color w:val="auto"/>
          <w:sz w:val="24"/>
          <w:szCs w:val="24"/>
        </w:rPr>
        <w:t>“</w:t>
      </w:r>
      <w:r>
        <w:rPr>
          <w:rFonts w:ascii="宋体" w:eastAsia="宋体" w:hAnsi="宋体" w:cs="宋体" w:hint="cs"/>
          <w:color w:val="auto"/>
          <w:sz w:val="24"/>
          <w:szCs w:val="24"/>
          <w:lang w:val="zh-TW" w:eastAsia="zh-TW"/>
        </w:rPr>
        <w:t>规范性、协调性、科学性、可操作性</w:t>
      </w:r>
      <w:r>
        <w:rPr>
          <w:rFonts w:ascii="宋体" w:eastAsia="宋体" w:hAnsi="宋体" w:cs="宋体"/>
          <w:color w:val="auto"/>
          <w:sz w:val="24"/>
          <w:szCs w:val="24"/>
        </w:rPr>
        <w:t>”</w:t>
      </w:r>
      <w:r>
        <w:rPr>
          <w:rFonts w:ascii="宋体" w:eastAsia="宋体" w:hAnsi="宋体" w:cs="宋体"/>
          <w:color w:val="auto"/>
          <w:sz w:val="24"/>
          <w:szCs w:val="24"/>
          <w:lang w:val="zh-TW" w:eastAsia="zh-TW"/>
        </w:rPr>
        <w:t>的原则制定本标准，</w:t>
      </w:r>
      <w:r>
        <w:rPr>
          <w:rFonts w:ascii="宋体" w:eastAsia="宋体" w:hAnsi="宋体" w:cs="宋体" w:hint="cs"/>
          <w:color w:val="auto"/>
          <w:sz w:val="24"/>
          <w:szCs w:val="24"/>
          <w:lang w:val="zh-TW" w:eastAsia="zh-TW"/>
        </w:rPr>
        <w:t>标准研制过程应符合标准化相关法律法规</w:t>
      </w:r>
      <w:r>
        <w:rPr>
          <w:rFonts w:ascii="宋体" w:eastAsia="宋体" w:hAnsi="宋体" w:cs="宋体"/>
          <w:color w:val="auto"/>
          <w:sz w:val="24"/>
          <w:szCs w:val="24"/>
          <w:lang w:val="zh-TW" w:eastAsia="zh-TW"/>
        </w:rPr>
        <w:t>。按照</w:t>
      </w:r>
      <w:r>
        <w:rPr>
          <w:rFonts w:ascii="宋体" w:eastAsia="宋体" w:hAnsi="宋体" w:cs="宋体"/>
          <w:color w:val="auto"/>
          <w:sz w:val="24"/>
          <w:szCs w:val="24"/>
        </w:rPr>
        <w:t>GB/T</w:t>
      </w:r>
      <w:r>
        <w:rPr>
          <w:rFonts w:ascii="宋体" w:eastAsia="宋体" w:hAnsi="宋体" w:cs="宋体" w:hint="default"/>
          <w:color w:val="auto"/>
          <w:sz w:val="24"/>
          <w:szCs w:val="24"/>
        </w:rPr>
        <w:t xml:space="preserve"> </w:t>
      </w:r>
      <w:r>
        <w:rPr>
          <w:rFonts w:ascii="宋体" w:eastAsia="宋体" w:hAnsi="宋体" w:cs="宋体"/>
          <w:color w:val="auto"/>
          <w:sz w:val="24"/>
          <w:szCs w:val="24"/>
        </w:rPr>
        <w:t>1.1-20</w:t>
      </w:r>
      <w:r>
        <w:rPr>
          <w:rFonts w:ascii="宋体" w:eastAsia="宋体" w:hAnsi="宋体" w:cs="宋体" w:hint="default"/>
          <w:color w:val="auto"/>
          <w:sz w:val="24"/>
          <w:szCs w:val="24"/>
        </w:rPr>
        <w:t>20</w:t>
      </w:r>
      <w:r>
        <w:rPr>
          <w:rFonts w:ascii="宋体" w:eastAsia="宋体" w:hAnsi="宋体" w:cs="宋体"/>
          <w:color w:val="auto"/>
          <w:sz w:val="24"/>
          <w:szCs w:val="24"/>
          <w:lang w:val="zh-TW" w:eastAsia="zh-TW"/>
        </w:rPr>
        <w:t>《标准化工作导则 第</w:t>
      </w:r>
      <w:r>
        <w:rPr>
          <w:rFonts w:ascii="宋体" w:eastAsia="宋体" w:hAnsi="宋体" w:cs="宋体"/>
          <w:color w:val="auto"/>
          <w:sz w:val="24"/>
          <w:szCs w:val="24"/>
        </w:rPr>
        <w:t>1</w:t>
      </w:r>
      <w:r>
        <w:rPr>
          <w:rFonts w:ascii="宋体" w:eastAsia="宋体" w:hAnsi="宋体" w:cs="宋体"/>
          <w:color w:val="auto"/>
          <w:sz w:val="24"/>
          <w:szCs w:val="24"/>
          <w:lang w:val="zh-TW" w:eastAsia="zh-TW"/>
        </w:rPr>
        <w:t>部分：标准的结构和编写规则》进行编制。</w:t>
      </w:r>
    </w:p>
    <w:p w14:paraId="4CF4F231" w14:textId="77777777" w:rsidR="00BA0E1B" w:rsidRDefault="00000000">
      <w:pPr>
        <w:pStyle w:val="a"/>
        <w:numPr>
          <w:ilvl w:val="0"/>
          <w:numId w:val="0"/>
        </w:numPr>
        <w:tabs>
          <w:tab w:val="left" w:pos="312"/>
        </w:tabs>
        <w:spacing w:before="240" w:after="240"/>
      </w:pPr>
      <w:r>
        <w:rPr>
          <w:rFonts w:ascii="宋体" w:eastAsia="宋体" w:hAnsi="宋体" w:cs="宋体" w:hint="eastAsia"/>
          <w:color w:val="FF0000"/>
          <w:sz w:val="24"/>
          <w:szCs w:val="24"/>
          <w:lang w:val="zh-TW"/>
        </w:rPr>
        <w:t xml:space="preserve">   </w:t>
      </w:r>
      <w:r>
        <w:rPr>
          <w:rFonts w:ascii="宋体" w:eastAsia="宋体" w:hAnsi="宋体" w:cs="宋体" w:hint="eastAsia"/>
          <w:sz w:val="24"/>
          <w:szCs w:val="24"/>
          <w:lang w:val="zh-TW"/>
        </w:rPr>
        <w:t xml:space="preserve"> 2．</w:t>
      </w:r>
      <w:r>
        <w:rPr>
          <w:rFonts w:ascii="宋体" w:eastAsia="宋体" w:hAnsi="宋体" w:cs="宋体"/>
          <w:sz w:val="24"/>
          <w:szCs w:val="24"/>
          <w:lang w:val="zh-TW" w:eastAsia="zh-TW"/>
        </w:rPr>
        <w:t>主要技术内容的说</w:t>
      </w:r>
      <w:r>
        <w:rPr>
          <w:rFonts w:ascii="宋体" w:eastAsia="宋体" w:hAnsi="宋体" w:cs="宋体" w:hint="eastAsia"/>
          <w:sz w:val="24"/>
          <w:szCs w:val="24"/>
          <w:lang w:val="zh-TW"/>
        </w:rPr>
        <w:t>明</w:t>
      </w:r>
    </w:p>
    <w:p w14:paraId="6BFC2587" w14:textId="77777777" w:rsidR="00BA0E1B" w:rsidRDefault="00000000">
      <w:pPr>
        <w:pStyle w:val="ab"/>
        <w:topLinePunct/>
        <w:autoSpaceDN/>
        <w:spacing w:line="360" w:lineRule="auto"/>
        <w:ind w:firstLine="480"/>
        <w:rPr>
          <w:rFonts w:hAnsi="宋体" w:cs="宋体" w:hint="eastAsia"/>
          <w:kern w:val="2"/>
          <w:sz w:val="24"/>
          <w:szCs w:val="24"/>
          <w:u w:color="000000"/>
          <w:lang w:val="zh-TW"/>
        </w:rPr>
      </w:pPr>
      <w:r>
        <w:rPr>
          <w:rFonts w:hAnsi="宋体" w:cs="宋体" w:hint="eastAsia"/>
          <w:kern w:val="2"/>
          <w:sz w:val="24"/>
          <w:szCs w:val="24"/>
          <w:u w:color="000000"/>
          <w:lang w:val="zh-TW"/>
        </w:rPr>
        <w:t>本规范适用于城市旅游客流监测指标体系、监测技术等要求。</w:t>
      </w:r>
    </w:p>
    <w:p w14:paraId="4338A32E" w14:textId="77777777" w:rsidR="00BA0E1B" w:rsidRDefault="00000000">
      <w:pPr>
        <w:pStyle w:val="ab"/>
        <w:topLinePunct/>
        <w:autoSpaceDN/>
        <w:spacing w:line="360" w:lineRule="auto"/>
        <w:ind w:firstLine="480"/>
        <w:rPr>
          <w:rFonts w:hAnsi="宋体" w:cs="宋体" w:hint="eastAsia"/>
          <w:kern w:val="2"/>
          <w:sz w:val="24"/>
          <w:szCs w:val="24"/>
          <w:u w:color="000000"/>
        </w:rPr>
      </w:pPr>
      <w:r>
        <w:rPr>
          <w:rFonts w:hAnsi="宋体" w:cs="宋体" w:hint="eastAsia"/>
          <w:kern w:val="2"/>
          <w:sz w:val="24"/>
          <w:szCs w:val="24"/>
          <w:u w:color="000000"/>
          <w:lang w:val="zh-TW"/>
        </w:rPr>
        <w:t>本文件适用于一般城市旅游客流的监测。其中，“城市”主要指直辖市、地级市、副省级市</w:t>
      </w:r>
      <w:r>
        <w:rPr>
          <w:rFonts w:hAnsi="宋体" w:cs="宋体" w:hint="cs"/>
          <w:kern w:val="2"/>
          <w:sz w:val="24"/>
          <w:szCs w:val="24"/>
          <w:u w:color="000000"/>
          <w:lang w:val="zh-TW"/>
        </w:rPr>
        <w:t>。</w:t>
      </w:r>
    </w:p>
    <w:p w14:paraId="6ED8EE5B" w14:textId="77777777" w:rsidR="00BA0E1B"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五、标准的水平</w:t>
      </w:r>
    </w:p>
    <w:p w14:paraId="133D0050" w14:textId="77777777" w:rsidR="00BA0E1B" w:rsidRDefault="00000000">
      <w:pPr>
        <w:framePr w:wrap="auto" w:yAlign="inline"/>
        <w:spacing w:line="360" w:lineRule="auto"/>
        <w:ind w:firstLine="480"/>
        <w:rPr>
          <w:rFonts w:ascii="宋体" w:eastAsia="宋体" w:hAnsi="宋体" w:cs="宋体"/>
          <w:sz w:val="24"/>
          <w:szCs w:val="24"/>
          <w:lang w:val="zh-TW" w:eastAsia="zh-TW"/>
        </w:rPr>
      </w:pPr>
      <w:r>
        <w:rPr>
          <w:rFonts w:ascii="宋体" w:eastAsia="宋体" w:hAnsi="宋体" w:cs="宋体" w:hint="cs"/>
          <w:sz w:val="24"/>
          <w:szCs w:val="24"/>
          <w:lang w:val="zh-TW" w:eastAsia="zh-TW"/>
        </w:rPr>
        <w:t>本标准系自主制定项目，居国内领先水平。</w:t>
      </w:r>
    </w:p>
    <w:p w14:paraId="2641BC3B" w14:textId="77777777" w:rsidR="00BA0E1B"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六、与有关的现行法律、法规和强制性国家标准的关系</w:t>
      </w:r>
    </w:p>
    <w:p w14:paraId="42DEDBA1" w14:textId="77777777" w:rsidR="00BA0E1B" w:rsidRDefault="00000000">
      <w:pPr>
        <w:framePr w:wrap="auto" w:yAlign="inline"/>
        <w:spacing w:line="360" w:lineRule="auto"/>
        <w:ind w:firstLine="480"/>
        <w:rPr>
          <w:rFonts w:ascii="宋体" w:eastAsia="宋体" w:hAnsi="宋体" w:cs="宋体"/>
          <w:color w:val="auto"/>
          <w:sz w:val="24"/>
          <w:szCs w:val="24"/>
        </w:rPr>
      </w:pPr>
      <w:r>
        <w:rPr>
          <w:rFonts w:ascii="宋体" w:eastAsia="宋体" w:hAnsi="宋体" w:cs="宋体" w:hint="cs"/>
          <w:color w:val="auto"/>
          <w:sz w:val="24"/>
          <w:szCs w:val="24"/>
          <w:lang w:val="zh-TW" w:eastAsia="zh-TW"/>
        </w:rPr>
        <w:t>本标准符合国家现行法律、法规、规章和强制性国家标准的要求。按</w:t>
      </w:r>
      <w:r>
        <w:rPr>
          <w:rFonts w:ascii="宋体" w:eastAsia="宋体" w:hAnsi="宋体" w:cs="宋体" w:hint="default"/>
          <w:color w:val="auto"/>
          <w:sz w:val="24"/>
          <w:szCs w:val="24"/>
          <w:lang w:val="zh-TW" w:eastAsia="zh-TW"/>
        </w:rPr>
        <w:t>GB/T</w:t>
      </w:r>
      <w:r>
        <w:rPr>
          <w:rFonts w:ascii="宋体" w:eastAsia="PMingLiU" w:hAnsi="宋体" w:cs="宋体" w:hint="default"/>
          <w:color w:val="auto"/>
          <w:sz w:val="24"/>
          <w:szCs w:val="24"/>
          <w:lang w:val="zh-TW" w:eastAsia="zh-TW"/>
        </w:rPr>
        <w:t xml:space="preserve"> </w:t>
      </w:r>
      <w:r>
        <w:rPr>
          <w:rFonts w:ascii="宋体" w:eastAsia="宋体" w:hAnsi="宋体" w:cs="宋体" w:hint="default"/>
          <w:color w:val="auto"/>
          <w:sz w:val="24"/>
          <w:szCs w:val="24"/>
          <w:lang w:val="zh-TW" w:eastAsia="zh-TW"/>
        </w:rPr>
        <w:t>1.1-20</w:t>
      </w:r>
      <w:r>
        <w:rPr>
          <w:rFonts w:ascii="宋体" w:eastAsia="PMingLiU" w:hAnsi="宋体" w:cs="宋体" w:hint="default"/>
          <w:color w:val="auto"/>
          <w:sz w:val="24"/>
          <w:szCs w:val="24"/>
          <w:lang w:val="zh-TW" w:eastAsia="zh-TW"/>
        </w:rPr>
        <w:t>20</w:t>
      </w:r>
      <w:r>
        <w:rPr>
          <w:rFonts w:ascii="宋体" w:eastAsia="宋体" w:hAnsi="宋体" w:cs="宋体" w:hint="default"/>
          <w:color w:val="auto"/>
          <w:sz w:val="24"/>
          <w:szCs w:val="24"/>
          <w:lang w:val="zh-TW" w:eastAsia="zh-TW"/>
        </w:rPr>
        <w:t>规定进行编写，与其它相关标准没有矛盾和抵触。</w:t>
      </w:r>
    </w:p>
    <w:p w14:paraId="7A9C922A" w14:textId="77777777" w:rsidR="00BA0E1B"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七、贯彻标准的要求和措施建议</w:t>
      </w:r>
    </w:p>
    <w:p w14:paraId="63A05DED" w14:textId="77777777" w:rsidR="00BA0E1B" w:rsidRDefault="00000000">
      <w:pPr>
        <w:framePr w:wrap="auto" w:yAlign="inline"/>
        <w:spacing w:line="360" w:lineRule="auto"/>
        <w:ind w:firstLine="482"/>
        <w:rPr>
          <w:rFonts w:ascii="宋体" w:eastAsia="Arial Unicode MS" w:hAnsi="宋体" w:cs="宋体"/>
          <w:color w:val="auto"/>
          <w:sz w:val="24"/>
          <w:szCs w:val="24"/>
          <w:lang w:val="zh-TW" w:eastAsia="zh-TW"/>
        </w:rPr>
      </w:pPr>
      <w:r>
        <w:rPr>
          <w:rFonts w:ascii="宋体" w:eastAsia="宋体" w:hAnsi="宋体" w:cs="宋体"/>
          <w:color w:val="auto"/>
          <w:sz w:val="24"/>
          <w:szCs w:val="24"/>
          <w:lang w:val="zh-TW"/>
        </w:rPr>
        <w:t>建议</w:t>
      </w:r>
      <w:r>
        <w:rPr>
          <w:rFonts w:ascii="宋体" w:eastAsia="宋体" w:hAnsi="宋体" w:cs="宋体" w:hint="cs"/>
          <w:color w:val="auto"/>
          <w:sz w:val="24"/>
          <w:szCs w:val="24"/>
          <w:lang w:val="zh-TW" w:eastAsia="zh-TW"/>
        </w:rPr>
        <w:t>主要起草单位应通过组织论坛、研讨会、培训班等多种形式，向旅游城市管理部门、景区运营方、相关科研机构及旅游企业等广泛宣传《节假日城市旅游客流监测指标体系及技术规范》的重要性和实用性。通过标准解读和案例分享，提高行业从业人员对标准的理解和应用能力，形成共识，推动标准的广泛实施。</w:t>
      </w:r>
    </w:p>
    <w:p w14:paraId="1A4032EE" w14:textId="77777777" w:rsidR="00BA0E1B" w:rsidRDefault="00000000">
      <w:pPr>
        <w:framePr w:wrap="auto" w:yAlign="inline"/>
        <w:spacing w:line="360" w:lineRule="auto"/>
        <w:ind w:firstLine="482"/>
        <w:rPr>
          <w:rFonts w:ascii="宋体" w:eastAsia="宋体" w:hAnsi="宋体" w:cs="宋体"/>
          <w:color w:val="auto"/>
          <w:sz w:val="24"/>
          <w:szCs w:val="24"/>
          <w:lang w:val="zh-TW" w:eastAsia="zh-TW"/>
        </w:rPr>
      </w:pPr>
      <w:r>
        <w:rPr>
          <w:rFonts w:ascii="宋体" w:eastAsia="宋体" w:hAnsi="宋体" w:cs="宋体" w:hint="cs"/>
          <w:color w:val="auto"/>
          <w:sz w:val="24"/>
          <w:szCs w:val="24"/>
          <w:lang w:val="zh-TW" w:eastAsia="zh-TW"/>
        </w:rPr>
        <w:t>在标准实施过程中，各相关单位应严格按照标准要求，建立健全节假日旅游城市客流监测与预警体系，确保标准的有效执行。同时，应积极收集标准应用过程中出现的问题和好的改进建议，及时反馈给标准起草工作组。</w:t>
      </w:r>
    </w:p>
    <w:p w14:paraId="2BEE822B" w14:textId="77777777" w:rsidR="00BA0E1B" w:rsidRDefault="00000000">
      <w:pPr>
        <w:framePr w:wrap="auto" w:yAlign="inline"/>
        <w:spacing w:line="360" w:lineRule="auto"/>
        <w:ind w:firstLine="482"/>
        <w:rPr>
          <w:rFonts w:ascii="宋体" w:eastAsia="Arial Unicode MS" w:hAnsi="宋体" w:cs="宋体"/>
          <w:color w:val="auto"/>
          <w:sz w:val="24"/>
          <w:szCs w:val="24"/>
          <w:lang w:val="zh-TW" w:eastAsia="zh-TW"/>
        </w:rPr>
      </w:pPr>
      <w:r>
        <w:rPr>
          <w:rFonts w:ascii="宋体" w:eastAsia="宋体" w:hAnsi="宋体" w:cs="宋体" w:hint="cs"/>
          <w:color w:val="auto"/>
          <w:sz w:val="24"/>
          <w:szCs w:val="24"/>
          <w:lang w:val="zh-TW" w:eastAsia="zh-TW"/>
        </w:rPr>
        <w:t>标准起草工作组应根据反馈的问题和改进建议，定期对</w:t>
      </w:r>
      <w:r>
        <w:rPr>
          <w:rFonts w:ascii="宋体" w:eastAsia="宋体" w:hAnsi="宋体" w:cs="宋体"/>
          <w:color w:val="auto"/>
          <w:sz w:val="24"/>
          <w:szCs w:val="24"/>
          <w:lang w:val="zh-TW"/>
        </w:rPr>
        <w:t>标准</w:t>
      </w:r>
      <w:r>
        <w:rPr>
          <w:rFonts w:ascii="宋体" w:eastAsia="宋体" w:hAnsi="宋体" w:cs="宋体" w:hint="cs"/>
          <w:color w:val="auto"/>
          <w:sz w:val="24"/>
          <w:szCs w:val="24"/>
          <w:lang w:val="zh-TW" w:eastAsia="zh-TW"/>
        </w:rPr>
        <w:t>进行修订和完善，以适应旅游业发展的新趋势和新要求。通过持续改进，确保标准的科学性、先进性和实用性，为我国节假日旅游城市客流管</w:t>
      </w:r>
      <w:r>
        <w:rPr>
          <w:rFonts w:ascii="宋体" w:eastAsia="宋体" w:hAnsi="宋体" w:cs="宋体"/>
          <w:color w:val="auto"/>
          <w:sz w:val="24"/>
          <w:szCs w:val="24"/>
          <w:lang w:val="zh-TW"/>
        </w:rPr>
        <w:t>控</w:t>
      </w:r>
      <w:r>
        <w:rPr>
          <w:rFonts w:ascii="宋体" w:eastAsia="宋体" w:hAnsi="宋体" w:cs="宋体" w:hint="cs"/>
          <w:color w:val="auto"/>
          <w:sz w:val="24"/>
          <w:szCs w:val="24"/>
          <w:lang w:val="zh-TW" w:eastAsia="zh-TW"/>
        </w:rPr>
        <w:t>提供有力支撑。</w:t>
      </w:r>
    </w:p>
    <w:p w14:paraId="78047DD0" w14:textId="77777777" w:rsidR="00BA0E1B" w:rsidRDefault="00000000">
      <w:pPr>
        <w:framePr w:wrap="auto" w:yAlign="inline"/>
        <w:spacing w:line="360" w:lineRule="auto"/>
        <w:ind w:firstLine="482"/>
        <w:rPr>
          <w:rFonts w:ascii="宋体" w:eastAsia="宋体" w:hAnsi="宋体" w:cs="宋体"/>
          <w:b/>
          <w:bCs/>
          <w:kern w:val="0"/>
          <w:sz w:val="24"/>
          <w:szCs w:val="24"/>
          <w:lang w:val="zh-TW" w:eastAsia="zh-TW"/>
        </w:rPr>
      </w:pPr>
      <w:r>
        <w:rPr>
          <w:rFonts w:ascii="宋体" w:eastAsia="宋体" w:hAnsi="宋体" w:cs="宋体"/>
          <w:b/>
          <w:bCs/>
          <w:kern w:val="0"/>
          <w:sz w:val="24"/>
          <w:szCs w:val="24"/>
          <w:lang w:val="zh-TW" w:eastAsia="zh-TW"/>
        </w:rPr>
        <w:t>八、标准实施的预期效果</w:t>
      </w:r>
    </w:p>
    <w:p w14:paraId="5F5B9EBB" w14:textId="77777777" w:rsidR="00BA0E1B" w:rsidRDefault="00000000">
      <w:pPr>
        <w:framePr w:wrap="auto" w:yAlign="inline"/>
        <w:spacing w:line="360" w:lineRule="auto"/>
        <w:ind w:firstLine="480"/>
        <w:rPr>
          <w:rFonts w:ascii="宋体" w:eastAsia="宋体" w:hAnsi="宋体" w:cs="宋体"/>
          <w:color w:val="auto"/>
          <w:sz w:val="24"/>
          <w:szCs w:val="24"/>
          <w:lang w:val="zh-TW" w:eastAsia="zh-TW"/>
        </w:rPr>
      </w:pPr>
      <w:r>
        <w:rPr>
          <w:rFonts w:ascii="宋体" w:eastAsia="宋体" w:hAnsi="宋体" w:cs="宋体" w:hint="cs"/>
          <w:color w:val="auto"/>
          <w:sz w:val="24"/>
          <w:szCs w:val="24"/>
          <w:lang w:val="zh-TW" w:eastAsia="zh-TW"/>
        </w:rPr>
        <w:t>通过明确的指标体系和技术方法，本标准将规范节假日城市旅游客流的监测与预测工作，提升旅游管理部门的工作效率和准确性，确保数据的可靠性和一致性。通过实时监测和预测旅游客流，旅游管理部门能够及时发现并应对潜在的客流过载和安全风险，采取有效的疏导和调控措施，保障游客的人身安全和旅游秩序的稳定，从而提升旅游安全管理水平。基于准确的客流数据和预测结果，旅游管理部门可以更加合理地规划和调整旅游资源的分配，包括交通、住宿、餐饮、景区等，以满足游客需求，提升旅游服务质量，同时避免资源浪费和过度拥挤。通过提供及时、准确的客流信息和有效的疏导措施，本标准的实施将提升游客的旅游体验，增强公众对旅游管理部门的信任度和满意度，进而促进旅游业的良性发展。</w:t>
      </w:r>
    </w:p>
    <w:p w14:paraId="58E543AC" w14:textId="77777777" w:rsidR="00BA0E1B" w:rsidRDefault="00BA0E1B">
      <w:pPr>
        <w:framePr w:wrap="auto" w:yAlign="inline"/>
        <w:spacing w:line="360" w:lineRule="auto"/>
        <w:ind w:firstLine="480"/>
        <w:rPr>
          <w:rFonts w:ascii="宋体" w:eastAsia="Arial Unicode MS" w:hAnsi="宋体" w:cs="宋体"/>
          <w:color w:val="auto"/>
          <w:sz w:val="24"/>
          <w:szCs w:val="24"/>
          <w:lang w:val="zh-TW" w:eastAsia="zh-TW"/>
        </w:rPr>
      </w:pPr>
    </w:p>
    <w:sectPr w:rsidR="00BA0E1B">
      <w:headerReference w:type="default" r:id="rId8"/>
      <w:footerReference w:type="default" r:id="rId9"/>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B9F7C" w14:textId="77777777" w:rsidR="00B84999" w:rsidRDefault="00B84999">
      <w:pPr>
        <w:framePr w:wrap="around"/>
        <w:rPr>
          <w:rFonts w:hint="default"/>
        </w:rPr>
      </w:pPr>
      <w:r>
        <w:separator/>
      </w:r>
    </w:p>
  </w:endnote>
  <w:endnote w:type="continuationSeparator" w:id="0">
    <w:p w14:paraId="15EDB2B7" w14:textId="77777777" w:rsidR="00B84999" w:rsidRDefault="00B84999">
      <w:pPr>
        <w:framePr w:wrap="around"/>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Neue">
    <w:altName w:val="Arial"/>
    <w:charset w:val="00"/>
    <w:family w:val="auto"/>
    <w:pitch w:val="default"/>
    <w:sig w:usb0="00000000" w:usb1="00000000"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20CD" w14:textId="77777777" w:rsidR="00BA0E1B" w:rsidRDefault="00BA0E1B">
    <w:pPr>
      <w:pStyle w:val="a6"/>
      <w:framePr w:wrap="auto" w:yAlign="inline"/>
      <w:tabs>
        <w:tab w:val="clear" w:pos="8306"/>
        <w:tab w:val="righ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F14F3" w14:textId="77777777" w:rsidR="00B84999" w:rsidRDefault="00B84999">
      <w:pPr>
        <w:framePr w:wrap="around"/>
        <w:rPr>
          <w:rFonts w:hint="default"/>
        </w:rPr>
      </w:pPr>
      <w:r>
        <w:separator/>
      </w:r>
    </w:p>
  </w:footnote>
  <w:footnote w:type="continuationSeparator" w:id="0">
    <w:p w14:paraId="27C16FFB" w14:textId="77777777" w:rsidR="00B84999" w:rsidRDefault="00B84999">
      <w:pPr>
        <w:framePr w:wrap="around"/>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9CBCC" w14:textId="77777777" w:rsidR="00BA0E1B" w:rsidRDefault="00000000">
    <w:pPr>
      <w:pStyle w:val="ac"/>
      <w:framePr w:wrap="auto" w:yAlign="inline"/>
    </w:pPr>
    <w:r>
      <w:rPr>
        <w:noProof/>
      </w:rPr>
      <mc:AlternateContent>
        <mc:Choice Requires="wps">
          <w:drawing>
            <wp:anchor distT="152400" distB="152400" distL="152400" distR="152400" simplePos="0" relativeHeight="251659264" behindDoc="1" locked="0" layoutInCell="1" allowOverlap="1" wp14:anchorId="63E5ACAE" wp14:editId="7D1E8C7D">
              <wp:simplePos x="0" y="0"/>
              <wp:positionH relativeFrom="page">
                <wp:posOffset>3750945</wp:posOffset>
              </wp:positionH>
              <wp:positionV relativeFrom="page">
                <wp:posOffset>9833610</wp:posOffset>
              </wp:positionV>
              <wp:extent cx="57785" cy="131445"/>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2700" cap="flat">
                        <a:noFill/>
                        <a:miter lim="400000"/>
                      </a:ln>
                      <a:effectLst/>
                    </wps:spPr>
                    <wps:txbx>
                      <w:txbxContent>
                        <w:p w14:paraId="18008C3A" w14:textId="77777777" w:rsidR="00BA0E1B" w:rsidRDefault="00000000">
                          <w:pPr>
                            <w:pStyle w:val="a6"/>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xmlns:wpsCustomData="http://www.wps.cn/officeDocument/2013/wpsCustomData">
          <w:pict>
            <v:shape id="officeArt object" o:spid="_x0000_s1026" o:spt="202" alt="文本框 1" type="#_x0000_t202" style="position:absolute;left:0pt;margin-left:295.35pt;margin-top:774.3pt;height:10.35pt;width:4.55pt;mso-position-horizontal-relative:page;mso-position-vertical-relative:page;z-index:-251657216;mso-width-relative:page;mso-height-relative:page;" filled="f" stroked="f" coordsize="21600,21600" o:gfxdata="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U1QY2gAAAA0BAAAPAAAAAAAAAAEAIAAA&#10;ACIAAABkcnMvZG93bnJldi54bWxQSwECFAAUAAAACACHTuJA98QOIAoCAAD+AwAADgAAAAAAAAAB&#10;ACAAAAApAQAAZHJzL2Uyb0RvYy54bWxQSwUGAAAAAAYABgBZAQAApQUAAAAA&#10;">
              <v:fill on="f" focussize="0,0"/>
              <v:stroke on="f" weight="1pt" miterlimit="4" joinstyle="miter"/>
              <v:imagedata o:title=""/>
              <o:lock v:ext="edit" aspectratio="f"/>
              <v:textbox inset="0mm,0mm,0mm,0mm">
                <w:txbxContent>
                  <w:p w14:paraId="75E76908">
                    <w:pPr>
                      <w:pStyle w:val="3"/>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vanish w:val="0"/>
        <w:color w:val="8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37C542B2"/>
    <w:multiLevelType w:val="multilevel"/>
    <w:tmpl w:val="37C542B2"/>
    <w:lvl w:ilvl="0">
      <w:start w:val="1"/>
      <w:numFmt w:val="japaneseCounting"/>
      <w:lvlText w:val="%1、"/>
      <w:lvlJc w:val="left"/>
      <w:pPr>
        <w:ind w:left="992" w:hanging="510"/>
      </w:pPr>
      <w:rPr>
        <w:rFonts w:eastAsia="宋体"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332605468">
    <w:abstractNumId w:val="0"/>
  </w:num>
  <w:num w:numId="2" w16cid:durableId="1182623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bordersDoNotSurroundHeader/>
  <w:bordersDoNotSurroundFooter/>
  <w:defaultTabStop w:val="420"/>
  <w:characterSpacingControl w:val="compressPunctuation"/>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NjgwNTk5OTQ0NTU1NmVhYzRmNTI1NjRmYzFjNTIifQ=="/>
  </w:docVars>
  <w:rsids>
    <w:rsidRoot w:val="001C1971"/>
    <w:rsid w:val="00001B5B"/>
    <w:rsid w:val="00010B53"/>
    <w:rsid w:val="000117FA"/>
    <w:rsid w:val="00023AB0"/>
    <w:rsid w:val="00050AEC"/>
    <w:rsid w:val="00065802"/>
    <w:rsid w:val="00082FF1"/>
    <w:rsid w:val="000905AB"/>
    <w:rsid w:val="00094129"/>
    <w:rsid w:val="000951F4"/>
    <w:rsid w:val="000C006E"/>
    <w:rsid w:val="000F34CE"/>
    <w:rsid w:val="000F45D3"/>
    <w:rsid w:val="000F4D43"/>
    <w:rsid w:val="000F71FA"/>
    <w:rsid w:val="00102875"/>
    <w:rsid w:val="00136DC2"/>
    <w:rsid w:val="001445DA"/>
    <w:rsid w:val="001C1971"/>
    <w:rsid w:val="00215DD7"/>
    <w:rsid w:val="00226735"/>
    <w:rsid w:val="002512F2"/>
    <w:rsid w:val="00264B72"/>
    <w:rsid w:val="002663D9"/>
    <w:rsid w:val="002665EC"/>
    <w:rsid w:val="0028709D"/>
    <w:rsid w:val="002949DD"/>
    <w:rsid w:val="00295751"/>
    <w:rsid w:val="002D4343"/>
    <w:rsid w:val="002F0550"/>
    <w:rsid w:val="002F0B8B"/>
    <w:rsid w:val="002F3AA6"/>
    <w:rsid w:val="002F3F3E"/>
    <w:rsid w:val="0030564F"/>
    <w:rsid w:val="0031319C"/>
    <w:rsid w:val="003737B4"/>
    <w:rsid w:val="00377697"/>
    <w:rsid w:val="00385D80"/>
    <w:rsid w:val="00391E44"/>
    <w:rsid w:val="00392AF6"/>
    <w:rsid w:val="0039677A"/>
    <w:rsid w:val="003B30F9"/>
    <w:rsid w:val="003D652D"/>
    <w:rsid w:val="004005B0"/>
    <w:rsid w:val="004124EA"/>
    <w:rsid w:val="004178EB"/>
    <w:rsid w:val="004240F0"/>
    <w:rsid w:val="00433554"/>
    <w:rsid w:val="00435909"/>
    <w:rsid w:val="00451318"/>
    <w:rsid w:val="004521B4"/>
    <w:rsid w:val="00453F8D"/>
    <w:rsid w:val="00454885"/>
    <w:rsid w:val="004B46F1"/>
    <w:rsid w:val="004D05EE"/>
    <w:rsid w:val="004D285A"/>
    <w:rsid w:val="004D69E2"/>
    <w:rsid w:val="00504297"/>
    <w:rsid w:val="00525B9B"/>
    <w:rsid w:val="00540A22"/>
    <w:rsid w:val="00546C9F"/>
    <w:rsid w:val="00550AA3"/>
    <w:rsid w:val="00555768"/>
    <w:rsid w:val="0059365C"/>
    <w:rsid w:val="00596DEE"/>
    <w:rsid w:val="005A1418"/>
    <w:rsid w:val="005A6EF5"/>
    <w:rsid w:val="005D27A7"/>
    <w:rsid w:val="005D5F2A"/>
    <w:rsid w:val="00601BF5"/>
    <w:rsid w:val="00617F5B"/>
    <w:rsid w:val="00647AAD"/>
    <w:rsid w:val="00654A01"/>
    <w:rsid w:val="00654B15"/>
    <w:rsid w:val="00686F8A"/>
    <w:rsid w:val="00690041"/>
    <w:rsid w:val="00695C8A"/>
    <w:rsid w:val="006A4054"/>
    <w:rsid w:val="006A5904"/>
    <w:rsid w:val="006A7B9F"/>
    <w:rsid w:val="006C7DCF"/>
    <w:rsid w:val="006D28E6"/>
    <w:rsid w:val="006E4EB5"/>
    <w:rsid w:val="006E4FE8"/>
    <w:rsid w:val="00713B38"/>
    <w:rsid w:val="00716D2A"/>
    <w:rsid w:val="00720891"/>
    <w:rsid w:val="00753EC9"/>
    <w:rsid w:val="007A2BC0"/>
    <w:rsid w:val="007A6EC1"/>
    <w:rsid w:val="007B09D2"/>
    <w:rsid w:val="007C78B9"/>
    <w:rsid w:val="007D7840"/>
    <w:rsid w:val="007F2E1F"/>
    <w:rsid w:val="007F7367"/>
    <w:rsid w:val="00800312"/>
    <w:rsid w:val="00852083"/>
    <w:rsid w:val="00872310"/>
    <w:rsid w:val="00873104"/>
    <w:rsid w:val="008843C7"/>
    <w:rsid w:val="008850BF"/>
    <w:rsid w:val="008A1E38"/>
    <w:rsid w:val="008E73B2"/>
    <w:rsid w:val="00903D18"/>
    <w:rsid w:val="009078BB"/>
    <w:rsid w:val="0092426D"/>
    <w:rsid w:val="0092709E"/>
    <w:rsid w:val="00951C47"/>
    <w:rsid w:val="009618BF"/>
    <w:rsid w:val="0096218D"/>
    <w:rsid w:val="00964B16"/>
    <w:rsid w:val="009936AB"/>
    <w:rsid w:val="00996E92"/>
    <w:rsid w:val="009A07B6"/>
    <w:rsid w:val="009A2906"/>
    <w:rsid w:val="009B4725"/>
    <w:rsid w:val="009C08DA"/>
    <w:rsid w:val="009C333D"/>
    <w:rsid w:val="009C543D"/>
    <w:rsid w:val="009F00BE"/>
    <w:rsid w:val="009F19C0"/>
    <w:rsid w:val="00A14861"/>
    <w:rsid w:val="00A329F7"/>
    <w:rsid w:val="00A369F1"/>
    <w:rsid w:val="00A5039D"/>
    <w:rsid w:val="00A527EA"/>
    <w:rsid w:val="00A61EAA"/>
    <w:rsid w:val="00A7221A"/>
    <w:rsid w:val="00A72D65"/>
    <w:rsid w:val="00A75259"/>
    <w:rsid w:val="00A76DB0"/>
    <w:rsid w:val="00AA10C0"/>
    <w:rsid w:val="00AE5E92"/>
    <w:rsid w:val="00AF5B22"/>
    <w:rsid w:val="00B0520A"/>
    <w:rsid w:val="00B154D0"/>
    <w:rsid w:val="00B1775C"/>
    <w:rsid w:val="00B17C1E"/>
    <w:rsid w:val="00B33BF1"/>
    <w:rsid w:val="00B3497B"/>
    <w:rsid w:val="00B45AE7"/>
    <w:rsid w:val="00B5017B"/>
    <w:rsid w:val="00B516C6"/>
    <w:rsid w:val="00B809D9"/>
    <w:rsid w:val="00B821C3"/>
    <w:rsid w:val="00B84999"/>
    <w:rsid w:val="00B93182"/>
    <w:rsid w:val="00BA0E1B"/>
    <w:rsid w:val="00BA5F93"/>
    <w:rsid w:val="00BE4100"/>
    <w:rsid w:val="00BE44F1"/>
    <w:rsid w:val="00C01246"/>
    <w:rsid w:val="00C223EE"/>
    <w:rsid w:val="00C37A21"/>
    <w:rsid w:val="00C50B12"/>
    <w:rsid w:val="00C731C6"/>
    <w:rsid w:val="00C870A4"/>
    <w:rsid w:val="00C923B3"/>
    <w:rsid w:val="00CC57BB"/>
    <w:rsid w:val="00CC7D25"/>
    <w:rsid w:val="00CD3464"/>
    <w:rsid w:val="00CE046D"/>
    <w:rsid w:val="00CE51C9"/>
    <w:rsid w:val="00CE5FCF"/>
    <w:rsid w:val="00D20D5B"/>
    <w:rsid w:val="00D31C61"/>
    <w:rsid w:val="00D418D7"/>
    <w:rsid w:val="00D42091"/>
    <w:rsid w:val="00D8744D"/>
    <w:rsid w:val="00D92B72"/>
    <w:rsid w:val="00D92D8A"/>
    <w:rsid w:val="00DA1793"/>
    <w:rsid w:val="00DB3344"/>
    <w:rsid w:val="00DC0655"/>
    <w:rsid w:val="00DD1545"/>
    <w:rsid w:val="00DF045C"/>
    <w:rsid w:val="00DF5A59"/>
    <w:rsid w:val="00E045F4"/>
    <w:rsid w:val="00E20101"/>
    <w:rsid w:val="00E21072"/>
    <w:rsid w:val="00E223F5"/>
    <w:rsid w:val="00E42EA4"/>
    <w:rsid w:val="00E476F5"/>
    <w:rsid w:val="00E66352"/>
    <w:rsid w:val="00E86919"/>
    <w:rsid w:val="00E95A59"/>
    <w:rsid w:val="00EA0E6F"/>
    <w:rsid w:val="00EB7D2E"/>
    <w:rsid w:val="00ED4542"/>
    <w:rsid w:val="00ED6663"/>
    <w:rsid w:val="00EE0D56"/>
    <w:rsid w:val="00EE2BFC"/>
    <w:rsid w:val="00EE4186"/>
    <w:rsid w:val="00EF578C"/>
    <w:rsid w:val="00EF79F7"/>
    <w:rsid w:val="00F17D51"/>
    <w:rsid w:val="00F379DE"/>
    <w:rsid w:val="00F4411B"/>
    <w:rsid w:val="00F50968"/>
    <w:rsid w:val="00F609D4"/>
    <w:rsid w:val="00F60ACD"/>
    <w:rsid w:val="00F770A2"/>
    <w:rsid w:val="00F91175"/>
    <w:rsid w:val="00F92653"/>
    <w:rsid w:val="00FB0713"/>
    <w:rsid w:val="00FB455B"/>
    <w:rsid w:val="00FB5D7E"/>
    <w:rsid w:val="00FF4CDC"/>
    <w:rsid w:val="00FF6099"/>
    <w:rsid w:val="062D0592"/>
    <w:rsid w:val="06907B34"/>
    <w:rsid w:val="0C6B2020"/>
    <w:rsid w:val="0CEF76F2"/>
    <w:rsid w:val="139727CB"/>
    <w:rsid w:val="1E8D27EC"/>
    <w:rsid w:val="24AC5E86"/>
    <w:rsid w:val="25215D4A"/>
    <w:rsid w:val="2DD66AA1"/>
    <w:rsid w:val="3D9910E3"/>
    <w:rsid w:val="48580610"/>
    <w:rsid w:val="488A4EC3"/>
    <w:rsid w:val="4C5F21E2"/>
    <w:rsid w:val="536C2A87"/>
    <w:rsid w:val="556E3DBC"/>
    <w:rsid w:val="5BCD355F"/>
    <w:rsid w:val="791974F6"/>
    <w:rsid w:val="7DDB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B0FE"/>
  <w15:docId w15:val="{BDD99E07-F0D0-4CA3-9A46-A520C790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qFormat/>
    <w:pPr>
      <w:framePr w:wrap="around"/>
    </w:pPr>
    <w:rPr>
      <w:sz w:val="18"/>
      <w:szCs w:val="18"/>
    </w:rPr>
  </w:style>
  <w:style w:type="paragraph" w:styleId="a6">
    <w:name w:val="footer"/>
    <w:qFormat/>
    <w:pPr>
      <w:framePr w:wrap="around" w:hAnchor="text" w:y="1"/>
      <w:widowControl w:val="0"/>
      <w:tabs>
        <w:tab w:val="center" w:pos="4153"/>
        <w:tab w:val="right" w:pos="8306"/>
      </w:tabs>
    </w:pPr>
    <w:rPr>
      <w:rFonts w:ascii="Times New Roman" w:eastAsia="Arial Unicode MS" w:hAnsi="Times New Roman" w:cs="Arial Unicode MS"/>
      <w:color w:val="000000"/>
      <w:kern w:val="2"/>
      <w:sz w:val="18"/>
      <w:szCs w:val="18"/>
      <w:u w:color="000000"/>
    </w:rPr>
  </w:style>
  <w:style w:type="paragraph" w:styleId="a7">
    <w:name w:val="header"/>
    <w:basedOn w:val="a0"/>
    <w:link w:val="a8"/>
    <w:qFormat/>
    <w:pPr>
      <w:framePr w:wrap="around"/>
      <w:pBdr>
        <w:bottom w:val="single" w:sz="6" w:space="1" w:color="auto"/>
      </w:pBdr>
      <w:tabs>
        <w:tab w:val="center" w:pos="4153"/>
        <w:tab w:val="right" w:pos="8306"/>
      </w:tabs>
      <w:snapToGrid w:val="0"/>
      <w:jc w:val="center"/>
    </w:pPr>
    <w:rPr>
      <w:sz w:val="18"/>
      <w:szCs w:val="18"/>
    </w:rPr>
  </w:style>
  <w:style w:type="paragraph" w:styleId="a9">
    <w:name w:val="Normal (Web)"/>
    <w:basedOn w:val="a0"/>
    <w:qFormat/>
    <w:pPr>
      <w:framePr w:wrap="around"/>
    </w:pPr>
    <w:rPr>
      <w:sz w:val="24"/>
    </w:rPr>
  </w:style>
  <w:style w:type="character" w:styleId="aa">
    <w:name w:val="Hyperlink"/>
    <w:qFormat/>
    <w:rPr>
      <w:u w:val="single"/>
    </w:rPr>
  </w:style>
  <w:style w:type="paragraph" w:customStyle="1" w:styleId="a">
    <w:name w:val="章标题"/>
    <w:next w:val="ab"/>
    <w:qFormat/>
    <w:pPr>
      <w:numPr>
        <w:numId w:val="1"/>
      </w:numPr>
      <w:spacing w:beforeLines="100" w:before="312" w:afterLines="100" w:after="312"/>
      <w:jc w:val="both"/>
      <w:outlineLvl w:val="1"/>
    </w:pPr>
    <w:rPr>
      <w:rFonts w:ascii="黑体" w:eastAsia="黑体" w:hAnsi="Times New Roman"/>
      <w:sz w:val="21"/>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hAnsi="Times New Roman"/>
      <w:sz w:val="21"/>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1">
    <w:name w:val="列出段落1"/>
    <w:qFormat/>
    <w:pPr>
      <w:framePr w:wrap="around" w:hAnchor="text" w:y="1"/>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8">
    <w:name w:val="页眉 字符"/>
    <w:basedOn w:val="a1"/>
    <w:link w:val="a7"/>
    <w:qFormat/>
    <w:rPr>
      <w:rFonts w:ascii="Arial Unicode MS" w:eastAsia="Times New Roman" w:hAnsi="Arial Unicode MS" w:cs="Arial Unicode MS"/>
      <w:color w:val="000000"/>
      <w:kern w:val="2"/>
      <w:sz w:val="18"/>
      <w:szCs w:val="18"/>
      <w:u w:color="000000"/>
    </w:rPr>
  </w:style>
  <w:style w:type="paragraph" w:customStyle="1" w:styleId="10">
    <w:name w:val="列表段落1"/>
    <w:basedOn w:val="a0"/>
    <w:uiPriority w:val="99"/>
    <w:qFormat/>
    <w:pPr>
      <w:framePr w:wrap="around"/>
      <w:ind w:firstLineChars="200" w:firstLine="420"/>
    </w:pPr>
  </w:style>
  <w:style w:type="character" w:customStyle="1" w:styleId="a5">
    <w:name w:val="批注框文本 字符"/>
    <w:basedOn w:val="a1"/>
    <w:link w:val="a4"/>
    <w:qFormat/>
    <w:rPr>
      <w:rFonts w:ascii="Arial Unicode MS" w:eastAsia="Times New Roman" w:hAnsi="Arial Unicode MS" w:cs="Arial Unicode MS"/>
      <w:color w:val="000000"/>
      <w:kern w:val="2"/>
      <w:sz w:val="18"/>
      <w:szCs w:val="18"/>
      <w:u w:color="000000"/>
    </w:rPr>
  </w:style>
  <w:style w:type="paragraph" w:customStyle="1" w:styleId="ad">
    <w:name w:val="段落"/>
    <w:qFormat/>
    <w:pPr>
      <w:autoSpaceDE w:val="0"/>
      <w:autoSpaceDN w:val="0"/>
      <w:ind w:firstLineChars="200" w:firstLine="420"/>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374</Words>
  <Characters>2135</Characters>
  <Application>Microsoft Office Word</Application>
  <DocSecurity>0</DocSecurity>
  <Lines>17</Lines>
  <Paragraphs>5</Paragraphs>
  <ScaleCrop>false</ScaleCrop>
  <Company>Hewlett-Packard Company</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Yuan HUANG</cp:lastModifiedBy>
  <cp:revision>3</cp:revision>
  <cp:lastPrinted>2019-06-17T03:57:00Z</cp:lastPrinted>
  <dcterms:created xsi:type="dcterms:W3CDTF">2024-10-21T07:41:00Z</dcterms:created>
  <dcterms:modified xsi:type="dcterms:W3CDTF">2024-10-21T07:59:00Z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48985493AEEF497B89997EEEF9572377_12</vt:lpwstr>
  </property>
</Properties>
</file>