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《增容1250KVA配电工程施工规范》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二〇二四年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年全国标准化工作要点，大力推动实施标准化战略，持续深化标准化工作改革，加强标准体系建设，提升引领高质量发展的能力。为响应市场需求，需要制定完善的增容1250KVA配电工程施工规范，满足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</w:rPr>
        <w:t>质量提升需要。依据《中华人民共和国标准化法》，以及《团体标准管理规定》相关规定，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决定立项并联合苏州淞吴电力科技有限公司等相关单位共同制定《增容1250KVA配电工程施工规范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kern w:val="0"/>
          <w:sz w:val="28"/>
          <w:szCs w:val="28"/>
        </w:rPr>
        <w:t>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4672AA5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随着社会经济的发展和生产能力的扩大，原有的电力设施可能无法满足日益增长的用电需求，因此需要通过增容改造提升供电能力。增容改造可以提高电力系统的稳定性和可靠性，确保关键设施和重要区域的电力供应不受影响，减少因电力问题导致的生产中断或服务停止。</w:t>
      </w:r>
    </w:p>
    <w:p w14:paraId="7B72FE2B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编写《增容1250KVA配电工程施工规范》的目的和意义主要体现在以下几个方面：</w:t>
      </w:r>
    </w:p>
    <w:p w14:paraId="1A06C2C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1、确保工程质量：施工规范为施工团队提供了一套标准化的操作指南，确保施工过程中各个环节的质量符合设计要求和相关标准要求。</w:t>
      </w:r>
    </w:p>
    <w:p w14:paraId="57D2D178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2、提高施工效率：通过规范的流程和方法，施工团队可以更高效地进行作业，减少返工和延误，提高工程进度。</w:t>
      </w:r>
    </w:p>
    <w:p w14:paraId="4A75060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3、保障施工安全：规范中会包含安全操作指南，确保施工人员的安全，预防施工过程中可能发生的事故。</w:t>
      </w:r>
    </w:p>
    <w:p w14:paraId="31DA356B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4、便于项目管理：施工规范为项目管理提供了依据，便于项目管理者对施工过程进行监督和控制。</w:t>
      </w:r>
    </w:p>
    <w:p w14:paraId="057DB923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5、历史记录与经验积累：施工规范的编写和实施过程也是企业积累经验、记录历史的过程，为未来类似工程提供参考。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 xml:space="preserve">    本项目旨在借助标准化手段，针对项目所属细分行业的特点，制定相应的标准，填补本行业标准空白，从而规范市场，促进产业标准化应用水平升级，引领行业高质量发展。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月，苏州淞吴电力科技有限公司按照“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关于《增容1250KVA配电工程施工规范》团体标准立项的公告”要求，成立了标准起草工作组。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工作组对国内外增容1250KVA配电工程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技术的现状与发展情况进行了全面调研，同时广泛搜集和检索了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增容电力工程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增容1250KVA配电工程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</w:rPr>
        <w:t>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增容1250KVA配电工程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的技术内容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月提交《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增容1250KVA配电工程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</w:rPr>
        <w:t>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拟定于2023年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苏州淞吴电力科技有限公司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增容1250KVA配电工程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技术要求和验收方法的测试及验证等。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本标准征求意见稿包括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 xml:space="preserve">个部分，主要内容如下： </w:t>
      </w:r>
    </w:p>
    <w:p w14:paraId="3FC1CB7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1、范围 </w:t>
      </w:r>
    </w:p>
    <w:p w14:paraId="7D6B5884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介绍本文件的主要内容以及本文件所适用的领域。 </w:t>
      </w:r>
    </w:p>
    <w:p w14:paraId="33636BB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2、规范性引用文件 </w:t>
      </w:r>
    </w:p>
    <w:p w14:paraId="3CDCA62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列出了本文件引用的标准文件。 </w:t>
      </w:r>
    </w:p>
    <w:p w14:paraId="4CDE692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3、术语和定义 </w:t>
      </w:r>
    </w:p>
    <w:p w14:paraId="1B77044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GB/T 2900.59、GB/T 2900.71 界定的术语和定义适用于本文件。</w:t>
      </w:r>
    </w:p>
    <w:p w14:paraId="59AC5AF8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4、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基本要求</w:t>
      </w:r>
    </w:p>
    <w:p w14:paraId="5DBF074F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从增效扩容改造、施工单位资质与人员要求、施工过程管理三个方面进行规范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A2E0D04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现状分析和评估</w:t>
      </w:r>
    </w:p>
    <w:p w14:paraId="5CED13E2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增容1250KVA配电工程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前的工程现状分析和评估进行规定，包括电站增效扩容改造现状分析与评价应收集的资料、前期工作和机电设备检测和评价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76D7B8E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电气装置安装</w:t>
      </w:r>
    </w:p>
    <w:p w14:paraId="46CC52FD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规定了电气装置安装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应符合的要求，内容包括一般要求、变压器安装、接地装置安装和电缆敷设。</w:t>
      </w:r>
    </w:p>
    <w:p w14:paraId="1C44AFD9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7、试验调试</w:t>
      </w:r>
    </w:p>
    <w:p w14:paraId="703A9C42">
      <w:pPr>
        <w:numPr>
          <w:ilvl w:val="0"/>
          <w:numId w:val="0"/>
        </w:numPr>
        <w:spacing w:line="360" w:lineRule="auto"/>
        <w:ind w:leftChars="0" w:firstLine="56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电气装置安装完成应进行交接试验，明确规定试验调试的要求。</w:t>
      </w:r>
    </w:p>
    <w:p w14:paraId="2128071C">
      <w:pPr>
        <w:numPr>
          <w:ilvl w:val="0"/>
          <w:numId w:val="5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竣工验收</w:t>
      </w:r>
    </w:p>
    <w:p w14:paraId="7F7FB8E9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规定了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电气装置安装工程施工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的竣工验收要求以及不合格处理。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增容1250KVA配电工程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施工规范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</w:t>
      </w:r>
      <w:r>
        <w:rPr>
          <w:rFonts w:hint="eastAsia" w:ascii="宋体" w:hAnsi="宋体" w:eastAsia="宋体"/>
          <w:sz w:val="28"/>
          <w:szCs w:val="28"/>
          <w:lang w:eastAsia="zh-CN"/>
        </w:rPr>
        <w:t>及</w:t>
      </w:r>
      <w:r>
        <w:rPr>
          <w:rFonts w:hint="eastAsia" w:ascii="宋体" w:hAnsi="宋体" w:eastAsia="宋体"/>
          <w:sz w:val="28"/>
          <w:szCs w:val="28"/>
        </w:rPr>
        <w:t>今后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施工技术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发展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法律法规</w:t>
      </w:r>
      <w:r>
        <w:rPr>
          <w:rFonts w:hint="eastAsia" w:ascii="宋体" w:hAnsi="宋体" w:eastAsia="宋体"/>
          <w:b/>
          <w:bCs/>
          <w:sz w:val="28"/>
          <w:szCs w:val="28"/>
        </w:rPr>
        <w:t>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法律法规</w:t>
      </w: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8"/>
          <w:szCs w:val="28"/>
        </w:rPr>
        <w:t>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增容1250KVA配电工程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施工规范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2024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08</w:t>
      </w:r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890BFA5"/>
    <w:multiLevelType w:val="singleLevel"/>
    <w:tmpl w:val="E890BFA5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1DA2BC03"/>
    <w:multiLevelType w:val="singleLevel"/>
    <w:tmpl w:val="1DA2BC03"/>
    <w:lvl w:ilvl="0" w:tentative="0">
      <w:start w:val="6"/>
      <w:numFmt w:val="decimal"/>
      <w:suff w:val="nothing"/>
      <w:lvlText w:val="%1、"/>
      <w:lvlJc w:val="left"/>
    </w:lvl>
  </w:abstractNum>
  <w:abstractNum w:abstractNumId="4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10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D422A52"/>
    <w:rsid w:val="4A322CB3"/>
    <w:rsid w:val="5DBD0751"/>
    <w:rsid w:val="608E3F48"/>
    <w:rsid w:val="638E2325"/>
    <w:rsid w:val="65D4645A"/>
    <w:rsid w:val="6B582350"/>
    <w:rsid w:val="71482EE9"/>
    <w:rsid w:val="7D7864E4"/>
    <w:rsid w:val="7F013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标准文件_段"/>
    <w:basedOn w:val="1"/>
    <w:link w:val="16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6">
    <w:name w:val="标准文件_段 Char"/>
    <w:basedOn w:val="8"/>
    <w:link w:val="15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3006</Words>
  <Characters>3205</Characters>
  <Lines>2</Lines>
  <Paragraphs>1</Paragraphs>
  <TotalTime>4</TotalTime>
  <ScaleCrop>false</ScaleCrop>
  <LinksUpToDate>false</LinksUpToDate>
  <CharactersWithSpaces>3339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2024-10-12T09:28:12Z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E74AD880ED1E481D969A33F3DE7C53B9_12</vt:lpwstr>
  </property>
</Properties>
</file>