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94C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15E8992">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5AEFF8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29.020</w:t>
            </w:r>
            <w:r>
              <w:rPr>
                <w:rFonts w:ascii="黑体" w:hAnsi="黑体" w:eastAsia="黑体"/>
                <w:sz w:val="21"/>
                <w:szCs w:val="21"/>
              </w:rPr>
              <w:fldChar w:fldCharType="end"/>
            </w:r>
            <w:bookmarkEnd w:id="0"/>
          </w:p>
        </w:tc>
      </w:tr>
      <w:tr w14:paraId="2E69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C0B8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865F9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89A2138">
                  <w:pPr>
                    <w:pStyle w:val="49"/>
                    <w:framePr w:wrap="notBeside" w:vAnchor="page" w:hAnchor="page" w:x="1372" w:y="568"/>
                    <w:ind w:left="420" w:right="624"/>
                    <w:rPr>
                      <w:rFonts w:ascii="宋体" w:hAnsi="宋体"/>
                      <w:sz w:val="28"/>
                      <w:szCs w:val="28"/>
                    </w:rPr>
                  </w:pPr>
                  <w:r>
                    <w:rPr>
                      <w:sz w:val="21"/>
                      <w:szCs w:val="21"/>
                    </w:rPr>
                    <w:t xml:space="preserve"> </w:t>
                  </w:r>
                </w:p>
              </w:tc>
            </w:tr>
          </w:tbl>
          <w:p w14:paraId="50A8A49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60</w:t>
            </w:r>
            <w:r>
              <w:rPr>
                <w:rFonts w:ascii="黑体" w:hAnsi="黑体" w:eastAsia="黑体"/>
                <w:sz w:val="21"/>
                <w:szCs w:val="21"/>
              </w:rPr>
              <w:fldChar w:fldCharType="end"/>
            </w:r>
            <w:bookmarkEnd w:id="1"/>
          </w:p>
        </w:tc>
      </w:tr>
    </w:tbl>
    <w:p w14:paraId="02D51F83">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31B798D5">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0CD4C52F">
      <w:pPr>
        <w:pStyle w:val="196"/>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BEFB9A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BFF01D">
      <w:pPr>
        <w:pStyle w:val="50"/>
        <w:framePr w:w="9639" w:h="6976" w:hRule="exact" w:hSpace="0" w:vSpace="0" w:wrap="around" w:hAnchor="page" w:y="6408"/>
        <w:jc w:val="center"/>
        <w:rPr>
          <w:rFonts w:ascii="黑体" w:hAnsi="黑体" w:eastAsia="黑体"/>
          <w:b w:val="0"/>
          <w:bCs w:val="0"/>
          <w:w w:val="100"/>
        </w:rPr>
      </w:pPr>
    </w:p>
    <w:p w14:paraId="1687E6C1">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增容1250KVA配电工程施工规范</w:t>
      </w:r>
      <w:r>
        <w:fldChar w:fldCharType="end"/>
      </w:r>
      <w:bookmarkEnd w:id="7"/>
    </w:p>
    <w:p w14:paraId="1EF71A15">
      <w:pPr>
        <w:framePr w:w="9639" w:h="6974" w:hRule="exact" w:wrap="around" w:vAnchor="page" w:hAnchor="page" w:x="1419" w:y="6408" w:anchorLock="1"/>
        <w:ind w:left="-1418"/>
      </w:pPr>
    </w:p>
    <w:p w14:paraId="27DD556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Specification for construction of 1250KVA power distribution project</w:t>
      </w:r>
      <w:r>
        <w:rPr>
          <w:rFonts w:eastAsia="黑体"/>
          <w:szCs w:val="28"/>
        </w:rPr>
        <w:fldChar w:fldCharType="end"/>
      </w:r>
      <w:bookmarkEnd w:id="8"/>
    </w:p>
    <w:p w14:paraId="29DB77FB">
      <w:pPr>
        <w:framePr w:w="9639" w:h="6974" w:hRule="exact" w:wrap="around" w:vAnchor="page" w:hAnchor="page" w:x="1419" w:y="6408" w:anchorLock="1"/>
        <w:spacing w:line="760" w:lineRule="exact"/>
        <w:ind w:left="-1418"/>
      </w:pPr>
    </w:p>
    <w:p w14:paraId="5CFC3BB1">
      <w:pPr>
        <w:pStyle w:val="125"/>
        <w:framePr w:w="9639" w:h="6974" w:hRule="exact" w:wrap="around" w:vAnchor="page" w:hAnchor="page" w:x="1419" w:y="6408" w:anchorLock="1"/>
        <w:textAlignment w:val="bottom"/>
        <w:rPr>
          <w:rFonts w:eastAsia="黑体"/>
          <w:szCs w:val="28"/>
        </w:rPr>
      </w:pPr>
    </w:p>
    <w:p w14:paraId="1D20EFF6">
      <w:pPr>
        <w:pStyle w:val="125"/>
        <w:framePr w:w="9639" w:h="6974" w:hRule="exact" w:wrap="around" w:vAnchor="page" w:hAnchor="page" w:x="1419" w:y="6408" w:anchorLock="1"/>
        <w:spacing w:before="440" w:after="160"/>
        <w:textAlignment w:val="bottom"/>
        <w:rPr>
          <w:sz w:val="24"/>
          <w:szCs w:val="28"/>
        </w:rPr>
      </w:pPr>
    </w:p>
    <w:p w14:paraId="268CA6D9">
      <w:pPr>
        <w:pStyle w:val="125"/>
        <w:framePr w:w="9639" w:h="6974" w:hRule="exact" w:wrap="around" w:vAnchor="page" w:hAnchor="page" w:x="1419" w:y="6408" w:anchorLock="1"/>
        <w:spacing w:before="180" w:line="240" w:lineRule="atLeast"/>
        <w:textAlignment w:val="bottom"/>
        <w:rPr>
          <w:sz w:val="21"/>
          <w:szCs w:val="28"/>
        </w:rPr>
      </w:pPr>
    </w:p>
    <w:p w14:paraId="3892BC47">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6AFA5A6F">
      <w:pPr>
        <w:pStyle w:val="19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6B987AF6">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5D0B4D0D">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15"/>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4060C0E">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E8D868F">
      <w:pPr>
        <w:pStyle w:val="91"/>
        <w:spacing w:after="360"/>
        <w:rPr>
          <w:rFonts w:hint="eastAsia"/>
        </w:rPr>
      </w:pPr>
      <w:bookmarkStart w:id="16" w:name="BookMark1"/>
      <w:r>
        <w:rPr>
          <w:rFonts w:hint="eastAsia"/>
          <w:spacing w:val="320"/>
        </w:rPr>
        <w:t>目</w:t>
      </w:r>
      <w:r>
        <w:rPr>
          <w:rFonts w:hint="eastAsia"/>
        </w:rPr>
        <w:t>次</w:t>
      </w:r>
    </w:p>
    <w:p w14:paraId="0551CEAC">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"_Toc179645814" </w:instrText>
      </w:r>
      <w:r>
        <w:fldChar w:fldCharType="separate"/>
      </w:r>
      <w:r>
        <w:rPr>
          <w:rStyle w:val="32"/>
          <w:rFonts w:hint="eastAsia"/>
        </w:rPr>
        <w:t>前言</w:t>
      </w:r>
      <w:r>
        <w:tab/>
      </w:r>
      <w:r>
        <w:fldChar w:fldCharType="begin"/>
      </w:r>
      <w:r>
        <w:instrText xml:space="preserve"> PAGEREF _Toc179645814 \h </w:instrText>
      </w:r>
      <w:r>
        <w:fldChar w:fldCharType="separate"/>
      </w:r>
      <w:r>
        <w:t>II</w:t>
      </w:r>
      <w:r>
        <w:fldChar w:fldCharType="end"/>
      </w:r>
      <w:r>
        <w:fldChar w:fldCharType="end"/>
      </w:r>
    </w:p>
    <w:p w14:paraId="424A2C33">
      <w:pPr>
        <w:pStyle w:val="19"/>
        <w:tabs>
          <w:tab w:val="right" w:leader="dot" w:pos="9344"/>
        </w:tabs>
        <w:rPr>
          <w:rFonts w:asciiTheme="minorHAnsi" w:hAnsiTheme="minorHAnsi" w:eastAsiaTheme="minorEastAsia" w:cstheme="minorBidi"/>
          <w:szCs w:val="22"/>
        </w:rPr>
      </w:pPr>
      <w:r>
        <w:fldChar w:fldCharType="begin"/>
      </w:r>
      <w:r>
        <w:instrText xml:space="preserve"> HYPERLINK \l "_Toc179645815" </w:instrText>
      </w:r>
      <w:r>
        <w:fldChar w:fldCharType="separate"/>
      </w:r>
      <w:r>
        <w:rPr>
          <w:rStyle w:val="32"/>
        </w:rPr>
        <w:t xml:space="preserve">1 </w:t>
      </w:r>
      <w:r>
        <w:rPr>
          <w:rStyle w:val="32"/>
          <w:rFonts w:hint="eastAsia"/>
        </w:rPr>
        <w:t xml:space="preserve"> 范围</w:t>
      </w:r>
      <w:r>
        <w:tab/>
      </w:r>
      <w:r>
        <w:fldChar w:fldCharType="begin"/>
      </w:r>
      <w:r>
        <w:instrText xml:space="preserve"> PAGEREF _Toc179645815 \h </w:instrText>
      </w:r>
      <w:r>
        <w:fldChar w:fldCharType="separate"/>
      </w:r>
      <w:r>
        <w:t>1</w:t>
      </w:r>
      <w:r>
        <w:fldChar w:fldCharType="end"/>
      </w:r>
      <w:r>
        <w:fldChar w:fldCharType="end"/>
      </w:r>
    </w:p>
    <w:p w14:paraId="2DC2EDB8">
      <w:pPr>
        <w:pStyle w:val="19"/>
        <w:tabs>
          <w:tab w:val="right" w:leader="dot" w:pos="9344"/>
        </w:tabs>
        <w:rPr>
          <w:rFonts w:asciiTheme="minorHAnsi" w:hAnsiTheme="minorHAnsi" w:eastAsiaTheme="minorEastAsia" w:cstheme="minorBidi"/>
          <w:szCs w:val="22"/>
        </w:rPr>
      </w:pPr>
      <w:r>
        <w:fldChar w:fldCharType="begin"/>
      </w:r>
      <w:r>
        <w:instrText xml:space="preserve"> HYPERLINK \l "_Toc179645816"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_Toc179645816 \h </w:instrText>
      </w:r>
      <w:r>
        <w:fldChar w:fldCharType="separate"/>
      </w:r>
      <w:r>
        <w:t>1</w:t>
      </w:r>
      <w:r>
        <w:fldChar w:fldCharType="end"/>
      </w:r>
      <w:r>
        <w:fldChar w:fldCharType="end"/>
      </w:r>
    </w:p>
    <w:p w14:paraId="64AF9264">
      <w:pPr>
        <w:pStyle w:val="19"/>
        <w:tabs>
          <w:tab w:val="right" w:leader="dot" w:pos="9344"/>
        </w:tabs>
        <w:rPr>
          <w:rFonts w:asciiTheme="minorHAnsi" w:hAnsiTheme="minorHAnsi" w:eastAsiaTheme="minorEastAsia" w:cstheme="minorBidi"/>
          <w:szCs w:val="22"/>
        </w:rPr>
      </w:pPr>
      <w:r>
        <w:fldChar w:fldCharType="begin"/>
      </w:r>
      <w:r>
        <w:instrText xml:space="preserve"> HYPERLINK \l "_Toc179645817"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_Toc179645817 \h </w:instrText>
      </w:r>
      <w:r>
        <w:fldChar w:fldCharType="separate"/>
      </w:r>
      <w:r>
        <w:t>1</w:t>
      </w:r>
      <w:r>
        <w:fldChar w:fldCharType="end"/>
      </w:r>
      <w:r>
        <w:fldChar w:fldCharType="end"/>
      </w:r>
    </w:p>
    <w:p w14:paraId="1E48068C">
      <w:pPr>
        <w:pStyle w:val="19"/>
        <w:tabs>
          <w:tab w:val="right" w:leader="dot" w:pos="9344"/>
        </w:tabs>
        <w:rPr>
          <w:rFonts w:asciiTheme="minorHAnsi" w:hAnsiTheme="minorHAnsi" w:eastAsiaTheme="minorEastAsia" w:cstheme="minorBidi"/>
          <w:szCs w:val="22"/>
        </w:rPr>
      </w:pPr>
      <w:r>
        <w:fldChar w:fldCharType="begin"/>
      </w:r>
      <w:r>
        <w:instrText xml:space="preserve"> HYPERLINK \l "_Toc179645818" </w:instrText>
      </w:r>
      <w:r>
        <w:fldChar w:fldCharType="separate"/>
      </w:r>
      <w:r>
        <w:rPr>
          <w:rStyle w:val="32"/>
        </w:rPr>
        <w:t xml:space="preserve">4 </w:t>
      </w:r>
      <w:r>
        <w:rPr>
          <w:rStyle w:val="32"/>
          <w:rFonts w:hint="eastAsia"/>
        </w:rPr>
        <w:t xml:space="preserve"> 基本要求</w:t>
      </w:r>
      <w:r>
        <w:tab/>
      </w:r>
      <w:r>
        <w:fldChar w:fldCharType="begin"/>
      </w:r>
      <w:r>
        <w:instrText xml:space="preserve"> PAGEREF _Toc179645818 \h </w:instrText>
      </w:r>
      <w:r>
        <w:fldChar w:fldCharType="separate"/>
      </w:r>
      <w:r>
        <w:t>1</w:t>
      </w:r>
      <w:r>
        <w:fldChar w:fldCharType="end"/>
      </w:r>
      <w:r>
        <w:fldChar w:fldCharType="end"/>
      </w:r>
    </w:p>
    <w:p w14:paraId="07E3020A">
      <w:pPr>
        <w:pStyle w:val="19"/>
        <w:tabs>
          <w:tab w:val="right" w:leader="dot" w:pos="9344"/>
        </w:tabs>
        <w:rPr>
          <w:rFonts w:asciiTheme="minorHAnsi" w:hAnsiTheme="minorHAnsi" w:eastAsiaTheme="minorEastAsia" w:cstheme="minorBidi"/>
          <w:szCs w:val="22"/>
        </w:rPr>
      </w:pPr>
      <w:r>
        <w:fldChar w:fldCharType="begin"/>
      </w:r>
      <w:r>
        <w:instrText xml:space="preserve"> HYPERLINK \l "_Toc179645819" </w:instrText>
      </w:r>
      <w:r>
        <w:fldChar w:fldCharType="separate"/>
      </w:r>
      <w:r>
        <w:rPr>
          <w:rStyle w:val="32"/>
        </w:rPr>
        <w:t xml:space="preserve">5 </w:t>
      </w:r>
      <w:r>
        <w:rPr>
          <w:rStyle w:val="32"/>
          <w:rFonts w:hint="eastAsia"/>
        </w:rPr>
        <w:t xml:space="preserve"> 现状分析和评估</w:t>
      </w:r>
      <w:r>
        <w:tab/>
      </w:r>
      <w:r>
        <w:fldChar w:fldCharType="begin"/>
      </w:r>
      <w:r>
        <w:instrText xml:space="preserve"> PAGEREF _Toc179645819 \h </w:instrText>
      </w:r>
      <w:r>
        <w:fldChar w:fldCharType="separate"/>
      </w:r>
      <w:r>
        <w:t>2</w:t>
      </w:r>
      <w:r>
        <w:fldChar w:fldCharType="end"/>
      </w:r>
      <w:r>
        <w:fldChar w:fldCharType="end"/>
      </w:r>
    </w:p>
    <w:p w14:paraId="3AF71591">
      <w:pPr>
        <w:pStyle w:val="19"/>
        <w:tabs>
          <w:tab w:val="right" w:leader="dot" w:pos="9344"/>
        </w:tabs>
        <w:rPr>
          <w:rFonts w:asciiTheme="minorHAnsi" w:hAnsiTheme="minorHAnsi" w:eastAsiaTheme="minorEastAsia" w:cstheme="minorBidi"/>
          <w:szCs w:val="22"/>
        </w:rPr>
      </w:pPr>
      <w:r>
        <w:fldChar w:fldCharType="begin"/>
      </w:r>
      <w:r>
        <w:instrText xml:space="preserve"> HYPERLINK \l "_Toc179645820" </w:instrText>
      </w:r>
      <w:r>
        <w:fldChar w:fldCharType="separate"/>
      </w:r>
      <w:r>
        <w:rPr>
          <w:rStyle w:val="32"/>
        </w:rPr>
        <w:t xml:space="preserve">6 </w:t>
      </w:r>
      <w:r>
        <w:rPr>
          <w:rStyle w:val="32"/>
          <w:rFonts w:hint="eastAsia"/>
        </w:rPr>
        <w:t xml:space="preserve"> 电气装置安装</w:t>
      </w:r>
      <w:r>
        <w:tab/>
      </w:r>
      <w:r>
        <w:fldChar w:fldCharType="begin"/>
      </w:r>
      <w:r>
        <w:instrText xml:space="preserve"> PAGEREF _Toc179645820 \h </w:instrText>
      </w:r>
      <w:r>
        <w:fldChar w:fldCharType="separate"/>
      </w:r>
      <w:r>
        <w:t>3</w:t>
      </w:r>
      <w:r>
        <w:fldChar w:fldCharType="end"/>
      </w:r>
      <w:r>
        <w:fldChar w:fldCharType="end"/>
      </w:r>
    </w:p>
    <w:p w14:paraId="12476CAC">
      <w:pPr>
        <w:pStyle w:val="19"/>
        <w:tabs>
          <w:tab w:val="right" w:leader="dot" w:pos="9344"/>
        </w:tabs>
        <w:rPr>
          <w:rFonts w:asciiTheme="minorHAnsi" w:hAnsiTheme="minorHAnsi" w:eastAsiaTheme="minorEastAsia" w:cstheme="minorBidi"/>
          <w:szCs w:val="22"/>
        </w:rPr>
      </w:pPr>
      <w:r>
        <w:fldChar w:fldCharType="begin"/>
      </w:r>
      <w:r>
        <w:instrText xml:space="preserve"> HYPERLINK \l "_Toc179645821" </w:instrText>
      </w:r>
      <w:r>
        <w:fldChar w:fldCharType="separate"/>
      </w:r>
      <w:r>
        <w:rPr>
          <w:rStyle w:val="32"/>
        </w:rPr>
        <w:t xml:space="preserve">7 </w:t>
      </w:r>
      <w:r>
        <w:rPr>
          <w:rStyle w:val="32"/>
          <w:rFonts w:hint="eastAsia"/>
        </w:rPr>
        <w:t xml:space="preserve"> 试验调试</w:t>
      </w:r>
      <w:r>
        <w:tab/>
      </w:r>
      <w:r>
        <w:fldChar w:fldCharType="begin"/>
      </w:r>
      <w:r>
        <w:instrText xml:space="preserve"> PAGEREF _Toc179645821 \h </w:instrText>
      </w:r>
      <w:r>
        <w:fldChar w:fldCharType="separate"/>
      </w:r>
      <w:r>
        <w:t>5</w:t>
      </w:r>
      <w:r>
        <w:fldChar w:fldCharType="end"/>
      </w:r>
      <w:r>
        <w:fldChar w:fldCharType="end"/>
      </w:r>
    </w:p>
    <w:p w14:paraId="383024CA">
      <w:pPr>
        <w:pStyle w:val="19"/>
        <w:tabs>
          <w:tab w:val="right" w:leader="dot" w:pos="9344"/>
        </w:tabs>
        <w:rPr>
          <w:rFonts w:asciiTheme="minorHAnsi" w:hAnsiTheme="minorHAnsi" w:eastAsiaTheme="minorEastAsia" w:cstheme="minorBidi"/>
          <w:szCs w:val="22"/>
        </w:rPr>
      </w:pPr>
      <w:r>
        <w:fldChar w:fldCharType="begin"/>
      </w:r>
      <w:r>
        <w:instrText xml:space="preserve"> HYPERLINK \l "_Toc179645822" </w:instrText>
      </w:r>
      <w:r>
        <w:fldChar w:fldCharType="separate"/>
      </w:r>
      <w:r>
        <w:rPr>
          <w:rStyle w:val="32"/>
        </w:rPr>
        <w:t xml:space="preserve">8 </w:t>
      </w:r>
      <w:r>
        <w:rPr>
          <w:rStyle w:val="32"/>
          <w:rFonts w:hint="eastAsia"/>
        </w:rPr>
        <w:t xml:space="preserve"> 竣工验收</w:t>
      </w:r>
      <w:r>
        <w:tab/>
      </w:r>
      <w:r>
        <w:fldChar w:fldCharType="begin"/>
      </w:r>
      <w:r>
        <w:instrText xml:space="preserve"> PAGEREF _Toc179645822 \h </w:instrText>
      </w:r>
      <w:r>
        <w:fldChar w:fldCharType="separate"/>
      </w:r>
      <w:r>
        <w:t>6</w:t>
      </w:r>
      <w:r>
        <w:fldChar w:fldCharType="end"/>
      </w:r>
      <w:r>
        <w:fldChar w:fldCharType="end"/>
      </w:r>
    </w:p>
    <w:p w14:paraId="10022C9B">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6"/>
    <w:p w14:paraId="65AB94C8">
      <w:pPr>
        <w:pStyle w:val="89"/>
        <w:spacing w:before="900" w:after="360"/>
      </w:pPr>
      <w:bookmarkStart w:id="17" w:name="_Toc179645814"/>
      <w:bookmarkStart w:id="18" w:name="BookMark2"/>
      <w:r>
        <w:rPr>
          <w:spacing w:val="320"/>
        </w:rPr>
        <w:t>前</w:t>
      </w:r>
      <w:r>
        <w:t>言</w:t>
      </w:r>
      <w:bookmarkEnd w:id="17"/>
    </w:p>
    <w:p w14:paraId="0621668A">
      <w:pPr>
        <w:pStyle w:val="56"/>
        <w:spacing w:line="288" w:lineRule="auto"/>
        <w:ind w:firstLine="420"/>
        <w:rPr>
          <w:rFonts w:hint="eastAsia"/>
        </w:rPr>
      </w:pPr>
      <w:r>
        <w:rPr>
          <w:rFonts w:hint="eastAsia"/>
        </w:rPr>
        <w:t>本文件按照GB/T 1.1—2020《标准化工作导则  第1部分：标准化文件的结构和起草规则》的规定起草。</w:t>
      </w:r>
    </w:p>
    <w:p w14:paraId="5491102B">
      <w:pPr>
        <w:pStyle w:val="56"/>
        <w:spacing w:line="288" w:lineRule="auto"/>
        <w:ind w:firstLine="420"/>
      </w:pPr>
      <w:r>
        <w:t>请注意本文件的某些内容可能涉及专利。本文件的发布机构不承担识别专利的责任。</w:t>
      </w:r>
    </w:p>
    <w:p w14:paraId="1C919A45">
      <w:pPr>
        <w:pStyle w:val="56"/>
        <w:spacing w:line="288" w:lineRule="auto"/>
        <w:ind w:firstLine="420"/>
        <w:rPr>
          <w:rFonts w:hint="eastAsia"/>
        </w:rPr>
      </w:pPr>
      <w:r>
        <w:rPr>
          <w:rFonts w:hint="eastAsia"/>
        </w:rPr>
        <w:t>本文件由苏州淞吴电力科技有限公司提出。</w:t>
      </w:r>
    </w:p>
    <w:p w14:paraId="34E55141">
      <w:pPr>
        <w:pStyle w:val="56"/>
        <w:spacing w:line="288" w:lineRule="auto"/>
        <w:ind w:firstLine="420"/>
        <w:rPr>
          <w:rFonts w:hint="eastAsia"/>
        </w:rPr>
      </w:pPr>
      <w:r>
        <w:rPr>
          <w:rFonts w:hint="eastAsia"/>
        </w:rPr>
        <w:t>本文件由中国中小企业协会归口。</w:t>
      </w:r>
    </w:p>
    <w:p w14:paraId="3B3F630B">
      <w:pPr>
        <w:pStyle w:val="56"/>
        <w:spacing w:line="288" w:lineRule="auto"/>
        <w:ind w:firstLine="420"/>
        <w:rPr>
          <w:rFonts w:hint="eastAsia"/>
        </w:rPr>
      </w:pPr>
      <w:r>
        <w:rPr>
          <w:rFonts w:hint="eastAsia"/>
        </w:rPr>
        <w:t>本文件起草单位：苏州淞吴电力科技有限公司、××××、××××</w:t>
      </w:r>
    </w:p>
    <w:p w14:paraId="3E952AE5">
      <w:pPr>
        <w:pStyle w:val="56"/>
        <w:spacing w:line="288" w:lineRule="auto"/>
        <w:ind w:firstLine="420"/>
        <w:rPr>
          <w:rFonts w:hint="eastAsia"/>
        </w:rPr>
      </w:pPr>
      <w:r>
        <w:rPr>
          <w:rFonts w:hint="eastAsia"/>
        </w:rPr>
        <w:t>本文件主要起草人：××××、××××、××××</w:t>
      </w:r>
    </w:p>
    <w:p w14:paraId="28E97809">
      <w:pPr>
        <w:pStyle w:val="56"/>
        <w:ind w:firstLine="420"/>
      </w:pPr>
    </w:p>
    <w:p w14:paraId="6D6426D5">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18"/>
    <w:p w14:paraId="405FB14B">
      <w:pPr>
        <w:spacing w:line="20" w:lineRule="exact"/>
        <w:jc w:val="center"/>
        <w:rPr>
          <w:rFonts w:ascii="黑体" w:hAnsi="黑体" w:eastAsia="黑体"/>
          <w:sz w:val="32"/>
          <w:szCs w:val="32"/>
        </w:rPr>
      </w:pPr>
      <w:bookmarkStart w:id="19" w:name="BookMark4"/>
    </w:p>
    <w:p w14:paraId="634B2C9E">
      <w:pPr>
        <w:spacing w:line="20" w:lineRule="exact"/>
        <w:jc w:val="center"/>
        <w:rPr>
          <w:rFonts w:ascii="黑体" w:hAnsi="黑体" w:eastAsia="黑体"/>
          <w:sz w:val="32"/>
          <w:szCs w:val="32"/>
        </w:rPr>
      </w:pPr>
    </w:p>
    <w:sdt>
      <w:sdtPr>
        <w:tag w:val="NEW_STAND_NAME"/>
        <w:id w:val="595910757"/>
        <w:lock w:val="sdtLocked"/>
        <w:placeholder>
          <w:docPart w:val="EAA55ABF3A4848499CFDDE5B118EA05F"/>
        </w:placeholder>
      </w:sdtPr>
      <w:sdtContent>
        <w:p w14:paraId="766E18EC">
          <w:pPr>
            <w:pStyle w:val="177"/>
            <w:spacing w:before="240" w:beforeLines="100" w:after="528" w:afterLines="220"/>
          </w:pPr>
          <w:bookmarkStart w:id="20" w:name="NEW_STAND_NAME"/>
          <w:r>
            <w:rPr>
              <w:rFonts w:hint="eastAsia"/>
            </w:rPr>
            <w:t>增容</w:t>
          </w:r>
          <w:r>
            <w:t>1250KVA配电工程施工规范</w:t>
          </w:r>
        </w:p>
      </w:sdtContent>
    </w:sdt>
    <w:bookmarkEnd w:id="20"/>
    <w:p w14:paraId="63E0D75A">
      <w:pPr>
        <w:pStyle w:val="104"/>
        <w:spacing w:before="240" w:after="240"/>
      </w:pPr>
      <w:bookmarkStart w:id="21" w:name="_Toc17233325"/>
      <w:bookmarkStart w:id="22" w:name="_Toc97192964"/>
      <w:bookmarkStart w:id="23" w:name="_Toc26718930"/>
      <w:bookmarkStart w:id="24" w:name="_Toc179645815"/>
      <w:bookmarkStart w:id="25" w:name="_Toc26986771"/>
      <w:bookmarkStart w:id="26" w:name="_Toc26648465"/>
      <w:bookmarkStart w:id="27" w:name="_Toc179635306"/>
      <w:bookmarkStart w:id="28" w:name="_Toc24884218"/>
      <w:bookmarkStart w:id="29" w:name="_Toc17233333"/>
      <w:bookmarkStart w:id="30" w:name="_Toc24884211"/>
      <w:bookmarkStart w:id="31" w:name="_Toc26986530"/>
      <w:r>
        <w:rPr>
          <w:rFonts w:hint="eastAsia"/>
        </w:rPr>
        <w:t>范围</w:t>
      </w:r>
      <w:bookmarkEnd w:id="21"/>
      <w:bookmarkEnd w:id="22"/>
      <w:bookmarkEnd w:id="23"/>
      <w:bookmarkEnd w:id="24"/>
      <w:bookmarkEnd w:id="25"/>
      <w:bookmarkEnd w:id="26"/>
      <w:bookmarkEnd w:id="27"/>
      <w:bookmarkEnd w:id="28"/>
      <w:bookmarkEnd w:id="29"/>
      <w:bookmarkEnd w:id="30"/>
      <w:bookmarkEnd w:id="31"/>
    </w:p>
    <w:p w14:paraId="5FA077C1">
      <w:pPr>
        <w:pStyle w:val="56"/>
        <w:spacing w:line="288" w:lineRule="auto"/>
        <w:ind w:firstLine="420"/>
        <w:rPr>
          <w:rFonts w:hint="eastAsia"/>
        </w:rPr>
      </w:pPr>
      <w:bookmarkStart w:id="32" w:name="_Toc24884219"/>
      <w:bookmarkStart w:id="33" w:name="_Toc17233326"/>
      <w:bookmarkStart w:id="34" w:name="_Toc17233334"/>
      <w:bookmarkStart w:id="35" w:name="_Toc24884212"/>
      <w:bookmarkStart w:id="36" w:name="_Toc26648466"/>
      <w:r>
        <w:t>本文件规定了</w:t>
      </w:r>
      <w:r>
        <w:rPr>
          <w:rFonts w:hint="eastAsia"/>
        </w:rPr>
        <w:t>增容1250KVA配电工程施工的基本要求、现状分析和评估、电气装置安装、试验调试和竣工验收。</w:t>
      </w:r>
    </w:p>
    <w:p w14:paraId="3355BA5D">
      <w:pPr>
        <w:pStyle w:val="56"/>
        <w:spacing w:line="288" w:lineRule="auto"/>
        <w:ind w:firstLine="420"/>
      </w:pPr>
      <w:r>
        <w:rPr>
          <w:rFonts w:hint="eastAsia"/>
        </w:rPr>
        <w:t>本文件适用于增容1250KVA配电工程施工质量控制和验收。</w:t>
      </w:r>
    </w:p>
    <w:p w14:paraId="17C071AB">
      <w:pPr>
        <w:pStyle w:val="104"/>
        <w:spacing w:before="240" w:after="240"/>
      </w:pPr>
      <w:bookmarkStart w:id="37" w:name="_Toc26718931"/>
      <w:bookmarkStart w:id="38" w:name="_Toc26986531"/>
      <w:bookmarkStart w:id="39" w:name="_Toc179645816"/>
      <w:bookmarkStart w:id="40" w:name="_Toc26986772"/>
      <w:bookmarkStart w:id="41" w:name="_Toc179635307"/>
      <w:bookmarkStart w:id="42" w:name="_Toc97192965"/>
      <w:r>
        <w:rPr>
          <w:rFonts w:hint="eastAsia"/>
        </w:rPr>
        <w:t>规范性引用文件</w:t>
      </w:r>
      <w:bookmarkEnd w:id="32"/>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C31B04A7361F45B18615AC7EF577EA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4037D36">
          <w:pPr>
            <w:pStyle w:val="5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6AFBBB5">
      <w:pPr>
        <w:pStyle w:val="56"/>
        <w:spacing w:line="288" w:lineRule="auto"/>
        <w:ind w:firstLine="420"/>
        <w:rPr>
          <w:rFonts w:hint="eastAsia"/>
        </w:rPr>
      </w:pPr>
      <w:bookmarkStart w:id="43" w:name="OLE_LINK58"/>
      <w:bookmarkStart w:id="44" w:name="OLE_LINK43"/>
      <w:r>
        <w:rPr>
          <w:rFonts w:hint="eastAsia"/>
        </w:rPr>
        <w:t xml:space="preserve">GB/T 2900.59 </w:t>
      </w:r>
      <w:bookmarkEnd w:id="43"/>
      <w:r>
        <w:rPr>
          <w:rFonts w:hint="eastAsia"/>
        </w:rPr>
        <w:t xml:space="preserve"> 电工术语  发电、输电及配电 变电站</w:t>
      </w:r>
    </w:p>
    <w:p w14:paraId="1B5972B3">
      <w:pPr>
        <w:pStyle w:val="56"/>
        <w:spacing w:line="288" w:lineRule="auto"/>
        <w:ind w:firstLine="420"/>
        <w:rPr>
          <w:rFonts w:hint="eastAsia"/>
        </w:rPr>
      </w:pPr>
      <w:r>
        <w:rPr>
          <w:rFonts w:hint="eastAsia"/>
        </w:rPr>
        <w:t>GB/T 2900.71  电工术语  电气装置</w:t>
      </w:r>
    </w:p>
    <w:p w14:paraId="3007F663">
      <w:pPr>
        <w:pStyle w:val="56"/>
        <w:spacing w:line="288" w:lineRule="auto"/>
        <w:ind w:firstLine="420"/>
        <w:rPr>
          <w:rFonts w:hint="eastAsia"/>
        </w:rPr>
      </w:pPr>
      <w:r>
        <w:t>GB 5273</w:t>
      </w:r>
      <w:bookmarkEnd w:id="44"/>
      <w:r>
        <w:rPr>
          <w:rFonts w:hint="eastAsia"/>
        </w:rPr>
        <w:t xml:space="preserve">  高压电器端子尺寸标准化</w:t>
      </w:r>
    </w:p>
    <w:p w14:paraId="143BCD9F">
      <w:pPr>
        <w:pStyle w:val="56"/>
        <w:spacing w:line="288" w:lineRule="auto"/>
        <w:ind w:firstLine="420"/>
        <w:rPr>
          <w:rFonts w:hint="eastAsia"/>
        </w:rPr>
      </w:pPr>
      <w:bookmarkStart w:id="45" w:name="OLE_LINK44"/>
      <w:r>
        <w:t>GB/T 14285</w:t>
      </w:r>
      <w:r>
        <w:rPr>
          <w:rFonts w:hint="eastAsia"/>
        </w:rPr>
        <w:t xml:space="preserve"> </w:t>
      </w:r>
      <w:bookmarkEnd w:id="45"/>
      <w:r>
        <w:rPr>
          <w:rFonts w:hint="eastAsia"/>
        </w:rPr>
        <w:t xml:space="preserve"> 继电保护和安全自动装置技术规程</w:t>
      </w:r>
    </w:p>
    <w:p w14:paraId="0DC3AF07">
      <w:pPr>
        <w:pStyle w:val="56"/>
        <w:spacing w:line="288" w:lineRule="auto"/>
        <w:ind w:firstLine="420"/>
        <w:rPr>
          <w:rFonts w:hint="eastAsia"/>
        </w:rPr>
      </w:pPr>
      <w:r>
        <w:t>GB 50147</w:t>
      </w:r>
      <w:r>
        <w:rPr>
          <w:rFonts w:hint="eastAsia"/>
        </w:rPr>
        <w:t xml:space="preserve">  电气装置安装工程  高压电器施工及验收规范</w:t>
      </w:r>
    </w:p>
    <w:p w14:paraId="7BD51043">
      <w:pPr>
        <w:pStyle w:val="56"/>
        <w:spacing w:line="288" w:lineRule="auto"/>
        <w:ind w:firstLine="420"/>
        <w:rPr>
          <w:rFonts w:hint="eastAsia"/>
        </w:rPr>
      </w:pPr>
      <w:bookmarkStart w:id="46" w:name="OLE_LINK12"/>
      <w:bookmarkStart w:id="47" w:name="OLE_LINK17"/>
      <w:r>
        <w:t>GB 50148</w:t>
      </w:r>
      <w:bookmarkEnd w:id="46"/>
      <w:bookmarkEnd w:id="47"/>
      <w:r>
        <w:rPr>
          <w:rFonts w:hint="eastAsia"/>
        </w:rPr>
        <w:t xml:space="preserve">  电气装置安装工程  电力变压器、油浸电抗器、互感器施工及验收规范</w:t>
      </w:r>
    </w:p>
    <w:p w14:paraId="722E7440">
      <w:pPr>
        <w:pStyle w:val="56"/>
        <w:spacing w:line="288" w:lineRule="auto"/>
        <w:ind w:firstLine="420"/>
        <w:rPr>
          <w:rFonts w:hint="eastAsia"/>
        </w:rPr>
      </w:pPr>
      <w:r>
        <w:t>GB 50</w:t>
      </w:r>
      <w:r>
        <w:rPr>
          <w:rFonts w:hint="eastAsia"/>
        </w:rPr>
        <w:t>14</w:t>
      </w:r>
      <w:r>
        <w:t>9</w:t>
      </w:r>
      <w:r>
        <w:rPr>
          <w:rFonts w:hint="eastAsia"/>
        </w:rPr>
        <w:t xml:space="preserve">  电气装置安装工程  母线装置施工及验收规范</w:t>
      </w:r>
    </w:p>
    <w:p w14:paraId="2C2C3CAB">
      <w:pPr>
        <w:pStyle w:val="56"/>
        <w:spacing w:line="288" w:lineRule="auto"/>
        <w:ind w:firstLine="420"/>
        <w:rPr>
          <w:rFonts w:hint="eastAsia"/>
        </w:rPr>
      </w:pPr>
      <w:bookmarkStart w:id="48" w:name="OLE_LINK46"/>
      <w:r>
        <w:t>GB 50150</w:t>
      </w:r>
      <w:bookmarkEnd w:id="48"/>
      <w:r>
        <w:rPr>
          <w:rFonts w:hint="eastAsia"/>
        </w:rPr>
        <w:t xml:space="preserve">  电气装置安装工程  电气设备交接试验标准</w:t>
      </w:r>
    </w:p>
    <w:p w14:paraId="416DF638">
      <w:pPr>
        <w:pStyle w:val="56"/>
        <w:spacing w:line="288" w:lineRule="auto"/>
        <w:ind w:firstLine="420"/>
        <w:rPr>
          <w:rFonts w:hint="eastAsia"/>
        </w:rPr>
      </w:pPr>
      <w:bookmarkStart w:id="49" w:name="OLE_LINK13"/>
      <w:r>
        <w:t>GB 50168</w:t>
      </w:r>
      <w:bookmarkEnd w:id="49"/>
      <w:r>
        <w:rPr>
          <w:rFonts w:hint="eastAsia"/>
        </w:rPr>
        <w:t xml:space="preserve">  电气装置安装工程  电缆线路施工及验收规范</w:t>
      </w:r>
    </w:p>
    <w:p w14:paraId="488546D5">
      <w:pPr>
        <w:pStyle w:val="56"/>
        <w:spacing w:line="288" w:lineRule="auto"/>
        <w:ind w:firstLine="420"/>
        <w:rPr>
          <w:rFonts w:hint="eastAsia"/>
        </w:rPr>
      </w:pPr>
      <w:bookmarkStart w:id="50" w:name="OLE_LINK20"/>
      <w:r>
        <w:t>GB 5016</w:t>
      </w:r>
      <w:r>
        <w:rPr>
          <w:rFonts w:hint="eastAsia"/>
        </w:rPr>
        <w:t>9</w:t>
      </w:r>
      <w:bookmarkEnd w:id="50"/>
      <w:r>
        <w:rPr>
          <w:rFonts w:hint="eastAsia"/>
        </w:rPr>
        <w:t xml:space="preserve">  电气装置安装工程  接地装置施工及验收规范</w:t>
      </w:r>
    </w:p>
    <w:p w14:paraId="2B08470D">
      <w:pPr>
        <w:pStyle w:val="56"/>
        <w:spacing w:line="288" w:lineRule="auto"/>
        <w:ind w:firstLine="420"/>
        <w:rPr>
          <w:rFonts w:hint="eastAsia"/>
        </w:rPr>
      </w:pPr>
      <w:r>
        <w:t>GB 50171</w:t>
      </w:r>
      <w:r>
        <w:rPr>
          <w:rFonts w:hint="eastAsia"/>
        </w:rPr>
        <w:t xml:space="preserve">  电气装置安装工程  盘、柜及二次回路接线施工及验收规范</w:t>
      </w:r>
    </w:p>
    <w:p w14:paraId="0163B99A">
      <w:pPr>
        <w:pStyle w:val="56"/>
        <w:spacing w:line="288" w:lineRule="auto"/>
        <w:ind w:firstLine="420"/>
        <w:rPr>
          <w:rFonts w:hint="eastAsia"/>
        </w:rPr>
      </w:pPr>
      <w:r>
        <w:rPr>
          <w:rFonts w:hint="eastAsia"/>
        </w:rPr>
        <w:t>GB 50173  电气装置安装工程66kV及以下架空电力线路施工及验收规范</w:t>
      </w:r>
    </w:p>
    <w:p w14:paraId="66E2CE50">
      <w:pPr>
        <w:pStyle w:val="56"/>
        <w:spacing w:line="288" w:lineRule="auto"/>
        <w:ind w:firstLine="420"/>
        <w:rPr>
          <w:rFonts w:hint="eastAsia"/>
        </w:rPr>
      </w:pPr>
      <w:r>
        <w:rPr>
          <w:rFonts w:hint="eastAsia"/>
        </w:rPr>
        <w:t>GB 50254  电气装置安装工程  低压电器施工及验收规范</w:t>
      </w:r>
    </w:p>
    <w:p w14:paraId="151790F5">
      <w:pPr>
        <w:pStyle w:val="56"/>
        <w:spacing w:line="288" w:lineRule="auto"/>
        <w:ind w:firstLine="420"/>
        <w:rPr>
          <w:rFonts w:hint="eastAsia"/>
        </w:rPr>
      </w:pPr>
      <w:bookmarkStart w:id="51" w:name="OLE_LINK48"/>
      <w:r>
        <w:t>DL/T 596</w:t>
      </w:r>
      <w:r>
        <w:rPr>
          <w:rFonts w:hint="eastAsia"/>
        </w:rPr>
        <w:t xml:space="preserve"> </w:t>
      </w:r>
      <w:bookmarkEnd w:id="51"/>
      <w:r>
        <w:rPr>
          <w:rFonts w:hint="eastAsia"/>
        </w:rPr>
        <w:t xml:space="preserve"> 电力设备预防性试验规程</w:t>
      </w:r>
    </w:p>
    <w:p w14:paraId="2630591F">
      <w:pPr>
        <w:pStyle w:val="56"/>
        <w:spacing w:line="288" w:lineRule="auto"/>
        <w:ind w:firstLine="420"/>
        <w:rPr>
          <w:rFonts w:hint="eastAsia"/>
        </w:rPr>
      </w:pPr>
      <w:r>
        <w:t>DL/T 5312</w:t>
      </w:r>
      <w:r>
        <w:rPr>
          <w:rFonts w:hint="eastAsia"/>
        </w:rPr>
        <w:t xml:space="preserve">  1000kV变电站电气装置安装工程施工质量检验及评定规程</w:t>
      </w:r>
    </w:p>
    <w:p w14:paraId="5F0D4E0B">
      <w:pPr>
        <w:pStyle w:val="104"/>
        <w:spacing w:before="240" w:after="240"/>
      </w:pPr>
      <w:bookmarkStart w:id="52" w:name="_Toc97192966"/>
      <w:bookmarkStart w:id="53" w:name="_Toc179635308"/>
      <w:bookmarkStart w:id="54" w:name="_Toc179645817"/>
      <w:r>
        <w:rPr>
          <w:rFonts w:hint="eastAsia"/>
          <w:szCs w:val="21"/>
        </w:rPr>
        <w:t>术语和定义</w:t>
      </w:r>
      <w:bookmarkEnd w:id="52"/>
      <w:bookmarkEnd w:id="53"/>
      <w:bookmarkEnd w:id="54"/>
    </w:p>
    <w:sdt>
      <w:sdtPr>
        <w:id w:val="-1909835108"/>
        <w:placeholder>
          <w:docPart w:val="991696C7FB364D22B5DE3C6428EDEA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01FF57B">
          <w:pPr>
            <w:pStyle w:val="56"/>
            <w:ind w:firstLine="420"/>
            <w:rPr>
              <w:rFonts w:hint="eastAsia"/>
            </w:rPr>
          </w:pPr>
          <w:bookmarkStart w:id="55" w:name="_Toc26986532"/>
          <w:bookmarkEnd w:id="55"/>
          <w:r>
            <w:rPr>
              <w:rFonts w:hint="eastAsia"/>
            </w:rPr>
            <w:t xml:space="preserve">GB/T 2900.59、GB/T 2900.71 </w:t>
          </w:r>
          <w:r>
            <w:t>界定的术语和定义适用于本文件。</w:t>
          </w:r>
        </w:p>
      </w:sdtContent>
    </w:sdt>
    <w:p w14:paraId="343872F0">
      <w:pPr>
        <w:pStyle w:val="104"/>
        <w:spacing w:before="240" w:after="240"/>
        <w:rPr>
          <w:rFonts w:hint="eastAsia"/>
        </w:rPr>
      </w:pPr>
      <w:bookmarkStart w:id="56" w:name="_Toc179645818"/>
      <w:r>
        <w:t>基本要求</w:t>
      </w:r>
      <w:bookmarkEnd w:id="56"/>
    </w:p>
    <w:p w14:paraId="5CD68279">
      <w:pPr>
        <w:pStyle w:val="105"/>
        <w:spacing w:before="120" w:after="120"/>
        <w:rPr>
          <w:rFonts w:hint="eastAsia"/>
        </w:rPr>
      </w:pPr>
      <w:r>
        <w:rPr>
          <w:rFonts w:hint="eastAsia"/>
        </w:rPr>
        <w:t>增效扩容改造</w:t>
      </w:r>
    </w:p>
    <w:p w14:paraId="6809666B">
      <w:pPr>
        <w:pStyle w:val="165"/>
        <w:spacing w:line="288" w:lineRule="auto"/>
        <w:rPr>
          <w:rFonts w:hint="eastAsia"/>
        </w:rPr>
      </w:pPr>
      <w:r>
        <w:rPr>
          <w:rFonts w:hint="eastAsia"/>
        </w:rPr>
        <w:t>增效扩容改造以提高综合能效和安全性能、促进资源综合利用、维护生态健康为目标。改造内容应以机电设备技术更新改造为重点。</w:t>
      </w:r>
    </w:p>
    <w:p w14:paraId="06C4E075">
      <w:pPr>
        <w:pStyle w:val="165"/>
        <w:spacing w:line="288" w:lineRule="auto"/>
        <w:rPr>
          <w:rFonts w:hint="eastAsia"/>
        </w:rPr>
      </w:pPr>
      <w:r>
        <w:rPr>
          <w:rFonts w:hint="eastAsia"/>
        </w:rPr>
        <w:t>增效扩容改造前应编制相关设计文件，收集、整理和分析相关资料，包括电站原设计、运行和接入系统资料，开展必要的现场调查和勘测，对电站增效扩容改造的必要性和可行性进行评价。</w:t>
      </w:r>
    </w:p>
    <w:p w14:paraId="52CE6AC6">
      <w:pPr>
        <w:pStyle w:val="165"/>
        <w:spacing w:line="288" w:lineRule="auto"/>
        <w:rPr>
          <w:rFonts w:hint="eastAsia"/>
        </w:rPr>
      </w:pPr>
      <w:r>
        <w:rPr>
          <w:rFonts w:hint="eastAsia"/>
        </w:rPr>
        <w:t>电站增效扩容改造应遵循安全、生态、节能、环境友好的设计理念，机电设备更新改造应从实际出发，充分利用原有设施或设备，积极采用技术先进、安全可靠、节能环保的设备和技术。</w:t>
      </w:r>
    </w:p>
    <w:p w14:paraId="21F70DDD">
      <w:pPr>
        <w:pStyle w:val="165"/>
        <w:spacing w:line="288" w:lineRule="auto"/>
        <w:rPr>
          <w:rFonts w:hint="eastAsia"/>
        </w:rPr>
      </w:pPr>
      <w:r>
        <w:rPr>
          <w:rFonts w:hint="eastAsia"/>
        </w:rPr>
        <w:t>电站增效扩容改造除应满足本文件要求外，还应符合国家现行相关标准的规定。</w:t>
      </w:r>
    </w:p>
    <w:p w14:paraId="2554EA51">
      <w:pPr>
        <w:pStyle w:val="105"/>
        <w:spacing w:before="120" w:after="120"/>
        <w:rPr>
          <w:rFonts w:hint="eastAsia"/>
        </w:rPr>
      </w:pPr>
      <w:r>
        <w:rPr>
          <w:rFonts w:hint="eastAsia"/>
        </w:rPr>
        <w:t>施工单位资质与人员要求</w:t>
      </w:r>
    </w:p>
    <w:p w14:paraId="55A0C0FF">
      <w:pPr>
        <w:pStyle w:val="165"/>
        <w:spacing w:line="288" w:lineRule="auto"/>
        <w:rPr>
          <w:rFonts w:hint="eastAsia"/>
        </w:rPr>
      </w:pPr>
      <w:r>
        <w:rPr>
          <w:rFonts w:hint="eastAsia"/>
        </w:rPr>
        <w:t>施工单位应具备相应的电力工程施工总承包或专业承包资质，且在资质等级许可的范围内承揽工程。</w:t>
      </w:r>
    </w:p>
    <w:p w14:paraId="194DE5DB">
      <w:pPr>
        <w:pStyle w:val="165"/>
        <w:spacing w:line="288" w:lineRule="auto"/>
        <w:rPr>
          <w:rFonts w:hint="eastAsia"/>
        </w:rPr>
      </w:pPr>
      <w:r>
        <w:t>施工人员应经过专业培训，具备相应的专业技能和资格证书。特种作业人员应持证上岗。</w:t>
      </w:r>
    </w:p>
    <w:p w14:paraId="4AA6B95B">
      <w:pPr>
        <w:pStyle w:val="105"/>
        <w:spacing w:before="120" w:after="120"/>
        <w:rPr>
          <w:rFonts w:hint="eastAsia"/>
        </w:rPr>
      </w:pPr>
      <w:r>
        <w:rPr>
          <w:rFonts w:hint="eastAsia"/>
        </w:rPr>
        <w:t>施工过程管理</w:t>
      </w:r>
    </w:p>
    <w:p w14:paraId="605506D6">
      <w:pPr>
        <w:pStyle w:val="165"/>
        <w:spacing w:line="288" w:lineRule="auto"/>
        <w:rPr>
          <w:rFonts w:hint="eastAsia"/>
        </w:rPr>
      </w:pPr>
      <w:r>
        <w:rPr>
          <w:rFonts w:hint="eastAsia"/>
        </w:rPr>
        <w:t>严格按照设计图纸、技术标准和施工规范进行施工，确保工程质量。</w:t>
      </w:r>
    </w:p>
    <w:p w14:paraId="495A6385">
      <w:pPr>
        <w:pStyle w:val="165"/>
        <w:spacing w:line="288" w:lineRule="auto"/>
        <w:rPr>
          <w:rFonts w:hint="eastAsia"/>
        </w:rPr>
      </w:pPr>
      <w:r>
        <w:rPr>
          <w:rFonts w:hint="eastAsia"/>
        </w:rPr>
        <w:t>建立健全质量保证体系和安全管理体系，加强施工过程中的质量控制和安全管理。质量保证体系应包括质量目标、质量管理机构、质量管理制度、质量控制措施等内容。安全管理体系应包括安全目标、安全管理机构、安全管理制度、安全技术措施等内容。</w:t>
      </w:r>
    </w:p>
    <w:p w14:paraId="6BA745DD">
      <w:pPr>
        <w:pStyle w:val="165"/>
        <w:spacing w:line="288" w:lineRule="auto"/>
        <w:rPr>
          <w:rFonts w:hint="eastAsia"/>
        </w:rPr>
      </w:pPr>
      <w:r>
        <w:rPr>
          <w:rFonts w:hint="eastAsia"/>
        </w:rPr>
        <w:t>应加强施工过程中的进度控制，按照施工进度计划组织施工，确保工程按时完成。</w:t>
      </w:r>
    </w:p>
    <w:p w14:paraId="1833B841">
      <w:pPr>
        <w:pStyle w:val="165"/>
        <w:spacing w:line="288" w:lineRule="auto"/>
        <w:rPr>
          <w:rFonts w:hint="eastAsia"/>
        </w:rPr>
      </w:pPr>
      <w:r>
        <w:rPr>
          <w:rFonts w:hint="eastAsia"/>
        </w:rPr>
        <w:t>应做好施工过程中的资料管理，及时收集、整理和归档施工过程中的各种资料。</w:t>
      </w:r>
    </w:p>
    <w:p w14:paraId="4BDBA2E8">
      <w:pPr>
        <w:pStyle w:val="104"/>
        <w:spacing w:before="240" w:after="240"/>
        <w:rPr>
          <w:rFonts w:hint="eastAsia"/>
        </w:rPr>
      </w:pPr>
      <w:bookmarkStart w:id="57" w:name="_Toc179645819"/>
      <w:r>
        <w:t>现状分析和评估</w:t>
      </w:r>
      <w:bookmarkEnd w:id="57"/>
    </w:p>
    <w:p w14:paraId="064367BE">
      <w:pPr>
        <w:pStyle w:val="105"/>
        <w:spacing w:before="120" w:after="120"/>
        <w:rPr>
          <w:rFonts w:hint="eastAsia"/>
        </w:rPr>
      </w:pPr>
      <w:r>
        <w:t>资料</w:t>
      </w:r>
    </w:p>
    <w:p w14:paraId="6035C148">
      <w:pPr>
        <w:pStyle w:val="165"/>
        <w:numPr>
          <w:ilvl w:val="0"/>
          <w:numId w:val="0"/>
        </w:numPr>
        <w:spacing w:line="288" w:lineRule="auto"/>
        <w:ind w:firstLine="420" w:firstLineChars="200"/>
        <w:rPr>
          <w:rFonts w:hint="eastAsia"/>
        </w:rPr>
      </w:pPr>
      <w:r>
        <w:rPr>
          <w:rFonts w:hint="eastAsia"/>
        </w:rPr>
        <w:t>电站增效扩容改造现状分析与评价应收集的资料包括：</w:t>
      </w:r>
    </w:p>
    <w:p w14:paraId="76DD165D">
      <w:pPr>
        <w:pStyle w:val="174"/>
        <w:spacing w:line="288" w:lineRule="auto"/>
        <w:rPr>
          <w:rFonts w:hint="eastAsia"/>
        </w:rPr>
      </w:pPr>
      <w:r>
        <w:rPr>
          <w:rFonts w:hint="eastAsia"/>
        </w:rPr>
        <w:t>电站现有工程设计资料，以及现有设施、设备的竣工和运行资料；</w:t>
      </w:r>
    </w:p>
    <w:p w14:paraId="64496154">
      <w:pPr>
        <w:pStyle w:val="174"/>
        <w:spacing w:line="288" w:lineRule="auto"/>
        <w:rPr>
          <w:rFonts w:hint="eastAsia"/>
        </w:rPr>
      </w:pPr>
      <w:r>
        <w:rPr>
          <w:rFonts w:hint="eastAsia"/>
        </w:rPr>
        <w:t>电站现有设施、设备的安全检测和性能测试资料；</w:t>
      </w:r>
    </w:p>
    <w:p w14:paraId="705A4CA8">
      <w:pPr>
        <w:pStyle w:val="174"/>
        <w:spacing w:line="288" w:lineRule="auto"/>
        <w:rPr>
          <w:rFonts w:hint="eastAsia"/>
        </w:rPr>
      </w:pPr>
      <w:r>
        <w:rPr>
          <w:rFonts w:hint="eastAsia"/>
        </w:rPr>
        <w:t>必要的工程地质资料、运行情况及存在的问题，以便进行综合评价或说明；</w:t>
      </w:r>
    </w:p>
    <w:p w14:paraId="04BE8967">
      <w:pPr>
        <w:pStyle w:val="174"/>
        <w:spacing w:line="288" w:lineRule="auto"/>
        <w:rPr>
          <w:rFonts w:hint="eastAsia"/>
        </w:rPr>
      </w:pPr>
      <w:r>
        <w:rPr>
          <w:rFonts w:hint="eastAsia"/>
        </w:rPr>
        <w:t>电站废水、废气、噪声等相关环境保护和评价资料；</w:t>
      </w:r>
    </w:p>
    <w:p w14:paraId="4DF6C9CA">
      <w:pPr>
        <w:pStyle w:val="174"/>
        <w:spacing w:line="288" w:lineRule="auto"/>
        <w:rPr>
          <w:rFonts w:hint="eastAsia"/>
        </w:rPr>
      </w:pPr>
      <w:r>
        <w:rPr>
          <w:rFonts w:hint="eastAsia"/>
        </w:rPr>
        <w:t>对发电系统的资料进行调查和评价，检查是否存在制约增效扩容的情况；</w:t>
      </w:r>
    </w:p>
    <w:p w14:paraId="2EEC7273">
      <w:pPr>
        <w:pStyle w:val="174"/>
        <w:spacing w:line="288" w:lineRule="auto"/>
        <w:rPr>
          <w:rFonts w:hint="eastAsia"/>
        </w:rPr>
      </w:pPr>
      <w:r>
        <w:rPr>
          <w:rFonts w:hint="eastAsia"/>
        </w:rPr>
        <w:t>其他相关资料。</w:t>
      </w:r>
    </w:p>
    <w:p w14:paraId="4F7DB7A3">
      <w:pPr>
        <w:pStyle w:val="105"/>
        <w:spacing w:before="120" w:after="120"/>
        <w:rPr>
          <w:rFonts w:hint="eastAsia"/>
        </w:rPr>
      </w:pPr>
      <w:r>
        <w:rPr>
          <w:rFonts w:hint="eastAsia"/>
        </w:rPr>
        <w:t>前期工作</w:t>
      </w:r>
    </w:p>
    <w:p w14:paraId="744C4CF4">
      <w:pPr>
        <w:pStyle w:val="65"/>
        <w:numPr>
          <w:ilvl w:val="0"/>
          <w:numId w:val="0"/>
        </w:numPr>
        <w:spacing w:before="0" w:beforeLines="0" w:after="0" w:afterLines="0" w:line="288" w:lineRule="auto"/>
        <w:ind w:firstLine="420" w:firstLineChars="200"/>
        <w:rPr>
          <w:rFonts w:hint="eastAsia" w:ascii="宋体" w:eastAsia="宋体"/>
        </w:rPr>
      </w:pPr>
      <w:r>
        <w:rPr>
          <w:rFonts w:hint="eastAsia" w:ascii="宋体" w:eastAsia="宋体"/>
        </w:rPr>
        <w:t>电站增效扩容改造现状分析与评价的前期工作内容包括：</w:t>
      </w:r>
    </w:p>
    <w:p w14:paraId="309B9E8F">
      <w:pPr>
        <w:pStyle w:val="174"/>
        <w:numPr>
          <w:ilvl w:val="0"/>
          <w:numId w:val="32"/>
        </w:numPr>
        <w:spacing w:line="288" w:lineRule="auto"/>
        <w:rPr>
          <w:rFonts w:hint="eastAsia"/>
        </w:rPr>
      </w:pPr>
      <w:r>
        <w:rPr>
          <w:rFonts w:hint="eastAsia"/>
        </w:rPr>
        <w:t>对电站现状基本情况、运行状况、存在问题、规划目标等进行综合分析，对电站现状综合能效进行评价，比较其与先进机电设备能效的差距，分析提高电站综合能效的可行性，提出增效扩容改造或增效改造、技术改造、更新改造的分析评价意见；</w:t>
      </w:r>
    </w:p>
    <w:p w14:paraId="3915F740">
      <w:pPr>
        <w:pStyle w:val="174"/>
        <w:numPr>
          <w:ilvl w:val="0"/>
          <w:numId w:val="32"/>
        </w:numPr>
        <w:spacing w:line="288" w:lineRule="auto"/>
        <w:rPr>
          <w:rFonts w:hint="eastAsia"/>
        </w:rPr>
      </w:pPr>
      <w:r>
        <w:rPr>
          <w:rFonts w:hint="eastAsia"/>
        </w:rPr>
        <w:t>根据电站设施、设备现状，结合电站建成以来的运行情况，复核电站上下游特征水位，综合考虑机组基本特性，提出增效改造或增效扩容改造的可行性和必要性评价；</w:t>
      </w:r>
    </w:p>
    <w:p w14:paraId="464F6FCA">
      <w:pPr>
        <w:pStyle w:val="174"/>
        <w:numPr>
          <w:ilvl w:val="0"/>
          <w:numId w:val="32"/>
        </w:numPr>
        <w:spacing w:line="288" w:lineRule="auto"/>
        <w:rPr>
          <w:rFonts w:hint="eastAsia"/>
        </w:rPr>
      </w:pPr>
      <w:r>
        <w:rPr>
          <w:rFonts w:hint="eastAsia"/>
        </w:rPr>
        <w:t>根据机电设备现状、存在问题以及机电设备检测与评估等资料，对机电和金属结构设备等提出安全性分析评价意见。</w:t>
      </w:r>
    </w:p>
    <w:p w14:paraId="725C0129">
      <w:pPr>
        <w:pStyle w:val="105"/>
        <w:spacing w:before="120" w:after="120"/>
        <w:rPr>
          <w:rFonts w:hint="eastAsia"/>
        </w:rPr>
      </w:pPr>
      <w:r>
        <w:t>机电设备检测和评价</w:t>
      </w:r>
    </w:p>
    <w:p w14:paraId="0AED771B">
      <w:pPr>
        <w:pStyle w:val="165"/>
        <w:spacing w:line="288" w:lineRule="auto"/>
        <w:rPr>
          <w:rFonts w:hint="eastAsia"/>
        </w:rPr>
      </w:pPr>
      <w:r>
        <w:rPr>
          <w:rFonts w:hint="eastAsia"/>
        </w:rPr>
        <w:t>对于列入增效扩容改造的设备，应进行设备安全检测与评价。</w:t>
      </w:r>
    </w:p>
    <w:p w14:paraId="66DD8E24">
      <w:pPr>
        <w:pStyle w:val="165"/>
        <w:spacing w:line="288" w:lineRule="auto"/>
        <w:rPr>
          <w:rFonts w:hint="eastAsia"/>
        </w:rPr>
      </w:pPr>
      <w:r>
        <w:rPr>
          <w:rFonts w:hint="eastAsia"/>
        </w:rPr>
        <w:t>发电机检测与评价对象应包括定子、转子、推力轴承、导轴承、机架、制动系统、冷却系统及辅助设备。发电机现场测试应根据现场检查情况和实际运行情况有选择地进行。</w:t>
      </w:r>
    </w:p>
    <w:p w14:paraId="28612EDB">
      <w:pPr>
        <w:pStyle w:val="165"/>
        <w:spacing w:line="288" w:lineRule="auto"/>
        <w:rPr>
          <w:rFonts w:hint="eastAsia"/>
        </w:rPr>
      </w:pPr>
      <w:r>
        <w:rPr>
          <w:rFonts w:hint="eastAsia"/>
        </w:rPr>
        <w:t>电站辅助系统设备检测与评价对象应包括油、气、水管路系统以及采暖通风与消防系统设备。</w:t>
      </w:r>
    </w:p>
    <w:p w14:paraId="43F78464">
      <w:pPr>
        <w:pStyle w:val="165"/>
        <w:spacing w:line="288" w:lineRule="auto"/>
        <w:rPr>
          <w:rFonts w:hint="eastAsia"/>
        </w:rPr>
      </w:pPr>
      <w:r>
        <w:rPr>
          <w:rFonts w:hint="eastAsia"/>
        </w:rPr>
        <w:t xml:space="preserve">电气一次设备检测与评价对象应包括主变压器、厂用变压器、断路器、隔离开关、互感器、电力电缆、母线及架构、防雷/避雷装置、接地装置、照明及安全设施等。电气一次设备现场测试应根据现场检查和运行情况进行，现场检测应符合 </w:t>
      </w:r>
      <w:bookmarkStart w:id="58" w:name="OLE_LINK33"/>
      <w:bookmarkStart w:id="59" w:name="OLE_LINK32"/>
      <w:r>
        <w:rPr>
          <w:rFonts w:hint="eastAsia"/>
        </w:rPr>
        <w:t>GB 50150</w:t>
      </w:r>
      <w:bookmarkEnd w:id="58"/>
      <w:bookmarkEnd w:id="59"/>
      <w:r>
        <w:rPr>
          <w:rFonts w:hint="eastAsia"/>
        </w:rPr>
        <w:t xml:space="preserve"> 和</w:t>
      </w:r>
      <w:bookmarkStart w:id="60" w:name="OLE_LINK34"/>
      <w:r>
        <w:rPr>
          <w:rFonts w:hint="eastAsia"/>
        </w:rPr>
        <w:t>DL/T 596</w:t>
      </w:r>
      <w:bookmarkEnd w:id="60"/>
      <w:r>
        <w:rPr>
          <w:rFonts w:hint="eastAsia"/>
        </w:rPr>
        <w:t xml:space="preserve"> 的相关规定。</w:t>
      </w:r>
    </w:p>
    <w:p w14:paraId="40F48323">
      <w:pPr>
        <w:pStyle w:val="165"/>
        <w:spacing w:line="288" w:lineRule="auto"/>
      </w:pPr>
      <w:r>
        <w:rPr>
          <w:rFonts w:hint="eastAsia"/>
        </w:rPr>
        <w:t xml:space="preserve">电气二次设备检测与评价对象应包括测量、控制和保护设备及其他辅助设备。电气二次设备现场测试应根据现场检查和运行情况进行，现场测试应符合 </w:t>
      </w:r>
      <w:bookmarkStart w:id="61" w:name="OLE_LINK35"/>
      <w:r>
        <w:rPr>
          <w:rFonts w:hint="eastAsia"/>
        </w:rPr>
        <w:t>GB/T 14285</w:t>
      </w:r>
      <w:bookmarkEnd w:id="61"/>
      <w:r>
        <w:rPr>
          <w:rFonts w:hint="eastAsia"/>
        </w:rPr>
        <w:t xml:space="preserve"> 的相关规定。</w:t>
      </w:r>
      <w:r>
        <w:t xml:space="preserve"> </w:t>
      </w:r>
    </w:p>
    <w:p w14:paraId="3620D70E">
      <w:pPr>
        <w:pStyle w:val="104"/>
        <w:spacing w:before="240" w:after="240"/>
        <w:rPr>
          <w:rFonts w:hint="eastAsia"/>
        </w:rPr>
      </w:pPr>
      <w:bookmarkStart w:id="62" w:name="_Toc179645820"/>
      <w:r>
        <w:rPr>
          <w:rFonts w:hint="eastAsia"/>
        </w:rPr>
        <w:t>电气装置安装</w:t>
      </w:r>
      <w:bookmarkEnd w:id="62"/>
    </w:p>
    <w:p w14:paraId="67C57521">
      <w:pPr>
        <w:pStyle w:val="105"/>
        <w:spacing w:before="120" w:after="120"/>
        <w:rPr>
          <w:rFonts w:hint="eastAsia"/>
        </w:rPr>
      </w:pPr>
      <w:r>
        <w:rPr>
          <w:rFonts w:hint="eastAsia"/>
        </w:rPr>
        <w:t>一般规定</w:t>
      </w:r>
    </w:p>
    <w:p w14:paraId="2766653A">
      <w:pPr>
        <w:pStyle w:val="65"/>
        <w:spacing w:before="0" w:beforeLines="0" w:after="0" w:afterLines="0" w:line="288" w:lineRule="auto"/>
        <w:rPr>
          <w:rFonts w:hint="eastAsia" w:ascii="宋体" w:eastAsia="宋体"/>
        </w:rPr>
      </w:pPr>
      <w:r>
        <w:rPr>
          <w:rFonts w:hint="eastAsia" w:ascii="宋体" w:eastAsia="宋体"/>
        </w:rPr>
        <w:t>安装工程应按已批准的设计图纸和产品技术文件进行施工。</w:t>
      </w:r>
    </w:p>
    <w:p w14:paraId="72406B4D">
      <w:pPr>
        <w:pStyle w:val="165"/>
        <w:spacing w:line="288" w:lineRule="auto"/>
        <w:rPr>
          <w:rFonts w:hint="eastAsia"/>
        </w:rPr>
      </w:pPr>
      <w:r>
        <w:rPr>
          <w:rFonts w:hint="eastAsia"/>
        </w:rPr>
        <w:t xml:space="preserve">电气装置安装工程应按 </w:t>
      </w:r>
      <w:bookmarkStart w:id="63" w:name="OLE_LINK7"/>
      <w:r>
        <w:rPr>
          <w:rFonts w:hint="eastAsia"/>
        </w:rPr>
        <w:t>GB 50147</w:t>
      </w:r>
      <w:bookmarkEnd w:id="63"/>
      <w:r>
        <w:rPr>
          <w:rFonts w:hint="eastAsia"/>
        </w:rPr>
        <w:t>、</w:t>
      </w:r>
      <w:bookmarkStart w:id="64" w:name="OLE_LINK8"/>
      <w:r>
        <w:rPr>
          <w:rFonts w:hint="eastAsia"/>
        </w:rPr>
        <w:t>GB 50148</w:t>
      </w:r>
      <w:bookmarkEnd w:id="64"/>
      <w:r>
        <w:rPr>
          <w:rFonts w:hint="eastAsia"/>
        </w:rPr>
        <w:t>、</w:t>
      </w:r>
      <w:bookmarkStart w:id="65" w:name="OLE_LINK10"/>
      <w:bookmarkStart w:id="66" w:name="OLE_LINK9"/>
      <w:r>
        <w:rPr>
          <w:rFonts w:hint="eastAsia"/>
        </w:rPr>
        <w:t>GB 50149</w:t>
      </w:r>
      <w:bookmarkEnd w:id="65"/>
      <w:bookmarkEnd w:id="66"/>
      <w:r>
        <w:rPr>
          <w:rFonts w:hint="eastAsia"/>
        </w:rPr>
        <w:t>、</w:t>
      </w:r>
      <w:bookmarkStart w:id="67" w:name="OLE_LINK11"/>
      <w:r>
        <w:rPr>
          <w:rFonts w:hint="eastAsia"/>
        </w:rPr>
        <w:t>GB 50168</w:t>
      </w:r>
      <w:bookmarkEnd w:id="67"/>
      <w:r>
        <w:rPr>
          <w:rFonts w:hint="eastAsia"/>
        </w:rPr>
        <w:t>、GB 50169、GB 50171、GB 50173、GB 50254 及相关标准的规定执行。保证设备接地可靠，接地线规格正确，防腐层完好，标志齐全明显。各电气设备的接地应以设备底座与钢构架与接地件用扁钢连，钢构架下接地件用扁钢与主接地网相连。</w:t>
      </w:r>
    </w:p>
    <w:p w14:paraId="4B19A13A">
      <w:pPr>
        <w:pStyle w:val="65"/>
        <w:spacing w:before="0" w:beforeLines="0" w:after="0" w:afterLines="0" w:line="288" w:lineRule="auto"/>
        <w:rPr>
          <w:rFonts w:hint="eastAsia" w:ascii="宋体" w:eastAsia="宋体"/>
        </w:rPr>
      </w:pPr>
      <w:r>
        <w:rPr>
          <w:rFonts w:hint="eastAsia" w:ascii="宋体" w:eastAsia="宋体"/>
        </w:rPr>
        <w:t>设备和器材的运输、保管，应符合本文件和产品技术文件的要求。</w:t>
      </w:r>
    </w:p>
    <w:p w14:paraId="4CACB464">
      <w:pPr>
        <w:pStyle w:val="65"/>
        <w:spacing w:before="0" w:beforeLines="0" w:after="0" w:afterLines="0" w:line="288" w:lineRule="auto"/>
        <w:rPr>
          <w:rFonts w:hint="eastAsia" w:ascii="宋体" w:eastAsia="宋体"/>
        </w:rPr>
      </w:pPr>
      <w:r>
        <w:rPr>
          <w:rFonts w:hint="eastAsia" w:ascii="宋体" w:eastAsia="宋体"/>
        </w:rPr>
        <w:t>设备和器材到达现场后应及时按下列规定验收检查：</w:t>
      </w:r>
    </w:p>
    <w:p w14:paraId="09B9F31B">
      <w:pPr>
        <w:pStyle w:val="174"/>
        <w:numPr>
          <w:ilvl w:val="0"/>
          <w:numId w:val="33"/>
        </w:numPr>
        <w:spacing w:line="288" w:lineRule="auto"/>
        <w:rPr>
          <w:rFonts w:hint="eastAsia"/>
        </w:rPr>
      </w:pPr>
      <w:r>
        <w:rPr>
          <w:rFonts w:hint="eastAsia"/>
        </w:rPr>
        <w:t>包装及密封应良好；</w:t>
      </w:r>
    </w:p>
    <w:p w14:paraId="26EEFE01">
      <w:pPr>
        <w:pStyle w:val="174"/>
        <w:numPr>
          <w:ilvl w:val="0"/>
          <w:numId w:val="33"/>
        </w:numPr>
        <w:spacing w:line="288" w:lineRule="auto"/>
        <w:rPr>
          <w:rFonts w:hint="eastAsia"/>
        </w:rPr>
      </w:pPr>
      <w:r>
        <w:rPr>
          <w:rFonts w:hint="eastAsia"/>
        </w:rPr>
        <w:t>开箱检查清点，规格应符合设计要求，附件、备件应齐全；</w:t>
      </w:r>
    </w:p>
    <w:p w14:paraId="36372091">
      <w:pPr>
        <w:pStyle w:val="174"/>
        <w:spacing w:line="288" w:lineRule="auto"/>
        <w:rPr>
          <w:rFonts w:hint="eastAsia"/>
        </w:rPr>
      </w:pPr>
      <w:r>
        <w:rPr>
          <w:rFonts w:hint="eastAsia"/>
        </w:rPr>
        <w:t>产品的技术资料应齐全。</w:t>
      </w:r>
    </w:p>
    <w:p w14:paraId="358F9BFB">
      <w:pPr>
        <w:pStyle w:val="174"/>
        <w:spacing w:line="288" w:lineRule="auto"/>
        <w:rPr>
          <w:rFonts w:hint="eastAsia"/>
        </w:rPr>
      </w:pPr>
      <w:r>
        <w:rPr>
          <w:rFonts w:hint="eastAsia"/>
        </w:rPr>
        <w:t>按要求检查设备外观。</w:t>
      </w:r>
    </w:p>
    <w:p w14:paraId="00D2EFCE">
      <w:pPr>
        <w:pStyle w:val="65"/>
        <w:spacing w:before="0" w:beforeLines="0" w:after="0" w:afterLines="0" w:line="288" w:lineRule="auto"/>
        <w:rPr>
          <w:rFonts w:hint="eastAsia" w:ascii="宋体" w:eastAsia="宋体"/>
        </w:rPr>
      </w:pPr>
      <w:r>
        <w:rPr>
          <w:rFonts w:hint="eastAsia" w:ascii="宋体" w:eastAsia="宋体"/>
        </w:rPr>
        <w:t xml:space="preserve">设备安装用的紧固件应采用镀锌或不锈钢制品，户外用的紧固件采用镀锌制品时应采用热镀锌工艺；外露地脚螺栓应采用热镀锌制品；电气接线端子用的紧固件应符合 </w:t>
      </w:r>
      <w:bookmarkStart w:id="68" w:name="OLE_LINK40"/>
      <w:r>
        <w:rPr>
          <w:rFonts w:hint="eastAsia" w:ascii="宋体" w:eastAsia="宋体"/>
        </w:rPr>
        <w:t>GB 5273</w:t>
      </w:r>
      <w:bookmarkEnd w:id="68"/>
      <w:r>
        <w:rPr>
          <w:rFonts w:hint="eastAsia" w:ascii="宋体" w:eastAsia="宋体"/>
        </w:rPr>
        <w:t xml:space="preserve"> 的有关规定。</w:t>
      </w:r>
    </w:p>
    <w:p w14:paraId="05B22CC6">
      <w:pPr>
        <w:pStyle w:val="105"/>
        <w:spacing w:before="120" w:after="120"/>
        <w:rPr>
          <w:rFonts w:hint="eastAsia"/>
        </w:rPr>
      </w:pPr>
      <w:r>
        <w:rPr>
          <w:rFonts w:hint="eastAsia"/>
        </w:rPr>
        <w:t>变压器安装</w:t>
      </w:r>
    </w:p>
    <w:p w14:paraId="5D6C5E0E">
      <w:pPr>
        <w:pStyle w:val="165"/>
        <w:spacing w:line="288" w:lineRule="auto"/>
        <w:rPr>
          <w:rFonts w:hint="eastAsia"/>
        </w:rPr>
      </w:pPr>
      <w:r>
        <w:rPr>
          <w:rFonts w:hint="eastAsia"/>
        </w:rPr>
        <w:t>220 kV 及以上变压器本体露空安装附件应符合下列规定：</w:t>
      </w:r>
    </w:p>
    <w:p w14:paraId="0BE878EC">
      <w:pPr>
        <w:pStyle w:val="174"/>
        <w:numPr>
          <w:ilvl w:val="0"/>
          <w:numId w:val="34"/>
        </w:numPr>
        <w:spacing w:line="288" w:lineRule="auto"/>
        <w:rPr>
          <w:rFonts w:hint="eastAsia"/>
        </w:rPr>
      </w:pPr>
      <w:r>
        <w:rPr>
          <w:rFonts w:hint="eastAsia"/>
        </w:rPr>
        <w:t>环境相对湿度应小于 80</w:t>
      </w:r>
      <w:r>
        <w:rPr>
          <w:rFonts w:hint="eastAsia" w:hAnsi="宋体"/>
        </w:rPr>
        <w:t>％</w:t>
      </w:r>
      <w:r>
        <w:rPr>
          <w:rFonts w:hint="eastAsia"/>
        </w:rPr>
        <w:t>，在安装过程中应向箱体内持续补充露点低于 -40 ℃ 的干燥空气，补充干燥空气速率应符合产品技术文件要求；</w:t>
      </w:r>
    </w:p>
    <w:p w14:paraId="57A7CC32">
      <w:pPr>
        <w:pStyle w:val="174"/>
        <w:numPr>
          <w:ilvl w:val="0"/>
          <w:numId w:val="34"/>
        </w:numPr>
        <w:spacing w:line="288" w:lineRule="auto"/>
        <w:rPr>
          <w:rFonts w:hint="eastAsia"/>
        </w:rPr>
      </w:pPr>
      <w:r>
        <w:rPr>
          <w:rFonts w:hint="eastAsia"/>
        </w:rPr>
        <w:t>每次宜只打开一处，并用塑料薄膜覆盖，连续露空时间不宜超过8 h，累计露空时间不宜超过24 h；油箱内空气的相对湿度不大于 20</w:t>
      </w:r>
      <w:r>
        <w:rPr>
          <w:rFonts w:hint="eastAsia" w:hAnsi="宋体"/>
        </w:rPr>
        <w:t>％</w:t>
      </w:r>
      <w:r>
        <w:rPr>
          <w:rFonts w:hint="eastAsia"/>
        </w:rPr>
        <w:t>。每天工作结束应抽真空补充</w:t>
      </w:r>
      <w:r>
        <w:rPr>
          <w:rFonts w:hint="eastAsia"/>
          <w:lang w:eastAsia="zh-CN"/>
        </w:rPr>
        <w:t>干燥空气</w:t>
      </w:r>
      <w:r>
        <w:rPr>
          <w:rFonts w:hint="eastAsia"/>
        </w:rPr>
        <w:t>直到压力达到 0.01 MPa～0.03 MPa。</w:t>
      </w:r>
    </w:p>
    <w:p w14:paraId="086BCC62">
      <w:pPr>
        <w:pStyle w:val="165"/>
        <w:spacing w:line="288" w:lineRule="auto"/>
        <w:rPr>
          <w:rFonts w:hint="eastAsia"/>
        </w:rPr>
      </w:pPr>
      <w:r>
        <w:rPr>
          <w:rFonts w:hint="eastAsia"/>
        </w:rPr>
        <w:t>密封处理应符合下列规定：</w:t>
      </w:r>
    </w:p>
    <w:p w14:paraId="10818AF2">
      <w:pPr>
        <w:pStyle w:val="174"/>
        <w:numPr>
          <w:ilvl w:val="0"/>
          <w:numId w:val="35"/>
        </w:numPr>
        <w:spacing w:line="288" w:lineRule="auto"/>
        <w:rPr>
          <w:rFonts w:hint="eastAsia"/>
        </w:rPr>
      </w:pPr>
      <w:r>
        <w:rPr>
          <w:rFonts w:hint="eastAsia"/>
        </w:rPr>
        <w:t>所有法兰连接处应用耐油密封垫圈密封；密封垫圈应无扭曲、变形、裂纹和毛刺，密封垫圈应与法兰面的尺寸相配合；</w:t>
      </w:r>
    </w:p>
    <w:p w14:paraId="11BA1DA9">
      <w:pPr>
        <w:pStyle w:val="174"/>
        <w:numPr>
          <w:ilvl w:val="0"/>
          <w:numId w:val="35"/>
        </w:numPr>
        <w:spacing w:line="288" w:lineRule="auto"/>
        <w:rPr>
          <w:rFonts w:hint="eastAsia"/>
        </w:rPr>
      </w:pPr>
      <w:r>
        <w:rPr>
          <w:rFonts w:hint="eastAsia"/>
        </w:rPr>
        <w:t>法兰连接面应平整、清洁；密封垫圈应使用产品技术文件要求的清洁剂擦拭干净，其安装位置应准确；其搭接处的厚度应与其原厚度相同，橡胶密封垫的压缩量不宜超过其厚度的 1/3。</w:t>
      </w:r>
    </w:p>
    <w:p w14:paraId="6010DF42">
      <w:pPr>
        <w:pStyle w:val="174"/>
        <w:numPr>
          <w:ilvl w:val="0"/>
          <w:numId w:val="35"/>
        </w:numPr>
        <w:spacing w:line="288" w:lineRule="auto"/>
        <w:rPr>
          <w:rFonts w:hint="eastAsia"/>
        </w:rPr>
      </w:pPr>
      <w:r>
        <w:rPr>
          <w:rFonts w:hint="eastAsia"/>
        </w:rPr>
        <w:t>法兰螺栓应按对角线位置依次均匀紧固，紧固后的法兰间隙应均匀，紧固力矩值应符合产品技术文件要求。</w:t>
      </w:r>
    </w:p>
    <w:p w14:paraId="7C026BA1">
      <w:pPr>
        <w:pStyle w:val="105"/>
        <w:spacing w:before="120" w:after="120"/>
        <w:rPr>
          <w:rFonts w:hint="eastAsia"/>
        </w:rPr>
      </w:pPr>
      <w:r>
        <w:rPr>
          <w:rFonts w:hint="eastAsia"/>
        </w:rPr>
        <w:t>开关柜安装</w:t>
      </w:r>
    </w:p>
    <w:p w14:paraId="441E58F4">
      <w:pPr>
        <w:pStyle w:val="65"/>
        <w:spacing w:before="0" w:beforeLines="0" w:after="0" w:afterLines="0" w:line="288" w:lineRule="auto"/>
        <w:rPr>
          <w:rFonts w:hint="eastAsia" w:ascii="宋体" w:eastAsia="宋体"/>
        </w:rPr>
      </w:pPr>
      <w:r>
        <w:rPr>
          <w:rFonts w:hint="eastAsia" w:ascii="宋体" w:eastAsia="宋体"/>
        </w:rPr>
        <w:t>配电柜的布置应遵循安全、可靠、适用经济等原则，并便于操作、搬运维修、试验</w:t>
      </w:r>
      <w:r>
        <w:rPr>
          <w:rFonts w:hint="eastAsia" w:ascii="宋体" w:eastAsia="宋体"/>
          <w:lang w:eastAsia="zh-CN"/>
        </w:rPr>
        <w:t>检测</w:t>
      </w:r>
      <w:r>
        <w:rPr>
          <w:rFonts w:hint="eastAsia" w:ascii="宋体" w:eastAsia="宋体"/>
        </w:rPr>
        <w:t>和接线工作的进行。</w:t>
      </w:r>
    </w:p>
    <w:p w14:paraId="5F6263DA">
      <w:pPr>
        <w:pStyle w:val="165"/>
        <w:spacing w:line="288" w:lineRule="auto"/>
        <w:rPr>
          <w:rFonts w:hint="eastAsia"/>
        </w:rPr>
      </w:pPr>
      <w:r>
        <w:rPr>
          <w:rFonts w:hint="eastAsia"/>
        </w:rPr>
        <w:t>配电柜本体及柜内设备与各构件间连接应牢固。本体应有明显可靠的接地装置，装有电器的可开启的柜门应用软导线与接地的金属构架</w:t>
      </w:r>
      <w:r>
        <w:rPr>
          <w:rFonts w:hint="eastAsia"/>
          <w:lang w:eastAsia="zh-CN"/>
        </w:rPr>
        <w:t>做</w:t>
      </w:r>
      <w:r>
        <w:rPr>
          <w:rFonts w:hint="eastAsia"/>
        </w:rPr>
        <w:t>可靠连接。成套柜应装有供携带式接地线使用的固定设施。</w:t>
      </w:r>
    </w:p>
    <w:p w14:paraId="46DD4A53">
      <w:pPr>
        <w:pStyle w:val="165"/>
        <w:spacing w:line="288" w:lineRule="auto"/>
        <w:rPr>
          <w:rFonts w:hint="eastAsia"/>
        </w:rPr>
      </w:pPr>
      <w:r>
        <w:rPr>
          <w:rFonts w:hint="eastAsia"/>
        </w:rPr>
        <w:t>配电柜的漆层应完整、无损伤，固定电器的支架等</w:t>
      </w:r>
      <w:r>
        <w:rPr>
          <w:rFonts w:hint="eastAsia"/>
          <w:lang w:eastAsia="zh-CN"/>
        </w:rPr>
        <w:t>应</w:t>
      </w:r>
      <w:r>
        <w:rPr>
          <w:rFonts w:hint="eastAsia"/>
        </w:rPr>
        <w:t xml:space="preserve">刷漆。安装于同一室内其颜色应协调一致。 </w:t>
      </w:r>
    </w:p>
    <w:p w14:paraId="13545240">
      <w:pPr>
        <w:pStyle w:val="165"/>
        <w:spacing w:line="288" w:lineRule="auto"/>
        <w:rPr>
          <w:rFonts w:hint="eastAsia"/>
        </w:rPr>
      </w:pPr>
      <w:r>
        <w:rPr>
          <w:rFonts w:hint="eastAsia"/>
        </w:rPr>
        <w:t>成套柜的安装应符合下列规定：</w:t>
      </w:r>
    </w:p>
    <w:p w14:paraId="7B5E1170">
      <w:pPr>
        <w:pStyle w:val="174"/>
        <w:numPr>
          <w:ilvl w:val="0"/>
          <w:numId w:val="36"/>
        </w:numPr>
        <w:spacing w:line="288" w:lineRule="auto"/>
        <w:rPr>
          <w:rFonts w:hint="eastAsia"/>
        </w:rPr>
      </w:pPr>
      <w:r>
        <w:rPr>
          <w:rFonts w:hint="eastAsia"/>
        </w:rPr>
        <w:t>机械闭锁、电气闭锁应动作准确、可靠；</w:t>
      </w:r>
    </w:p>
    <w:p w14:paraId="1141670B">
      <w:pPr>
        <w:pStyle w:val="174"/>
        <w:numPr>
          <w:ilvl w:val="0"/>
          <w:numId w:val="36"/>
        </w:numPr>
        <w:spacing w:line="288" w:lineRule="auto"/>
        <w:rPr>
          <w:rFonts w:hint="eastAsia"/>
        </w:rPr>
      </w:pPr>
      <w:r>
        <w:rPr>
          <w:rFonts w:hint="eastAsia"/>
        </w:rPr>
        <w:t>动触头与静触头的中心线应一致，触头接触应紧密；</w:t>
      </w:r>
    </w:p>
    <w:p w14:paraId="31AB9001">
      <w:pPr>
        <w:pStyle w:val="174"/>
        <w:numPr>
          <w:ilvl w:val="0"/>
          <w:numId w:val="36"/>
        </w:numPr>
        <w:spacing w:line="288" w:lineRule="auto"/>
        <w:rPr>
          <w:rFonts w:hint="eastAsia"/>
        </w:rPr>
      </w:pPr>
      <w:r>
        <w:rPr>
          <w:rFonts w:hint="eastAsia"/>
        </w:rPr>
        <w:t>二次回路辅助开关的切换接点应动作准确，接触应可靠。</w:t>
      </w:r>
    </w:p>
    <w:p w14:paraId="1B70B31D">
      <w:pPr>
        <w:pStyle w:val="105"/>
        <w:spacing w:before="120" w:after="120"/>
        <w:rPr>
          <w:rFonts w:hint="eastAsia"/>
        </w:rPr>
      </w:pPr>
      <w:r>
        <w:rPr>
          <w:rFonts w:hint="eastAsia"/>
        </w:rPr>
        <w:t>接地装置安装</w:t>
      </w:r>
    </w:p>
    <w:p w14:paraId="02AA9DD6">
      <w:pPr>
        <w:pStyle w:val="165"/>
        <w:spacing w:line="288" w:lineRule="auto"/>
        <w:rPr>
          <w:rFonts w:hint="eastAsia"/>
        </w:rPr>
      </w:pPr>
      <w:r>
        <w:rPr>
          <w:rFonts w:hint="eastAsia"/>
        </w:rPr>
        <w:t>接地装置的安装应由工程施工单位按已批准的设计文件施工。</w:t>
      </w:r>
    </w:p>
    <w:p w14:paraId="25FB09D7">
      <w:pPr>
        <w:pStyle w:val="165"/>
        <w:spacing w:line="288" w:lineRule="auto"/>
        <w:rPr>
          <w:rFonts w:hint="eastAsia"/>
        </w:rPr>
      </w:pPr>
      <w:r>
        <w:rPr>
          <w:rFonts w:hint="eastAsia"/>
        </w:rPr>
        <w:t>采用新技术、新工艺及新材料时</w:t>
      </w:r>
      <w:r>
        <w:rPr>
          <w:rFonts w:hint="eastAsia"/>
          <w:lang w:eastAsia="zh-CN"/>
        </w:rPr>
        <w:t>，</w:t>
      </w:r>
      <w:r>
        <w:rPr>
          <w:rFonts w:hint="eastAsia"/>
        </w:rPr>
        <w:t>应经过试验及具有国家资质的验证评定。</w:t>
      </w:r>
    </w:p>
    <w:p w14:paraId="2B12E538">
      <w:pPr>
        <w:pStyle w:val="165"/>
        <w:spacing w:line="288" w:lineRule="auto"/>
        <w:rPr>
          <w:rFonts w:hint="eastAsia"/>
        </w:rPr>
      </w:pPr>
      <w:r>
        <w:rPr>
          <w:rFonts w:hint="eastAsia"/>
        </w:rPr>
        <w:t>接地装置的安装应配合建筑工程的施工，隐蔽部分在覆盖前相关单位应做检查及验收并形成记录。</w:t>
      </w:r>
    </w:p>
    <w:p w14:paraId="7A60CC4B">
      <w:pPr>
        <w:pStyle w:val="165"/>
        <w:spacing w:line="288" w:lineRule="auto"/>
        <w:rPr>
          <w:rFonts w:hint="eastAsia"/>
        </w:rPr>
      </w:pPr>
      <w:r>
        <w:rPr>
          <w:rFonts w:hint="eastAsia"/>
        </w:rPr>
        <w:t>电气装置的下列金属部分，均应接地：</w:t>
      </w:r>
    </w:p>
    <w:p w14:paraId="58D89834">
      <w:pPr>
        <w:pStyle w:val="174"/>
        <w:numPr>
          <w:ilvl w:val="0"/>
          <w:numId w:val="37"/>
        </w:numPr>
        <w:spacing w:line="288" w:lineRule="auto"/>
        <w:rPr>
          <w:rFonts w:hint="eastAsia"/>
        </w:rPr>
      </w:pPr>
      <w:r>
        <w:rPr>
          <w:rFonts w:hint="eastAsia"/>
        </w:rPr>
        <w:t>电气设备的金属底座、框架及外壳和传动装置；</w:t>
      </w:r>
    </w:p>
    <w:p w14:paraId="7C8D083F">
      <w:pPr>
        <w:pStyle w:val="174"/>
        <w:spacing w:line="288" w:lineRule="auto"/>
        <w:rPr>
          <w:rFonts w:hint="eastAsia"/>
        </w:rPr>
      </w:pPr>
      <w:r>
        <w:rPr>
          <w:rFonts w:hint="eastAsia"/>
        </w:rPr>
        <w:t>携带式或移动式用电器具的金属底座和外壳；</w:t>
      </w:r>
    </w:p>
    <w:p w14:paraId="7A3928D4">
      <w:pPr>
        <w:pStyle w:val="174"/>
        <w:spacing w:line="288" w:lineRule="auto"/>
        <w:rPr>
          <w:rFonts w:hint="eastAsia"/>
        </w:rPr>
      </w:pPr>
      <w:r>
        <w:rPr>
          <w:rFonts w:hint="eastAsia"/>
        </w:rPr>
        <w:t>箱式变电站的金属箱体；</w:t>
      </w:r>
    </w:p>
    <w:p w14:paraId="4E90C524">
      <w:pPr>
        <w:pStyle w:val="174"/>
        <w:spacing w:line="288" w:lineRule="auto"/>
        <w:rPr>
          <w:rFonts w:hint="eastAsia"/>
        </w:rPr>
      </w:pPr>
      <w:r>
        <w:rPr>
          <w:rFonts w:hint="eastAsia"/>
        </w:rPr>
        <w:t>互感器的二次绕组；</w:t>
      </w:r>
    </w:p>
    <w:p w14:paraId="19E2A608">
      <w:pPr>
        <w:pStyle w:val="174"/>
        <w:spacing w:line="288" w:lineRule="auto"/>
        <w:rPr>
          <w:rFonts w:hint="eastAsia"/>
        </w:rPr>
      </w:pPr>
      <w:r>
        <w:rPr>
          <w:rFonts w:hint="eastAsia"/>
        </w:rPr>
        <w:t>配电、控制、保护用的屏</w:t>
      </w:r>
      <w:r>
        <w:rPr>
          <w:rFonts w:hint="eastAsia"/>
          <w:lang w:eastAsia="zh-CN"/>
        </w:rPr>
        <w:t>（</w:t>
      </w:r>
      <w:r>
        <w:rPr>
          <w:rFonts w:hint="eastAsia"/>
        </w:rPr>
        <w:t>柜、箱</w:t>
      </w:r>
      <w:r>
        <w:rPr>
          <w:rFonts w:hint="eastAsia"/>
          <w:lang w:eastAsia="zh-CN"/>
        </w:rPr>
        <w:t>）</w:t>
      </w:r>
      <w:r>
        <w:rPr>
          <w:rFonts w:hint="eastAsia"/>
        </w:rPr>
        <w:t>及操作台的金属框架和底座；</w:t>
      </w:r>
    </w:p>
    <w:p w14:paraId="3056BEA1">
      <w:pPr>
        <w:pStyle w:val="174"/>
        <w:spacing w:line="288" w:lineRule="auto"/>
        <w:rPr>
          <w:rFonts w:hint="eastAsia"/>
        </w:rPr>
      </w:pPr>
      <w:r>
        <w:rPr>
          <w:rFonts w:hint="eastAsia"/>
        </w:rPr>
        <w:t>电力电缆的金</w:t>
      </w:r>
      <w:r>
        <w:rPr>
          <w:rFonts w:hint="eastAsia"/>
          <w:lang w:eastAsia="zh-CN"/>
        </w:rPr>
        <w:t>属保</w:t>
      </w:r>
      <w:r>
        <w:rPr>
          <w:rFonts w:hint="eastAsia"/>
        </w:rPr>
        <w:t>护层、接头盒、终端头和金属保护管及二次电缆的屏蔽层；</w:t>
      </w:r>
    </w:p>
    <w:p w14:paraId="7DE57BDB">
      <w:pPr>
        <w:pStyle w:val="174"/>
        <w:spacing w:line="288" w:lineRule="auto"/>
        <w:rPr>
          <w:rFonts w:hint="eastAsia"/>
        </w:rPr>
      </w:pPr>
      <w:r>
        <w:rPr>
          <w:rFonts w:hint="eastAsia"/>
        </w:rPr>
        <w:t>电缆桥架、支架和井架；</w:t>
      </w:r>
    </w:p>
    <w:p w14:paraId="5BAD7688">
      <w:pPr>
        <w:pStyle w:val="174"/>
        <w:spacing w:line="288" w:lineRule="auto"/>
        <w:rPr>
          <w:rFonts w:hint="eastAsia"/>
        </w:rPr>
      </w:pPr>
      <w:r>
        <w:rPr>
          <w:rFonts w:hint="eastAsia"/>
        </w:rPr>
        <w:t>变电站</w:t>
      </w:r>
      <w:r>
        <w:rPr>
          <w:rFonts w:hint="eastAsia"/>
          <w:lang w:eastAsia="zh-CN"/>
        </w:rPr>
        <w:t>（</w:t>
      </w:r>
      <w:r>
        <w:rPr>
          <w:rFonts w:hint="eastAsia"/>
        </w:rPr>
        <w:t>换流站</w:t>
      </w:r>
      <w:r>
        <w:rPr>
          <w:rFonts w:hint="eastAsia"/>
          <w:lang w:eastAsia="zh-CN"/>
        </w:rPr>
        <w:t>)机</w:t>
      </w:r>
      <w:r>
        <w:rPr>
          <w:rFonts w:hint="eastAsia"/>
        </w:rPr>
        <w:t>构、支架；</w:t>
      </w:r>
    </w:p>
    <w:p w14:paraId="3C87D7CD">
      <w:pPr>
        <w:pStyle w:val="174"/>
        <w:spacing w:line="288" w:lineRule="auto"/>
        <w:rPr>
          <w:rFonts w:hint="eastAsia"/>
        </w:rPr>
      </w:pPr>
      <w:r>
        <w:rPr>
          <w:rFonts w:hint="eastAsia"/>
        </w:rPr>
        <w:t>装有架空地线或电气设备的电力线路杆塔；</w:t>
      </w:r>
    </w:p>
    <w:p w14:paraId="2F9EAFFF">
      <w:pPr>
        <w:pStyle w:val="174"/>
        <w:spacing w:line="288" w:lineRule="auto"/>
        <w:rPr>
          <w:rFonts w:hint="eastAsia"/>
        </w:rPr>
      </w:pPr>
      <w:r>
        <w:rPr>
          <w:rFonts w:hint="eastAsia"/>
        </w:rPr>
        <w:t>配电装置的金属遮栏；</w:t>
      </w:r>
    </w:p>
    <w:p w14:paraId="703B4E40">
      <w:pPr>
        <w:pStyle w:val="174"/>
        <w:spacing w:line="288" w:lineRule="auto"/>
        <w:rPr>
          <w:rFonts w:hint="eastAsia"/>
        </w:rPr>
      </w:pPr>
      <w:r>
        <w:rPr>
          <w:rFonts w:hint="eastAsia"/>
        </w:rPr>
        <w:t>电热设备的金属外壳。</w:t>
      </w:r>
    </w:p>
    <w:p w14:paraId="25CBBBE3">
      <w:pPr>
        <w:pStyle w:val="165"/>
        <w:spacing w:line="288" w:lineRule="auto"/>
        <w:rPr>
          <w:rFonts w:hint="eastAsia"/>
        </w:rPr>
      </w:pPr>
      <w:r>
        <w:rPr>
          <w:rFonts w:hint="eastAsia"/>
        </w:rPr>
        <w:t>需要接地的直流系统接地装置应符合下列要求：</w:t>
      </w:r>
    </w:p>
    <w:p w14:paraId="7A747740">
      <w:pPr>
        <w:pStyle w:val="174"/>
        <w:numPr>
          <w:ilvl w:val="0"/>
          <w:numId w:val="38"/>
        </w:numPr>
        <w:spacing w:line="288" w:lineRule="auto"/>
        <w:rPr>
          <w:rFonts w:hint="eastAsia"/>
        </w:rPr>
      </w:pPr>
      <w:r>
        <w:rPr>
          <w:rFonts w:hint="eastAsia"/>
        </w:rPr>
        <w:t>能与地构成闭合回路且经常流过电流的接地线应沿绝缘垫板敷设，不应与金属管道、建筑物和设备的构件有金属的连接；</w:t>
      </w:r>
    </w:p>
    <w:p w14:paraId="3A2DD77E">
      <w:pPr>
        <w:pStyle w:val="174"/>
        <w:spacing w:line="288" w:lineRule="auto"/>
        <w:rPr>
          <w:rFonts w:hint="eastAsia"/>
        </w:rPr>
      </w:pPr>
      <w:r>
        <w:rPr>
          <w:rFonts w:hint="eastAsia"/>
        </w:rPr>
        <w:t>在土壤中含有在电解时能产生腐蚀性物质的地方，不宜敷设接地装置，必要时可采取外引式接地装置或改良土壤的措施；</w:t>
      </w:r>
    </w:p>
    <w:p w14:paraId="780A88EA">
      <w:pPr>
        <w:pStyle w:val="174"/>
        <w:spacing w:line="288" w:lineRule="auto"/>
        <w:rPr>
          <w:rFonts w:hint="eastAsia"/>
        </w:rPr>
      </w:pPr>
      <w:r>
        <w:rPr>
          <w:rFonts w:hint="eastAsia"/>
        </w:rPr>
        <w:t>直流正极的接地线、接地极不应与自然接地极有金属连接，当无绝缘隔离装置时，相互间的距离不应小于 1 m。</w:t>
      </w:r>
    </w:p>
    <w:p w14:paraId="58386AC1">
      <w:pPr>
        <w:pStyle w:val="165"/>
        <w:spacing w:line="288" w:lineRule="auto"/>
        <w:rPr>
          <w:rFonts w:hint="eastAsia"/>
        </w:rPr>
      </w:pPr>
      <w:r>
        <w:rPr>
          <w:rFonts w:hint="eastAsia"/>
        </w:rPr>
        <w:t>各种电气装置与接地网的连接应可靠，扩建工程接地网与原接地网应符合设计要求，且不少于两点连接。</w:t>
      </w:r>
    </w:p>
    <w:p w14:paraId="20728B96">
      <w:pPr>
        <w:pStyle w:val="65"/>
        <w:spacing w:before="0" w:beforeLines="0" w:after="0" w:afterLines="0" w:line="288" w:lineRule="auto"/>
        <w:rPr>
          <w:rFonts w:hint="eastAsia" w:ascii="宋体" w:eastAsia="宋体"/>
        </w:rPr>
      </w:pPr>
      <w:r>
        <w:rPr>
          <w:rFonts w:hint="eastAsia" w:ascii="宋体" w:eastAsia="宋体"/>
        </w:rPr>
        <w:t>附属于已接地电气装置和生产设施上的下列金属部分可不接地：</w:t>
      </w:r>
    </w:p>
    <w:p w14:paraId="38DD49EC">
      <w:pPr>
        <w:pStyle w:val="174"/>
        <w:numPr>
          <w:ilvl w:val="0"/>
          <w:numId w:val="39"/>
        </w:numPr>
        <w:spacing w:line="288" w:lineRule="auto"/>
        <w:rPr>
          <w:rFonts w:hint="eastAsia"/>
        </w:rPr>
      </w:pPr>
      <w:r>
        <w:rPr>
          <w:rFonts w:hint="eastAsia"/>
        </w:rPr>
        <w:t>安装在配电屏、控制屏和配电装置上的电气测量仪表、继电器和其他低压电器的外壳；</w:t>
      </w:r>
    </w:p>
    <w:p w14:paraId="1ECFC835">
      <w:pPr>
        <w:pStyle w:val="174"/>
        <w:numPr>
          <w:ilvl w:val="0"/>
          <w:numId w:val="39"/>
        </w:numPr>
        <w:spacing w:line="288" w:lineRule="auto"/>
        <w:rPr>
          <w:rFonts w:hint="eastAsia"/>
        </w:rPr>
      </w:pPr>
      <w:r>
        <w:rPr>
          <w:rFonts w:hint="eastAsia"/>
        </w:rPr>
        <w:t>与机床、机座之间有可靠电气接触的电动机和电器的外壳；</w:t>
      </w:r>
    </w:p>
    <w:p w14:paraId="7C84DF24">
      <w:pPr>
        <w:pStyle w:val="174"/>
        <w:numPr>
          <w:ilvl w:val="0"/>
          <w:numId w:val="39"/>
        </w:numPr>
        <w:spacing w:line="288" w:lineRule="auto"/>
        <w:rPr>
          <w:rFonts w:hint="eastAsia"/>
        </w:rPr>
      </w:pPr>
      <w:r>
        <w:rPr>
          <w:rFonts w:hint="eastAsia"/>
        </w:rPr>
        <w:t>额定电压为220V及以下的蓄电池室内的金属支架。</w:t>
      </w:r>
    </w:p>
    <w:p w14:paraId="596BAE24">
      <w:pPr>
        <w:pStyle w:val="65"/>
        <w:spacing w:before="0" w:beforeLines="0" w:after="0" w:afterLines="0" w:line="288" w:lineRule="auto"/>
        <w:rPr>
          <w:rFonts w:hint="eastAsia"/>
        </w:rPr>
      </w:pPr>
      <w:r>
        <w:rPr>
          <w:rFonts w:hint="eastAsia" w:ascii="宋体" w:eastAsia="宋体"/>
        </w:rPr>
        <w:t>接地线不应作其他用途。</w:t>
      </w:r>
    </w:p>
    <w:p w14:paraId="08DD2E31">
      <w:pPr>
        <w:pStyle w:val="105"/>
        <w:spacing w:before="120" w:after="120"/>
        <w:rPr>
          <w:rFonts w:hint="eastAsia"/>
        </w:rPr>
      </w:pPr>
      <w:r>
        <w:rPr>
          <w:rFonts w:hint="eastAsia"/>
        </w:rPr>
        <w:t>电缆敷设</w:t>
      </w:r>
    </w:p>
    <w:p w14:paraId="6FE5CA35">
      <w:pPr>
        <w:pStyle w:val="165"/>
        <w:spacing w:line="288" w:lineRule="auto"/>
        <w:rPr>
          <w:rFonts w:hint="eastAsia"/>
        </w:rPr>
      </w:pPr>
      <w:r>
        <w:rPr>
          <w:rFonts w:hint="eastAsia"/>
        </w:rPr>
        <w:t>电缆敷设前应按下列规定进行检查：</w:t>
      </w:r>
    </w:p>
    <w:p w14:paraId="3B3EC19D">
      <w:pPr>
        <w:pStyle w:val="174"/>
        <w:numPr>
          <w:ilvl w:val="0"/>
          <w:numId w:val="40"/>
        </w:numPr>
        <w:spacing w:line="288" w:lineRule="auto"/>
        <w:rPr>
          <w:rFonts w:hint="eastAsia"/>
        </w:rPr>
      </w:pPr>
      <w:r>
        <w:rPr>
          <w:rFonts w:hint="eastAsia"/>
        </w:rPr>
        <w:t>电缆沟、电缆隧道、电缆导管、电缆井、交叉跨越管道及直埋电缆沟深度、宽度、弯曲半径等应符合设计要求，电缆通道应畅通，排水应良好，金属部分的防腐层应完整，隧道内照明、通风应符合设计要求；</w:t>
      </w:r>
    </w:p>
    <w:p w14:paraId="2939BF04">
      <w:pPr>
        <w:pStyle w:val="174"/>
        <w:numPr>
          <w:ilvl w:val="0"/>
          <w:numId w:val="40"/>
        </w:numPr>
        <w:spacing w:line="288" w:lineRule="auto"/>
        <w:rPr>
          <w:rFonts w:hint="eastAsia"/>
        </w:rPr>
      </w:pPr>
      <w:r>
        <w:rPr>
          <w:rFonts w:hint="eastAsia"/>
        </w:rPr>
        <w:t>电缆额定电压、型号规格应符合设计要求；</w:t>
      </w:r>
    </w:p>
    <w:p w14:paraId="2DE4D7F5">
      <w:pPr>
        <w:pStyle w:val="174"/>
        <w:numPr>
          <w:ilvl w:val="0"/>
          <w:numId w:val="40"/>
        </w:numPr>
        <w:spacing w:line="288" w:lineRule="auto"/>
        <w:rPr>
          <w:rFonts w:hint="eastAsia"/>
        </w:rPr>
      </w:pPr>
      <w:r>
        <w:rPr>
          <w:rFonts w:hint="eastAsia"/>
        </w:rPr>
        <w:t>电缆外观应无损伤，当对电缆的外观和密封状态有怀疑时，应进行受潮判断；埋地电缆与水下电缆应试验合格；外护套有导电层的电缆应进行外护套绝缘电阻试验并合格；</w:t>
      </w:r>
    </w:p>
    <w:p w14:paraId="3AF9FB06">
      <w:pPr>
        <w:pStyle w:val="174"/>
        <w:numPr>
          <w:ilvl w:val="0"/>
          <w:numId w:val="40"/>
        </w:numPr>
        <w:spacing w:line="288" w:lineRule="auto"/>
        <w:rPr>
          <w:rFonts w:hint="eastAsia"/>
        </w:rPr>
      </w:pPr>
      <w:r>
        <w:rPr>
          <w:rFonts w:hint="eastAsia"/>
        </w:rPr>
        <w:t>充油电缆的油压不宜低于0.15 MPa，供油阀门应在开启位置，动作应灵活，压力表指示应无异常，所有管接头应无渗漏油，油样应试验合格；</w:t>
      </w:r>
    </w:p>
    <w:p w14:paraId="7CBA1D62">
      <w:pPr>
        <w:pStyle w:val="174"/>
        <w:numPr>
          <w:ilvl w:val="0"/>
          <w:numId w:val="40"/>
        </w:numPr>
        <w:spacing w:line="288" w:lineRule="auto"/>
        <w:rPr>
          <w:rFonts w:hint="eastAsia"/>
        </w:rPr>
      </w:pPr>
      <w:r>
        <w:rPr>
          <w:rFonts w:hint="eastAsia"/>
        </w:rPr>
        <w:t>电缆放线架应放置平稳，钢轴的强度和长度应与电缆盘重量和宽度相适应，敷设电缆的机具应检查并调试正常，电缆盘应有可靠的制动措施；</w:t>
      </w:r>
    </w:p>
    <w:p w14:paraId="511E8C92">
      <w:pPr>
        <w:pStyle w:val="174"/>
        <w:numPr>
          <w:ilvl w:val="0"/>
          <w:numId w:val="40"/>
        </w:numPr>
        <w:spacing w:line="288" w:lineRule="auto"/>
        <w:rPr>
          <w:rFonts w:hint="eastAsia"/>
        </w:rPr>
      </w:pPr>
      <w:r>
        <w:rPr>
          <w:rFonts w:hint="eastAsia"/>
        </w:rPr>
        <w:t>敷设前应按设计和实际路径计算每根电缆的长度，合理安排每盘电缆，减少电缆接头；中间接头位置应避免设置在倾斜处、转弯处、交叉路口、建筑物门口、与其他管线交叉处或通道狭窄处；</w:t>
      </w:r>
    </w:p>
    <w:p w14:paraId="75117659">
      <w:pPr>
        <w:pStyle w:val="174"/>
        <w:numPr>
          <w:ilvl w:val="0"/>
          <w:numId w:val="40"/>
        </w:numPr>
        <w:spacing w:line="288" w:lineRule="auto"/>
        <w:rPr>
          <w:rFonts w:hint="eastAsia"/>
        </w:rPr>
      </w:pPr>
      <w:r>
        <w:rPr>
          <w:rFonts w:hint="eastAsia"/>
        </w:rPr>
        <w:t>在带电区域内敷设电缆应有可靠的安全措施；</w:t>
      </w:r>
    </w:p>
    <w:p w14:paraId="48148BFC">
      <w:pPr>
        <w:pStyle w:val="174"/>
        <w:numPr>
          <w:ilvl w:val="0"/>
          <w:numId w:val="40"/>
        </w:numPr>
        <w:spacing w:line="288" w:lineRule="auto"/>
        <w:rPr>
          <w:rFonts w:hint="eastAsia"/>
        </w:rPr>
      </w:pPr>
      <w:r>
        <w:rPr>
          <w:rFonts w:hint="eastAsia"/>
        </w:rPr>
        <w:t>采用机械敷设电缆时，牵引机和导向机构应调试完好，并应有防止机械力损伤电缆的措施。</w:t>
      </w:r>
    </w:p>
    <w:p w14:paraId="32525D0A">
      <w:pPr>
        <w:pStyle w:val="65"/>
        <w:spacing w:before="0" w:beforeLines="0" w:after="0" w:afterLines="0" w:line="288" w:lineRule="auto"/>
        <w:rPr>
          <w:rFonts w:hint="eastAsia" w:ascii="宋体" w:eastAsia="宋体"/>
        </w:rPr>
      </w:pPr>
      <w:r>
        <w:rPr>
          <w:rFonts w:hint="eastAsia" w:ascii="宋体" w:eastAsia="宋体"/>
        </w:rPr>
        <w:t>电缆敷设时，不应损坏电缆沟、隧道、电缆井和人井的防水层。</w:t>
      </w:r>
    </w:p>
    <w:p w14:paraId="70CC14E9">
      <w:pPr>
        <w:pStyle w:val="165"/>
        <w:spacing w:line="288" w:lineRule="auto"/>
        <w:rPr>
          <w:rFonts w:hint="eastAsia"/>
        </w:rPr>
      </w:pPr>
      <w:r>
        <w:rPr>
          <w:rFonts w:hint="eastAsia"/>
        </w:rPr>
        <w:t>电力电缆在终端头与接头附近宜留有备用长度。</w:t>
      </w:r>
    </w:p>
    <w:p w14:paraId="358B239B">
      <w:pPr>
        <w:pStyle w:val="165"/>
        <w:spacing w:line="288" w:lineRule="auto"/>
        <w:rPr>
          <w:rFonts w:hint="eastAsia"/>
        </w:rPr>
      </w:pPr>
      <w:r>
        <w:rPr>
          <w:rFonts w:hint="eastAsia"/>
        </w:rPr>
        <w:t>电缆敷设时，电缆应从盘的上端引出，不应使电缆在支架上及地面摩擦拖拉。电缆上不得有铠装压扁、电缆绞拧、护层折裂等未消除的机械损伤。</w:t>
      </w:r>
    </w:p>
    <w:p w14:paraId="6A02D3D6">
      <w:pPr>
        <w:pStyle w:val="165"/>
        <w:spacing w:line="288" w:lineRule="auto"/>
        <w:rPr>
          <w:rFonts w:hint="eastAsia"/>
        </w:rPr>
      </w:pPr>
      <w:r>
        <w:rPr>
          <w:rFonts w:hint="eastAsia"/>
        </w:rPr>
        <w:t>机械敷设电缆的速度不宜超过 15 m/min，110 kV 及以上电缆或在较复杂路径上敷设时，其速度应适当放慢。</w:t>
      </w:r>
    </w:p>
    <w:p w14:paraId="0AC2C85C">
      <w:pPr>
        <w:pStyle w:val="165"/>
        <w:spacing w:line="288" w:lineRule="auto"/>
        <w:rPr>
          <w:rFonts w:hint="eastAsia"/>
        </w:rPr>
      </w:pPr>
      <w:r>
        <w:rPr>
          <w:rFonts w:hint="eastAsia"/>
        </w:rPr>
        <w:t>机械敷设电缆时，应在牵引头或钢丝网套与牵引钢缆之间装设防捻器。</w:t>
      </w:r>
    </w:p>
    <w:p w14:paraId="21007915">
      <w:pPr>
        <w:pStyle w:val="165"/>
        <w:spacing w:line="288" w:lineRule="auto"/>
        <w:rPr>
          <w:rFonts w:hint="eastAsia"/>
        </w:rPr>
      </w:pPr>
      <w:r>
        <w:rPr>
          <w:rFonts w:hint="eastAsia"/>
        </w:rPr>
        <w:t xml:space="preserve">110 kV 及以上电缆敷设时，转弯处的侧压力应符合产品技术文件的要求，无要求时不应大于 3 kN/m。 </w:t>
      </w:r>
    </w:p>
    <w:p w14:paraId="0E955876">
      <w:pPr>
        <w:pStyle w:val="165"/>
        <w:spacing w:line="288" w:lineRule="auto"/>
        <w:rPr>
          <w:rFonts w:hint="eastAsia"/>
        </w:rPr>
      </w:pPr>
      <w:r>
        <w:rPr>
          <w:rFonts w:hint="eastAsia"/>
        </w:rPr>
        <w:t>电力电缆接头布置应符合下列规定：</w:t>
      </w:r>
    </w:p>
    <w:p w14:paraId="7ACC57CE">
      <w:pPr>
        <w:pStyle w:val="174"/>
        <w:numPr>
          <w:ilvl w:val="0"/>
          <w:numId w:val="41"/>
        </w:numPr>
        <w:spacing w:line="288" w:lineRule="auto"/>
        <w:rPr>
          <w:rFonts w:hint="eastAsia"/>
        </w:rPr>
      </w:pPr>
      <w:r>
        <w:rPr>
          <w:rFonts w:hint="eastAsia"/>
        </w:rPr>
        <w:t>并列敷设的电缆，其接头位置宜相互错开；</w:t>
      </w:r>
    </w:p>
    <w:p w14:paraId="549B9F53">
      <w:pPr>
        <w:pStyle w:val="174"/>
        <w:numPr>
          <w:ilvl w:val="0"/>
          <w:numId w:val="41"/>
        </w:numPr>
        <w:spacing w:line="288" w:lineRule="auto"/>
        <w:rPr>
          <w:rFonts w:hint="eastAsia"/>
        </w:rPr>
      </w:pPr>
      <w:r>
        <w:rPr>
          <w:rFonts w:hint="eastAsia"/>
        </w:rPr>
        <w:t>电缆明敷接头，应用托板托置固定；电缆共通道敷设存在接头时，接头宜采用防火隔板或防爆盒进行隔离；</w:t>
      </w:r>
    </w:p>
    <w:p w14:paraId="234D2AED">
      <w:pPr>
        <w:pStyle w:val="174"/>
        <w:numPr>
          <w:ilvl w:val="0"/>
          <w:numId w:val="41"/>
        </w:numPr>
        <w:spacing w:line="288" w:lineRule="auto"/>
        <w:rPr>
          <w:rFonts w:hint="eastAsia"/>
        </w:rPr>
      </w:pPr>
      <w:r>
        <w:rPr>
          <w:rFonts w:hint="eastAsia"/>
        </w:rPr>
        <w:t>直埋电缆接头应有防止机械损伤的保护结构或外设保护盒，位于冻土层内的保护盒，盒内宜注入沥青。</w:t>
      </w:r>
    </w:p>
    <w:p w14:paraId="6C4A0A64">
      <w:pPr>
        <w:pStyle w:val="65"/>
        <w:spacing w:before="0" w:beforeLines="0" w:after="0" w:afterLines="0" w:line="288" w:lineRule="auto"/>
        <w:rPr>
          <w:rFonts w:hint="eastAsia" w:ascii="宋体" w:eastAsia="宋体"/>
        </w:rPr>
      </w:pPr>
      <w:r>
        <w:rPr>
          <w:rFonts w:hint="eastAsia" w:ascii="宋体" w:eastAsia="宋体"/>
        </w:rPr>
        <w:t>电缆敷设时应排列整齐，不宜交叉，并应及时装设标识牌。</w:t>
      </w:r>
    </w:p>
    <w:p w14:paraId="713FFF65">
      <w:pPr>
        <w:pStyle w:val="165"/>
        <w:spacing w:line="288" w:lineRule="auto"/>
        <w:rPr>
          <w:rFonts w:hint="eastAsia"/>
        </w:rPr>
      </w:pPr>
      <w:r>
        <w:rPr>
          <w:rFonts w:hint="eastAsia"/>
        </w:rPr>
        <w:t>电缆固定应符合下列规定：</w:t>
      </w:r>
    </w:p>
    <w:p w14:paraId="795DEA5E">
      <w:pPr>
        <w:pStyle w:val="174"/>
        <w:numPr>
          <w:ilvl w:val="0"/>
          <w:numId w:val="42"/>
        </w:numPr>
        <w:spacing w:line="288" w:lineRule="auto"/>
        <w:rPr>
          <w:rFonts w:hint="eastAsia"/>
        </w:rPr>
      </w:pPr>
      <w:r>
        <w:rPr>
          <w:rFonts w:hint="eastAsia"/>
        </w:rPr>
        <w:t>垂直敷设或超过 30° 倾斜敷设的电缆在每个支架上应固定牢固；</w:t>
      </w:r>
    </w:p>
    <w:p w14:paraId="54E94EA2">
      <w:pPr>
        <w:pStyle w:val="174"/>
        <w:numPr>
          <w:ilvl w:val="0"/>
          <w:numId w:val="42"/>
        </w:numPr>
        <w:spacing w:line="288" w:lineRule="auto"/>
        <w:rPr>
          <w:rFonts w:hint="eastAsia"/>
        </w:rPr>
      </w:pPr>
      <w:r>
        <w:rPr>
          <w:rFonts w:hint="eastAsia"/>
        </w:rPr>
        <w:t>水平敷设的电缆，在电缆首末两端及转弯、电缆接头的两端处应固定牢固；当对电缆间距有要求时，每隔 5 m～10 m 处应固定牢固。</w:t>
      </w:r>
    </w:p>
    <w:p w14:paraId="12B1B8C7">
      <w:pPr>
        <w:pStyle w:val="104"/>
        <w:spacing w:before="240" w:after="240"/>
        <w:rPr>
          <w:rFonts w:hint="eastAsia"/>
        </w:rPr>
      </w:pPr>
      <w:bookmarkStart w:id="69" w:name="_Toc179645821"/>
      <w:r>
        <w:t>试验调试</w:t>
      </w:r>
      <w:bookmarkEnd w:id="69"/>
    </w:p>
    <w:p w14:paraId="682160EF">
      <w:pPr>
        <w:pStyle w:val="162"/>
        <w:spacing w:line="288" w:lineRule="auto"/>
        <w:rPr>
          <w:rFonts w:hint="eastAsia"/>
        </w:rPr>
      </w:pPr>
      <w:r>
        <w:rPr>
          <w:rFonts w:hint="eastAsia"/>
        </w:rPr>
        <w:t xml:space="preserve">电气装置安装完成应进行交接试验，按 </w:t>
      </w:r>
      <w:bookmarkStart w:id="70" w:name="OLE_LINK21"/>
      <w:r>
        <w:rPr>
          <w:rFonts w:hint="eastAsia"/>
        </w:rPr>
        <w:t>GB 50150</w:t>
      </w:r>
      <w:bookmarkEnd w:id="70"/>
      <w:r>
        <w:rPr>
          <w:rFonts w:hint="eastAsia"/>
        </w:rPr>
        <w:t xml:space="preserve"> 的规定进行。</w:t>
      </w:r>
    </w:p>
    <w:p w14:paraId="4F042144">
      <w:pPr>
        <w:pStyle w:val="105"/>
        <w:spacing w:before="0" w:beforeLines="0" w:after="0" w:afterLines="0" w:line="288" w:lineRule="auto"/>
        <w:rPr>
          <w:rFonts w:hint="eastAsia" w:ascii="宋体" w:eastAsia="宋体"/>
        </w:rPr>
      </w:pPr>
      <w:r>
        <w:rPr>
          <w:rFonts w:hint="eastAsia" w:ascii="宋体" w:eastAsia="宋体"/>
        </w:rPr>
        <w:t>电气设备应按本标准进行交流耐压试验，且应符合下列规定：</w:t>
      </w:r>
    </w:p>
    <w:p w14:paraId="5F7A2394">
      <w:pPr>
        <w:pStyle w:val="174"/>
        <w:numPr>
          <w:ilvl w:val="0"/>
          <w:numId w:val="43"/>
        </w:numPr>
        <w:spacing w:line="288" w:lineRule="auto"/>
        <w:rPr>
          <w:rFonts w:hint="eastAsia"/>
        </w:rPr>
      </w:pPr>
      <w:r>
        <w:rPr>
          <w:rFonts w:hint="eastAsia"/>
        </w:rPr>
        <w:t>交流耐压试验时加至试验标准电压后的持续时间，无特殊说明时应为 1 min；</w:t>
      </w:r>
    </w:p>
    <w:p w14:paraId="4E423C03">
      <w:pPr>
        <w:pStyle w:val="174"/>
        <w:numPr>
          <w:ilvl w:val="0"/>
          <w:numId w:val="43"/>
        </w:numPr>
        <w:spacing w:line="288" w:lineRule="auto"/>
        <w:rPr>
          <w:rFonts w:hint="eastAsia"/>
        </w:rPr>
      </w:pPr>
      <w:r>
        <w:rPr>
          <w:rFonts w:hint="eastAsia"/>
        </w:rPr>
        <w:t>耐压试验电压值以额定电压的倍数计算时，发电机和电动机应按铭牌额定电压计算，电缆按</w:t>
      </w:r>
      <w:bookmarkStart w:id="71" w:name="OLE_LINK22"/>
      <w:r>
        <w:rPr>
          <w:rFonts w:hint="eastAsia"/>
        </w:rPr>
        <w:t>GB 50150</w:t>
      </w:r>
      <w:bookmarkEnd w:id="71"/>
      <w:r>
        <w:rPr>
          <w:rFonts w:hint="eastAsia"/>
        </w:rPr>
        <w:t xml:space="preserve"> 规定的方法计算；</w:t>
      </w:r>
    </w:p>
    <w:p w14:paraId="67C97FF8">
      <w:pPr>
        <w:pStyle w:val="174"/>
        <w:numPr>
          <w:ilvl w:val="0"/>
          <w:numId w:val="43"/>
        </w:numPr>
        <w:spacing w:line="288" w:lineRule="auto"/>
        <w:rPr>
          <w:rFonts w:hint="eastAsia"/>
        </w:rPr>
      </w:pPr>
      <w:r>
        <w:rPr>
          <w:rFonts w:hint="eastAsia"/>
        </w:rPr>
        <w:t xml:space="preserve">非标准电压等级的电气设备，其交流耐压试验电压值当没有规定时，可根据 </w:t>
      </w:r>
      <w:r>
        <w:t>GB 50150</w:t>
      </w:r>
      <w:r>
        <w:rPr>
          <w:rFonts w:hint="eastAsia"/>
        </w:rPr>
        <w:t xml:space="preserve"> 规定的相邻电压等级按比例采用插入法计算。</w:t>
      </w:r>
    </w:p>
    <w:p w14:paraId="4712CB92">
      <w:pPr>
        <w:pStyle w:val="162"/>
        <w:spacing w:line="288" w:lineRule="auto"/>
        <w:rPr>
          <w:rFonts w:hint="eastAsia"/>
        </w:rPr>
      </w:pPr>
      <w:r>
        <w:rPr>
          <w:rFonts w:hint="eastAsia"/>
        </w:rPr>
        <w:t>进行绝缘试验时，除制造厂装配的成套设备外，宜将连接在一起的各种设备分离，单独试验。同一试验标准的设备可连在一起试验。无法单独试验时，已有出厂试验报告的同一电压等级不同试验标准的电气设备，也可连在一起进行试验。试验标准应采用连接的各种设备中的最低标准。</w:t>
      </w:r>
    </w:p>
    <w:p w14:paraId="0CB26B9A">
      <w:pPr>
        <w:pStyle w:val="162"/>
        <w:spacing w:line="288" w:lineRule="auto"/>
        <w:rPr>
          <w:rFonts w:hint="eastAsia"/>
        </w:rPr>
      </w:pPr>
      <w:r>
        <w:rPr>
          <w:rFonts w:hint="eastAsia"/>
        </w:rPr>
        <w:t>进行电气绝缘的测量和试验时，当只有个别项目达不到本标准规定时，则应根据全面的试验记录进行综合判断，方可投入运行。</w:t>
      </w:r>
    </w:p>
    <w:p w14:paraId="50347544">
      <w:pPr>
        <w:pStyle w:val="105"/>
        <w:spacing w:before="0" w:beforeLines="0" w:after="0" w:afterLines="0" w:line="288" w:lineRule="auto"/>
        <w:rPr>
          <w:rFonts w:hint="eastAsia" w:ascii="宋体" w:eastAsia="宋体"/>
        </w:rPr>
      </w:pPr>
      <w:r>
        <w:rPr>
          <w:rFonts w:hint="eastAsia" w:ascii="宋体" w:eastAsia="宋体"/>
        </w:rPr>
        <w:t>当电气设备的额定电压与实际使用的额定工作电压不同时，应按下列规定确定试验电压的标准：</w:t>
      </w:r>
    </w:p>
    <w:p w14:paraId="143B76B3">
      <w:pPr>
        <w:pStyle w:val="174"/>
        <w:numPr>
          <w:ilvl w:val="0"/>
          <w:numId w:val="44"/>
        </w:numPr>
        <w:spacing w:line="288" w:lineRule="auto"/>
        <w:rPr>
          <w:rFonts w:hint="eastAsia"/>
        </w:rPr>
      </w:pPr>
      <w:r>
        <w:rPr>
          <w:rFonts w:hint="eastAsia"/>
        </w:rPr>
        <w:t>采用额定电压较高的电气设备在于加强绝缘时，应按照设备额定电压的试验标准进行；</w:t>
      </w:r>
    </w:p>
    <w:p w14:paraId="75969536">
      <w:pPr>
        <w:pStyle w:val="174"/>
        <w:numPr>
          <w:ilvl w:val="0"/>
          <w:numId w:val="44"/>
        </w:numPr>
        <w:spacing w:line="288" w:lineRule="auto"/>
        <w:rPr>
          <w:rFonts w:hint="eastAsia"/>
        </w:rPr>
      </w:pPr>
      <w:r>
        <w:rPr>
          <w:rFonts w:hint="eastAsia"/>
        </w:rPr>
        <w:t>采用较高电压等级的电气设备</w:t>
      </w:r>
      <w:r>
        <w:rPr>
          <w:rFonts w:hint="eastAsia"/>
          <w:lang w:eastAsia="zh-CN"/>
        </w:rPr>
        <w:t>在于</w:t>
      </w:r>
      <w:r>
        <w:rPr>
          <w:rFonts w:hint="eastAsia"/>
        </w:rPr>
        <w:t>满足产品通用性及机械强度的要求时，可按照设备实际使用的额定工作电压的试验标准进行；</w:t>
      </w:r>
    </w:p>
    <w:p w14:paraId="70B1CF2E">
      <w:pPr>
        <w:pStyle w:val="174"/>
        <w:numPr>
          <w:ilvl w:val="0"/>
          <w:numId w:val="44"/>
        </w:numPr>
        <w:spacing w:line="288" w:lineRule="auto"/>
        <w:rPr>
          <w:rFonts w:hint="eastAsia"/>
        </w:rPr>
      </w:pPr>
      <w:r>
        <w:rPr>
          <w:rFonts w:hint="eastAsia"/>
        </w:rPr>
        <w:t>采用较高电压等级的电气设备在满足高海拔地区要求时，应在安装地点按实际使用的额定工作电压的试验标准进行。</w:t>
      </w:r>
    </w:p>
    <w:p w14:paraId="3560F436">
      <w:pPr>
        <w:pStyle w:val="104"/>
        <w:spacing w:before="240" w:after="240"/>
        <w:rPr>
          <w:rFonts w:hint="eastAsia"/>
        </w:rPr>
      </w:pPr>
      <w:bookmarkStart w:id="72" w:name="_Toc179645822"/>
      <w:r>
        <w:t>竣工验收</w:t>
      </w:r>
      <w:bookmarkEnd w:id="72"/>
    </w:p>
    <w:p w14:paraId="0DD3D69A">
      <w:pPr>
        <w:pStyle w:val="105"/>
        <w:spacing w:before="120" w:after="120"/>
        <w:rPr>
          <w:rFonts w:hint="eastAsia"/>
        </w:rPr>
      </w:pPr>
      <w:r>
        <w:rPr>
          <w:rFonts w:hint="eastAsia"/>
        </w:rPr>
        <w:t>一般规定</w:t>
      </w:r>
    </w:p>
    <w:p w14:paraId="19589FE9">
      <w:pPr>
        <w:pStyle w:val="165"/>
        <w:spacing w:line="288" w:lineRule="auto"/>
        <w:rPr>
          <w:rFonts w:hint="eastAsia"/>
        </w:rPr>
      </w:pPr>
      <w:r>
        <w:rPr>
          <w:rFonts w:hint="eastAsia"/>
        </w:rPr>
        <w:t xml:space="preserve">工程竣工验收按 </w:t>
      </w:r>
      <w:bookmarkStart w:id="73" w:name="OLE_LINK23"/>
      <w:bookmarkStart w:id="74" w:name="OLE_LINK41"/>
      <w:r>
        <w:t>DL/T 5312</w:t>
      </w:r>
      <w:bookmarkEnd w:id="73"/>
      <w:r>
        <w:rPr>
          <w:rFonts w:hint="eastAsia"/>
        </w:rPr>
        <w:t xml:space="preserve"> </w:t>
      </w:r>
      <w:bookmarkEnd w:id="74"/>
      <w:r>
        <w:rPr>
          <w:rFonts w:hint="eastAsia"/>
        </w:rPr>
        <w:t>的规定进行。</w:t>
      </w:r>
    </w:p>
    <w:p w14:paraId="4856A485">
      <w:pPr>
        <w:pStyle w:val="165"/>
        <w:spacing w:line="288" w:lineRule="auto"/>
        <w:rPr>
          <w:rFonts w:hint="eastAsia"/>
        </w:rPr>
      </w:pPr>
      <w:r>
        <w:rPr>
          <w:rFonts w:hint="eastAsia"/>
        </w:rPr>
        <w:t>参加施工质量检验及评定的各方人员应具备规定的资格，承担施工、试验和系统调试的单位应具有相应的资质。</w:t>
      </w:r>
    </w:p>
    <w:p w14:paraId="46A4D222">
      <w:pPr>
        <w:pStyle w:val="165"/>
        <w:spacing w:line="288" w:lineRule="auto"/>
        <w:rPr>
          <w:rFonts w:hint="eastAsia"/>
        </w:rPr>
      </w:pPr>
      <w:r>
        <w:rPr>
          <w:rFonts w:hint="eastAsia"/>
        </w:rPr>
        <w:t>电气装置安装工程施工质量检验及评定应按划分的单位工程、分部工程和分项工程进行。</w:t>
      </w:r>
    </w:p>
    <w:p w14:paraId="1A417D3A">
      <w:pPr>
        <w:pStyle w:val="165"/>
        <w:spacing w:line="288" w:lineRule="auto"/>
        <w:rPr>
          <w:rFonts w:hint="eastAsia"/>
        </w:rPr>
      </w:pPr>
      <w:r>
        <w:rPr>
          <w:rFonts w:hint="eastAsia"/>
        </w:rPr>
        <w:t>分项工程应检验、评定合格，方可对分部工程进行检验、评定</w:t>
      </w:r>
      <w:r>
        <w:rPr>
          <w:rFonts w:hint="eastAsia"/>
          <w:lang w:eastAsia="zh-CN"/>
        </w:rPr>
        <w:t>；</w:t>
      </w:r>
      <w:bookmarkStart w:id="76" w:name="_GoBack"/>
      <w:bookmarkEnd w:id="76"/>
      <w:r>
        <w:rPr>
          <w:rFonts w:hint="eastAsia"/>
        </w:rPr>
        <w:t>分部工程应检验、评定合格，方可对单位工程进行检验、评定。</w:t>
      </w:r>
    </w:p>
    <w:p w14:paraId="4E261738">
      <w:pPr>
        <w:pStyle w:val="165"/>
        <w:spacing w:line="288" w:lineRule="auto"/>
        <w:rPr>
          <w:rFonts w:hint="eastAsia"/>
        </w:rPr>
      </w:pPr>
      <w:r>
        <w:rPr>
          <w:rFonts w:hint="eastAsia"/>
        </w:rPr>
        <w:t>分项工程应由专业监理工程师组织监理单位和施工单位等工程参建单位相关人员进行施工质量检验及评定，并应由施工单位班组质量负责人、项目部及公司质量负责人和专业监理工程师签字确认质量评定结果。</w:t>
      </w:r>
    </w:p>
    <w:p w14:paraId="1413E542">
      <w:pPr>
        <w:pStyle w:val="105"/>
        <w:spacing w:before="120" w:after="120"/>
        <w:rPr>
          <w:rFonts w:hint="eastAsia"/>
        </w:rPr>
      </w:pPr>
      <w:r>
        <w:rPr>
          <w:rFonts w:hint="eastAsia"/>
        </w:rPr>
        <w:t>不合格处理</w:t>
      </w:r>
    </w:p>
    <w:p w14:paraId="47AC1658">
      <w:pPr>
        <w:pStyle w:val="165"/>
        <w:spacing w:line="288" w:lineRule="auto"/>
        <w:rPr>
          <w:rFonts w:hint="eastAsia"/>
        </w:rPr>
      </w:pPr>
      <w:r>
        <w:rPr>
          <w:rFonts w:hint="eastAsia"/>
        </w:rPr>
        <w:t>当电气装置安装工程施工质量不符合要求时，应按下列要求进行处理：</w:t>
      </w:r>
    </w:p>
    <w:p w14:paraId="64F4361D">
      <w:pPr>
        <w:pStyle w:val="174"/>
        <w:numPr>
          <w:ilvl w:val="0"/>
          <w:numId w:val="45"/>
        </w:numPr>
        <w:spacing w:line="288" w:lineRule="auto"/>
        <w:rPr>
          <w:rFonts w:hint="eastAsia"/>
        </w:rPr>
      </w:pPr>
      <w:r>
        <w:rPr>
          <w:rFonts w:hint="eastAsia"/>
        </w:rPr>
        <w:t>经返工重做或更换零部件、设备的分项工程，应重新进行检验及评定；</w:t>
      </w:r>
    </w:p>
    <w:p w14:paraId="071FF8E6">
      <w:pPr>
        <w:pStyle w:val="174"/>
        <w:numPr>
          <w:ilvl w:val="0"/>
          <w:numId w:val="45"/>
        </w:numPr>
        <w:spacing w:line="288" w:lineRule="auto"/>
        <w:rPr>
          <w:rFonts w:hint="eastAsia"/>
        </w:rPr>
      </w:pPr>
      <w:r>
        <w:rPr>
          <w:rFonts w:hint="eastAsia"/>
        </w:rPr>
        <w:t>经有资质的检测单位检测鉴定能够达到设计、有关规范要求的分项工程，应予以检验及评定；</w:t>
      </w:r>
    </w:p>
    <w:p w14:paraId="14AE7101">
      <w:pPr>
        <w:pStyle w:val="174"/>
        <w:numPr>
          <w:ilvl w:val="0"/>
          <w:numId w:val="45"/>
        </w:numPr>
        <w:spacing w:line="288" w:lineRule="auto"/>
        <w:rPr>
          <w:rFonts w:hint="eastAsia"/>
        </w:rPr>
      </w:pPr>
      <w:r>
        <w:rPr>
          <w:rFonts w:hint="eastAsia"/>
        </w:rPr>
        <w:t>经有资质的检测单位检测鉴定达不到设计、有关规范要求，但经原设计单位认可能够满足安全和使用功能的分项工程，可予以检验及评定；</w:t>
      </w:r>
    </w:p>
    <w:p w14:paraId="31F6C027">
      <w:pPr>
        <w:pStyle w:val="174"/>
        <w:numPr>
          <w:ilvl w:val="0"/>
          <w:numId w:val="45"/>
        </w:numPr>
        <w:spacing w:line="288" w:lineRule="auto"/>
        <w:rPr>
          <w:rFonts w:hint="eastAsia"/>
        </w:rPr>
      </w:pPr>
      <w:r>
        <w:rPr>
          <w:rFonts w:hint="eastAsia"/>
        </w:rPr>
        <w:t>经返修或加固处理的分项、分部工程，虽然改变外形尺寸但仍能满足安全使用要求，可按技术处理方案和协商文件进行检验及评定。</w:t>
      </w:r>
    </w:p>
    <w:p w14:paraId="47B48AAE">
      <w:pPr>
        <w:pStyle w:val="65"/>
        <w:spacing w:before="0" w:beforeLines="0" w:after="0" w:afterLines="0" w:line="288" w:lineRule="auto"/>
        <w:rPr>
          <w:rFonts w:hint="eastAsia" w:ascii="宋体" w:eastAsia="宋体"/>
        </w:rPr>
      </w:pPr>
      <w:r>
        <w:rPr>
          <w:rFonts w:hint="eastAsia" w:ascii="宋体" w:eastAsia="宋体"/>
        </w:rPr>
        <w:t>通过返修或加固处理仍不能满足安全使用要求的分项工程、分部工程和单位工程，不得进行检验及评定。</w:t>
      </w:r>
    </w:p>
    <w:bookmarkEnd w:id="19"/>
    <w:p w14:paraId="36D3A1A7">
      <w:pPr>
        <w:pStyle w:val="56"/>
        <w:ind w:firstLine="0" w:firstLineChars="0"/>
        <w:jc w:val="center"/>
      </w:pPr>
      <w:bookmarkStart w:id="75"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stretch>
                      <a:fillRect/>
                    </a:stretch>
                  </pic:blipFill>
                  <pic:spPr>
                    <a:xfrm>
                      <a:off x="0" y="0"/>
                      <a:ext cx="1485900" cy="317500"/>
                    </a:xfrm>
                    <a:prstGeom prst="rect">
                      <a:avLst/>
                    </a:prstGeom>
                  </pic:spPr>
                </pic:pic>
              </a:graphicData>
            </a:graphic>
          </wp:inline>
        </w:drawing>
      </w:r>
      <w:bookmarkEnd w:id="7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5A7C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9F6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0FF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C45E">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833C5">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4591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06A2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F26A">
    <w:pPr>
      <w:pStyle w:val="61"/>
    </w:pPr>
    <w:r>
      <w:fldChar w:fldCharType="begin"/>
    </w:r>
    <w:r>
      <w:instrText xml:space="preserve"> STYLEREF  标准文件_文件编号  \* MERGEFORMAT </w:instrText>
    </w:r>
    <w:r>
      <w:fldChar w:fldCharType="separate"/>
    </w:r>
    <w: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F2A14">
    <w:pPr>
      <w:pStyle w:val="18"/>
      <w:jc w:val="right"/>
    </w:pPr>
    <w:r>
      <w:fldChar w:fldCharType="begin"/>
    </w:r>
    <w:r>
      <w:instrText xml:space="preserve"> STYLEREF  标准文件_文件编号  \* MERGEFORMAT </w:instrText>
    </w:r>
    <w:r>
      <w:fldChar w:fldCharType="separate"/>
    </w:r>
    <w:r>
      <w:t>T/CASMES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TI4NTUzOGQ3OTcwYjk3NjAwNWUwMDUyZjBiMGIifQ=="/>
  </w:docVars>
  <w:rsids>
    <w:rsidRoot w:val="0021488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36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488B"/>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89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8E7"/>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5C3"/>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C0E"/>
    <w:rsid w:val="00432DAA"/>
    <w:rsid w:val="00434305"/>
    <w:rsid w:val="00435DF7"/>
    <w:rsid w:val="0043741A"/>
    <w:rsid w:val="0044083F"/>
    <w:rsid w:val="00441AE7"/>
    <w:rsid w:val="00445574"/>
    <w:rsid w:val="004467FB"/>
    <w:rsid w:val="00452D6B"/>
    <w:rsid w:val="00454484"/>
    <w:rsid w:val="0045517B"/>
    <w:rsid w:val="00457448"/>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CDC"/>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F3E"/>
    <w:rsid w:val="00693962"/>
    <w:rsid w:val="006A07AA"/>
    <w:rsid w:val="006A25E5"/>
    <w:rsid w:val="006A2B46"/>
    <w:rsid w:val="006A336D"/>
    <w:rsid w:val="006A37B9"/>
    <w:rsid w:val="006B2672"/>
    <w:rsid w:val="006B54BF"/>
    <w:rsid w:val="006B5F44"/>
    <w:rsid w:val="006B5F90"/>
    <w:rsid w:val="006B62E4"/>
    <w:rsid w:val="006C1BBA"/>
    <w:rsid w:val="006C2079"/>
    <w:rsid w:val="006C273B"/>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44E0"/>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A4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6E93"/>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330"/>
    <w:rsid w:val="00A57142"/>
    <w:rsid w:val="00A61BB0"/>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2E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2ECE"/>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2EE"/>
    <w:rsid w:val="00C26B53"/>
    <w:rsid w:val="00C279B2"/>
    <w:rsid w:val="00C33E50"/>
    <w:rsid w:val="00C34C20"/>
    <w:rsid w:val="00C35A3E"/>
    <w:rsid w:val="00C362BF"/>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5D87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A55ABF3A4848499CFDDE5B118EA05F"/>
        <w:style w:val=""/>
        <w:category>
          <w:name w:val="常规"/>
          <w:gallery w:val="placeholder"/>
        </w:category>
        <w:types>
          <w:type w:val="bbPlcHdr"/>
        </w:types>
        <w:behaviors>
          <w:behavior w:val="content"/>
        </w:behaviors>
        <w:description w:val=""/>
        <w:guid w:val="{61954E12-9159-4F99-8858-6D3323F3FA74}"/>
      </w:docPartPr>
      <w:docPartBody>
        <w:p w14:paraId="132AA012">
          <w:pPr>
            <w:pStyle w:val="5"/>
          </w:pPr>
          <w:r>
            <w:rPr>
              <w:rStyle w:val="4"/>
              <w:rFonts w:hint="eastAsia"/>
            </w:rPr>
            <w:t>单击或点击此处输入文字。</w:t>
          </w:r>
        </w:p>
      </w:docPartBody>
    </w:docPart>
    <w:docPart>
      <w:docPartPr>
        <w:name w:val="C31B04A7361F45B18615AC7EF577EA1A"/>
        <w:style w:val=""/>
        <w:category>
          <w:name w:val="常规"/>
          <w:gallery w:val="placeholder"/>
        </w:category>
        <w:types>
          <w:type w:val="bbPlcHdr"/>
        </w:types>
        <w:behaviors>
          <w:behavior w:val="content"/>
        </w:behaviors>
        <w:description w:val=""/>
        <w:guid w:val="{88C83CA0-024D-48F8-8B9D-8FE6E935BDC0}"/>
      </w:docPartPr>
      <w:docPartBody>
        <w:p w14:paraId="5C3C6D65">
          <w:pPr>
            <w:pStyle w:val="6"/>
          </w:pPr>
          <w:r>
            <w:rPr>
              <w:rStyle w:val="4"/>
              <w:rFonts w:hint="eastAsia"/>
            </w:rPr>
            <w:t>选择一项。</w:t>
          </w:r>
        </w:p>
      </w:docPartBody>
    </w:docPart>
    <w:docPart>
      <w:docPartPr>
        <w:name w:val="991696C7FB364D22B5DE3C6428EDEA01"/>
        <w:style w:val=""/>
        <w:category>
          <w:name w:val="常规"/>
          <w:gallery w:val="placeholder"/>
        </w:category>
        <w:types>
          <w:type w:val="bbPlcHdr"/>
        </w:types>
        <w:behaviors>
          <w:behavior w:val="content"/>
        </w:behaviors>
        <w:description w:val=""/>
        <w:guid w:val="{0669FF53-72B2-4AE8-8A1A-C0EAB2D5C871}"/>
      </w:docPartPr>
      <w:docPartBody>
        <w:p w14:paraId="60A4A74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19"/>
    <w:rsid w:val="009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A55ABF3A4848499CFDDE5B118EA05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31B04A7361F45B18615AC7EF577EA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91696C7FB364D22B5DE3C6428EDEA0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E9CA4D-F6A2-4048-B376-9640720537A8}">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5839</Words>
  <Characters>6202</Characters>
  <Lines>686</Lines>
  <Paragraphs>617</Paragraphs>
  <TotalTime>179</TotalTime>
  <ScaleCrop>false</ScaleCrop>
  <LinksUpToDate>false</LinksUpToDate>
  <CharactersWithSpaces>6388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2024-10-12T06:20:00Z</dcterms:created>
  <dc:creator>2023</dc:creator>
  <dc:description>&lt;config cover="true" show_menu="true" version="1.0.0" doctype="SDKXY"&gt;_x000d_
&lt;/config&gt;</dc:description>
  <cp:lastModifiedBy>YU</cp:lastModifiedBy>
  <cp:lastPrinted>2021-02-02T08:22:00Z</cp:lastPrinted>
  <dcterms:modified xsi:type="dcterms:W3CDTF">2024-10-12T09:19:56Z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1CCCBCA1F98E4D54941D974B5049FF59_12</vt:lpwstr>
  </property>
</Properties>
</file>