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1FF47">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14:paraId="656AABE6">
      <w:pPr>
        <w:widowControl/>
        <w:adjustRightInd w:val="0"/>
        <w:snapToGrid w:val="0"/>
        <w:spacing w:after="200" w:line="360" w:lineRule="auto"/>
        <w:jc w:val="center"/>
        <w:rPr>
          <w:rFonts w:ascii="黑体" w:hAnsi="黑体" w:eastAsia="黑体" w:cs="宋体"/>
          <w:kern w:val="0"/>
          <w:sz w:val="52"/>
          <w:szCs w:val="52"/>
        </w:rPr>
      </w:pPr>
      <w:r>
        <w:rPr>
          <w:rFonts w:hint="eastAsia" w:ascii="黑体" w:hAnsi="黑体" w:eastAsia="黑体" w:cs="宋体"/>
          <w:kern w:val="0"/>
          <w:sz w:val="52"/>
          <w:szCs w:val="52"/>
        </w:rPr>
        <w:t>山 东 标 准 化 协 会 团 体 标 准</w:t>
      </w:r>
    </w:p>
    <w:p w14:paraId="0F9628E5">
      <w:pPr>
        <w:widowControl/>
        <w:adjustRightInd w:val="0"/>
        <w:snapToGrid w:val="0"/>
        <w:spacing w:after="360" w:afterLines="100" w:line="800" w:lineRule="exact"/>
        <w:jc w:val="center"/>
        <w:rPr>
          <w:rFonts w:ascii="黑体" w:hAnsi="黑体" w:eastAsia="黑体" w:cs="方正小标宋简体"/>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162560</wp:posOffset>
                </wp:positionV>
                <wp:extent cx="5969635" cy="0"/>
                <wp:effectExtent l="0" t="0" r="12065" b="1905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8.6pt;margin-top:12.8pt;height:0pt;width:470.05pt;z-index:251659264;mso-width-relative:page;mso-height-relative:page;" filled="f" stroked="t" coordsize="21600,21600" o:gfxdata="UEsDBAoAAAAAAIdO4kAAAAAAAAAAAAAAAAAEAAAAZHJzL1BLAwQUAAAACACHTuJAVZ+4rtcAAAAJ&#10;AQAADwAAAGRycy9kb3ducmV2LnhtbE2PTU/DMAyG70j8h8hIXKYtaRAbK013AHrjwgDt6jWmrWic&#10;rsk+4NcTtAMcbT96/bzF6uR6caAxdJ4NZDMFgrj2tuPGwNtrNb0DESKyxd4zGfiiAKvy8qLA3Poj&#10;v9BhHRuRQjjkaKCNccilDHVLDsPMD8Tp9uFHhzGNYyPtiMcU7nqplZpLhx2nDy0O9NBS/bneOwOh&#10;eqdd9T2pJ2pz03jSu8fnJzTm+ipT9yAineIfDL/6SR3K5LT1e7ZB9Aam2UIn1IC+nYNIwFLrJYjt&#10;eSHLQv5vUP4AUEsDBBQAAAAIAIdO4kDmcn6pyQEAAKADAAAOAAAAZHJzL2Uyb0RvYy54bWytU02P&#10;2jAQvVfqf7B8LwFWoBIR9gDaXmiLtNsfYBwnsWp7LI8h4d937ADb3V720Bwsz9ebeW+c9eNgDTur&#10;gBpcxWeTKWfKSai1ayv+6+Xpy1fOMApXCwNOVfyikD9uPn9a975Uc+jA1CowAnFY9r7iXYy+LAqU&#10;nbICJ+CVo2ADwYpIZmiLOoie0K0p5tPpsugh1D6AVIjk3Y1BfkUMHwGEptFS7UCerHJxRA3KiEiU&#10;sNMe+SZP2zRKxp9NgyoyU3FiGvNJTeh+TGexWYuyDcJ3Wl5HEB8Z4R0nK7SjpneonYiCnYL+B8pq&#10;GQChiRMJthiJZEWIxWz6TpvnTniVuZDU6O+i4/+DlT/Oh8B0XfEHzpywtPC9dorNZkma3mNJGVt3&#10;CImcHNyz34P8jczBthOuVXnEl4unulxRvClJBnpqcOy/Q0054hQh6zQ0wSZIUoANeR2X+zrUEJkk&#10;52K1XC0fFpzJW6wQ5a3QB4zfFFiWLhU3NHQGFuc9RhqdUm8pqY+DJ21M3rZxrK/4ajFf5AIEo+sU&#10;TGkY2uPWBHYW6b3kL+lAYG/SApxcPfqNo/CN56jYEerLIaRw8tPiMsD1kaWX8beds15/rM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Z+4rtcAAAAJAQAADwAAAAAAAAABACAAAAAiAAAAZHJzL2Rv&#10;d25yZXYueG1sUEsBAhQAFAAAAAgAh07iQOZyfqnJAQAAoAMAAA4AAAAAAAAAAQAgAAAAJgEAAGRy&#10;cy9lMm9Eb2MueG1sUEsFBgAAAAAGAAYAWQEAAGEFAAAAAA==&#10;">
                <v:fill on="f" focussize="0,0"/>
                <v:stroke color="#000000" joinstyle="round"/>
                <v:imagedata o:title=""/>
                <o:lock v:ext="edit" aspectratio="f"/>
              </v:line>
            </w:pict>
          </mc:Fallback>
        </mc:AlternateContent>
      </w:r>
    </w:p>
    <w:p w14:paraId="4C6DFB44">
      <w:pPr>
        <w:widowControl/>
        <w:adjustRightInd w:val="0"/>
        <w:snapToGrid w:val="0"/>
        <w:spacing w:after="360" w:afterLines="100"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《高速磁浮牵引供电系统试验规范》</w:t>
      </w:r>
    </w:p>
    <w:p w14:paraId="2FAF352C">
      <w:pPr>
        <w:widowControl/>
        <w:adjustRightInd w:val="0"/>
        <w:snapToGrid w:val="0"/>
        <w:spacing w:after="200" w:line="360" w:lineRule="auto"/>
        <w:jc w:val="center"/>
        <w:rPr>
          <w:rFonts w:ascii="宋体" w:hAnsi="宋体" w:eastAsia="宋体" w:cs="宋体"/>
          <w:kern w:val="0"/>
          <w:sz w:val="28"/>
          <w:szCs w:val="28"/>
        </w:rPr>
      </w:pPr>
    </w:p>
    <w:p w14:paraId="3A9C6453">
      <w:pPr>
        <w:widowControl/>
        <w:adjustRightInd w:val="0"/>
        <w:snapToGrid w:val="0"/>
        <w:spacing w:after="200" w:line="360" w:lineRule="auto"/>
        <w:jc w:val="center"/>
        <w:rPr>
          <w:rFonts w:ascii="方正小标宋简体" w:hAnsi="宋体" w:eastAsia="方正小标宋简体" w:cs="方正小标宋简体"/>
          <w:kern w:val="0"/>
          <w:sz w:val="28"/>
          <w:szCs w:val="28"/>
        </w:rPr>
      </w:pPr>
      <w:r>
        <w:rPr>
          <w:rFonts w:hint="eastAsia" w:ascii="宋体" w:hAnsi="宋体" w:eastAsia="宋体" w:cs="宋体"/>
          <w:kern w:val="0"/>
          <w:sz w:val="28"/>
          <w:szCs w:val="28"/>
        </w:rPr>
        <w:t>（征求意见稿）</w:t>
      </w:r>
    </w:p>
    <w:p w14:paraId="51277859">
      <w:pPr>
        <w:widowControl/>
        <w:adjustRightInd w:val="0"/>
        <w:snapToGrid w:val="0"/>
        <w:spacing w:line="800" w:lineRule="exact"/>
        <w:jc w:val="center"/>
        <w:rPr>
          <w:rFonts w:ascii="黑体" w:hAnsi="黑体" w:eastAsia="黑体" w:cs="方正小标宋简体"/>
          <w:kern w:val="0"/>
          <w:sz w:val="44"/>
          <w:szCs w:val="44"/>
        </w:rPr>
      </w:pPr>
    </w:p>
    <w:p w14:paraId="27A516F0">
      <w:pPr>
        <w:widowControl/>
        <w:adjustRightInd w:val="0"/>
        <w:snapToGrid w:val="0"/>
        <w:spacing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编制说明</w:t>
      </w:r>
    </w:p>
    <w:p w14:paraId="69963AEC">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14:paraId="4F512362">
      <w:pPr>
        <w:widowControl/>
        <w:adjustRightInd w:val="0"/>
        <w:snapToGrid w:val="0"/>
        <w:spacing w:after="200" w:line="360" w:lineRule="auto"/>
        <w:jc w:val="left"/>
        <w:rPr>
          <w:rFonts w:ascii="方正小标宋简体" w:hAnsi="宋体" w:eastAsia="方正小标宋简体" w:cs="方正小标宋简体"/>
          <w:kern w:val="0"/>
          <w:sz w:val="44"/>
          <w:szCs w:val="44"/>
        </w:rPr>
      </w:pPr>
    </w:p>
    <w:p w14:paraId="2AC9E213">
      <w:pPr>
        <w:pStyle w:val="27"/>
        <w:rPr>
          <w:rFonts w:ascii="方正小标宋简体" w:hAnsi="宋体" w:eastAsia="方正小标宋简体" w:cs="方正小标宋简体"/>
          <w:color w:val="auto"/>
          <w:kern w:val="0"/>
          <w:sz w:val="44"/>
          <w:szCs w:val="44"/>
          <w:lang w:eastAsia="zh-CN"/>
        </w:rPr>
      </w:pPr>
    </w:p>
    <w:p w14:paraId="449E97DA">
      <w:pPr>
        <w:spacing w:line="360" w:lineRule="auto"/>
        <w:rPr>
          <w:rFonts w:ascii="方正小标宋简体" w:hAnsi="方正小标宋简体" w:eastAsia="方正小标宋简体" w:cs="方正小标宋简体"/>
          <w:sz w:val="32"/>
          <w:szCs w:val="32"/>
        </w:rPr>
      </w:pPr>
    </w:p>
    <w:p w14:paraId="71EB30B2">
      <w:pPr>
        <w:spacing w:line="360" w:lineRule="auto"/>
        <w:jc w:val="center"/>
        <w:rPr>
          <w:rFonts w:ascii="黑体" w:hAnsi="黑体" w:eastAsia="黑体" w:cs="宋体"/>
          <w:sz w:val="30"/>
          <w:szCs w:val="30"/>
        </w:rPr>
        <w:sectPr>
          <w:footerReference r:id="rId3" w:type="default"/>
          <w:pgSz w:w="11906" w:h="16838"/>
          <w:pgMar w:top="1440" w:right="1416" w:bottom="1440" w:left="1701" w:header="709" w:footer="709" w:gutter="0"/>
          <w:pgNumType w:start="0"/>
          <w:cols w:space="708" w:num="1"/>
          <w:titlePg/>
          <w:docGrid w:type="lines" w:linePitch="360" w:charSpace="0"/>
        </w:sectPr>
      </w:pPr>
      <w:r>
        <w:rPr>
          <w:rFonts w:hint="eastAsia" w:ascii="黑体" w:hAnsi="黑体" w:eastAsia="黑体" w:cs="方正小标宋简体"/>
          <w:sz w:val="30"/>
          <w:szCs w:val="30"/>
        </w:rPr>
        <w:t>二〇二四年六月</w:t>
      </w:r>
    </w:p>
    <w:p w14:paraId="7949FB59">
      <w:pPr>
        <w:spacing w:line="360" w:lineRule="auto"/>
        <w:rPr>
          <w:rFonts w:ascii="仿宋_GB2312" w:hAnsi="宋体" w:eastAsia="仿宋_GB2312" w:cs="宋体"/>
          <w:sz w:val="32"/>
          <w:szCs w:val="32"/>
        </w:rPr>
      </w:pPr>
    </w:p>
    <w:p w14:paraId="742872C7">
      <w:pPr>
        <w:pStyle w:val="14"/>
        <w:spacing w:after="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目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 xml:space="preserve"> 录</w:t>
      </w:r>
    </w:p>
    <w:p w14:paraId="47A0A266"/>
    <w:p w14:paraId="68D9BDDE">
      <w:pPr>
        <w:pStyle w:val="14"/>
        <w:widowControl w:val="0"/>
        <w:adjustRightInd w:val="0"/>
        <w:snapToGrid w:val="0"/>
        <w:spacing w:after="0" w:line="560" w:lineRule="exact"/>
        <w:rPr>
          <w:rFonts w:asciiTheme="minorEastAsia" w:hAnsiTheme="minorEastAsia" w:eastAsiaTheme="minorEastAsia"/>
          <w:sz w:val="28"/>
          <w:szCs w:val="28"/>
        </w:rPr>
      </w:pPr>
      <w:r>
        <w:rPr>
          <w:rFonts w:hint="eastAsia" w:ascii="仿宋_GB2312" w:hAnsi="宋体" w:eastAsia="仿宋_GB2312"/>
          <w:sz w:val="21"/>
          <w:szCs w:val="21"/>
        </w:rPr>
        <w:fldChar w:fldCharType="begin"/>
      </w:r>
      <w:r>
        <w:rPr>
          <w:rFonts w:hint="eastAsia" w:ascii="仿宋_GB2312" w:hAnsi="宋体" w:eastAsia="仿宋_GB2312"/>
          <w:sz w:val="21"/>
          <w:szCs w:val="21"/>
        </w:rPr>
        <w:instrText xml:space="preserve"> TOC \o "1-3" \h \z \u </w:instrText>
      </w:r>
      <w:r>
        <w:rPr>
          <w:rFonts w:hint="eastAsia" w:ascii="仿宋_GB2312" w:hAnsi="宋体" w:eastAsia="仿宋_GB2312"/>
          <w:sz w:val="21"/>
          <w:szCs w:val="21"/>
        </w:rPr>
        <w:fldChar w:fldCharType="separate"/>
      </w:r>
    </w:p>
    <w:p w14:paraId="0E0B6F72">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"_Toc122002350" </w:instrText>
      </w:r>
      <w:r>
        <w:fldChar w:fldCharType="separate"/>
      </w:r>
      <w:r>
        <w:rPr>
          <w:rStyle w:val="25"/>
          <w:rFonts w:hint="eastAsia" w:cs="黑体" w:asciiTheme="minorEastAsia" w:hAnsiTheme="minorEastAsia" w:eastAsiaTheme="minorEastAsia"/>
          <w:bCs/>
          <w:sz w:val="28"/>
          <w:szCs w:val="28"/>
        </w:rPr>
        <w:t>一、工作简况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5DD3305">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"_Toc122002351" </w:instrText>
      </w:r>
      <w:r>
        <w:fldChar w:fldCharType="separate"/>
      </w:r>
      <w:r>
        <w:rPr>
          <w:rStyle w:val="25"/>
          <w:rFonts w:hint="eastAsia" w:cs="楷体_GB2312" w:asciiTheme="minorEastAsia" w:hAnsiTheme="minorEastAsia" w:eastAsiaTheme="minorEastAsia"/>
          <w:sz w:val="28"/>
          <w:szCs w:val="28"/>
        </w:rPr>
        <w:t>（一）任务来源</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9AEFAAA">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"_Toc122002352" </w:instrText>
      </w:r>
      <w:r>
        <w:fldChar w:fldCharType="separate"/>
      </w:r>
      <w:r>
        <w:rPr>
          <w:rStyle w:val="25"/>
          <w:rFonts w:hint="eastAsia" w:cs="楷体_GB2312" w:asciiTheme="minorEastAsia" w:hAnsiTheme="minorEastAsia" w:eastAsiaTheme="minorEastAsia"/>
          <w:sz w:val="28"/>
          <w:szCs w:val="28"/>
        </w:rPr>
        <w:t>（二）起草单位和主要起草人</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14:paraId="7EF2B6BD">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"_Toc122002353" </w:instrText>
      </w:r>
      <w:r>
        <w:fldChar w:fldCharType="separate"/>
      </w:r>
      <w:r>
        <w:rPr>
          <w:rStyle w:val="25"/>
          <w:rFonts w:hint="eastAsia" w:cs="楷体_GB2312" w:asciiTheme="minorEastAsia" w:hAnsiTheme="minorEastAsia" w:eastAsiaTheme="minorEastAsia"/>
          <w:sz w:val="28"/>
          <w:szCs w:val="28"/>
        </w:rPr>
        <w:t>（三）起草单位和主要起草人任务分工</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14:paraId="55C3C2D8">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"_Toc122002354" </w:instrText>
      </w:r>
      <w:r>
        <w:fldChar w:fldCharType="separate"/>
      </w:r>
      <w:r>
        <w:rPr>
          <w:rStyle w:val="25"/>
          <w:rFonts w:hint="eastAsia" w:cs="楷体_GB2312" w:asciiTheme="minorEastAsia" w:hAnsiTheme="minorEastAsia" w:eastAsiaTheme="minorEastAsia"/>
          <w:sz w:val="28"/>
          <w:szCs w:val="28"/>
        </w:rPr>
        <w:t>（四）起草过程</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14:paraId="4AC8E84E">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"_Toc122002355" </w:instrText>
      </w:r>
      <w:r>
        <w:fldChar w:fldCharType="separate"/>
      </w:r>
      <w:r>
        <w:rPr>
          <w:rStyle w:val="25"/>
          <w:rFonts w:hint="eastAsia" w:cs="黑体" w:asciiTheme="minorEastAsia" w:hAnsiTheme="minorEastAsia" w:eastAsiaTheme="minorEastAsia"/>
          <w:bCs/>
          <w:sz w:val="28"/>
          <w:szCs w:val="28"/>
        </w:rPr>
        <w:t>二、标准制定的目的和意义</w:t>
      </w:r>
      <w:r>
        <w:rPr>
          <w:rFonts w:asciiTheme="minorEastAsia" w:hAnsiTheme="minorEastAsia" w:eastAsiaTheme="minorEastAsia"/>
          <w:sz w:val="28"/>
          <w:szCs w:val="28"/>
        </w:rPr>
        <w:tab/>
      </w: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rPr>
        <w:fldChar w:fldCharType="end"/>
      </w:r>
    </w:p>
    <w:p w14:paraId="704847EF">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"_Toc122002356" </w:instrText>
      </w:r>
      <w:r>
        <w:fldChar w:fldCharType="separate"/>
      </w:r>
      <w:r>
        <w:rPr>
          <w:rStyle w:val="25"/>
          <w:rFonts w:hint="eastAsia" w:cs="黑体" w:asciiTheme="minorEastAsia" w:hAnsiTheme="minorEastAsia" w:eastAsiaTheme="minorEastAsia"/>
          <w:bCs/>
          <w:sz w:val="28"/>
          <w:szCs w:val="28"/>
        </w:rPr>
        <w:t>三、标准编制原则、主要技术内容和确定依据</w:t>
      </w:r>
      <w:r>
        <w:rPr>
          <w:rFonts w:asciiTheme="minorEastAsia" w:hAnsiTheme="minorEastAsia" w:eastAsiaTheme="minorEastAsia"/>
          <w:sz w:val="28"/>
          <w:szCs w:val="28"/>
        </w:rPr>
        <w:tab/>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rPr>
        <w:fldChar w:fldCharType="end"/>
      </w:r>
    </w:p>
    <w:p w14:paraId="05C790F2">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"_Toc122002357" </w:instrText>
      </w:r>
      <w:r>
        <w:fldChar w:fldCharType="separate"/>
      </w:r>
      <w:r>
        <w:rPr>
          <w:rStyle w:val="25"/>
          <w:rFonts w:hint="eastAsia" w:cs="楷体_GB2312" w:asciiTheme="minorEastAsia" w:hAnsiTheme="minorEastAsia" w:eastAsiaTheme="minorEastAsia"/>
          <w:sz w:val="28"/>
          <w:szCs w:val="28"/>
        </w:rPr>
        <w:t>（一）标准编制原则</w:t>
      </w:r>
      <w:r>
        <w:rPr>
          <w:rFonts w:asciiTheme="minorEastAsia" w:hAnsiTheme="minorEastAsia" w:eastAsiaTheme="minorEastAsia"/>
          <w:sz w:val="28"/>
          <w:szCs w:val="28"/>
        </w:rPr>
        <w:tab/>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rPr>
        <w:fldChar w:fldCharType="end"/>
      </w:r>
    </w:p>
    <w:p w14:paraId="61713500">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"_Toc122002358" </w:instrText>
      </w:r>
      <w:r>
        <w:fldChar w:fldCharType="separate"/>
      </w:r>
      <w:r>
        <w:rPr>
          <w:rStyle w:val="25"/>
          <w:rFonts w:hint="eastAsia" w:cs="楷体_GB2312" w:asciiTheme="minorEastAsia" w:hAnsiTheme="minorEastAsia" w:eastAsiaTheme="minorEastAsia"/>
          <w:sz w:val="28"/>
          <w:szCs w:val="28"/>
        </w:rPr>
        <w:t>（二）主要技术内容</w:t>
      </w:r>
      <w:r>
        <w:rPr>
          <w:rFonts w:asciiTheme="minorEastAsia" w:hAnsiTheme="minorEastAsia" w:eastAsiaTheme="minorEastAsia"/>
          <w:sz w:val="28"/>
          <w:szCs w:val="28"/>
        </w:rPr>
        <w:tab/>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rPr>
        <w:fldChar w:fldCharType="end"/>
      </w:r>
    </w:p>
    <w:p w14:paraId="1069E212">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"_Toc122002359" </w:instrText>
      </w:r>
      <w:r>
        <w:fldChar w:fldCharType="separate"/>
      </w:r>
      <w:r>
        <w:rPr>
          <w:rStyle w:val="25"/>
          <w:rFonts w:hint="eastAsia" w:cs="楷体_GB2312" w:asciiTheme="minorEastAsia" w:hAnsiTheme="minorEastAsia" w:eastAsiaTheme="minorEastAsia"/>
          <w:sz w:val="28"/>
          <w:szCs w:val="28"/>
        </w:rPr>
        <w:t>（三）确定依据</w:t>
      </w:r>
      <w:r>
        <w:rPr>
          <w:rFonts w:asciiTheme="minorEastAsia" w:hAnsiTheme="minorEastAsia" w:eastAsiaTheme="minorEastAsia"/>
          <w:sz w:val="28"/>
          <w:szCs w:val="28"/>
        </w:rPr>
        <w:tab/>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p>
    <w:p w14:paraId="740285C0">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"_Toc122002360" </w:instrText>
      </w:r>
      <w:r>
        <w:fldChar w:fldCharType="separate"/>
      </w:r>
      <w:r>
        <w:rPr>
          <w:rStyle w:val="25"/>
          <w:rFonts w:hint="eastAsia" w:cs="黑体" w:asciiTheme="minorEastAsia" w:hAnsiTheme="minorEastAsia" w:eastAsiaTheme="minorEastAsia"/>
          <w:bCs/>
          <w:sz w:val="28"/>
          <w:szCs w:val="28"/>
        </w:rPr>
        <w:t>四、与现行相关法律、行政法规和其他标准的关系</w:t>
      </w:r>
      <w:r>
        <w:rPr>
          <w:rFonts w:asciiTheme="minorEastAsia" w:hAnsiTheme="minorEastAsia" w:eastAsiaTheme="minorEastAsia"/>
          <w:sz w:val="28"/>
          <w:szCs w:val="28"/>
        </w:rPr>
        <w:tab/>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p>
    <w:p w14:paraId="2457BFAB">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"_Toc122002361" </w:instrText>
      </w:r>
      <w:r>
        <w:fldChar w:fldCharType="separate"/>
      </w:r>
      <w:r>
        <w:rPr>
          <w:rStyle w:val="25"/>
          <w:rFonts w:hint="eastAsia" w:cs="黑体" w:asciiTheme="minorEastAsia" w:hAnsiTheme="minorEastAsia" w:eastAsiaTheme="minorEastAsia"/>
          <w:bCs/>
          <w:sz w:val="28"/>
          <w:szCs w:val="28"/>
        </w:rPr>
        <w:t>五、重大分歧意见的处理过程、处理意见及其依据</w:t>
      </w:r>
      <w:r>
        <w:rPr>
          <w:rFonts w:asciiTheme="minorEastAsia" w:hAnsiTheme="minorEastAsia" w:eastAsiaTheme="minorEastAsia"/>
          <w:sz w:val="28"/>
          <w:szCs w:val="28"/>
        </w:rPr>
        <w:tab/>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p>
    <w:p w14:paraId="5EA357CD">
      <w:pPr>
        <w:pStyle w:val="14"/>
        <w:spacing w:line="560" w:lineRule="exact"/>
        <w:rPr>
          <w:rFonts w:asciiTheme="minorHAnsi" w:hAnsiTheme="minorHAnsi" w:eastAsiaTheme="minorEastAsia" w:cstheme="minorBidi"/>
          <w:kern w:val="2"/>
          <w:sz w:val="21"/>
          <w:szCs w:val="21"/>
        </w:rPr>
      </w:pPr>
      <w:r>
        <w:fldChar w:fldCharType="begin"/>
      </w:r>
      <w:r>
        <w:instrText xml:space="preserve"> HYPERLINK \l "_Toc122002363" </w:instrText>
      </w:r>
      <w:r>
        <w:fldChar w:fldCharType="separate"/>
      </w:r>
      <w:r>
        <w:rPr>
          <w:rStyle w:val="25"/>
          <w:rFonts w:hint="eastAsia" w:cs="黑体" w:asciiTheme="minorEastAsia" w:hAnsiTheme="minorEastAsia" w:eastAsiaTheme="minorEastAsia"/>
          <w:bCs/>
          <w:sz w:val="28"/>
          <w:szCs w:val="28"/>
        </w:rPr>
        <w:t>六、其他需要说明的内容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5</w:t>
      </w:r>
    </w:p>
    <w:p w14:paraId="3BDD422E">
      <w:pPr>
        <w:adjustRightInd w:val="0"/>
        <w:snapToGrid w:val="0"/>
        <w:rPr>
          <w:rFonts w:ascii="仿宋_GB2312" w:hAnsi="宋体" w:eastAsia="仿宋_GB2312" w:cs="宋体"/>
          <w:szCs w:val="21"/>
        </w:rPr>
      </w:pPr>
      <w:r>
        <w:rPr>
          <w:rFonts w:hint="eastAsia" w:ascii="仿宋_GB2312" w:hAnsi="宋体" w:eastAsia="仿宋_GB2312" w:cs="宋体"/>
          <w:szCs w:val="21"/>
        </w:rPr>
        <w:fldChar w:fldCharType="end"/>
      </w:r>
    </w:p>
    <w:p w14:paraId="3C532F98">
      <w:pPr>
        <w:spacing w:line="360" w:lineRule="auto"/>
        <w:rPr>
          <w:rFonts w:ascii="仿宋_GB2312" w:hAnsi="宋体" w:eastAsia="仿宋_GB2312" w:cs="宋体"/>
          <w:sz w:val="32"/>
          <w:szCs w:val="32"/>
        </w:rPr>
        <w:sectPr>
          <w:footerReference r:id="rId5" w:type="first"/>
          <w:footerReference r:id="rId4" w:type="default"/>
          <w:pgSz w:w="11906" w:h="16838"/>
          <w:pgMar w:top="1440" w:right="1701" w:bottom="1440" w:left="1701" w:header="709" w:footer="709" w:gutter="0"/>
          <w:pgNumType w:start="0"/>
          <w:cols w:space="708" w:num="1"/>
          <w:titlePg/>
          <w:docGrid w:type="lines" w:linePitch="360" w:charSpace="0"/>
        </w:sectPr>
      </w:pPr>
    </w:p>
    <w:p w14:paraId="5330555E">
      <w:pPr>
        <w:spacing w:line="560" w:lineRule="exact"/>
        <w:ind w:firstLine="600" w:firstLineChars="250"/>
        <w:outlineLvl w:val="0"/>
        <w:rPr>
          <w:rFonts w:ascii="仿宋_GB2312" w:hAnsi="Times New Roman" w:eastAsia="仿宋_GB2312" w:cs="Times New Roman"/>
          <w:b/>
          <w:sz w:val="24"/>
          <w:szCs w:val="24"/>
        </w:rPr>
      </w:pPr>
      <w:bookmarkStart w:id="0" w:name="_Toc122002350"/>
      <w:r>
        <w:rPr>
          <w:rFonts w:hint="eastAsia" w:ascii="黑体" w:hAnsi="黑体" w:eastAsia="黑体" w:cs="黑体"/>
          <w:bCs/>
          <w:sz w:val="24"/>
          <w:szCs w:val="24"/>
        </w:rPr>
        <w:t>一、 工作简况</w:t>
      </w:r>
      <w:bookmarkEnd w:id="0"/>
    </w:p>
    <w:p w14:paraId="201F0A63">
      <w:pPr>
        <w:pStyle w:val="32"/>
        <w:rPr>
          <w:rFonts w:ascii="黑体" w:hAnsi="黑体" w:eastAsia="黑体"/>
        </w:rPr>
      </w:pPr>
      <w:bookmarkStart w:id="1" w:name="_Toc122002351"/>
      <w:r>
        <w:rPr>
          <w:rFonts w:hint="eastAsia" w:ascii="黑体" w:hAnsi="黑体" w:eastAsia="黑体"/>
        </w:rPr>
        <w:t>（一）任务来源</w:t>
      </w:r>
      <w:bookmarkEnd w:id="1"/>
    </w:p>
    <w:p w14:paraId="7B9152E3">
      <w:pPr>
        <w:pStyle w:val="32"/>
      </w:pPr>
      <w:bookmarkStart w:id="2" w:name="_Toc490055224"/>
      <w:bookmarkStart w:id="3" w:name="_Toc489515530"/>
      <w:bookmarkStart w:id="4" w:name="_Toc489368766"/>
      <w:bookmarkStart w:id="5" w:name="_Toc97738900"/>
      <w:bookmarkStart w:id="6" w:name="_Toc97566039"/>
      <w:r>
        <w:rPr>
          <w:rFonts w:hint="eastAsia"/>
        </w:rPr>
        <w:t>根据《山东标准化协会关于下达2024年第XXX批团体标准制修订计划的通知》（鲁标协字[2024]18X号）计划编号XXXX的要求，由中车青岛四方车辆研究所有限公司归口，并由中车青岛四方机车车辆股份有限公司、中车株洲电力机车研究所共同起草。</w:t>
      </w:r>
    </w:p>
    <w:bookmarkEnd w:id="2"/>
    <w:bookmarkEnd w:id="3"/>
    <w:bookmarkEnd w:id="4"/>
    <w:bookmarkEnd w:id="5"/>
    <w:bookmarkEnd w:id="6"/>
    <w:p w14:paraId="4304164E">
      <w:pPr>
        <w:pStyle w:val="32"/>
        <w:rPr>
          <w:rFonts w:ascii="黑体" w:hAnsi="黑体" w:eastAsia="黑体"/>
        </w:rPr>
      </w:pPr>
      <w:bookmarkStart w:id="7" w:name="_Toc122002352"/>
      <w:r>
        <w:rPr>
          <w:rFonts w:hint="eastAsia" w:ascii="黑体" w:hAnsi="黑体" w:eastAsia="黑体"/>
        </w:rPr>
        <w:t>（二）起草单位和主要起草人</w:t>
      </w:r>
      <w:bookmarkEnd w:id="7"/>
    </w:p>
    <w:p w14:paraId="5F5955DE">
      <w:pPr>
        <w:pStyle w:val="39"/>
      </w:pPr>
      <w:bookmarkStart w:id="8" w:name="_Toc97566042"/>
      <w:bookmarkStart w:id="9" w:name="_Toc97738903"/>
      <w:r>
        <w:rPr>
          <w:rFonts w:hint="eastAsia"/>
        </w:rPr>
        <w:t>1.标准起草单位</w:t>
      </w:r>
      <w:bookmarkEnd w:id="8"/>
      <w:bookmarkEnd w:id="9"/>
    </w:p>
    <w:p w14:paraId="3EB851CB">
      <w:pPr>
        <w:pStyle w:val="32"/>
      </w:pPr>
      <w:r>
        <w:rPr>
          <w:rFonts w:hint="eastAsia"/>
        </w:rPr>
        <w:t>中车青岛四方机车车辆股份有限公司、</w:t>
      </w:r>
      <w:bookmarkStart w:id="42" w:name="_GoBack"/>
      <w:r>
        <w:rPr>
          <w:rFonts w:hint="eastAsia"/>
        </w:rPr>
        <w:t>中车株洲电力机车研究所</w:t>
      </w:r>
      <w:bookmarkEnd w:id="42"/>
    </w:p>
    <w:p w14:paraId="15A593CF">
      <w:pPr>
        <w:pStyle w:val="39"/>
        <w:numPr>
          <w:ilvl w:val="0"/>
          <w:numId w:val="4"/>
        </w:numPr>
        <w:ind w:firstLineChars="0"/>
      </w:pPr>
      <w:bookmarkStart w:id="10" w:name="_Toc97566043"/>
      <w:bookmarkStart w:id="11" w:name="_Toc97738904"/>
      <w:r>
        <w:rPr>
          <w:rFonts w:hint="eastAsia"/>
        </w:rPr>
        <w:t>主要起草人</w:t>
      </w:r>
      <w:bookmarkEnd w:id="10"/>
      <w:bookmarkEnd w:id="11"/>
    </w:p>
    <w:p w14:paraId="4A2FAE3D">
      <w:pPr>
        <w:pStyle w:val="32"/>
      </w:pPr>
      <w:bookmarkStart w:id="12" w:name="_Toc122002353"/>
      <w:r>
        <w:rPr>
          <w:rFonts w:hint="eastAsia"/>
        </w:rPr>
        <w:t>张志强、类延霄、高信迈、孙健博、马继辉、张婵娟</w:t>
      </w:r>
    </w:p>
    <w:p w14:paraId="0075B3D3">
      <w:pPr>
        <w:pStyle w:val="32"/>
        <w:rPr>
          <w:rFonts w:ascii="黑体" w:hAnsi="黑体" w:eastAsia="黑体"/>
        </w:rPr>
      </w:pPr>
      <w:r>
        <w:rPr>
          <w:rFonts w:hint="eastAsia" w:ascii="黑体" w:hAnsi="黑体" w:eastAsia="黑体"/>
        </w:rPr>
        <w:t>（三）起草单位和主要起草人任务分工</w:t>
      </w:r>
      <w:bookmarkEnd w:id="12"/>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135"/>
        <w:gridCol w:w="3411"/>
      </w:tblGrid>
      <w:tr w14:paraId="2316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3" w:type="pct"/>
            <w:vAlign w:val="center"/>
          </w:tcPr>
          <w:p w14:paraId="70E93ACD">
            <w:pPr>
              <w:spacing w:line="400" w:lineRule="exact"/>
              <w:jc w:val="center"/>
              <w:rPr>
                <w:rFonts w:ascii="宋体" w:hAnsi="宋体" w:eastAsia="宋体"/>
                <w:bCs/>
                <w:sz w:val="24"/>
                <w:szCs w:val="24"/>
              </w:rPr>
            </w:pPr>
            <w:r>
              <w:rPr>
                <w:rFonts w:hint="eastAsia" w:ascii="宋体" w:hAnsi="宋体" w:eastAsia="宋体"/>
                <w:bCs/>
                <w:sz w:val="24"/>
                <w:szCs w:val="24"/>
              </w:rPr>
              <w:t>姓名</w:t>
            </w:r>
          </w:p>
        </w:tc>
        <w:tc>
          <w:tcPr>
            <w:tcW w:w="2426" w:type="pct"/>
            <w:vAlign w:val="center"/>
          </w:tcPr>
          <w:p w14:paraId="39BB7AB9">
            <w:pPr>
              <w:spacing w:line="400" w:lineRule="exact"/>
              <w:jc w:val="center"/>
              <w:rPr>
                <w:rFonts w:ascii="宋体" w:hAnsi="宋体" w:eastAsia="宋体"/>
                <w:bCs/>
                <w:sz w:val="24"/>
                <w:szCs w:val="24"/>
              </w:rPr>
            </w:pPr>
            <w:r>
              <w:rPr>
                <w:rFonts w:hint="eastAsia" w:ascii="宋体" w:hAnsi="宋体" w:eastAsia="宋体"/>
                <w:bCs/>
                <w:sz w:val="24"/>
                <w:szCs w:val="24"/>
              </w:rPr>
              <w:t>工作单位</w:t>
            </w:r>
          </w:p>
        </w:tc>
        <w:tc>
          <w:tcPr>
            <w:tcW w:w="2001" w:type="pct"/>
            <w:vAlign w:val="center"/>
          </w:tcPr>
          <w:p w14:paraId="73D235E0">
            <w:pPr>
              <w:spacing w:line="400" w:lineRule="exact"/>
              <w:jc w:val="center"/>
              <w:rPr>
                <w:rFonts w:ascii="宋体" w:hAnsi="宋体" w:eastAsia="宋体"/>
                <w:bCs/>
                <w:sz w:val="24"/>
                <w:szCs w:val="24"/>
              </w:rPr>
            </w:pPr>
            <w:r>
              <w:rPr>
                <w:rFonts w:hint="eastAsia" w:ascii="宋体" w:hAnsi="宋体" w:eastAsia="宋体"/>
                <w:bCs/>
                <w:sz w:val="24"/>
                <w:szCs w:val="24"/>
              </w:rPr>
              <w:t>任务分工</w:t>
            </w:r>
          </w:p>
        </w:tc>
      </w:tr>
      <w:tr w14:paraId="0363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3" w:type="pct"/>
            <w:vAlign w:val="center"/>
          </w:tcPr>
          <w:p w14:paraId="4F8655CA">
            <w:pPr>
              <w:spacing w:line="400" w:lineRule="exact"/>
              <w:jc w:val="center"/>
              <w:rPr>
                <w:rFonts w:ascii="宋体" w:hAnsi="宋体" w:eastAsia="宋体"/>
                <w:bCs/>
                <w:sz w:val="24"/>
                <w:szCs w:val="24"/>
              </w:rPr>
            </w:pPr>
            <w:r>
              <w:rPr>
                <w:rFonts w:hint="eastAsia" w:ascii="宋体" w:hAnsi="宋体" w:eastAsia="宋体"/>
                <w:bCs/>
                <w:sz w:val="24"/>
                <w:szCs w:val="24"/>
              </w:rPr>
              <w:t>张志强</w:t>
            </w:r>
          </w:p>
        </w:tc>
        <w:tc>
          <w:tcPr>
            <w:tcW w:w="2426" w:type="pct"/>
            <w:vAlign w:val="center"/>
          </w:tcPr>
          <w:p w14:paraId="1E7C60AB">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723E6BEA">
            <w:pPr>
              <w:spacing w:line="400" w:lineRule="exact"/>
              <w:rPr>
                <w:rFonts w:ascii="宋体" w:hAnsi="宋体" w:eastAsia="宋体"/>
                <w:bCs/>
                <w:sz w:val="24"/>
                <w:szCs w:val="24"/>
              </w:rPr>
            </w:pPr>
            <w:r>
              <w:rPr>
                <w:rFonts w:hint="eastAsia" w:ascii="宋体" w:hAnsi="宋体" w:eastAsia="宋体"/>
                <w:bCs/>
                <w:sz w:val="24"/>
                <w:szCs w:val="24"/>
              </w:rPr>
              <w:t>标准主要发起人和组织者，负责标准框架内容搭建、构思</w:t>
            </w:r>
          </w:p>
        </w:tc>
      </w:tr>
      <w:tr w14:paraId="5224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14:paraId="3F28A145">
            <w:pPr>
              <w:spacing w:line="400" w:lineRule="exact"/>
              <w:jc w:val="center"/>
              <w:rPr>
                <w:rFonts w:ascii="宋体" w:hAnsi="宋体" w:eastAsia="宋体"/>
                <w:bCs/>
                <w:sz w:val="24"/>
                <w:szCs w:val="24"/>
              </w:rPr>
            </w:pPr>
            <w:r>
              <w:rPr>
                <w:rFonts w:hint="eastAsia" w:ascii="宋体" w:hAnsi="宋体" w:eastAsia="宋体"/>
                <w:bCs/>
                <w:sz w:val="24"/>
                <w:szCs w:val="24"/>
              </w:rPr>
              <w:t>类延霄</w:t>
            </w:r>
          </w:p>
        </w:tc>
        <w:tc>
          <w:tcPr>
            <w:tcW w:w="2426" w:type="pct"/>
            <w:vAlign w:val="center"/>
          </w:tcPr>
          <w:p w14:paraId="02411783">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14:paraId="171AB0B1">
            <w:pPr>
              <w:spacing w:line="400" w:lineRule="exact"/>
              <w:rPr>
                <w:rFonts w:ascii="宋体" w:hAnsi="宋体" w:eastAsia="宋体"/>
                <w:bCs/>
                <w:sz w:val="24"/>
                <w:szCs w:val="24"/>
              </w:rPr>
            </w:pPr>
            <w:r>
              <w:rPr>
                <w:rFonts w:hint="eastAsia" w:ascii="宋体" w:hAnsi="宋体" w:eastAsia="宋体"/>
                <w:bCs/>
                <w:sz w:val="24"/>
                <w:szCs w:val="24"/>
              </w:rPr>
              <w:t>标准主要发起人和组织者</w:t>
            </w:r>
          </w:p>
        </w:tc>
      </w:tr>
      <w:tr w14:paraId="73F1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14:paraId="48562AF1">
            <w:pPr>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高信迈</w:t>
            </w:r>
          </w:p>
        </w:tc>
        <w:tc>
          <w:tcPr>
            <w:tcW w:w="2426" w:type="pct"/>
            <w:vAlign w:val="center"/>
          </w:tcPr>
          <w:p w14:paraId="444BA33D">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中车青岛四方机车车辆股份有限公司</w:t>
            </w:r>
          </w:p>
        </w:tc>
        <w:tc>
          <w:tcPr>
            <w:tcW w:w="2001" w:type="pct"/>
            <w:vAlign w:val="center"/>
          </w:tcPr>
          <w:p w14:paraId="5B23E562">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参与标准编写</w:t>
            </w:r>
          </w:p>
        </w:tc>
      </w:tr>
      <w:tr w14:paraId="606C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14:paraId="08C47DEF">
            <w:pPr>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张婵娟</w:t>
            </w:r>
          </w:p>
        </w:tc>
        <w:tc>
          <w:tcPr>
            <w:tcW w:w="2426" w:type="pct"/>
            <w:vAlign w:val="center"/>
          </w:tcPr>
          <w:p w14:paraId="277B539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中车青岛四方机车车辆股份有限公司</w:t>
            </w:r>
          </w:p>
        </w:tc>
        <w:tc>
          <w:tcPr>
            <w:tcW w:w="2001" w:type="pct"/>
            <w:vAlign w:val="center"/>
          </w:tcPr>
          <w:p w14:paraId="7A149C4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参与标准编写</w:t>
            </w:r>
          </w:p>
        </w:tc>
      </w:tr>
      <w:tr w14:paraId="0888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14:paraId="7D386EDC">
            <w:pPr>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孙健博</w:t>
            </w:r>
          </w:p>
        </w:tc>
        <w:tc>
          <w:tcPr>
            <w:tcW w:w="2426" w:type="pct"/>
            <w:vAlign w:val="center"/>
          </w:tcPr>
          <w:p w14:paraId="1E068D00">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中车青岛四方机车车辆股份有限公司</w:t>
            </w:r>
          </w:p>
        </w:tc>
        <w:tc>
          <w:tcPr>
            <w:tcW w:w="2001" w:type="pct"/>
            <w:vAlign w:val="center"/>
          </w:tcPr>
          <w:p w14:paraId="139C953E">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参与标准编写</w:t>
            </w:r>
          </w:p>
        </w:tc>
      </w:tr>
      <w:tr w14:paraId="67AF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14:paraId="120E741E">
            <w:pPr>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马继辉</w:t>
            </w:r>
          </w:p>
        </w:tc>
        <w:tc>
          <w:tcPr>
            <w:tcW w:w="2426" w:type="pct"/>
            <w:vAlign w:val="center"/>
          </w:tcPr>
          <w:p w14:paraId="01A8FD2A">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中车青岛四方机车车辆股份有限公司</w:t>
            </w:r>
          </w:p>
        </w:tc>
        <w:tc>
          <w:tcPr>
            <w:tcW w:w="2001" w:type="pct"/>
            <w:vAlign w:val="center"/>
          </w:tcPr>
          <w:p w14:paraId="2258D449">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参与标准编写</w:t>
            </w:r>
          </w:p>
        </w:tc>
      </w:tr>
    </w:tbl>
    <w:p w14:paraId="1D1CD274">
      <w:pPr>
        <w:pStyle w:val="32"/>
        <w:rPr>
          <w:rFonts w:ascii="黑体" w:hAnsi="黑体" w:eastAsia="黑体" w:cs="Times New Roman"/>
        </w:rPr>
      </w:pPr>
      <w:bookmarkStart w:id="13" w:name="_Toc122002354"/>
      <w:bookmarkStart w:id="14" w:name="_Toc97738906"/>
      <w:r>
        <w:rPr>
          <w:rFonts w:hint="eastAsia" w:ascii="黑体" w:hAnsi="黑体" w:eastAsia="黑体"/>
        </w:rPr>
        <w:t>（四）起草过程</w:t>
      </w:r>
      <w:bookmarkEnd w:id="13"/>
      <w:bookmarkEnd w:id="14"/>
    </w:p>
    <w:p w14:paraId="26510C10">
      <w:pPr>
        <w:pStyle w:val="39"/>
      </w:pPr>
      <w:bookmarkStart w:id="15" w:name="OLE_LINK3"/>
      <w:r>
        <w:rPr>
          <w:rFonts w:hint="eastAsia"/>
        </w:rPr>
        <w:t>1.</w:t>
      </w:r>
      <w:bookmarkEnd w:id="15"/>
      <w:r>
        <w:rPr>
          <w:rFonts w:hint="eastAsia"/>
        </w:rPr>
        <w:t>预研阶段</w:t>
      </w:r>
    </w:p>
    <w:p w14:paraId="797C9B3B">
      <w:pPr>
        <w:spacing w:line="600" w:lineRule="exact"/>
        <w:ind w:left="420" w:leftChars="200"/>
        <w:rPr>
          <w:rFonts w:cs="楷体_GB2312" w:asciiTheme="minorEastAsia" w:hAnsiTheme="minorEastAsia"/>
          <w:sz w:val="24"/>
          <w:szCs w:val="24"/>
        </w:rPr>
      </w:pPr>
      <w:r>
        <w:rPr>
          <w:rFonts w:hint="eastAsia" w:cs="楷体_GB2312" w:asciiTheme="minorEastAsia" w:hAnsiTheme="minorEastAsia"/>
          <w:sz w:val="24"/>
          <w:szCs w:val="24"/>
        </w:rPr>
        <w:t>根据标准编制任务要求与计划，成立了由主机厂、产品供货商、运营单位组成的标准起草小组，研究高速磁浮运行控制系统试验规范，明确目标和内容后，制定了《高速磁浮牵引供电系统试验规范》标准编制的工作方案，依据工作组参与的人员的专业、技能、人数明确了任务和分工，积极开展标准的研究、调研、起草、试验、分析等工作。</w:t>
      </w:r>
    </w:p>
    <w:p w14:paraId="3C78BD54">
      <w:pPr>
        <w:spacing w:line="600" w:lineRule="exact"/>
        <w:ind w:left="420" w:leftChars="200"/>
        <w:rPr>
          <w:rFonts w:ascii="黑体" w:hAnsi="黑体" w:eastAsia="黑体" w:cs="仿宋_GB2312"/>
          <w:bCs/>
          <w:sz w:val="24"/>
          <w:szCs w:val="24"/>
        </w:rPr>
      </w:pPr>
      <w:r>
        <w:rPr>
          <w:rFonts w:hint="eastAsia" w:ascii="黑体" w:hAnsi="黑体" w:eastAsia="黑体" w:cs="仿宋_GB2312"/>
          <w:bCs/>
          <w:sz w:val="24"/>
          <w:szCs w:val="24"/>
        </w:rPr>
        <w:t>2.起草阶段</w:t>
      </w:r>
    </w:p>
    <w:p w14:paraId="5BC46A28">
      <w:pPr>
        <w:spacing w:line="560" w:lineRule="exact"/>
        <w:ind w:firstLine="480" w:firstLineChars="200"/>
        <w:outlineLvl w:val="0"/>
        <w:rPr>
          <w:rFonts w:cs="楷体_GB2312" w:asciiTheme="minorEastAsia" w:hAnsiTheme="minorEastAsia"/>
          <w:sz w:val="24"/>
          <w:szCs w:val="24"/>
        </w:rPr>
      </w:pPr>
      <w:bookmarkStart w:id="16" w:name="_Toc122002355"/>
      <w:r>
        <w:rPr>
          <w:rFonts w:hint="eastAsia" w:cs="楷体_GB2312" w:asciiTheme="minorEastAsia" w:hAnsiTheme="minorEastAsia"/>
          <w:sz w:val="24"/>
          <w:szCs w:val="24"/>
        </w:rPr>
        <w:t>在本标准的编制过程中，中车青岛四方机车车辆股份有限公司、中国铁路设计集团有限公司、北京交通大学、中国铁道科学研究院集团有限公司等单位成立了标准起草组，2024年3月，项目组召开了启动会，在会上确定了标准制定的指导思想和原则，制订了标准的总体框架、工作计划及分工。</w:t>
      </w:r>
    </w:p>
    <w:p w14:paraId="11DEDFD0">
      <w:pPr>
        <w:spacing w:line="560" w:lineRule="exact"/>
        <w:ind w:firstLine="480" w:firstLineChars="200"/>
        <w:outlineLvl w:val="0"/>
        <w:rPr>
          <w:rFonts w:cs="楷体_GB2312" w:asciiTheme="minorEastAsia" w:hAnsiTheme="minorEastAsia"/>
          <w:sz w:val="24"/>
          <w:szCs w:val="24"/>
        </w:rPr>
      </w:pPr>
      <w:r>
        <w:rPr>
          <w:rFonts w:hint="eastAsia" w:cs="楷体_GB2312" w:asciiTheme="minorEastAsia" w:hAnsiTheme="minorEastAsia"/>
          <w:sz w:val="24"/>
          <w:szCs w:val="24"/>
        </w:rPr>
        <w:t>2024年4月，标准起草小组对对牵引供电系统的一般要求、试验环境及条件、试验内容及要求等情况进行了调研，收集了相关技术资料，形成了工作大纲和本标准的草案稿。</w:t>
      </w:r>
    </w:p>
    <w:p w14:paraId="5C4B378A">
      <w:pPr>
        <w:spacing w:line="560" w:lineRule="exact"/>
        <w:ind w:firstLine="480" w:firstLineChars="200"/>
        <w:outlineLvl w:val="0"/>
        <w:rPr>
          <w:rFonts w:cs="楷体_GB2312" w:asciiTheme="minorEastAsia" w:hAnsiTheme="minorEastAsia"/>
          <w:sz w:val="24"/>
          <w:szCs w:val="24"/>
        </w:rPr>
      </w:pPr>
      <w:r>
        <w:rPr>
          <w:rFonts w:hint="eastAsia" w:cs="楷体_GB2312" w:asciiTheme="minorEastAsia" w:hAnsiTheme="minorEastAsia"/>
          <w:sz w:val="24"/>
          <w:szCs w:val="24"/>
        </w:rPr>
        <w:t>2023年5月至2024年6月，起草组对标准的框架提纲和技术内容进行了充分研讨，修改完善，并邀请了行业内专家进行了技术审查，起草组根据咨询专家意见对标准草案稿进行完善与修订，于2024年5月编制完成了本标准征求意见稿。</w:t>
      </w:r>
    </w:p>
    <w:p w14:paraId="22648B6B">
      <w:pPr>
        <w:spacing w:line="560" w:lineRule="exact"/>
        <w:ind w:firstLine="480" w:firstLineChars="200"/>
        <w:outlineLvl w:val="0"/>
        <w:rPr>
          <w:rFonts w:ascii="黑体" w:hAnsi="黑体" w:eastAsia="黑体" w:cs="黑体"/>
          <w:bCs/>
          <w:sz w:val="24"/>
          <w:szCs w:val="24"/>
        </w:rPr>
      </w:pPr>
      <w:r>
        <w:rPr>
          <w:rFonts w:hint="eastAsia" w:ascii="黑体" w:hAnsi="黑体" w:eastAsia="黑体" w:cs="黑体"/>
          <w:bCs/>
          <w:sz w:val="24"/>
          <w:szCs w:val="24"/>
        </w:rPr>
        <w:t>二、标准制定的目的和意义</w:t>
      </w:r>
      <w:bookmarkEnd w:id="16"/>
    </w:p>
    <w:p w14:paraId="3A0DDC6F">
      <w:pPr>
        <w:spacing w:line="560" w:lineRule="exact"/>
        <w:ind w:firstLine="480" w:firstLineChars="200"/>
        <w:outlineLvl w:val="0"/>
        <w:rPr>
          <w:rFonts w:cs="楷体_GB2312" w:asciiTheme="minorEastAsia" w:hAnsiTheme="minorEastAsia"/>
          <w:sz w:val="24"/>
          <w:szCs w:val="24"/>
        </w:rPr>
      </w:pPr>
      <w:bookmarkStart w:id="17" w:name="_Toc122002356"/>
      <w:r>
        <w:rPr>
          <w:rFonts w:hint="eastAsia" w:cs="楷体_GB2312" w:asciiTheme="minorEastAsia" w:hAnsiTheme="minorEastAsia"/>
          <w:sz w:val="24"/>
          <w:szCs w:val="24"/>
        </w:rPr>
        <w:t>高速磁浮具有高速便捷、运输能力强、安全可靠性高、舒适准点等技术优势，是运行速度最高的地面交通运输工具，发展高速磁浮可填补高铁与航空之间的速度空白，完善交通运输速度谱系。党的十九大明确提出“交通强国”战略，作为建设现代化强国的重要组成部分。《交通强国建设纲要》提出要开展时速600公里级高速磁悬浮系统技术储备研发，《国家综合立体交通网规划纲要》提到“研究推进超大城市间高速磁悬浮通道布局和试验线路建设”。发展高速磁浮能够满足人民群众对多样化交通方式的需求，促进区域经济高质量一体化协同发展，应用前景广阔。</w:t>
      </w:r>
    </w:p>
    <w:p w14:paraId="1690C6EE">
      <w:pPr>
        <w:spacing w:line="560" w:lineRule="exact"/>
        <w:ind w:firstLine="480" w:firstLineChars="200"/>
        <w:outlineLvl w:val="0"/>
        <w:rPr>
          <w:rFonts w:cs="楷体_GB2312" w:asciiTheme="minorEastAsia" w:hAnsiTheme="minorEastAsia"/>
          <w:sz w:val="24"/>
          <w:szCs w:val="24"/>
        </w:rPr>
      </w:pPr>
      <w:r>
        <w:rPr>
          <w:rFonts w:hint="eastAsia" w:cs="楷体_GB2312" w:asciiTheme="minorEastAsia" w:hAnsiTheme="minorEastAsia"/>
          <w:sz w:val="24"/>
          <w:szCs w:val="24"/>
        </w:rPr>
        <w:t>经过连续4个五年计划的技术研究与积累，我国已经成功研制出可满足时速600公里高速运行的牵引供电系统成套装备，并完成了系统低速联调联试及运行试验，下一步将开展高速试验验证。但目前尚无正式发布的标准规范指导牵引供电系统试验及检验评估，在一定程度上限制了高速磁浮牵引供电技术的发展和推广应用。为了保障高速磁浮牵引供电系统运行的安全性和可靠性，推动技术发展，促进国际交流与合作，提升行业声誉，亟需编制《高速磁浮牵引供电系统试验规范》，明确试验内容、试验方法和评价标准，为列车试验、评估、验收提供指导和依据。</w:t>
      </w:r>
    </w:p>
    <w:p w14:paraId="6AEB8D0F">
      <w:pPr>
        <w:spacing w:line="560" w:lineRule="exact"/>
        <w:ind w:firstLine="480" w:firstLineChars="200"/>
        <w:outlineLvl w:val="0"/>
        <w:rPr>
          <w:rFonts w:ascii="黑体" w:hAnsi="黑体" w:eastAsia="黑体" w:cs="黑体"/>
          <w:bCs/>
          <w:sz w:val="24"/>
          <w:szCs w:val="24"/>
        </w:rPr>
      </w:pPr>
      <w:r>
        <w:rPr>
          <w:rFonts w:hint="eastAsia" w:ascii="黑体" w:hAnsi="黑体" w:eastAsia="黑体" w:cs="黑体"/>
          <w:bCs/>
          <w:sz w:val="24"/>
          <w:szCs w:val="24"/>
        </w:rPr>
        <w:t>三、标准编制原则、主要技术内容和确定依据</w:t>
      </w:r>
      <w:bookmarkEnd w:id="17"/>
    </w:p>
    <w:p w14:paraId="02D9D1EC">
      <w:pPr>
        <w:spacing w:line="560" w:lineRule="exact"/>
        <w:ind w:firstLine="480" w:firstLineChars="200"/>
        <w:jc w:val="left"/>
        <w:outlineLvl w:val="0"/>
        <w:rPr>
          <w:rFonts w:ascii="黑体" w:hAnsi="黑体" w:eastAsia="黑体" w:cs="楷体_GB2312"/>
          <w:sz w:val="24"/>
          <w:szCs w:val="24"/>
        </w:rPr>
      </w:pPr>
      <w:bookmarkStart w:id="18" w:name="_Toc122002357"/>
      <w:r>
        <w:rPr>
          <w:rFonts w:hint="eastAsia" w:ascii="黑体" w:hAnsi="黑体" w:eastAsia="黑体" w:cs="楷体_GB2312"/>
          <w:sz w:val="24"/>
          <w:szCs w:val="24"/>
        </w:rPr>
        <w:t>（一）标准编制原则</w:t>
      </w:r>
      <w:bookmarkEnd w:id="18"/>
    </w:p>
    <w:p w14:paraId="75B191F9">
      <w:pPr>
        <w:pStyle w:val="32"/>
      </w:pPr>
      <w:r>
        <w:rPr>
          <w:rFonts w:hint="eastAsia"/>
        </w:rPr>
        <w:t>本标准的制定工作遵循“统一性、协调性、适用性、一致性、规范性”的原则，按照GB/T 1.1-2009《标准化工作导则 第一部分:标准的结构和编写》给出的规则编写。同时遵照铁路行业标准的要求和规范，参考铁总运[2008]28号文、上海高速磁浮列车试验测试规范，并借鉴了实际试验验证过程中的相关测试指标、相关要求编制此标准，坚持安全性、规范性、通用性、先进性、经济性、可实施性的原则。</w:t>
      </w:r>
    </w:p>
    <w:p w14:paraId="211FA43A">
      <w:pPr>
        <w:spacing w:line="560" w:lineRule="exact"/>
        <w:ind w:firstLine="480" w:firstLineChars="200"/>
        <w:jc w:val="left"/>
        <w:outlineLvl w:val="0"/>
        <w:rPr>
          <w:rFonts w:ascii="黑体" w:hAnsi="黑体" w:eastAsia="黑体" w:cs="楷体_GB2312"/>
          <w:sz w:val="24"/>
          <w:szCs w:val="24"/>
        </w:rPr>
      </w:pPr>
      <w:bookmarkStart w:id="19" w:name="_Toc122002358"/>
      <w:r>
        <w:rPr>
          <w:rFonts w:hint="eastAsia" w:ascii="黑体" w:hAnsi="黑体" w:eastAsia="黑体" w:cs="楷体_GB2312"/>
          <w:sz w:val="24"/>
          <w:szCs w:val="24"/>
        </w:rPr>
        <w:t>（二）主要技术内容</w:t>
      </w:r>
      <w:bookmarkEnd w:id="19"/>
    </w:p>
    <w:p w14:paraId="29BF7016">
      <w:pPr>
        <w:spacing w:line="560" w:lineRule="exact"/>
        <w:ind w:firstLine="480" w:firstLineChars="200"/>
        <w:rPr>
          <w:rFonts w:ascii="黑体" w:hAnsi="黑体" w:eastAsia="黑体" w:cs="仿宋_GB2312"/>
          <w:bCs/>
          <w:sz w:val="24"/>
          <w:szCs w:val="24"/>
        </w:rPr>
      </w:pPr>
      <w:bookmarkStart w:id="20" w:name="_Toc97566070"/>
      <w:bookmarkStart w:id="21" w:name="_Toc97738929"/>
      <w:r>
        <w:rPr>
          <w:rFonts w:hint="eastAsia" w:ascii="黑体" w:hAnsi="黑体" w:eastAsia="黑体" w:cs="仿宋_GB2312"/>
          <w:bCs/>
          <w:sz w:val="24"/>
          <w:szCs w:val="24"/>
        </w:rPr>
        <w:t>1.标准的主要框架</w:t>
      </w:r>
      <w:bookmarkEnd w:id="20"/>
      <w:bookmarkEnd w:id="21"/>
    </w:p>
    <w:p w14:paraId="36B23535">
      <w:pPr>
        <w:spacing w:line="600" w:lineRule="exact"/>
        <w:ind w:firstLine="480" w:firstLineChars="200"/>
        <w:rPr>
          <w:rFonts w:cs="楷体_GB2312" w:asciiTheme="minorEastAsia" w:hAnsiTheme="minorEastAsia"/>
          <w:sz w:val="24"/>
          <w:szCs w:val="24"/>
        </w:rPr>
      </w:pPr>
      <w:bookmarkStart w:id="22" w:name="_Toc97566072"/>
      <w:bookmarkStart w:id="23" w:name="_Toc97738931"/>
      <w:r>
        <w:rPr>
          <w:rFonts w:hint="eastAsia" w:cs="楷体_GB2312" w:asciiTheme="minorEastAsia" w:hAnsiTheme="minorEastAsia"/>
          <w:sz w:val="24"/>
          <w:szCs w:val="24"/>
        </w:rPr>
        <w:t>本标准共包括8个章节，涵盖了试验分类、试验环境及载荷状态，具体试验项目及试验记录等内容，另外设置附录A、附录B分别说明试验项目和评价指标。</w:t>
      </w:r>
    </w:p>
    <w:p w14:paraId="24B40A0A">
      <w:pPr>
        <w:spacing w:line="600" w:lineRule="exact"/>
        <w:ind w:firstLine="480" w:firstLineChars="200"/>
        <w:rPr>
          <w:rFonts w:ascii="黑体" w:hAnsi="黑体" w:eastAsia="黑体" w:cs="仿宋_GB2312"/>
          <w:bCs/>
          <w:sz w:val="24"/>
          <w:szCs w:val="24"/>
        </w:rPr>
      </w:pPr>
      <w:r>
        <w:rPr>
          <w:rFonts w:hint="eastAsia" w:ascii="黑体" w:hAnsi="黑体" w:eastAsia="黑体" w:cs="仿宋_GB2312"/>
          <w:bCs/>
          <w:sz w:val="24"/>
          <w:szCs w:val="24"/>
        </w:rPr>
        <w:t>2.标准的主要内容</w:t>
      </w:r>
      <w:bookmarkEnd w:id="22"/>
      <w:bookmarkEnd w:id="23"/>
    </w:p>
    <w:p w14:paraId="3A643F20">
      <w:pPr>
        <w:spacing w:line="560" w:lineRule="exact"/>
        <w:ind w:firstLine="480" w:firstLineChars="200"/>
        <w:jc w:val="left"/>
        <w:outlineLvl w:val="0"/>
        <w:rPr>
          <w:rFonts w:cs="楷体_GB2312" w:asciiTheme="minorEastAsia" w:hAnsiTheme="minorEastAsia"/>
          <w:kern w:val="0"/>
          <w:sz w:val="24"/>
          <w:szCs w:val="24"/>
        </w:rPr>
      </w:pPr>
      <w:bookmarkStart w:id="24" w:name="_Toc122002359"/>
      <w:r>
        <w:rPr>
          <w:rFonts w:hint="eastAsia" w:cs="楷体_GB2312" w:asciiTheme="minorEastAsia" w:hAnsiTheme="minorEastAsia"/>
          <w:kern w:val="0"/>
          <w:sz w:val="24"/>
          <w:szCs w:val="24"/>
        </w:rPr>
        <w:t>本文件规定高速磁浮牵引供电系统集成安装后投入使用前的基本要求、试验分类、试验项目、试验记录与试验报告。适用于面向常导长定子高速磁浮列车的牵引系统落成后使用前的试验及其结果评价。</w:t>
      </w:r>
    </w:p>
    <w:p w14:paraId="29C5B1C1">
      <w:pPr>
        <w:spacing w:line="560" w:lineRule="exact"/>
        <w:ind w:firstLine="480" w:firstLineChars="200"/>
        <w:jc w:val="left"/>
        <w:outlineLvl w:val="0"/>
        <w:rPr>
          <w:rFonts w:ascii="黑体" w:hAnsi="黑体" w:eastAsia="黑体" w:cs="楷体_GB2312"/>
          <w:sz w:val="24"/>
          <w:szCs w:val="24"/>
        </w:rPr>
      </w:pPr>
      <w:r>
        <w:rPr>
          <w:rFonts w:hint="eastAsia" w:ascii="黑体" w:hAnsi="黑体" w:eastAsia="黑体" w:cs="楷体_GB2312"/>
          <w:sz w:val="24"/>
          <w:szCs w:val="24"/>
        </w:rPr>
        <w:t>（三）确定依据</w:t>
      </w:r>
      <w:bookmarkEnd w:id="24"/>
    </w:p>
    <w:p w14:paraId="4827D56C">
      <w:pPr>
        <w:spacing w:line="600" w:lineRule="exact"/>
        <w:ind w:firstLine="480" w:firstLineChars="200"/>
        <w:rPr>
          <w:rFonts w:ascii="黑体" w:hAnsi="黑体" w:eastAsia="黑体"/>
          <w:sz w:val="24"/>
          <w:szCs w:val="24"/>
        </w:rPr>
      </w:pPr>
      <w:bookmarkStart w:id="25" w:name="_Toc97566086"/>
      <w:bookmarkStart w:id="26" w:name="_Toc97738945"/>
      <w:r>
        <w:rPr>
          <w:rFonts w:hint="eastAsia" w:ascii="黑体" w:hAnsi="黑体" w:eastAsia="黑体"/>
          <w:sz w:val="24"/>
          <w:szCs w:val="24"/>
        </w:rPr>
        <w:t>1.相关标准和技术文献</w:t>
      </w:r>
      <w:bookmarkEnd w:id="25"/>
      <w:bookmarkEnd w:id="26"/>
    </w:p>
    <w:p w14:paraId="73D96C3A">
      <w:pPr>
        <w:pStyle w:val="39"/>
      </w:pPr>
      <w:bookmarkStart w:id="27" w:name="_Toc97738960"/>
      <w:bookmarkStart w:id="28" w:name="_Toc97566099"/>
      <w:r>
        <w:rPr>
          <w:rFonts w:hint="eastAsia"/>
        </w:rPr>
        <w:t>本标准的编制参考了TB 3345-2014 电动车组起动加速试验方法、TB 3346-2014 电动车组电气制动特性试验方法、TB 3348-2014 电动车组牵引特性试验方法、TB 10630-2019 磁浮铁路技术标准(试行)等。</w:t>
      </w:r>
    </w:p>
    <w:bookmarkEnd w:id="27"/>
    <w:bookmarkEnd w:id="28"/>
    <w:p w14:paraId="2224E043">
      <w:pPr>
        <w:spacing w:line="600" w:lineRule="exact"/>
        <w:ind w:firstLine="480" w:firstLineChars="200"/>
        <w:rPr>
          <w:rFonts w:ascii="黑体" w:hAnsi="黑体" w:eastAsia="黑体" w:cs="仿宋_GB2312"/>
          <w:bCs/>
          <w:sz w:val="24"/>
          <w:szCs w:val="24"/>
        </w:rPr>
      </w:pPr>
      <w:bookmarkStart w:id="29" w:name="_Toc97566107"/>
      <w:bookmarkEnd w:id="29"/>
      <w:bookmarkStart w:id="30" w:name="_Toc97738968"/>
      <w:bookmarkEnd w:id="30"/>
      <w:bookmarkStart w:id="31" w:name="_Toc97738970"/>
      <w:bookmarkStart w:id="32" w:name="_Toc97566109"/>
      <w:r>
        <w:rPr>
          <w:rFonts w:hint="eastAsia" w:ascii="黑体" w:hAnsi="黑体" w:eastAsia="黑体" w:cs="仿宋_GB2312"/>
          <w:bCs/>
          <w:sz w:val="24"/>
          <w:szCs w:val="24"/>
        </w:rPr>
        <w:t>2.调研成果</w:t>
      </w:r>
      <w:bookmarkEnd w:id="31"/>
      <w:bookmarkEnd w:id="32"/>
    </w:p>
    <w:p w14:paraId="00C8C818">
      <w:pPr>
        <w:spacing w:line="600" w:lineRule="exact"/>
        <w:ind w:firstLine="480" w:firstLineChars="200"/>
        <w:outlineLvl w:val="0"/>
        <w:rPr>
          <w:rFonts w:asciiTheme="minorEastAsia" w:hAnsiTheme="minorEastAsia"/>
          <w:kern w:val="0"/>
          <w:sz w:val="24"/>
          <w:szCs w:val="24"/>
        </w:rPr>
      </w:pPr>
      <w:bookmarkStart w:id="33" w:name="_Toc122002360"/>
      <w:r>
        <w:rPr>
          <w:rFonts w:hint="eastAsia" w:asciiTheme="minorEastAsia" w:hAnsiTheme="minorEastAsia"/>
          <w:kern w:val="0"/>
          <w:sz w:val="24"/>
          <w:szCs w:val="24"/>
        </w:rPr>
        <w:t>对国内外高速磁浮牵引供电系统相关标准进行调研，目前已有标准主要用于规范和指导磁浮系统设计和建造，尚未形成高速磁浮列车试验标准，国内外标准情况如下：</w:t>
      </w:r>
    </w:p>
    <w:p w14:paraId="774E40E9">
      <w:pPr>
        <w:spacing w:line="600" w:lineRule="exact"/>
        <w:ind w:firstLine="480" w:firstLineChars="200"/>
        <w:outlineLvl w:val="0"/>
        <w:rPr>
          <w:rFonts w:asciiTheme="minorEastAsia" w:hAnsiTheme="minorEastAsia"/>
          <w:kern w:val="0"/>
          <w:sz w:val="24"/>
          <w:szCs w:val="24"/>
        </w:rPr>
      </w:pPr>
      <w:r>
        <w:rPr>
          <w:rFonts w:asciiTheme="minorEastAsia" w:hAnsiTheme="minorEastAsia"/>
          <w:kern w:val="0"/>
          <w:sz w:val="24"/>
          <w:szCs w:val="24"/>
        </w:rPr>
        <w:t></w:t>
      </w:r>
      <w:r>
        <w:rPr>
          <w:rFonts w:asciiTheme="minorEastAsia" w:hAnsiTheme="minorEastAsia"/>
          <w:kern w:val="0"/>
          <w:sz w:val="24"/>
          <w:szCs w:val="24"/>
        </w:rPr>
        <w:tab/>
      </w:r>
      <w:r>
        <w:rPr>
          <w:rFonts w:hint="eastAsia" w:asciiTheme="minorEastAsia" w:hAnsiTheme="minorEastAsia"/>
          <w:kern w:val="0"/>
          <w:sz w:val="24"/>
          <w:szCs w:val="24"/>
        </w:rPr>
        <w:t>国外相关标准情况</w:t>
      </w:r>
    </w:p>
    <w:p w14:paraId="17792B32">
      <w:pPr>
        <w:spacing w:line="600" w:lineRule="exact"/>
        <w:ind w:firstLine="480" w:firstLineChars="200"/>
        <w:outlineLvl w:val="0"/>
        <w:rPr>
          <w:rFonts w:asciiTheme="minorEastAsia" w:hAnsiTheme="minorEastAsia"/>
          <w:kern w:val="0"/>
          <w:sz w:val="24"/>
          <w:szCs w:val="24"/>
        </w:rPr>
      </w:pPr>
      <w:r>
        <w:rPr>
          <w:rFonts w:hint="eastAsia" w:asciiTheme="minorEastAsia" w:hAnsiTheme="minorEastAsia"/>
          <w:kern w:val="0"/>
          <w:sz w:val="24"/>
          <w:szCs w:val="24"/>
        </w:rPr>
        <w:t>1997年德国交通部《磁浮铁路建造和运营条例 》（MbBO），规定磁浮铁路建造和运营规则；</w:t>
      </w:r>
    </w:p>
    <w:p w14:paraId="3B5CB603">
      <w:pPr>
        <w:spacing w:line="600" w:lineRule="exact"/>
        <w:ind w:firstLine="480" w:firstLineChars="200"/>
        <w:outlineLvl w:val="0"/>
        <w:rPr>
          <w:rFonts w:asciiTheme="minorEastAsia" w:hAnsiTheme="minorEastAsia"/>
          <w:kern w:val="0"/>
          <w:sz w:val="24"/>
          <w:szCs w:val="24"/>
        </w:rPr>
      </w:pPr>
      <w:r>
        <w:rPr>
          <w:rFonts w:hint="eastAsia" w:asciiTheme="minorEastAsia" w:hAnsiTheme="minorEastAsia"/>
          <w:kern w:val="0"/>
          <w:sz w:val="24"/>
          <w:szCs w:val="24"/>
        </w:rPr>
        <w:t>2007年德国联邦铁路局《高速磁浮系统设计原理》（MSB），针对德国当地及当时的环境与背景提出500km/h速度级下各系统设计技术要求，用于指导系统设计。</w:t>
      </w:r>
    </w:p>
    <w:p w14:paraId="6B09100D">
      <w:pPr>
        <w:spacing w:line="600" w:lineRule="exact"/>
        <w:ind w:firstLine="480" w:firstLineChars="200"/>
        <w:outlineLvl w:val="0"/>
        <w:rPr>
          <w:rFonts w:asciiTheme="minorEastAsia" w:hAnsiTheme="minorEastAsia"/>
          <w:kern w:val="0"/>
          <w:sz w:val="24"/>
          <w:szCs w:val="24"/>
        </w:rPr>
      </w:pPr>
      <w:r>
        <w:rPr>
          <w:rFonts w:asciiTheme="minorEastAsia" w:hAnsiTheme="minorEastAsia"/>
          <w:kern w:val="0"/>
          <w:sz w:val="24"/>
          <w:szCs w:val="24"/>
        </w:rPr>
        <w:t></w:t>
      </w:r>
      <w:r>
        <w:rPr>
          <w:rFonts w:asciiTheme="minorEastAsia" w:hAnsiTheme="minorEastAsia"/>
          <w:kern w:val="0"/>
          <w:sz w:val="24"/>
          <w:szCs w:val="24"/>
        </w:rPr>
        <w:tab/>
      </w:r>
      <w:r>
        <w:rPr>
          <w:rFonts w:hint="eastAsia" w:asciiTheme="minorEastAsia" w:hAnsiTheme="minorEastAsia"/>
          <w:kern w:val="0"/>
          <w:sz w:val="24"/>
          <w:szCs w:val="24"/>
        </w:rPr>
        <w:t>国内相关标准情况</w:t>
      </w:r>
    </w:p>
    <w:p w14:paraId="5377C2A2">
      <w:pPr>
        <w:spacing w:line="600" w:lineRule="exact"/>
        <w:ind w:firstLine="480" w:firstLineChars="200"/>
        <w:outlineLvl w:val="0"/>
        <w:rPr>
          <w:rFonts w:asciiTheme="minorEastAsia" w:hAnsiTheme="minorEastAsia"/>
          <w:kern w:val="0"/>
          <w:sz w:val="24"/>
          <w:szCs w:val="24"/>
        </w:rPr>
      </w:pPr>
      <w:r>
        <w:rPr>
          <w:rFonts w:hint="eastAsia" w:asciiTheme="minorEastAsia" w:hAnsiTheme="minorEastAsia"/>
          <w:kern w:val="0"/>
          <w:sz w:val="24"/>
          <w:szCs w:val="24"/>
        </w:rPr>
        <w:t>TB 10630-2019《磁浮铁路技术标准》（试行），磁浮铁路技术标准体系的纲领性标准，从系统层面明确磁浮铁路总体设计原则和通用技术要求，从宏观层面规定各大系统顶层技术要求，是高速磁浮铁路的基础标准；</w:t>
      </w:r>
    </w:p>
    <w:p w14:paraId="7D84B4C0">
      <w:pPr>
        <w:spacing w:line="600" w:lineRule="exact"/>
        <w:ind w:firstLine="480" w:firstLineChars="200"/>
        <w:outlineLvl w:val="0"/>
        <w:rPr>
          <w:rFonts w:asciiTheme="minorEastAsia" w:hAnsiTheme="minorEastAsia"/>
          <w:kern w:val="0"/>
          <w:sz w:val="24"/>
          <w:szCs w:val="24"/>
        </w:rPr>
      </w:pPr>
      <w:r>
        <w:rPr>
          <w:rFonts w:hint="eastAsia" w:asciiTheme="minorEastAsia" w:hAnsiTheme="minorEastAsia"/>
          <w:kern w:val="0"/>
          <w:sz w:val="24"/>
          <w:szCs w:val="24"/>
        </w:rPr>
        <w:t>建标161-2012《高速磁浮交通建设标准》（试行）、CJJ-T 310 《高速磁浮交通设计标准》分别规定了磁浮交通建设、设计要求。</w:t>
      </w:r>
    </w:p>
    <w:p w14:paraId="24901CD3">
      <w:pPr>
        <w:spacing w:line="600" w:lineRule="exact"/>
        <w:ind w:firstLine="480" w:firstLineChars="200"/>
        <w:outlineLvl w:val="0"/>
        <w:rPr>
          <w:rFonts w:asciiTheme="minorEastAsia" w:hAnsiTheme="minorEastAsia"/>
          <w:kern w:val="0"/>
          <w:sz w:val="24"/>
          <w:szCs w:val="24"/>
        </w:rPr>
      </w:pPr>
      <w:r>
        <w:rPr>
          <w:rFonts w:hint="eastAsia" w:asciiTheme="minorEastAsia" w:hAnsiTheme="minorEastAsia"/>
          <w:kern w:val="0"/>
          <w:sz w:val="24"/>
          <w:szCs w:val="24"/>
        </w:rPr>
        <w:t>综上，国内外高速磁浮牵引供电系统试验检验标准尚处空白，为规范整车试验条件、试验方法和评定标准，确保高速磁浮列车各项性能满足要求，可安全、舒适、平稳运行；确保试验过程安全，检验结果准确有效，亟需制定《高速磁浮牵引供电系统试验规范》，以完善我国完全自主知识产权高速磁浮铁路标准体系，为技术落地应用和可持续发展提供保障。</w:t>
      </w:r>
    </w:p>
    <w:p w14:paraId="7FAD18C6">
      <w:pPr>
        <w:spacing w:line="600" w:lineRule="exact"/>
        <w:ind w:firstLine="480" w:firstLineChars="200"/>
        <w:outlineLvl w:val="0"/>
        <w:rPr>
          <w:rFonts w:ascii="黑体" w:hAnsi="黑体" w:eastAsia="黑体" w:cs="黑体"/>
          <w:bCs/>
          <w:sz w:val="24"/>
          <w:szCs w:val="24"/>
        </w:rPr>
      </w:pPr>
      <w:r>
        <w:rPr>
          <w:rFonts w:hint="eastAsia" w:ascii="黑体" w:hAnsi="黑体" w:eastAsia="黑体" w:cs="黑体"/>
          <w:bCs/>
          <w:sz w:val="24"/>
          <w:szCs w:val="24"/>
        </w:rPr>
        <w:t>四、与现行相关法律、行政法规和其他标准的关系</w:t>
      </w:r>
      <w:bookmarkEnd w:id="33"/>
    </w:p>
    <w:p w14:paraId="6F55CFCF">
      <w:pPr>
        <w:spacing w:line="600" w:lineRule="exact"/>
        <w:ind w:firstLine="480" w:firstLineChars="200"/>
        <w:rPr>
          <w:rFonts w:ascii="宋体" w:hAnsi="宋体" w:eastAsia="宋体"/>
          <w:sz w:val="24"/>
          <w:szCs w:val="24"/>
        </w:rPr>
      </w:pPr>
      <w:bookmarkStart w:id="34" w:name="_Toc97738973"/>
      <w:bookmarkStart w:id="35" w:name="_Toc97566112"/>
      <w:r>
        <w:rPr>
          <w:rFonts w:hint="eastAsia" w:ascii="宋体" w:hAnsi="宋体" w:eastAsia="宋体"/>
          <w:sz w:val="24"/>
          <w:szCs w:val="24"/>
        </w:rPr>
        <w:t>本文件符合现行法律、法规和强制性国家标准的规定，与其他相关强制性标准无冲突。</w:t>
      </w:r>
      <w:bookmarkEnd w:id="34"/>
      <w:bookmarkEnd w:id="35"/>
    </w:p>
    <w:p w14:paraId="7815AB25">
      <w:pPr>
        <w:spacing w:line="600" w:lineRule="exact"/>
        <w:ind w:firstLine="480" w:firstLineChars="200"/>
        <w:jc w:val="left"/>
        <w:outlineLvl w:val="0"/>
        <w:rPr>
          <w:rFonts w:ascii="黑体" w:hAnsi="黑体" w:eastAsia="黑体" w:cs="黑体"/>
          <w:bCs/>
          <w:sz w:val="24"/>
          <w:szCs w:val="24"/>
        </w:rPr>
      </w:pPr>
      <w:bookmarkStart w:id="36" w:name="_Toc122002361"/>
      <w:r>
        <w:rPr>
          <w:rFonts w:hint="eastAsia" w:ascii="黑体" w:hAnsi="黑体" w:eastAsia="黑体" w:cs="黑体"/>
          <w:bCs/>
          <w:sz w:val="24"/>
          <w:szCs w:val="24"/>
        </w:rPr>
        <w:t>五、重大分歧意见的处理过程、处理意见及其依据</w:t>
      </w:r>
      <w:bookmarkEnd w:id="36"/>
    </w:p>
    <w:p w14:paraId="29579D66">
      <w:pPr>
        <w:spacing w:line="600" w:lineRule="exact"/>
        <w:ind w:firstLine="480" w:firstLineChars="200"/>
        <w:rPr>
          <w:rFonts w:asciiTheme="minorEastAsia" w:hAnsiTheme="minorEastAsia"/>
          <w:sz w:val="24"/>
          <w:szCs w:val="24"/>
        </w:rPr>
      </w:pPr>
      <w:bookmarkStart w:id="37" w:name="_Toc97738975"/>
      <w:bookmarkStart w:id="38" w:name="_Toc97566114"/>
      <w:r>
        <w:rPr>
          <w:rFonts w:hint="eastAsia" w:asciiTheme="minorEastAsia" w:hAnsiTheme="minorEastAsia"/>
          <w:sz w:val="24"/>
          <w:szCs w:val="24"/>
        </w:rPr>
        <w:t>无。</w:t>
      </w:r>
      <w:bookmarkEnd w:id="37"/>
      <w:bookmarkEnd w:id="38"/>
    </w:p>
    <w:p w14:paraId="43BCEB52">
      <w:pPr>
        <w:spacing w:line="600" w:lineRule="exact"/>
        <w:ind w:firstLine="480" w:firstLineChars="200"/>
        <w:jc w:val="left"/>
        <w:outlineLvl w:val="0"/>
        <w:rPr>
          <w:rFonts w:ascii="黑体" w:hAnsi="黑体" w:eastAsia="黑体" w:cs="黑体"/>
          <w:bCs/>
          <w:sz w:val="24"/>
          <w:szCs w:val="24"/>
        </w:rPr>
      </w:pPr>
      <w:bookmarkStart w:id="39" w:name="_Toc122002363"/>
      <w:r>
        <w:rPr>
          <w:rFonts w:hint="eastAsia" w:ascii="黑体" w:hAnsi="黑体" w:eastAsia="黑体" w:cs="黑体"/>
          <w:bCs/>
          <w:sz w:val="24"/>
          <w:szCs w:val="24"/>
        </w:rPr>
        <w:t>六、其他需要说明的内容</w:t>
      </w:r>
      <w:bookmarkEnd w:id="39"/>
    </w:p>
    <w:p w14:paraId="2C8AC269">
      <w:pPr>
        <w:spacing w:line="600" w:lineRule="exact"/>
        <w:ind w:firstLine="480" w:firstLineChars="200"/>
        <w:rPr>
          <w:rFonts w:ascii="宋体" w:hAnsi="宋体" w:eastAsia="宋体"/>
          <w:sz w:val="24"/>
          <w:szCs w:val="24"/>
        </w:rPr>
      </w:pPr>
      <w:bookmarkStart w:id="40" w:name="_Toc97738979"/>
      <w:bookmarkStart w:id="41" w:name="_Toc97566121"/>
      <w:r>
        <w:rPr>
          <w:rFonts w:hint="eastAsia" w:ascii="宋体" w:hAnsi="宋体" w:eastAsia="宋体"/>
          <w:sz w:val="24"/>
          <w:szCs w:val="24"/>
        </w:rPr>
        <w:t>无。</w:t>
      </w:r>
      <w:bookmarkEnd w:id="40"/>
      <w:bookmarkEnd w:id="41"/>
    </w:p>
    <w:p w14:paraId="7106304A">
      <w:pPr>
        <w:pStyle w:val="27"/>
        <w:rPr>
          <w:lang w:eastAsia="zh-CN" w:bidi="ar-SA"/>
        </w:rPr>
      </w:pPr>
    </w:p>
    <w:p w14:paraId="7C130894">
      <w:pPr>
        <w:pStyle w:val="27"/>
        <w:rPr>
          <w:lang w:eastAsia="zh-CN" w:bidi="ar-SA"/>
        </w:rPr>
      </w:pPr>
    </w:p>
    <w:p w14:paraId="5E8E591C">
      <w:pPr>
        <w:pStyle w:val="27"/>
        <w:rPr>
          <w:lang w:eastAsia="zh-CN" w:bidi="ar-SA"/>
        </w:rPr>
      </w:pPr>
    </w:p>
    <w:p w14:paraId="11B8E2B6">
      <w:pPr>
        <w:pStyle w:val="27"/>
        <w:rPr>
          <w:lang w:eastAsia="zh-CN" w:bidi="ar-SA"/>
        </w:rPr>
      </w:pPr>
    </w:p>
    <w:p w14:paraId="1AA33E6E">
      <w:pPr>
        <w:pStyle w:val="27"/>
        <w:rPr>
          <w:lang w:eastAsia="zh-CN" w:bidi="ar-SA"/>
        </w:rPr>
      </w:pPr>
    </w:p>
    <w:p w14:paraId="596FF201">
      <w:pPr>
        <w:spacing w:line="360" w:lineRule="auto"/>
        <w:ind w:right="140"/>
        <w:jc w:val="right"/>
        <w:rPr>
          <w:rFonts w:ascii="宋体" w:hAnsi="宋体" w:eastAsia="宋体" w:cs="仿宋_GB2312"/>
          <w:sz w:val="24"/>
          <w:szCs w:val="24"/>
        </w:rPr>
      </w:pPr>
      <w:r>
        <w:rPr>
          <w:rFonts w:hint="eastAsia" w:ascii="宋体" w:hAnsi="宋体" w:eastAsia="宋体" w:cs="仿宋_GB2312"/>
          <w:sz w:val="24"/>
          <w:szCs w:val="24"/>
        </w:rPr>
        <w:t>标准起草小组</w:t>
      </w:r>
    </w:p>
    <w:p w14:paraId="10D22EE1">
      <w:pPr>
        <w:spacing w:line="360" w:lineRule="auto"/>
        <w:jc w:val="right"/>
        <w:rPr>
          <w:rFonts w:ascii="宋体" w:hAnsi="宋体" w:eastAsia="宋体" w:cs="仿宋_GB2312"/>
          <w:sz w:val="24"/>
          <w:szCs w:val="24"/>
        </w:rPr>
      </w:pPr>
      <w:r>
        <w:rPr>
          <w:rFonts w:hint="eastAsia" w:ascii="宋体" w:hAnsi="宋体" w:eastAsia="宋体" w:cs="仿宋_GB2312"/>
          <w:sz w:val="24"/>
          <w:szCs w:val="24"/>
        </w:rPr>
        <w:t xml:space="preserve"> 2024年06月09日</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F08A17-3D37-4D63-AE61-08C6972CA2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47B19BB-9E4D-4B12-AF0C-A223366861E9}"/>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embedRegular r:id="rId3" w:fontKey="{1B8850FA-F2BE-46BB-81E4-6533E1FB1B3E}"/>
  </w:font>
  <w:font w:name="方正小标宋简体">
    <w:altName w:val="Arial Unicode MS"/>
    <w:panose1 w:val="00000000000000000000"/>
    <w:charset w:val="86"/>
    <w:family w:val="script"/>
    <w:pitch w:val="default"/>
    <w:sig w:usb0="00000000" w:usb1="00000000" w:usb2="00000000" w:usb3="00000000" w:csb0="00040000" w:csb1="00000000"/>
    <w:embedRegular r:id="rId4" w:fontKey="{702BB89C-38D5-4674-81CC-16763BFA2979}"/>
  </w:font>
  <w:font w:name="仿宋_GB2312">
    <w:altName w:val="仿宋"/>
    <w:panose1 w:val="00000000000000000000"/>
    <w:charset w:val="86"/>
    <w:family w:val="modern"/>
    <w:pitch w:val="default"/>
    <w:sig w:usb0="00000000" w:usb1="00000000" w:usb2="00000010" w:usb3="00000000" w:csb0="00040000" w:csb1="00000000"/>
    <w:embedRegular r:id="rId5" w:fontKey="{7335A7A0-59B5-4646-BB92-777157F52009}"/>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37CA">
    <w:pPr>
      <w:pStyle w:val="12"/>
      <w:jc w:val="center"/>
    </w:pPr>
    <w:r>
      <w:fldChar w:fldCharType="begin"/>
    </w:r>
    <w:r>
      <w:instrText xml:space="preserve">PAGE   \* MERGEFORMAT</w:instrText>
    </w:r>
    <w:r>
      <w:fldChar w:fldCharType="separate"/>
    </w:r>
    <w:r>
      <w:rPr>
        <w:lang w:val="zh-CN"/>
      </w:rPr>
      <w:t>1</w:t>
    </w:r>
    <w:r>
      <w:fldChar w:fldCharType="end"/>
    </w:r>
  </w:p>
  <w:p w14:paraId="609DE909">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049E">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630D">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658F">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757443851"/>
                          </w:sdtPr>
                          <w:sdtContent>
                            <w:p w14:paraId="35E7BCA4">
                              <w:pPr>
                                <w:pStyle w:val="12"/>
                                <w:jc w:val="center"/>
                              </w:pPr>
                              <w:r>
                                <w:fldChar w:fldCharType="begin"/>
                              </w:r>
                              <w:r>
                                <w:instrText xml:space="preserve">PAGE   \* MERGEFORMAT</w:instrText>
                              </w:r>
                              <w:r>
                                <w:fldChar w:fldCharType="separate"/>
                              </w:r>
                              <w:r>
                                <w:rPr>
                                  <w:lang w:val="zh-CN"/>
                                </w:rPr>
                                <w:t>5</w:t>
                              </w:r>
                              <w:r>
                                <w:fldChar w:fldCharType="end"/>
                              </w:r>
                            </w:p>
                          </w:sdtContent>
                        </w:sdt>
                        <w:p w14:paraId="16FD5A1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aYRpWy0CAABTBAAADgAAAGRycy9lMm9Eb2MueG1srVTLjtMwFN0j&#10;8Q+W9zRpR1OhqumoTFWEVDEjDYi16zhNJL9ku03KB8AfsGLDnu/qd8yxk3bQwGIWbNwb3+c597jz&#10;m05JchDON0YXdDzKKRGam7LRu4J+/rR+85YSH5gumTRaFPQoPL1ZvH41b+1MTExtZCkcQRHtZ60t&#10;aB2CnWWZ57VQzI+MFRrOyjjFAj7dLisda1FdyWyS59OsNa60znDhPW5XvZMOFd1LCpqqarhYGb5X&#10;Qoe+qhOSBUDydWM9XaRpq0rwcFdVXgQiCwqkIZ1oAnsbz2wxZ7OdY7Zu+DACe8kIzzAp1mg0vZRa&#10;scDI3jV/lVINd8abKoy4UVkPJDECFOP8GTcPNbMiYQHV3l5I9/+vLP94uHekKaEESjRTWPjpx/fT&#10;z9+nX9/IONLTWj9D1INFXOjemS6GDvcelxF1VzkVf4GHwA9yjxdyRRcIj0nj6SS/poTDdZVPJtNE&#10;fvaUbJ0P74VRJBoFddhdopQdNj6gIULPIbGXNutGyrQ/qUlb0OnVdZ4SLh5kSI3ECKEfNVqh23bD&#10;/FtTHgHLmV4X3vJ1g+Yb5sM9cxACkOCphDsclTRoYgaLktq4r/+6j/HYD7yUtBBWQTXeESXyg8be&#10;ogbPhjsb27Oh9+rWQKnYBWZJJhJckGezckZ9wftZxh5wMc3RqaDhbN6GXtx4f1wslykISrMsbPSD&#10;5bF0JM/b5T6AwMRrJKVnYuAKWkt0D+8iivnP7xT19F+w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eJo0gAAAAMBAAAPAAAAAAAAAAEAIAAAACIAAABkcnMvZG93bnJldi54bWxQSwECFAAUAAAA&#10;CACHTuJAaYRpWy0CAABTBAAADgAAAAAAAAABACAAAAAhAQAAZHJzL2Uyb0RvYy54bWxQSwUGAAAA&#10;AAYABgBZAQAAwAUAAAAA&#10;">
              <v:fill on="f" focussize="0,0"/>
              <v:stroke on="f" weight="0.5pt"/>
              <v:imagedata o:title=""/>
              <o:lock v:ext="edit" aspectratio="f"/>
              <v:textbox inset="0mm,0mm,0mm,0mm" style="mso-fit-shape-to-text:t;">
                <w:txbxContent>
                  <w:sdt>
                    <w:sdtPr>
                      <w:id w:val="-757443851"/>
                    </w:sdtPr>
                    <w:sdtContent>
                      <w:p w14:paraId="35E7BCA4">
                        <w:pPr>
                          <w:pStyle w:val="12"/>
                          <w:jc w:val="center"/>
                        </w:pPr>
                        <w:r>
                          <w:fldChar w:fldCharType="begin"/>
                        </w:r>
                        <w:r>
                          <w:instrText xml:space="preserve">PAGE   \* MERGEFORMAT</w:instrText>
                        </w:r>
                        <w:r>
                          <w:fldChar w:fldCharType="separate"/>
                        </w:r>
                        <w:r>
                          <w:rPr>
                            <w:lang w:val="zh-CN"/>
                          </w:rPr>
                          <w:t>5</w:t>
                        </w:r>
                        <w:r>
                          <w:fldChar w:fldCharType="end"/>
                        </w:r>
                      </w:p>
                    </w:sdtContent>
                  </w:sdt>
                  <w:p w14:paraId="16FD5A1D"/>
                </w:txbxContent>
              </v:textbox>
            </v:shape>
          </w:pict>
        </mc:Fallback>
      </mc:AlternateContent>
    </w:r>
  </w:p>
  <w:p w14:paraId="7D5BE9A6">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B9E9B"/>
    <w:multiLevelType w:val="singleLevel"/>
    <w:tmpl w:val="C0AB9E9B"/>
    <w:lvl w:ilvl="0" w:tentative="0">
      <w:start w:val="2"/>
      <w:numFmt w:val="decimal"/>
      <w:lvlText w:val="%1."/>
      <w:lvlJc w:val="left"/>
      <w:pPr>
        <w:tabs>
          <w:tab w:val="left" w:pos="312"/>
        </w:tabs>
      </w:pPr>
    </w:lvl>
  </w:abstractNum>
  <w:abstractNum w:abstractNumId="1">
    <w:nsid w:val="0BDC1670"/>
    <w:multiLevelType w:val="multilevel"/>
    <w:tmpl w:val="0BDC1670"/>
    <w:lvl w:ilvl="0" w:tentative="0">
      <w:start w:val="1"/>
      <w:numFmt w:val="decimal"/>
      <w:pStyle w:val="4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C50F90"/>
    <w:multiLevelType w:val="multilevel"/>
    <w:tmpl w:val="44C50F90"/>
    <w:lvl w:ilvl="0" w:tentative="0">
      <w:start w:val="1"/>
      <w:numFmt w:val="lowerLetter"/>
      <w:pStyle w:val="44"/>
      <w:lvlText w:val="%1)"/>
      <w:lvlJc w:val="left"/>
      <w:pPr>
        <w:tabs>
          <w:tab w:val="left" w:pos="851"/>
        </w:tabs>
        <w:ind w:left="851" w:hanging="426"/>
      </w:pPr>
      <w:rPr>
        <w:rFonts w:hint="eastAsia" w:ascii="宋体" w:hAnsi="Times New Roman" w:eastAsia="宋体"/>
        <w:sz w:val="21"/>
      </w:rPr>
    </w:lvl>
    <w:lvl w:ilvl="1" w:tentative="0">
      <w:start w:val="1"/>
      <w:numFmt w:val="decimal"/>
      <w:pStyle w:val="42"/>
      <w:lvlText w:val="%2)"/>
      <w:lvlJc w:val="left"/>
      <w:pPr>
        <w:tabs>
          <w:tab w:val="left" w:pos="1276"/>
        </w:tabs>
        <w:ind w:left="1276" w:hanging="425"/>
      </w:pPr>
      <w:rPr>
        <w:rFonts w:hint="eastAsia" w:ascii="宋体" w:hAnsi="Times New Roman" w:eastAsia="宋体"/>
        <w:sz w:val="21"/>
      </w:rPr>
    </w:lvl>
    <w:lvl w:ilvl="2" w:tentative="0">
      <w:start w:val="1"/>
      <w:numFmt w:val="decimal"/>
      <w:pStyle w:val="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0"/>
      <w:suff w:val="nothing"/>
      <w:lvlText w:val="%1%2　"/>
      <w:lvlJc w:val="left"/>
      <w:pPr>
        <w:ind w:left="0" w:firstLine="0"/>
      </w:pPr>
      <w:rPr>
        <w:rFonts w:hint="eastAsia" w:ascii="黑体" w:eastAsia="黑体"/>
        <w:b w:val="0"/>
        <w:i w:val="0"/>
        <w:sz w:val="21"/>
      </w:rPr>
    </w:lvl>
    <w:lvl w:ilvl="2" w:tentative="0">
      <w:start w:val="1"/>
      <w:numFmt w:val="decimal"/>
      <w:pStyle w:val="49"/>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156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DAzZTc1NWYxOGI5ZDRmMTNiNThiN2EyOGEwZjcifQ=="/>
  </w:docVars>
  <w:rsids>
    <w:rsidRoot w:val="00B42FF3"/>
    <w:rsid w:val="00000EB4"/>
    <w:rsid w:val="000062B7"/>
    <w:rsid w:val="000064CD"/>
    <w:rsid w:val="00007799"/>
    <w:rsid w:val="0001305C"/>
    <w:rsid w:val="00013245"/>
    <w:rsid w:val="00023714"/>
    <w:rsid w:val="000303C1"/>
    <w:rsid w:val="00033A2F"/>
    <w:rsid w:val="00035165"/>
    <w:rsid w:val="00037F0B"/>
    <w:rsid w:val="000420D8"/>
    <w:rsid w:val="00051069"/>
    <w:rsid w:val="00070CC2"/>
    <w:rsid w:val="000721AA"/>
    <w:rsid w:val="00073125"/>
    <w:rsid w:val="00082316"/>
    <w:rsid w:val="00086D00"/>
    <w:rsid w:val="000955D5"/>
    <w:rsid w:val="000A04D3"/>
    <w:rsid w:val="000A17AA"/>
    <w:rsid w:val="000A3E00"/>
    <w:rsid w:val="000A54AC"/>
    <w:rsid w:val="000B0B6B"/>
    <w:rsid w:val="000B28B7"/>
    <w:rsid w:val="000B727B"/>
    <w:rsid w:val="000C42A9"/>
    <w:rsid w:val="000C549E"/>
    <w:rsid w:val="000D1FE4"/>
    <w:rsid w:val="000E3FC3"/>
    <w:rsid w:val="000E4AC7"/>
    <w:rsid w:val="000E59EF"/>
    <w:rsid w:val="000F00C1"/>
    <w:rsid w:val="000F24C2"/>
    <w:rsid w:val="000F4788"/>
    <w:rsid w:val="000F607B"/>
    <w:rsid w:val="000F7C3B"/>
    <w:rsid w:val="00103BC2"/>
    <w:rsid w:val="00104FD5"/>
    <w:rsid w:val="00106491"/>
    <w:rsid w:val="00113A6B"/>
    <w:rsid w:val="00114E7E"/>
    <w:rsid w:val="00115407"/>
    <w:rsid w:val="001237A7"/>
    <w:rsid w:val="0012459C"/>
    <w:rsid w:val="0012526B"/>
    <w:rsid w:val="0012749D"/>
    <w:rsid w:val="00130516"/>
    <w:rsid w:val="00136F8A"/>
    <w:rsid w:val="001403CC"/>
    <w:rsid w:val="00155EE7"/>
    <w:rsid w:val="00160686"/>
    <w:rsid w:val="00164D98"/>
    <w:rsid w:val="0017124B"/>
    <w:rsid w:val="00172718"/>
    <w:rsid w:val="00172B5C"/>
    <w:rsid w:val="001851E5"/>
    <w:rsid w:val="0019030F"/>
    <w:rsid w:val="0019416C"/>
    <w:rsid w:val="001964CE"/>
    <w:rsid w:val="001A0B8C"/>
    <w:rsid w:val="001A155E"/>
    <w:rsid w:val="001A436A"/>
    <w:rsid w:val="001B3B4C"/>
    <w:rsid w:val="001B6579"/>
    <w:rsid w:val="001B6FDA"/>
    <w:rsid w:val="001B75BF"/>
    <w:rsid w:val="001C090B"/>
    <w:rsid w:val="001C43FD"/>
    <w:rsid w:val="001D0664"/>
    <w:rsid w:val="001D0BDC"/>
    <w:rsid w:val="001D708A"/>
    <w:rsid w:val="001D73BE"/>
    <w:rsid w:val="001E2541"/>
    <w:rsid w:val="001E25E1"/>
    <w:rsid w:val="001E50E0"/>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10F1"/>
    <w:rsid w:val="00244F03"/>
    <w:rsid w:val="002478CC"/>
    <w:rsid w:val="002605BC"/>
    <w:rsid w:val="0026165D"/>
    <w:rsid w:val="00262B0C"/>
    <w:rsid w:val="00263396"/>
    <w:rsid w:val="002638FA"/>
    <w:rsid w:val="0026483E"/>
    <w:rsid w:val="00273DD4"/>
    <w:rsid w:val="00274DA9"/>
    <w:rsid w:val="00276387"/>
    <w:rsid w:val="002844DC"/>
    <w:rsid w:val="00284C0A"/>
    <w:rsid w:val="0028536F"/>
    <w:rsid w:val="00286B59"/>
    <w:rsid w:val="002A03F4"/>
    <w:rsid w:val="002A3ACE"/>
    <w:rsid w:val="002A7E10"/>
    <w:rsid w:val="002B4E19"/>
    <w:rsid w:val="002B7AE0"/>
    <w:rsid w:val="002C0465"/>
    <w:rsid w:val="002C0E9E"/>
    <w:rsid w:val="002C325E"/>
    <w:rsid w:val="002D02D6"/>
    <w:rsid w:val="002E3D34"/>
    <w:rsid w:val="002F240B"/>
    <w:rsid w:val="00304590"/>
    <w:rsid w:val="00311542"/>
    <w:rsid w:val="00311DA3"/>
    <w:rsid w:val="00320B4E"/>
    <w:rsid w:val="00326112"/>
    <w:rsid w:val="00327B36"/>
    <w:rsid w:val="00330AC5"/>
    <w:rsid w:val="00332A17"/>
    <w:rsid w:val="00336267"/>
    <w:rsid w:val="00337C46"/>
    <w:rsid w:val="00343B8F"/>
    <w:rsid w:val="003467D5"/>
    <w:rsid w:val="003648C8"/>
    <w:rsid w:val="0037613E"/>
    <w:rsid w:val="00380232"/>
    <w:rsid w:val="00385EF1"/>
    <w:rsid w:val="0039369D"/>
    <w:rsid w:val="003A09B7"/>
    <w:rsid w:val="003A09C4"/>
    <w:rsid w:val="003A401C"/>
    <w:rsid w:val="003A4A0A"/>
    <w:rsid w:val="003A4B55"/>
    <w:rsid w:val="003A5F3A"/>
    <w:rsid w:val="003B0F8B"/>
    <w:rsid w:val="003B11F2"/>
    <w:rsid w:val="003B72F8"/>
    <w:rsid w:val="003B7E74"/>
    <w:rsid w:val="003C182E"/>
    <w:rsid w:val="003C4131"/>
    <w:rsid w:val="003C5BEA"/>
    <w:rsid w:val="003D5B47"/>
    <w:rsid w:val="003D6078"/>
    <w:rsid w:val="003D7419"/>
    <w:rsid w:val="003E4667"/>
    <w:rsid w:val="003E774D"/>
    <w:rsid w:val="003F1397"/>
    <w:rsid w:val="003F70F6"/>
    <w:rsid w:val="004058FC"/>
    <w:rsid w:val="00411C90"/>
    <w:rsid w:val="00412EBC"/>
    <w:rsid w:val="00413C8B"/>
    <w:rsid w:val="00415C9D"/>
    <w:rsid w:val="004170CD"/>
    <w:rsid w:val="00417C53"/>
    <w:rsid w:val="00417F45"/>
    <w:rsid w:val="00422953"/>
    <w:rsid w:val="00425F7C"/>
    <w:rsid w:val="00427DD6"/>
    <w:rsid w:val="004347A1"/>
    <w:rsid w:val="004464BB"/>
    <w:rsid w:val="00454A26"/>
    <w:rsid w:val="00455609"/>
    <w:rsid w:val="00457980"/>
    <w:rsid w:val="0046220E"/>
    <w:rsid w:val="00462231"/>
    <w:rsid w:val="00471898"/>
    <w:rsid w:val="004756A8"/>
    <w:rsid w:val="00484FC8"/>
    <w:rsid w:val="00485976"/>
    <w:rsid w:val="00491B10"/>
    <w:rsid w:val="00497186"/>
    <w:rsid w:val="004A268A"/>
    <w:rsid w:val="004A6271"/>
    <w:rsid w:val="004A7EF5"/>
    <w:rsid w:val="004C1769"/>
    <w:rsid w:val="004C5ED5"/>
    <w:rsid w:val="004C69C7"/>
    <w:rsid w:val="004C6F7A"/>
    <w:rsid w:val="004C77E5"/>
    <w:rsid w:val="004D0D00"/>
    <w:rsid w:val="004D4081"/>
    <w:rsid w:val="004D4DB2"/>
    <w:rsid w:val="004E080C"/>
    <w:rsid w:val="004E7883"/>
    <w:rsid w:val="004F04B4"/>
    <w:rsid w:val="005004AF"/>
    <w:rsid w:val="00504F95"/>
    <w:rsid w:val="00510EEF"/>
    <w:rsid w:val="0051446A"/>
    <w:rsid w:val="00515D49"/>
    <w:rsid w:val="0051771F"/>
    <w:rsid w:val="0052192F"/>
    <w:rsid w:val="005244E8"/>
    <w:rsid w:val="0052452A"/>
    <w:rsid w:val="00525BB7"/>
    <w:rsid w:val="00534CF7"/>
    <w:rsid w:val="00535D6D"/>
    <w:rsid w:val="00540967"/>
    <w:rsid w:val="00541FEA"/>
    <w:rsid w:val="00543F21"/>
    <w:rsid w:val="0054512F"/>
    <w:rsid w:val="005506EF"/>
    <w:rsid w:val="00557888"/>
    <w:rsid w:val="00557D74"/>
    <w:rsid w:val="0056096C"/>
    <w:rsid w:val="005639F9"/>
    <w:rsid w:val="005678F0"/>
    <w:rsid w:val="005720D5"/>
    <w:rsid w:val="00577361"/>
    <w:rsid w:val="00581412"/>
    <w:rsid w:val="005918E4"/>
    <w:rsid w:val="00591E0B"/>
    <w:rsid w:val="005A405D"/>
    <w:rsid w:val="005A7578"/>
    <w:rsid w:val="005B2355"/>
    <w:rsid w:val="005B6FE8"/>
    <w:rsid w:val="005C4080"/>
    <w:rsid w:val="005C61A9"/>
    <w:rsid w:val="005D15EE"/>
    <w:rsid w:val="005D1D83"/>
    <w:rsid w:val="005D2574"/>
    <w:rsid w:val="005D6327"/>
    <w:rsid w:val="005E24C0"/>
    <w:rsid w:val="005E4D64"/>
    <w:rsid w:val="005F380E"/>
    <w:rsid w:val="00601903"/>
    <w:rsid w:val="00612C9C"/>
    <w:rsid w:val="00613BC8"/>
    <w:rsid w:val="006140D6"/>
    <w:rsid w:val="00620CFE"/>
    <w:rsid w:val="00620F1E"/>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2EA7"/>
    <w:rsid w:val="006631A3"/>
    <w:rsid w:val="0066503E"/>
    <w:rsid w:val="00665222"/>
    <w:rsid w:val="00665243"/>
    <w:rsid w:val="00665290"/>
    <w:rsid w:val="0066533B"/>
    <w:rsid w:val="006679A3"/>
    <w:rsid w:val="00670EDF"/>
    <w:rsid w:val="006719B3"/>
    <w:rsid w:val="00673325"/>
    <w:rsid w:val="00673906"/>
    <w:rsid w:val="00677609"/>
    <w:rsid w:val="006A4C29"/>
    <w:rsid w:val="006C03D2"/>
    <w:rsid w:val="006C1A52"/>
    <w:rsid w:val="006C47A6"/>
    <w:rsid w:val="006D0256"/>
    <w:rsid w:val="006D2F9C"/>
    <w:rsid w:val="006D627A"/>
    <w:rsid w:val="006E08CA"/>
    <w:rsid w:val="006E7DA7"/>
    <w:rsid w:val="006F59CC"/>
    <w:rsid w:val="006F723D"/>
    <w:rsid w:val="00704941"/>
    <w:rsid w:val="00710308"/>
    <w:rsid w:val="007127B0"/>
    <w:rsid w:val="00713AA0"/>
    <w:rsid w:val="0072152F"/>
    <w:rsid w:val="007218AF"/>
    <w:rsid w:val="00721ABA"/>
    <w:rsid w:val="00722AC4"/>
    <w:rsid w:val="00724AD2"/>
    <w:rsid w:val="007415E1"/>
    <w:rsid w:val="007443CE"/>
    <w:rsid w:val="00751853"/>
    <w:rsid w:val="0075381F"/>
    <w:rsid w:val="00757BFC"/>
    <w:rsid w:val="0076329F"/>
    <w:rsid w:val="00763574"/>
    <w:rsid w:val="00764458"/>
    <w:rsid w:val="007663CB"/>
    <w:rsid w:val="00775ACF"/>
    <w:rsid w:val="00776041"/>
    <w:rsid w:val="0078089E"/>
    <w:rsid w:val="00782442"/>
    <w:rsid w:val="00787675"/>
    <w:rsid w:val="0079579E"/>
    <w:rsid w:val="007A2566"/>
    <w:rsid w:val="007A2712"/>
    <w:rsid w:val="007A29EC"/>
    <w:rsid w:val="007A36BA"/>
    <w:rsid w:val="007A6464"/>
    <w:rsid w:val="007B01E3"/>
    <w:rsid w:val="007B03AA"/>
    <w:rsid w:val="007B0B01"/>
    <w:rsid w:val="007B679A"/>
    <w:rsid w:val="007C1E47"/>
    <w:rsid w:val="007C44AE"/>
    <w:rsid w:val="007C5B7F"/>
    <w:rsid w:val="007C75C6"/>
    <w:rsid w:val="007C7657"/>
    <w:rsid w:val="007D18AF"/>
    <w:rsid w:val="007D1A42"/>
    <w:rsid w:val="007D2D63"/>
    <w:rsid w:val="007D3BDD"/>
    <w:rsid w:val="007D43B6"/>
    <w:rsid w:val="007D5650"/>
    <w:rsid w:val="007D5AF7"/>
    <w:rsid w:val="007E015C"/>
    <w:rsid w:val="007E05F8"/>
    <w:rsid w:val="007E73C1"/>
    <w:rsid w:val="007F26F7"/>
    <w:rsid w:val="007F6433"/>
    <w:rsid w:val="007F6669"/>
    <w:rsid w:val="00813DB7"/>
    <w:rsid w:val="008172F4"/>
    <w:rsid w:val="008178EF"/>
    <w:rsid w:val="00831540"/>
    <w:rsid w:val="008426E8"/>
    <w:rsid w:val="0084302E"/>
    <w:rsid w:val="00843F0A"/>
    <w:rsid w:val="00846A2A"/>
    <w:rsid w:val="008471CB"/>
    <w:rsid w:val="008529C5"/>
    <w:rsid w:val="00852AFD"/>
    <w:rsid w:val="00853CD4"/>
    <w:rsid w:val="00857C5A"/>
    <w:rsid w:val="008601F4"/>
    <w:rsid w:val="00861A3C"/>
    <w:rsid w:val="0086615B"/>
    <w:rsid w:val="00867793"/>
    <w:rsid w:val="008749A0"/>
    <w:rsid w:val="00874C8D"/>
    <w:rsid w:val="00877ED7"/>
    <w:rsid w:val="00877F03"/>
    <w:rsid w:val="00881131"/>
    <w:rsid w:val="00890A15"/>
    <w:rsid w:val="00892AA8"/>
    <w:rsid w:val="008A0C96"/>
    <w:rsid w:val="008B7F3E"/>
    <w:rsid w:val="008C0278"/>
    <w:rsid w:val="008C136A"/>
    <w:rsid w:val="008C168C"/>
    <w:rsid w:val="008C67E0"/>
    <w:rsid w:val="008D0DB1"/>
    <w:rsid w:val="008D696C"/>
    <w:rsid w:val="008E4784"/>
    <w:rsid w:val="008E6F21"/>
    <w:rsid w:val="008E7DC5"/>
    <w:rsid w:val="009149F6"/>
    <w:rsid w:val="00915ECF"/>
    <w:rsid w:val="009245E4"/>
    <w:rsid w:val="00932174"/>
    <w:rsid w:val="00934C3F"/>
    <w:rsid w:val="00935102"/>
    <w:rsid w:val="0093695A"/>
    <w:rsid w:val="00940740"/>
    <w:rsid w:val="0094671B"/>
    <w:rsid w:val="00950109"/>
    <w:rsid w:val="00950758"/>
    <w:rsid w:val="00954780"/>
    <w:rsid w:val="00971B3B"/>
    <w:rsid w:val="00980B94"/>
    <w:rsid w:val="00981BF3"/>
    <w:rsid w:val="009827C1"/>
    <w:rsid w:val="009930BB"/>
    <w:rsid w:val="00996F85"/>
    <w:rsid w:val="00997E40"/>
    <w:rsid w:val="009A02F8"/>
    <w:rsid w:val="009A1547"/>
    <w:rsid w:val="009C07DC"/>
    <w:rsid w:val="009C42E5"/>
    <w:rsid w:val="009C49E6"/>
    <w:rsid w:val="009D09D6"/>
    <w:rsid w:val="009D0D89"/>
    <w:rsid w:val="009D1BD0"/>
    <w:rsid w:val="009D7C17"/>
    <w:rsid w:val="009E0473"/>
    <w:rsid w:val="009E1186"/>
    <w:rsid w:val="009E54FE"/>
    <w:rsid w:val="009F7D60"/>
    <w:rsid w:val="00A010C6"/>
    <w:rsid w:val="00A01A08"/>
    <w:rsid w:val="00A039A4"/>
    <w:rsid w:val="00A06024"/>
    <w:rsid w:val="00A062ED"/>
    <w:rsid w:val="00A10A05"/>
    <w:rsid w:val="00A10CD5"/>
    <w:rsid w:val="00A14E27"/>
    <w:rsid w:val="00A15C1F"/>
    <w:rsid w:val="00A15EDD"/>
    <w:rsid w:val="00A15FCC"/>
    <w:rsid w:val="00A30428"/>
    <w:rsid w:val="00A32131"/>
    <w:rsid w:val="00A3232B"/>
    <w:rsid w:val="00A32992"/>
    <w:rsid w:val="00A34BE9"/>
    <w:rsid w:val="00A364A6"/>
    <w:rsid w:val="00A40F56"/>
    <w:rsid w:val="00A4251F"/>
    <w:rsid w:val="00A43A95"/>
    <w:rsid w:val="00A43FD4"/>
    <w:rsid w:val="00A458DF"/>
    <w:rsid w:val="00A4734D"/>
    <w:rsid w:val="00A527C0"/>
    <w:rsid w:val="00A6606A"/>
    <w:rsid w:val="00A70194"/>
    <w:rsid w:val="00A70C25"/>
    <w:rsid w:val="00A74C6C"/>
    <w:rsid w:val="00A75BFD"/>
    <w:rsid w:val="00A81034"/>
    <w:rsid w:val="00A81083"/>
    <w:rsid w:val="00A824EF"/>
    <w:rsid w:val="00A91E0C"/>
    <w:rsid w:val="00A9500E"/>
    <w:rsid w:val="00A97723"/>
    <w:rsid w:val="00AA1CE0"/>
    <w:rsid w:val="00AA58FE"/>
    <w:rsid w:val="00AA7474"/>
    <w:rsid w:val="00AB0230"/>
    <w:rsid w:val="00AB216A"/>
    <w:rsid w:val="00AB5576"/>
    <w:rsid w:val="00AB63D6"/>
    <w:rsid w:val="00AC13CB"/>
    <w:rsid w:val="00AC14DC"/>
    <w:rsid w:val="00AC66B7"/>
    <w:rsid w:val="00AC70DB"/>
    <w:rsid w:val="00AD0C9D"/>
    <w:rsid w:val="00AD1341"/>
    <w:rsid w:val="00AD50B6"/>
    <w:rsid w:val="00AE2C28"/>
    <w:rsid w:val="00AE61D2"/>
    <w:rsid w:val="00AF4EAF"/>
    <w:rsid w:val="00B072CF"/>
    <w:rsid w:val="00B07585"/>
    <w:rsid w:val="00B102B1"/>
    <w:rsid w:val="00B11BC5"/>
    <w:rsid w:val="00B168BF"/>
    <w:rsid w:val="00B21B08"/>
    <w:rsid w:val="00B37792"/>
    <w:rsid w:val="00B424E6"/>
    <w:rsid w:val="00B42FF3"/>
    <w:rsid w:val="00B43619"/>
    <w:rsid w:val="00B4385F"/>
    <w:rsid w:val="00B46047"/>
    <w:rsid w:val="00B507FE"/>
    <w:rsid w:val="00B51FBA"/>
    <w:rsid w:val="00B553DD"/>
    <w:rsid w:val="00B653DF"/>
    <w:rsid w:val="00B871B8"/>
    <w:rsid w:val="00B95ADC"/>
    <w:rsid w:val="00B95DCE"/>
    <w:rsid w:val="00B97E2C"/>
    <w:rsid w:val="00BA0F5C"/>
    <w:rsid w:val="00BA5CFB"/>
    <w:rsid w:val="00BC20D7"/>
    <w:rsid w:val="00BC4131"/>
    <w:rsid w:val="00BC4BE6"/>
    <w:rsid w:val="00BC77D0"/>
    <w:rsid w:val="00BD294A"/>
    <w:rsid w:val="00BD3C92"/>
    <w:rsid w:val="00BD5A86"/>
    <w:rsid w:val="00BD6765"/>
    <w:rsid w:val="00BD76C5"/>
    <w:rsid w:val="00BE1629"/>
    <w:rsid w:val="00BE1B83"/>
    <w:rsid w:val="00BE3A5C"/>
    <w:rsid w:val="00BE56F7"/>
    <w:rsid w:val="00BE67FE"/>
    <w:rsid w:val="00BF5835"/>
    <w:rsid w:val="00C070CB"/>
    <w:rsid w:val="00C073EF"/>
    <w:rsid w:val="00C17627"/>
    <w:rsid w:val="00C17878"/>
    <w:rsid w:val="00C258DE"/>
    <w:rsid w:val="00C305F7"/>
    <w:rsid w:val="00C3069D"/>
    <w:rsid w:val="00C30D08"/>
    <w:rsid w:val="00C360C1"/>
    <w:rsid w:val="00C46E2F"/>
    <w:rsid w:val="00C500BA"/>
    <w:rsid w:val="00C50112"/>
    <w:rsid w:val="00C50387"/>
    <w:rsid w:val="00C5306B"/>
    <w:rsid w:val="00C53633"/>
    <w:rsid w:val="00C54F79"/>
    <w:rsid w:val="00C60CDA"/>
    <w:rsid w:val="00C65432"/>
    <w:rsid w:val="00C669F2"/>
    <w:rsid w:val="00C67BB7"/>
    <w:rsid w:val="00C73F78"/>
    <w:rsid w:val="00C82424"/>
    <w:rsid w:val="00C8301C"/>
    <w:rsid w:val="00C91960"/>
    <w:rsid w:val="00C96A70"/>
    <w:rsid w:val="00CA0AA6"/>
    <w:rsid w:val="00CB2C9C"/>
    <w:rsid w:val="00CB6B73"/>
    <w:rsid w:val="00CD2464"/>
    <w:rsid w:val="00CD4DC8"/>
    <w:rsid w:val="00CD6351"/>
    <w:rsid w:val="00CE077B"/>
    <w:rsid w:val="00CE0EDC"/>
    <w:rsid w:val="00CE0FC2"/>
    <w:rsid w:val="00CE4D4A"/>
    <w:rsid w:val="00CE64BB"/>
    <w:rsid w:val="00CF5809"/>
    <w:rsid w:val="00D02F23"/>
    <w:rsid w:val="00D11D6B"/>
    <w:rsid w:val="00D15455"/>
    <w:rsid w:val="00D24803"/>
    <w:rsid w:val="00D31B8E"/>
    <w:rsid w:val="00D328D2"/>
    <w:rsid w:val="00D42FE6"/>
    <w:rsid w:val="00D528D8"/>
    <w:rsid w:val="00D55C45"/>
    <w:rsid w:val="00D70A18"/>
    <w:rsid w:val="00D76048"/>
    <w:rsid w:val="00D800A7"/>
    <w:rsid w:val="00D82D25"/>
    <w:rsid w:val="00D87D52"/>
    <w:rsid w:val="00D91466"/>
    <w:rsid w:val="00D92B66"/>
    <w:rsid w:val="00D97F8C"/>
    <w:rsid w:val="00DA2CFB"/>
    <w:rsid w:val="00DA3461"/>
    <w:rsid w:val="00DA4D67"/>
    <w:rsid w:val="00DA6868"/>
    <w:rsid w:val="00DB27E2"/>
    <w:rsid w:val="00DB342F"/>
    <w:rsid w:val="00DC3B20"/>
    <w:rsid w:val="00DC5827"/>
    <w:rsid w:val="00DC6FBF"/>
    <w:rsid w:val="00DD6C77"/>
    <w:rsid w:val="00DE1CDD"/>
    <w:rsid w:val="00DF0E84"/>
    <w:rsid w:val="00DF4485"/>
    <w:rsid w:val="00E01957"/>
    <w:rsid w:val="00E04D9A"/>
    <w:rsid w:val="00E122DD"/>
    <w:rsid w:val="00E1756F"/>
    <w:rsid w:val="00E176D5"/>
    <w:rsid w:val="00E20CC3"/>
    <w:rsid w:val="00E210A1"/>
    <w:rsid w:val="00E26F00"/>
    <w:rsid w:val="00E27F02"/>
    <w:rsid w:val="00E31ECB"/>
    <w:rsid w:val="00E477DE"/>
    <w:rsid w:val="00E564DB"/>
    <w:rsid w:val="00E57086"/>
    <w:rsid w:val="00E6167A"/>
    <w:rsid w:val="00E63DF5"/>
    <w:rsid w:val="00E64EE5"/>
    <w:rsid w:val="00E67CB9"/>
    <w:rsid w:val="00E7049F"/>
    <w:rsid w:val="00E92966"/>
    <w:rsid w:val="00E9728A"/>
    <w:rsid w:val="00EA4F07"/>
    <w:rsid w:val="00EA7EEC"/>
    <w:rsid w:val="00EB2898"/>
    <w:rsid w:val="00EB54FC"/>
    <w:rsid w:val="00EC742B"/>
    <w:rsid w:val="00ED025A"/>
    <w:rsid w:val="00ED0699"/>
    <w:rsid w:val="00ED3ED3"/>
    <w:rsid w:val="00EE0345"/>
    <w:rsid w:val="00F37F43"/>
    <w:rsid w:val="00F44C7A"/>
    <w:rsid w:val="00F54091"/>
    <w:rsid w:val="00F56044"/>
    <w:rsid w:val="00F6103A"/>
    <w:rsid w:val="00F62A42"/>
    <w:rsid w:val="00F63A1F"/>
    <w:rsid w:val="00F813DD"/>
    <w:rsid w:val="00F83236"/>
    <w:rsid w:val="00F95F09"/>
    <w:rsid w:val="00FA0AD3"/>
    <w:rsid w:val="00FA2468"/>
    <w:rsid w:val="00FA30A2"/>
    <w:rsid w:val="00FA41AC"/>
    <w:rsid w:val="00FA574E"/>
    <w:rsid w:val="00FB04E9"/>
    <w:rsid w:val="00FC40A9"/>
    <w:rsid w:val="00FD4545"/>
    <w:rsid w:val="00FE0041"/>
    <w:rsid w:val="00FE747C"/>
    <w:rsid w:val="00FF2E6F"/>
    <w:rsid w:val="012A6BDB"/>
    <w:rsid w:val="01873192"/>
    <w:rsid w:val="020F7B7E"/>
    <w:rsid w:val="025008C3"/>
    <w:rsid w:val="02FE031F"/>
    <w:rsid w:val="030B2A3C"/>
    <w:rsid w:val="04335DA6"/>
    <w:rsid w:val="04846602"/>
    <w:rsid w:val="056F2E0E"/>
    <w:rsid w:val="05D47115"/>
    <w:rsid w:val="05E24721"/>
    <w:rsid w:val="061439B5"/>
    <w:rsid w:val="06B64A6C"/>
    <w:rsid w:val="076F2318"/>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5CD620A"/>
    <w:rsid w:val="17550823"/>
    <w:rsid w:val="178564C1"/>
    <w:rsid w:val="19371A3D"/>
    <w:rsid w:val="19632832"/>
    <w:rsid w:val="1ABC044C"/>
    <w:rsid w:val="1AEE0821"/>
    <w:rsid w:val="1B4D5548"/>
    <w:rsid w:val="1B9273FE"/>
    <w:rsid w:val="1C512E16"/>
    <w:rsid w:val="1CF739BD"/>
    <w:rsid w:val="1D2E2504"/>
    <w:rsid w:val="1DB00010"/>
    <w:rsid w:val="1F285233"/>
    <w:rsid w:val="1F751511"/>
    <w:rsid w:val="1FB02549"/>
    <w:rsid w:val="20B87907"/>
    <w:rsid w:val="21417338"/>
    <w:rsid w:val="216E5861"/>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AF66CA"/>
    <w:rsid w:val="29B33362"/>
    <w:rsid w:val="2BB05DAB"/>
    <w:rsid w:val="2BBE7D9C"/>
    <w:rsid w:val="2BC2163A"/>
    <w:rsid w:val="2BC82EC1"/>
    <w:rsid w:val="2C9254B0"/>
    <w:rsid w:val="2CA945A8"/>
    <w:rsid w:val="2CCA2E9C"/>
    <w:rsid w:val="2E422F06"/>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C83CF1"/>
    <w:rsid w:val="35CF507F"/>
    <w:rsid w:val="36CC5A63"/>
    <w:rsid w:val="370E607B"/>
    <w:rsid w:val="37A442EA"/>
    <w:rsid w:val="3801798E"/>
    <w:rsid w:val="382A0C93"/>
    <w:rsid w:val="38B7004D"/>
    <w:rsid w:val="38F1355F"/>
    <w:rsid w:val="391B05DB"/>
    <w:rsid w:val="393B0C7E"/>
    <w:rsid w:val="3A1514CF"/>
    <w:rsid w:val="3A2B2AA0"/>
    <w:rsid w:val="3A451DB4"/>
    <w:rsid w:val="3A976388"/>
    <w:rsid w:val="3B385475"/>
    <w:rsid w:val="3BBD1E1E"/>
    <w:rsid w:val="3CF96E86"/>
    <w:rsid w:val="3D0D2931"/>
    <w:rsid w:val="3D477BF1"/>
    <w:rsid w:val="3D632551"/>
    <w:rsid w:val="3DCE3E6E"/>
    <w:rsid w:val="3EF566CC"/>
    <w:rsid w:val="40566CDA"/>
    <w:rsid w:val="40643508"/>
    <w:rsid w:val="4070745F"/>
    <w:rsid w:val="410812F6"/>
    <w:rsid w:val="419B050B"/>
    <w:rsid w:val="429733C9"/>
    <w:rsid w:val="431C567C"/>
    <w:rsid w:val="447A4D50"/>
    <w:rsid w:val="448636F5"/>
    <w:rsid w:val="45763769"/>
    <w:rsid w:val="45956186"/>
    <w:rsid w:val="461940F5"/>
    <w:rsid w:val="463E3B5B"/>
    <w:rsid w:val="470D1EAB"/>
    <w:rsid w:val="476B0980"/>
    <w:rsid w:val="47721D0E"/>
    <w:rsid w:val="47AA14A8"/>
    <w:rsid w:val="47C3256A"/>
    <w:rsid w:val="492E7EB7"/>
    <w:rsid w:val="493E459E"/>
    <w:rsid w:val="494E2307"/>
    <w:rsid w:val="495B3AE6"/>
    <w:rsid w:val="49EB5DA8"/>
    <w:rsid w:val="4A0F5F3A"/>
    <w:rsid w:val="4A9B332A"/>
    <w:rsid w:val="4AA743C5"/>
    <w:rsid w:val="4C001FDF"/>
    <w:rsid w:val="4C29168E"/>
    <w:rsid w:val="4C885B30"/>
    <w:rsid w:val="4CF431C6"/>
    <w:rsid w:val="4CF44062"/>
    <w:rsid w:val="4D1F46E6"/>
    <w:rsid w:val="4DA20F70"/>
    <w:rsid w:val="4DDC6134"/>
    <w:rsid w:val="4E275F83"/>
    <w:rsid w:val="4E3C4E24"/>
    <w:rsid w:val="4ED11A10"/>
    <w:rsid w:val="4F7238FF"/>
    <w:rsid w:val="50BE7D72"/>
    <w:rsid w:val="50CB4079"/>
    <w:rsid w:val="50DA53F4"/>
    <w:rsid w:val="51CE2237"/>
    <w:rsid w:val="524E5126"/>
    <w:rsid w:val="52631FDA"/>
    <w:rsid w:val="53394028"/>
    <w:rsid w:val="536C61AC"/>
    <w:rsid w:val="54680721"/>
    <w:rsid w:val="54ED0C26"/>
    <w:rsid w:val="564725B8"/>
    <w:rsid w:val="568F468B"/>
    <w:rsid w:val="56FC33A3"/>
    <w:rsid w:val="572239E5"/>
    <w:rsid w:val="578F2469"/>
    <w:rsid w:val="57A23F4A"/>
    <w:rsid w:val="58631C3B"/>
    <w:rsid w:val="59C7413C"/>
    <w:rsid w:val="59CA59DA"/>
    <w:rsid w:val="5AAE0E58"/>
    <w:rsid w:val="5AB63D48"/>
    <w:rsid w:val="5AD85ED5"/>
    <w:rsid w:val="5B1A047F"/>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38219C0"/>
    <w:rsid w:val="65085608"/>
    <w:rsid w:val="652A37D1"/>
    <w:rsid w:val="65562818"/>
    <w:rsid w:val="663568D1"/>
    <w:rsid w:val="67546AF2"/>
    <w:rsid w:val="67580AC9"/>
    <w:rsid w:val="67753429"/>
    <w:rsid w:val="678B127F"/>
    <w:rsid w:val="67CB1EAB"/>
    <w:rsid w:val="6817628E"/>
    <w:rsid w:val="68A51AEC"/>
    <w:rsid w:val="68FB5BB0"/>
    <w:rsid w:val="69B813AB"/>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436915"/>
    <w:rsid w:val="75581C94"/>
    <w:rsid w:val="755D0646"/>
    <w:rsid w:val="75D02172"/>
    <w:rsid w:val="762F0C47"/>
    <w:rsid w:val="76A258BD"/>
    <w:rsid w:val="76CC46E8"/>
    <w:rsid w:val="77F9775E"/>
    <w:rsid w:val="780B56E4"/>
    <w:rsid w:val="7831514A"/>
    <w:rsid w:val="78A23952"/>
    <w:rsid w:val="78F817C4"/>
    <w:rsid w:val="799C2A97"/>
    <w:rsid w:val="7C2A04AD"/>
    <w:rsid w:val="7C4E5B9F"/>
    <w:rsid w:val="7CE704CD"/>
    <w:rsid w:val="7CF6426C"/>
    <w:rsid w:val="7D05661B"/>
    <w:rsid w:val="7D5176F5"/>
    <w:rsid w:val="7E922736"/>
    <w:rsid w:val="7E9D51FA"/>
    <w:rsid w:val="7EB51F05"/>
    <w:rsid w:val="7ED44A81"/>
    <w:rsid w:val="7F016EF9"/>
    <w:rsid w:val="7F076C05"/>
    <w:rsid w:val="7F435763"/>
    <w:rsid w:val="7F45772D"/>
    <w:rsid w:val="7F710522"/>
    <w:rsid w:val="7F89761A"/>
    <w:rsid w:val="7FBF303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autoRedefine/>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6"/>
    <w:autoRedefine/>
    <w:semiHidden/>
    <w:unhideWhenUsed/>
    <w:qFormat/>
    <w:uiPriority w:val="99"/>
    <w:pPr>
      <w:jc w:val="left"/>
    </w:pPr>
  </w:style>
  <w:style w:type="paragraph" w:styleId="7">
    <w:name w:val="toc 5"/>
    <w:basedOn w:val="1"/>
    <w:next w:val="1"/>
    <w:autoRedefine/>
    <w:unhideWhenUsed/>
    <w:qFormat/>
    <w:uiPriority w:val="39"/>
    <w:pPr>
      <w:ind w:left="1680" w:leftChars="800"/>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toc 8"/>
    <w:basedOn w:val="1"/>
    <w:next w:val="1"/>
    <w:autoRedefine/>
    <w:unhideWhenUsed/>
    <w:qFormat/>
    <w:uiPriority w:val="39"/>
    <w:pPr>
      <w:ind w:left="2940" w:leftChars="1400"/>
    </w:pPr>
  </w:style>
  <w:style w:type="paragraph" w:styleId="10">
    <w:name w:val="Date"/>
    <w:basedOn w:val="1"/>
    <w:next w:val="1"/>
    <w:link w:val="31"/>
    <w:autoRedefine/>
    <w:semiHidden/>
    <w:unhideWhenUsed/>
    <w:qFormat/>
    <w:uiPriority w:val="99"/>
    <w:pPr>
      <w:ind w:left="100" w:leftChars="2500"/>
    </w:pPr>
  </w:style>
  <w:style w:type="paragraph" w:styleId="11">
    <w:name w:val="Balloon Text"/>
    <w:basedOn w:val="1"/>
    <w:link w:val="35"/>
    <w:autoRedefine/>
    <w:semiHidden/>
    <w:unhideWhenUsed/>
    <w:qFormat/>
    <w:uiPriority w:val="99"/>
    <w:rPr>
      <w:sz w:val="18"/>
      <w:szCs w:val="18"/>
    </w:rPr>
  </w:style>
  <w:style w:type="paragraph" w:styleId="12">
    <w:name w:val="footer"/>
    <w:basedOn w:val="1"/>
    <w:link w:val="30"/>
    <w:autoRedefine/>
    <w:unhideWhenUsed/>
    <w:qFormat/>
    <w:uiPriority w:val="99"/>
    <w:pPr>
      <w:tabs>
        <w:tab w:val="center" w:pos="4153"/>
        <w:tab w:val="right" w:pos="8306"/>
      </w:tabs>
      <w:snapToGrid w:val="0"/>
      <w:jc w:val="left"/>
    </w:pPr>
    <w:rPr>
      <w:sz w:val="18"/>
      <w:szCs w:val="18"/>
    </w:rPr>
  </w:style>
  <w:style w:type="paragraph" w:styleId="13">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tabs>
        <w:tab w:val="left" w:pos="835"/>
        <w:tab w:val="right" w:leader="dot" w:pos="8296"/>
      </w:tabs>
      <w:spacing w:after="100" w:line="276" w:lineRule="auto"/>
      <w:jc w:val="center"/>
    </w:pPr>
    <w:rPr>
      <w:rFonts w:ascii="黑体" w:hAnsi="黑体" w:eastAsia="黑体" w:cs="宋体"/>
      <w:kern w:val="0"/>
      <w:sz w:val="40"/>
      <w:szCs w:val="32"/>
    </w:rPr>
  </w:style>
  <w:style w:type="paragraph" w:styleId="15">
    <w:name w:val="toc 4"/>
    <w:basedOn w:val="1"/>
    <w:next w:val="1"/>
    <w:autoRedefine/>
    <w:unhideWhenUsed/>
    <w:qFormat/>
    <w:uiPriority w:val="39"/>
    <w:pPr>
      <w:ind w:left="1260" w:leftChars="600"/>
    </w:pPr>
  </w:style>
  <w:style w:type="paragraph" w:styleId="16">
    <w:name w:val="toc 6"/>
    <w:basedOn w:val="1"/>
    <w:next w:val="1"/>
    <w:autoRedefine/>
    <w:unhideWhenUsed/>
    <w:qFormat/>
    <w:uiPriority w:val="39"/>
    <w:pPr>
      <w:ind w:left="2100" w:leftChars="1000"/>
    </w:pPr>
  </w:style>
  <w:style w:type="paragraph" w:styleId="17">
    <w:name w:val="toc 2"/>
    <w:basedOn w:val="1"/>
    <w:next w:val="1"/>
    <w:autoRedefine/>
    <w:unhideWhenUsed/>
    <w:qFormat/>
    <w:uiPriority w:val="39"/>
    <w:pPr>
      <w:widowControl/>
      <w:spacing w:after="100" w:line="276" w:lineRule="auto"/>
      <w:ind w:left="220"/>
      <w:jc w:val="left"/>
    </w:pPr>
    <w:rPr>
      <w:kern w:val="0"/>
      <w:sz w:val="22"/>
    </w:rPr>
  </w:style>
  <w:style w:type="paragraph" w:styleId="18">
    <w:name w:val="toc 9"/>
    <w:basedOn w:val="1"/>
    <w:next w:val="1"/>
    <w:autoRedefine/>
    <w:unhideWhenUsed/>
    <w:qFormat/>
    <w:uiPriority w:val="39"/>
    <w:pPr>
      <w:ind w:left="3360" w:leftChars="1600"/>
    </w:pPr>
  </w:style>
  <w:style w:type="paragraph" w:styleId="19">
    <w:name w:val="annotation subject"/>
    <w:basedOn w:val="6"/>
    <w:next w:val="6"/>
    <w:link w:val="37"/>
    <w:autoRedefine/>
    <w:semiHidden/>
    <w:unhideWhenUsed/>
    <w:qFormat/>
    <w:uiPriority w:val="99"/>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autoRedefine/>
    <w:uiPriority w:val="0"/>
    <w:rPr>
      <w:color w:val="800080"/>
      <w:u w:val="single"/>
    </w:rPr>
  </w:style>
  <w:style w:type="character" w:styleId="24">
    <w:name w:val="Emphasis"/>
    <w:basedOn w:val="22"/>
    <w:qFormat/>
    <w:uiPriority w:val="20"/>
    <w:rPr>
      <w:i/>
      <w:iCs/>
    </w:rPr>
  </w:style>
  <w:style w:type="character" w:styleId="25">
    <w:name w:val="Hyperlink"/>
    <w:basedOn w:val="22"/>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2"/>
    <w:autoRedefine/>
    <w:semiHidden/>
    <w:unhideWhenUsed/>
    <w:qFormat/>
    <w:uiPriority w:val="99"/>
    <w:rPr>
      <w:sz w:val="21"/>
      <w:szCs w:val="21"/>
    </w:rPr>
  </w:style>
  <w:style w:type="paragraph" w:customStyle="1" w:styleId="27">
    <w:name w:val="Default"/>
    <w:basedOn w:val="1"/>
    <w:autoRedefine/>
    <w:qFormat/>
    <w:uiPriority w:val="99"/>
    <w:pPr>
      <w:autoSpaceDE w:val="0"/>
      <w:autoSpaceDN w:val="0"/>
    </w:pPr>
    <w:rPr>
      <w:rFonts w:ascii="Times New Roman" w:hAnsi="Times New Roman" w:eastAsia="宋体" w:cs="Times New Roman"/>
      <w:color w:val="000000"/>
      <w:sz w:val="24"/>
      <w:szCs w:val="24"/>
      <w:lang w:eastAsia="en-US" w:bidi="en-US"/>
    </w:rPr>
  </w:style>
  <w:style w:type="character" w:customStyle="1" w:styleId="28">
    <w:name w:val="标题 3 Char"/>
    <w:basedOn w:val="22"/>
    <w:link w:val="4"/>
    <w:semiHidden/>
    <w:qFormat/>
    <w:uiPriority w:val="9"/>
    <w:rPr>
      <w:b/>
      <w:bCs/>
      <w:sz w:val="32"/>
      <w:szCs w:val="32"/>
    </w:rPr>
  </w:style>
  <w:style w:type="character" w:customStyle="1" w:styleId="29">
    <w:name w:val="页眉 Char"/>
    <w:basedOn w:val="22"/>
    <w:link w:val="13"/>
    <w:qFormat/>
    <w:uiPriority w:val="99"/>
    <w:rPr>
      <w:sz w:val="18"/>
      <w:szCs w:val="18"/>
    </w:rPr>
  </w:style>
  <w:style w:type="character" w:customStyle="1" w:styleId="30">
    <w:name w:val="页脚 Char"/>
    <w:basedOn w:val="22"/>
    <w:link w:val="12"/>
    <w:autoRedefine/>
    <w:qFormat/>
    <w:uiPriority w:val="99"/>
    <w:rPr>
      <w:sz w:val="18"/>
      <w:szCs w:val="18"/>
    </w:rPr>
  </w:style>
  <w:style w:type="character" w:customStyle="1" w:styleId="31">
    <w:name w:val="日期 Char"/>
    <w:basedOn w:val="22"/>
    <w:link w:val="10"/>
    <w:autoRedefine/>
    <w:semiHidden/>
    <w:qFormat/>
    <w:uiPriority w:val="99"/>
  </w:style>
  <w:style w:type="paragraph" w:styleId="32">
    <w:name w:val="List Paragraph"/>
    <w:basedOn w:val="1"/>
    <w:autoRedefine/>
    <w:qFormat/>
    <w:uiPriority w:val="99"/>
    <w:pPr>
      <w:spacing w:line="560" w:lineRule="exact"/>
      <w:ind w:firstLine="480" w:firstLineChars="200"/>
      <w:outlineLvl w:val="0"/>
    </w:pPr>
    <w:rPr>
      <w:rFonts w:cs="楷体_GB2312" w:asciiTheme="minorEastAsia" w:hAnsiTheme="minorEastAsia"/>
      <w:sz w:val="24"/>
      <w:szCs w:val="24"/>
    </w:rPr>
  </w:style>
  <w:style w:type="character" w:customStyle="1" w:styleId="33">
    <w:name w:val="标题 1 Char"/>
    <w:basedOn w:val="22"/>
    <w:link w:val="2"/>
    <w:qFormat/>
    <w:uiPriority w:val="9"/>
    <w:rPr>
      <w:b/>
      <w:bCs/>
      <w:kern w:val="44"/>
      <w:sz w:val="44"/>
      <w:szCs w:val="44"/>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2"/>
    <w:link w:val="11"/>
    <w:autoRedefine/>
    <w:semiHidden/>
    <w:qFormat/>
    <w:uiPriority w:val="99"/>
    <w:rPr>
      <w:sz w:val="18"/>
      <w:szCs w:val="18"/>
    </w:rPr>
  </w:style>
  <w:style w:type="character" w:customStyle="1" w:styleId="36">
    <w:name w:val="批注文字 Char"/>
    <w:basedOn w:val="22"/>
    <w:link w:val="6"/>
    <w:autoRedefine/>
    <w:semiHidden/>
    <w:qFormat/>
    <w:uiPriority w:val="99"/>
  </w:style>
  <w:style w:type="character" w:customStyle="1" w:styleId="37">
    <w:name w:val="批注主题 Char"/>
    <w:basedOn w:val="36"/>
    <w:link w:val="19"/>
    <w:autoRedefine/>
    <w:semiHidden/>
    <w:qFormat/>
    <w:uiPriority w:val="99"/>
    <w:rPr>
      <w:b/>
      <w:bCs/>
    </w:rPr>
  </w:style>
  <w:style w:type="character" w:customStyle="1" w:styleId="38">
    <w:name w:val="标题 2 Char"/>
    <w:basedOn w:val="22"/>
    <w:link w:val="3"/>
    <w:semiHidden/>
    <w:qFormat/>
    <w:uiPriority w:val="9"/>
    <w:rPr>
      <w:rFonts w:asciiTheme="majorHAnsi" w:hAnsiTheme="majorHAnsi" w:eastAsiaTheme="majorEastAsia" w:cstheme="majorBidi"/>
      <w:b/>
      <w:bCs/>
      <w:sz w:val="32"/>
      <w:szCs w:val="32"/>
    </w:rPr>
  </w:style>
  <w:style w:type="paragraph" w:customStyle="1" w:styleId="39">
    <w:name w:val="标准文件_段"/>
    <w:link w:val="41"/>
    <w:autoRedefine/>
    <w:qFormat/>
    <w:uiPriority w:val="0"/>
    <w:pPr>
      <w:autoSpaceDE w:val="0"/>
      <w:autoSpaceDN w:val="0"/>
      <w:spacing w:line="600" w:lineRule="exact"/>
      <w:ind w:firstLine="480" w:firstLineChars="200"/>
      <w:jc w:val="both"/>
    </w:pPr>
    <w:rPr>
      <w:rFonts w:asciiTheme="minorEastAsia" w:hAnsiTheme="minorEastAsia" w:eastAsiaTheme="minorEastAsia" w:cstheme="minorBidi"/>
      <w:sz w:val="24"/>
      <w:szCs w:val="24"/>
      <w:lang w:val="en-US" w:eastAsia="zh-CN" w:bidi="ar-SA"/>
    </w:rPr>
  </w:style>
  <w:style w:type="paragraph" w:customStyle="1" w:styleId="40">
    <w:name w:val="标准文件_二级条标题"/>
    <w:next w:val="39"/>
    <w:autoRedefine/>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41">
    <w:name w:val="标准文件_段 Char"/>
    <w:link w:val="39"/>
    <w:autoRedefine/>
    <w:qFormat/>
    <w:uiPriority w:val="0"/>
    <w:rPr>
      <w:rFonts w:asciiTheme="minorEastAsia" w:hAnsiTheme="minorEastAsia" w:eastAsiaTheme="minorEastAsia" w:cstheme="minorBidi"/>
      <w:sz w:val="24"/>
      <w:szCs w:val="24"/>
    </w:rPr>
  </w:style>
  <w:style w:type="paragraph" w:customStyle="1" w:styleId="42">
    <w:name w:val="标准文件_数字编号列项（二级）"/>
    <w:autoRedefine/>
    <w:uiPriority w:val="0"/>
    <w:pPr>
      <w:numPr>
        <w:ilvl w:val="1"/>
        <w:numId w:val="2"/>
      </w:numPr>
      <w:jc w:val="both"/>
    </w:pPr>
    <w:rPr>
      <w:rFonts w:ascii="宋体" w:hAnsi="Times New Roman" w:eastAsia="宋体" w:cs="Times New Roman"/>
      <w:sz w:val="21"/>
      <w:lang w:val="en-US" w:eastAsia="zh-CN" w:bidi="ar-SA"/>
    </w:rPr>
  </w:style>
  <w:style w:type="paragraph" w:customStyle="1" w:styleId="43">
    <w:name w:val="标准文件_编号列项（三级）"/>
    <w:autoRedefine/>
    <w:uiPriority w:val="0"/>
    <w:pPr>
      <w:numPr>
        <w:ilvl w:val="2"/>
        <w:numId w:val="2"/>
      </w:numPr>
    </w:pPr>
    <w:rPr>
      <w:rFonts w:ascii="宋体" w:hAnsi="Times New Roman" w:eastAsia="宋体" w:cs="Times New Roman"/>
      <w:sz w:val="21"/>
      <w:lang w:val="en-US" w:eastAsia="zh-CN" w:bidi="ar-SA"/>
    </w:rPr>
  </w:style>
  <w:style w:type="paragraph" w:customStyle="1" w:styleId="44">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5">
    <w:name w:val="text-value"/>
    <w:basedOn w:val="22"/>
    <w:autoRedefine/>
    <w:qFormat/>
    <w:uiPriority w:val="0"/>
  </w:style>
  <w:style w:type="paragraph" w:customStyle="1" w:styleId="46">
    <w:name w:val="标准文件_参考文献标题"/>
    <w:basedOn w:val="1"/>
    <w:next w:val="1"/>
    <w:autoRedefine/>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47">
    <w:name w:val="标准文件_方框数字列项"/>
    <w:basedOn w:val="39"/>
    <w:autoRedefine/>
    <w:qFormat/>
    <w:uiPriority w:val="0"/>
    <w:pPr>
      <w:numPr>
        <w:ilvl w:val="0"/>
        <w:numId w:val="3"/>
      </w:numPr>
      <w:ind w:firstLine="0" w:firstLineChars="0"/>
    </w:pPr>
  </w:style>
  <w:style w:type="paragraph" w:customStyle="1" w:styleId="4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9">
    <w:name w:val="标准文件_一级条标题"/>
    <w:basedOn w:val="50"/>
    <w:next w:val="39"/>
    <w:autoRedefine/>
    <w:qFormat/>
    <w:uiPriority w:val="0"/>
    <w:pPr>
      <w:numPr>
        <w:ilvl w:val="2"/>
      </w:numPr>
      <w:spacing w:before="50" w:beforeLines="50" w:after="50" w:afterLines="50"/>
      <w:outlineLvl w:val="1"/>
    </w:pPr>
  </w:style>
  <w:style w:type="paragraph" w:customStyle="1" w:styleId="50">
    <w:name w:val="标准文件_章标题"/>
    <w:next w:val="3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44EFA-235B-4B77-9907-885956FDA7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2686</Words>
  <Characters>2830</Characters>
  <Lines>24</Lines>
  <Paragraphs>6</Paragraphs>
  <TotalTime>1</TotalTime>
  <ScaleCrop>false</ScaleCrop>
  <LinksUpToDate>false</LinksUpToDate>
  <CharactersWithSpaces>2877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2024-06-07T06:39:00Z</dcterms:created>
  <dc:creator>Administrator</dc:creator>
  <cp:lastModifiedBy>Lenovo</cp:lastModifiedBy>
  <cp:lastPrinted>2022-12-16T05:17:00Z</cp:lastPrinted>
  <dcterms:modified xsi:type="dcterms:W3CDTF">2024-06-21T00:41:21Z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3A48ED11839E4BFBBB7B5399F545E5B2</vt:lpwstr>
  </property>
</Properties>
</file>