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framePr w:wrap="around" w:hAnchor="page" w:x="1441"/>
        <w:rPr>
          <w:rFonts w:hint="default" w:ascii="Times New Roman" w:hAnsi="Times New Roman" w:cs="Times New Roman"/>
        </w:rPr>
      </w:pPr>
      <w:bookmarkStart w:id="0" w:name="FY"/>
      <w:r>
        <w:rPr>
          <w:rFonts w:hint="default" w:ascii="Times New Roman" w:hAnsi="Times New Roman" w:cs="Times New Roman"/>
        </w:rPr>
        <w:pict>
          <v:line id="_x0000_s1044" o:spid="_x0000_s1044" o:spt="20" style="position:absolute;left:0pt;margin-top:728.5pt;height:0pt;width:481.9pt;mso-position-horizontal:left;mso-position-vertical-relative:page;z-index:251659264;mso-width-relative:page;mso-height-relative:page;" coordsize="21600,21600" o:allowoverlap="f">
            <v:path arrowok="t"/>
            <v:fill focussize="0,0"/>
            <v:stroke/>
            <v:imagedata o:title=""/>
            <o:lock v:ext="edit"/>
            <w10:anchorlock/>
          </v:line>
        </w:pict>
      </w:r>
      <w:r>
        <w:rPr>
          <w:rFonts w:hint="default" w:ascii="Times New Roman" w:hAnsi="Times New Roman" w:cs="Times New Roman"/>
        </w:rPr>
        <w:fldChar w:fldCharType="begin">
          <w:ffData>
            <w:name w:val="FY"/>
            <w:enabled/>
            <w:calcOnExit w:val="0"/>
            <w:textInput>
              <w:default w:val="XXXX"/>
              <w:maxLength w:val="4"/>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0"/>
      <w:r>
        <w:rPr>
          <w:rFonts w:hint="default" w:ascii="Times New Roman" w:hAnsi="Times New Roman" w:cs="Times New Roman"/>
        </w:rPr>
        <w:t>-</w:t>
      </w:r>
      <w:r>
        <w:rPr>
          <w:rFonts w:hint="default" w:ascii="Times New Roman" w:hAnsi="Times New Roman" w:cs="Times New Roman"/>
        </w:rPr>
        <w:fldChar w:fldCharType="begin">
          <w:ffData>
            <w:name w:val="FM"/>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r>
        <w:rPr>
          <w:rFonts w:hint="default" w:ascii="Times New Roman" w:hAnsi="Times New Roman" w:cs="Times New Roman"/>
        </w:rPr>
        <w:t>-</w:t>
      </w:r>
      <w:bookmarkStart w:id="1" w:name="FD"/>
      <w:r>
        <w:rPr>
          <w:rFonts w:hint="default" w:ascii="Times New Roman" w:hAnsi="Times New Roman" w:cs="Times New Roman"/>
        </w:rPr>
        <w:fldChar w:fldCharType="begin">
          <w:ffData>
            <w:name w:val="FD"/>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
      <w:r>
        <w:rPr>
          <w:rFonts w:hint="default" w:ascii="Times New Roman" w:hAnsi="Times New Roman" w:cs="Times New Roman"/>
        </w:rPr>
        <w:t>发布</w:t>
      </w:r>
    </w:p>
    <w:p>
      <w:pPr>
        <w:pStyle w:val="134"/>
        <w:framePr w:wrap="around" w:hAnchor="page" w:x="7021" w:y="14086"/>
        <w:rPr>
          <w:rFonts w:hint="default" w:ascii="Times New Roman" w:hAnsi="Times New Roman" w:cs="Times New Roman"/>
        </w:rPr>
      </w:pPr>
      <w:bookmarkStart w:id="2" w:name="SY"/>
      <w:r>
        <w:rPr>
          <w:rFonts w:hint="default" w:ascii="Times New Roman" w:hAnsi="Times New Roman" w:cs="Times New Roman"/>
        </w:rPr>
        <w:fldChar w:fldCharType="begin">
          <w:ffData>
            <w:name w:val="SY"/>
            <w:enabled/>
            <w:calcOnExit w:val="0"/>
            <w:textInput>
              <w:default w:val="XXXX"/>
              <w:maxLength w:val="4"/>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2"/>
      <w:r>
        <w:rPr>
          <w:rFonts w:hint="default" w:ascii="Times New Roman" w:hAnsi="Times New Roman" w:cs="Times New Roman"/>
        </w:rPr>
        <w:t>-</w:t>
      </w:r>
      <w:bookmarkStart w:id="3" w:name="SM"/>
      <w:r>
        <w:rPr>
          <w:rFonts w:hint="default" w:ascii="Times New Roman" w:hAnsi="Times New Roman" w:cs="Times New Roman"/>
        </w:rPr>
        <w:fldChar w:fldCharType="begin">
          <w:ffData>
            <w:name w:val="SM"/>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3"/>
      <w:r>
        <w:rPr>
          <w:rFonts w:hint="default" w:ascii="Times New Roman" w:hAnsi="Times New Roman" w:cs="Times New Roman"/>
        </w:rPr>
        <w:t>-</w:t>
      </w:r>
      <w:bookmarkStart w:id="4" w:name="SD"/>
      <w:r>
        <w:rPr>
          <w:rFonts w:hint="default" w:ascii="Times New Roman" w:hAnsi="Times New Roman" w:cs="Times New Roman"/>
        </w:rPr>
        <w:fldChar w:fldCharType="begin">
          <w:ffData>
            <w:name w:val="SD"/>
            <w:enabled/>
            <w:calcOnExit w:val="0"/>
            <w:textInput>
              <w:default w:val="XX"/>
              <w:maxLength w:val="2"/>
            </w:textInput>
          </w:ffData>
        </w:fldChar>
      </w:r>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4"/>
      <w:r>
        <w:rPr>
          <w:rFonts w:hint="default" w:ascii="Times New Roman" w:hAnsi="Times New Roman" w:cs="Times New Roman"/>
        </w:rPr>
        <w:t>实施</w:t>
      </w:r>
    </w:p>
    <w:p>
      <w:pPr>
        <w:pStyle w:val="86"/>
        <w:framePr w:w="9639" w:h="1753" w:hRule="exact" w:hSpace="181" w:vSpace="181" w:wrap="around" w:vAnchor="page" w:hAnchor="page" w:x="1356" w:y="1477" w:anchorLock="1"/>
        <w:tabs>
          <w:tab w:val="left" w:pos="0"/>
        </w:tabs>
        <w:jc w:val="center"/>
        <w:rPr>
          <w:rFonts w:hint="default" w:ascii="Times New Roman" w:hAnsi="Times New Roman" w:eastAsia="隶书" w:cs="Times New Roman"/>
          <w:sz w:val="120"/>
          <w:szCs w:val="120"/>
        </w:rPr>
      </w:pPr>
      <w:r>
        <w:rPr>
          <w:rFonts w:hint="default" w:ascii="Times New Roman" w:hAnsi="Times New Roman" w:eastAsia="隶书" w:cs="Times New Roman"/>
          <w:sz w:val="120"/>
          <w:szCs w:val="120"/>
        </w:rPr>
        <w:t>团</w:t>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体</w:t>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标</w:t>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ab/>
      </w:r>
      <w:r>
        <w:rPr>
          <w:rFonts w:hint="default" w:ascii="Times New Roman" w:hAnsi="Times New Roman" w:eastAsia="隶书" w:cs="Times New Roman"/>
          <w:sz w:val="120"/>
          <w:szCs w:val="120"/>
        </w:rPr>
        <w:t>准</w:t>
      </w:r>
    </w:p>
    <w:p>
      <w:pPr>
        <w:pStyle w:val="70"/>
        <w:framePr w:h="1753" w:hRule="exact" w:wrap="around" w:x="1356" w:y="1477"/>
        <w:rPr>
          <w:rFonts w:hint="default" w:ascii="Times New Roman" w:hAnsi="Times New Roman" w:cs="Times New Roman"/>
        </w:rPr>
      </w:pPr>
    </w:p>
    <w:p>
      <w:pPr>
        <w:pStyle w:val="50"/>
        <w:framePr w:wrap="around"/>
        <w:rPr>
          <w:rFonts w:hint="default" w:ascii="Times New Roman" w:hAnsi="Times New Roman" w:cs="Times New Roman"/>
        </w:rPr>
      </w:pPr>
      <w:r>
        <w:rPr>
          <w:rFonts w:hint="default" w:ascii="Times New Roman" w:hAnsi="Times New Roman" w:cs="Times New Roman"/>
        </w:rPr>
        <w:t xml:space="preserve">T/CPI </w:t>
      </w:r>
      <w:r>
        <w:rPr>
          <w:rFonts w:hint="default" w:ascii="Times New Roman" w:hAnsi="Times New Roman" w:cs="Times New Roman"/>
        </w:rPr>
        <w:fldChar w:fldCharType="begin">
          <w:ffData>
            <w:name w:val="StdNo1"/>
            <w:enabled/>
            <w:calcOnExit w:val="0"/>
            <w:textInput>
              <w:default w:val="XXXX"/>
            </w:textInput>
          </w:ffData>
        </w:fldChar>
      </w:r>
      <w:bookmarkStart w:id="5" w:name="StdNo1"/>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5"/>
      <w:r>
        <w:rPr>
          <w:rFonts w:hint="default" w:ascii="Times New Roman" w:hAnsi="Times New Roman" w:cs="Times New Roman"/>
        </w:rPr>
        <w:t>—</w:t>
      </w:r>
      <w:r>
        <w:rPr>
          <w:rFonts w:hint="default" w:ascii="Times New Roman" w:hAnsi="Times New Roman" w:cs="Times New Roman"/>
        </w:rPr>
        <w:fldChar w:fldCharType="begin">
          <w:ffData>
            <w:name w:val="StdNo2"/>
            <w:enabled/>
            <w:calcOnExit w:val="0"/>
            <w:textInput>
              <w:default w:val="XXXX"/>
              <w:maxLength w:val="4"/>
            </w:textInput>
          </w:ffData>
        </w:fldChar>
      </w:r>
      <w:bookmarkStart w:id="6" w:name="StdNo2"/>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6"/>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79"/>
              <w:framePr w:wrap="around"/>
              <w:rPr>
                <w:rFonts w:hint="default" w:ascii="Times New Roman" w:hAnsi="Times New Roman" w:cs="Times New Roman"/>
              </w:rPr>
            </w:pPr>
            <w:r>
              <w:rPr>
                <w:rFonts w:hint="default" w:ascii="Times New Roman" w:hAnsi="Times New Roman" w:cs="Times New Roman"/>
              </w:rPr>
              <w:pict>
                <v:rect id="DT" o:spid="_x0000_s1071" o:spt="1" style="position:absolute;left:0pt;margin-left:372.8pt;margin-top:2.7pt;height:18pt;width:90pt;z-index:-251656192;mso-width-relative:page;mso-height-relative:page;" stroked="f" coordsize="21600,21600">
                  <v:path/>
                  <v:fill focussize="0,0"/>
                  <v:stroke on="f"/>
                  <v:imagedata o:title=""/>
                  <o:lock v:ext="edit"/>
                </v:rect>
              </w:pict>
            </w:r>
            <w:r>
              <w:rPr>
                <w:rFonts w:hint="default" w:ascii="Times New Roman" w:hAnsi="Times New Roman" w:cs="Times New Roman"/>
              </w:rPr>
              <w:fldChar w:fldCharType="begin">
                <w:ffData>
                  <w:name w:val="DT"/>
                  <w:enabled/>
                  <w:calcOnExit w:val="0"/>
                  <w:textInput/>
                </w:ffData>
              </w:fldChar>
            </w:r>
            <w:bookmarkStart w:id="7" w:name="DT"/>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     </w:t>
            </w:r>
            <w:r>
              <w:rPr>
                <w:rFonts w:hint="default" w:ascii="Times New Roman" w:hAnsi="Times New Roman" w:cs="Times New Roman"/>
              </w:rPr>
              <w:fldChar w:fldCharType="end"/>
            </w:r>
            <w:bookmarkEnd w:id="7"/>
          </w:p>
        </w:tc>
      </w:tr>
    </w:tbl>
    <w:p>
      <w:pPr>
        <w:pStyle w:val="50"/>
        <w:framePr w:wrap="around"/>
        <w:rPr>
          <w:rFonts w:hint="default" w:ascii="Times New Roman" w:hAnsi="Times New Roman" w:cs="Times New Roman"/>
        </w:rPr>
      </w:pPr>
    </w:p>
    <w:p>
      <w:pPr>
        <w:pStyle w:val="50"/>
        <w:framePr w:wrap="around"/>
        <w:rPr>
          <w:rFonts w:hint="default" w:ascii="Times New Roman" w:hAnsi="Times New Roman" w:cs="Times New Roman"/>
        </w:rPr>
      </w:pPr>
    </w:p>
    <w:p>
      <w:pPr>
        <w:pStyle w:val="81"/>
        <w:framePr w:wrap="around"/>
        <w:rPr>
          <w:rFonts w:hint="default" w:ascii="Times New Roman" w:hAnsi="Times New Roman" w:cs="Times New Roman"/>
        </w:rPr>
      </w:pPr>
      <w:bookmarkStart w:id="8" w:name="StdName"/>
      <w:r>
        <w:rPr>
          <w:rFonts w:hint="default" w:ascii="Times New Roman" w:hAnsi="Times New Roman" w:eastAsia="黑体" w:cs="Times New Roman"/>
          <w:sz w:val="52"/>
          <w:lang w:val="en-US" w:eastAsia="zh-CN" w:bidi="ar-SA"/>
        </w:rPr>
        <w:fldChar w:fldCharType="begin">
          <w:ffData>
            <w:name w:val="StdName"/>
            <w:enabled/>
            <w:calcOnExit w:val="0"/>
            <w:textInput>
              <w:default w:val="石油天然气钻采设备 在役高压管汇使用、维护与检验规范"/>
            </w:textInput>
          </w:ffData>
        </w:fldChar>
      </w:r>
      <w:r>
        <w:rPr>
          <w:rFonts w:hint="default" w:ascii="Times New Roman" w:hAnsi="Times New Roman" w:eastAsia="黑体" w:cs="Times New Roman"/>
          <w:sz w:val="52"/>
          <w:lang w:val="en-US" w:eastAsia="zh-CN" w:bidi="ar-SA"/>
        </w:rPr>
        <w:instrText xml:space="preserve">FORMTEXT</w:instrText>
      </w:r>
      <w:r>
        <w:rPr>
          <w:rFonts w:hint="default" w:ascii="Times New Roman" w:hAnsi="Times New Roman" w:eastAsia="黑体" w:cs="Times New Roman"/>
          <w:sz w:val="52"/>
          <w:lang w:val="en-US" w:eastAsia="zh-CN" w:bidi="ar-SA"/>
        </w:rPr>
        <w:fldChar w:fldCharType="separate"/>
      </w:r>
      <w:r>
        <w:rPr>
          <w:rFonts w:hint="default" w:ascii="Times New Roman" w:hAnsi="Times New Roman" w:eastAsia="黑体" w:cs="Times New Roman"/>
          <w:sz w:val="52"/>
          <w:lang w:val="en-US" w:eastAsia="zh-CN" w:bidi="ar-SA"/>
        </w:rPr>
        <w:t>石油天然气钻采设备 在役高压管汇使用、维护与检验规范</w:t>
      </w:r>
      <w:r>
        <w:rPr>
          <w:rFonts w:hint="default" w:ascii="Times New Roman" w:hAnsi="Times New Roman" w:eastAsia="黑体" w:cs="Times New Roman"/>
          <w:sz w:val="52"/>
          <w:lang w:val="en-US" w:eastAsia="zh-CN" w:bidi="ar-SA"/>
        </w:rPr>
        <w:fldChar w:fldCharType="end"/>
      </w:r>
      <w:bookmarkEnd w:id="8"/>
    </w:p>
    <w:p>
      <w:pPr>
        <w:pStyle w:val="82"/>
        <w:framePr w:wrap="around"/>
        <w:rPr>
          <w:rFonts w:hint="default" w:ascii="Times New Roman" w:hAnsi="Times New Roman" w:cs="Times New Roman"/>
        </w:rPr>
      </w:pPr>
      <w:r>
        <w:rPr>
          <w:rFonts w:hint="default" w:ascii="Times New Roman" w:hAnsi="Times New Roman" w:cs="Times New Roman"/>
        </w:rPr>
        <w:fldChar w:fldCharType="begin">
          <w:ffData>
            <w:name w:val="StdEnglishName"/>
            <w:enabled/>
            <w:calcOnExit w:val="0"/>
            <w:textInput>
              <w:default w:val="Petroleum drilling and production equipment-"/>
            </w:textInput>
          </w:ffData>
        </w:fldChar>
      </w:r>
      <w:bookmarkStart w:id="9" w:name="StdEnglishName"/>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 xml:space="preserve">Petroleum </w:t>
      </w:r>
      <w:r>
        <w:rPr>
          <w:rFonts w:hint="eastAsia" w:cs="Times New Roman"/>
          <w:lang w:val="en-US" w:eastAsia="zh-CN"/>
        </w:rPr>
        <w:t xml:space="preserve">natural gas </w:t>
      </w:r>
      <w:r>
        <w:rPr>
          <w:rFonts w:hint="default" w:ascii="Times New Roman" w:hAnsi="Times New Roman" w:cs="Times New Roman"/>
        </w:rPr>
        <w:t>drilling and production equipment-</w:t>
      </w:r>
      <w:r>
        <w:rPr>
          <w:rFonts w:hint="default" w:ascii="Times New Roman" w:hAnsi="Times New Roman" w:cs="Times New Roman"/>
        </w:rPr>
        <w:fldChar w:fldCharType="end"/>
      </w:r>
      <w:bookmarkEnd w:id="9"/>
    </w:p>
    <w:p>
      <w:pPr>
        <w:pStyle w:val="82"/>
        <w:framePr w:wrap="around"/>
        <w:rPr>
          <w:rFonts w:hint="default" w:ascii="Times New Roman" w:hAnsi="Times New Roman" w:eastAsia="黑体" w:cs="Times New Roman"/>
          <w:lang w:val="en-US" w:eastAsia="zh-CN"/>
        </w:rPr>
      </w:pPr>
      <w:r>
        <w:rPr>
          <w:rFonts w:hint="eastAsia" w:cs="Times New Roman"/>
          <w:highlight w:val="lightGray"/>
          <w:lang w:val="en-US" w:eastAsia="zh-CN"/>
        </w:rPr>
        <w:t>Specification for use，maintenance and inspection of in-service high-pressure manifold</w:t>
      </w:r>
    </w:p>
    <w:p>
      <w:pPr>
        <w:pStyle w:val="83"/>
        <w:framePr w:wrap="around"/>
        <w:rPr>
          <w:rFonts w:hint="default" w:ascii="Times New Roman" w:hAnsi="Times New Roman" w:cs="Times New Roman"/>
        </w:rPr>
      </w:pPr>
      <w:r>
        <w:rPr>
          <w:rFonts w:hint="default" w:ascii="Times New Roman" w:hAnsi="Times New Roman" w:cs="Times New Roman"/>
        </w:rPr>
        <w:fldChar w:fldCharType="begin">
          <w:ffData>
            <w:name w:val="YZBS"/>
            <w:enabled/>
            <w:calcOnExit w:val="0"/>
            <w:textInput>
              <w:default w:val="点击此处添加与国际标准一致性程度的标识"/>
            </w:textInput>
          </w:ffData>
        </w:fldChar>
      </w:r>
      <w:bookmarkStart w:id="10" w:name="YZBS"/>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     </w:t>
      </w:r>
      <w:r>
        <w:rPr>
          <w:rFonts w:hint="default" w:ascii="Times New Roman" w:hAnsi="Times New Roman" w:cs="Times New Roman"/>
        </w:rPr>
        <w:fldChar w:fldCharType="end"/>
      </w:r>
      <w:bookmarkEnd w:id="10"/>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82"/>
              <w:framePr w:wrap="around"/>
              <w:rPr>
                <w:rFonts w:hint="default" w:ascii="Times New Roman" w:hAnsi="Times New Roman" w:cs="Times New Roman"/>
              </w:rPr>
            </w:pPr>
            <w:r>
              <w:rPr>
                <w:rFonts w:hint="default" w:ascii="Times New Roman" w:hAnsi="Times New Roman" w:cs="Times New Roman"/>
                <w:highlight w:val="lightGray"/>
              </w:rPr>
              <w:pict>
                <v:rect id="RQ" o:spid="_x0000_s1073" o:spt="1" style="position:absolute;left:0pt;margin-left:173.3pt;margin-top:45.15pt;height:20pt;width:150pt;z-index:-251654144;mso-width-relative:page;mso-height-relative:page;" stroked="f" coordsize="21600,21600">
                  <v:path/>
                  <v:fill focussize="0,0"/>
                  <v:stroke on="f"/>
                  <v:imagedata o:title=""/>
                  <o:lock v:ext="edit"/>
                  <w10:anchorlock/>
                </v:rect>
              </w:pict>
            </w:r>
            <w:r>
              <w:rPr>
                <w:rFonts w:hint="default" w:ascii="Times New Roman" w:hAnsi="Times New Roman" w:cs="Times New Roman"/>
                <w:highlight w:val="lightGray"/>
              </w:rPr>
              <w:pict>
                <v:rect id="LB" o:spid="_x0000_s1072" o:spt="1" style="position:absolute;left:0pt;margin-left:193.3pt;margin-top:20.15pt;height:24pt;width:100pt;z-index:-251655168;mso-width-relative:page;mso-height-relative:page;" stroked="f" coordsize="21600,21600">
                  <v:path/>
                  <v:fill focussize="0,0"/>
                  <v:stroke on="f"/>
                  <v:imagedata o:title=""/>
                  <o:lock v:ext="edit"/>
                </v:rect>
              </w:pict>
            </w:r>
            <w:r>
              <w:rPr>
                <w:rFonts w:hint="default" w:ascii="Times New Roman" w:hAnsi="Times New Roman" w:cs="Times New Roman"/>
                <w:highlight w:val="lightGray"/>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5"/>
              <w:framePr w:wrap="around"/>
              <w:rPr>
                <w:rFonts w:hint="default" w:ascii="Times New Roman" w:hAnsi="Times New Roman" w:cs="Times New Roman"/>
              </w:rPr>
            </w:pPr>
          </w:p>
        </w:tc>
      </w:tr>
    </w:tbl>
    <w:p>
      <w:pPr>
        <w:pStyle w:val="86"/>
        <w:framePr w:w="7938" w:h="661" w:hRule="exact" w:hSpace="125" w:vSpace="181" w:wrap="around" w:vAnchor="page" w:hAnchor="page" w:x="2120" w:y="14785" w:anchorLock="1"/>
        <w:tabs>
          <w:tab w:val="left" w:pos="5775"/>
        </w:tabs>
        <w:jc w:val="center"/>
        <w:rPr>
          <w:rFonts w:hint="default" w:ascii="Times New Roman" w:hAnsi="Times New Roman" w:eastAsia="隶书" w:cs="Times New Roman"/>
          <w:sz w:val="48"/>
          <w:szCs w:val="48"/>
        </w:rPr>
      </w:pPr>
      <w:r>
        <w:rPr>
          <w:rFonts w:hint="default" w:ascii="Times New Roman" w:hAnsi="Times New Roman" w:eastAsia="隶书" w:cs="Times New Roman"/>
          <w:sz w:val="48"/>
          <w:szCs w:val="48"/>
        </w:rPr>
        <w:t>中国石油和石油化工设备工业协会</w:t>
      </w:r>
    </w:p>
    <w:p>
      <w:pPr>
        <w:pStyle w:val="86"/>
        <w:framePr w:hSpace="180" w:vSpace="180" w:wrap="around" w:vAnchor="margin" w:hAnchor="margin" w:y="1" w:anchorLock="1"/>
        <w:tabs>
          <w:tab w:val="left" w:pos="5775"/>
        </w:tabs>
        <w:rPr>
          <w:rFonts w:hint="default" w:ascii="Times New Roman" w:hAnsi="Times New Roman" w:cs="Times New Roman"/>
          <w:b/>
          <w:sz w:val="21"/>
          <w:szCs w:val="21"/>
        </w:rPr>
      </w:pPr>
      <w:r>
        <w:rPr>
          <w:rFonts w:hint="default" w:ascii="Times New Roman" w:hAnsi="Times New Roman" w:cs="Times New Roman"/>
          <w:b/>
          <w:sz w:val="21"/>
          <w:szCs w:val="21"/>
        </w:rPr>
        <w:t xml:space="preserve">ICS </w:t>
      </w:r>
      <w:r>
        <w:rPr>
          <w:rFonts w:hint="default" w:ascii="Times New Roman" w:hAnsi="Times New Roman" w:eastAsia="黑体" w:cs="Times New Roman"/>
          <w:sz w:val="21"/>
          <w:szCs w:val="21"/>
        </w:rPr>
        <w:t>75.180.10</w:t>
      </w:r>
    </w:p>
    <w:p>
      <w:pPr>
        <w:pStyle w:val="86"/>
        <w:framePr w:hSpace="180" w:vSpace="180" w:wrap="around" w:vAnchor="margin" w:hAnchor="margin" w:y="1" w:anchorLock="1"/>
        <w:tabs>
          <w:tab w:val="left" w:pos="5775"/>
        </w:tabs>
        <w:rPr>
          <w:rFonts w:hint="default" w:ascii="Times New Roman" w:hAnsi="Times New Roman" w:cs="Times New Roman"/>
          <w:b/>
          <w:sz w:val="21"/>
          <w:szCs w:val="21"/>
        </w:rPr>
      </w:pPr>
      <w:r>
        <w:rPr>
          <w:rFonts w:hint="default" w:ascii="Times New Roman" w:hAnsi="Times New Roman" w:eastAsia="黑体" w:cs="Times New Roman"/>
          <w:b/>
          <w:sz w:val="21"/>
          <w:szCs w:val="21"/>
        </w:rPr>
        <w:t>E</w:t>
      </w:r>
      <w:r>
        <w:rPr>
          <w:rFonts w:hint="default" w:ascii="Times New Roman" w:hAnsi="Times New Roman" w:eastAsia="黑体" w:cs="Times New Roman"/>
          <w:sz w:val="21"/>
          <w:szCs w:val="21"/>
        </w:rPr>
        <w:t>92</w:t>
      </w:r>
    </w:p>
    <w:p>
      <w:pPr>
        <w:pStyle w:val="27"/>
        <w:rPr>
          <w:rFonts w:hint="default" w:ascii="Times New Roman" w:hAnsi="Times New Roman" w:cs="Times New Roman"/>
        </w:rPr>
        <w:sectPr>
          <w:headerReference r:id="rId3" w:type="even"/>
          <w:footerReference r:id="rId4" w:type="even"/>
          <w:pgSz w:w="11906" w:h="16838"/>
          <w:pgMar w:top="567" w:right="850" w:bottom="1134" w:left="1418" w:header="0" w:footer="0" w:gutter="0"/>
          <w:pgNumType w:start="1"/>
          <w:cols w:space="425" w:num="1"/>
          <w:docGrid w:type="lines" w:linePitch="312" w:charSpace="0"/>
        </w:sectPr>
      </w:pPr>
      <w:r>
        <w:rPr>
          <w:rFonts w:hint="default" w:ascii="Times New Roman" w:hAnsi="Times New Roman" w:cs="Times New Roman"/>
        </w:rPr>
        <w:pict>
          <v:line id="直线 11" o:spid="_x0000_s1074" o:spt="20" style="position:absolute;left:0pt;margin-left:19.05pt;margin-top:227.9pt;height:0pt;width:481.9pt;z-index:251663360;mso-width-relative:page;mso-height-relative:page;" coordsize="21600,21600">
            <v:path arrowok="t"/>
            <v:fill focussize="0,0"/>
            <v:stroke/>
            <v:imagedata o:title=""/>
            <o:lock v:ext="edit"/>
          </v:line>
        </w:pict>
      </w:r>
    </w:p>
    <w:p>
      <w:pPr>
        <w:pStyle w:val="158"/>
        <w:spacing w:before="640" w:after="560" w:line="460" w:lineRule="exact"/>
        <w:jc w:val="center"/>
        <w:rPr>
          <w:rFonts w:hint="default" w:ascii="Times New Roman" w:hAnsi="Times New Roman" w:eastAsia="黑体" w:cs="Times New Roman"/>
          <w:b w:val="0"/>
          <w:color w:val="auto"/>
          <w:sz w:val="32"/>
          <w:szCs w:val="32"/>
        </w:rPr>
      </w:pPr>
      <w:bookmarkStart w:id="11" w:name="_Toc519675592"/>
      <w:bookmarkStart w:id="12" w:name="_Toc529373713"/>
      <w:bookmarkStart w:id="13" w:name="_Toc529374927"/>
      <w:bookmarkStart w:id="14" w:name="_Toc532846626"/>
      <w:bookmarkStart w:id="15" w:name="_Toc532741185"/>
      <w:bookmarkStart w:id="16" w:name="_Toc532846702"/>
      <w:bookmarkStart w:id="17" w:name="_Toc529433209"/>
      <w:bookmarkStart w:id="18" w:name="_Toc529717123"/>
      <w:bookmarkStart w:id="19" w:name="_Toc518484672"/>
      <w:bookmarkStart w:id="20" w:name="_Toc529373768"/>
      <w:bookmarkStart w:id="21" w:name="_Toc529373838"/>
      <w:bookmarkStart w:id="22" w:name="_Toc532738398"/>
      <w:bookmarkStart w:id="23" w:name="_Toc511494781"/>
      <w:r>
        <w:rPr>
          <w:rFonts w:hint="default" w:ascii="Times New Roman" w:hAnsi="Times New Roman" w:eastAsia="黑体" w:cs="Times New Roman"/>
          <w:b w:val="0"/>
          <w:color w:val="auto"/>
          <w:sz w:val="32"/>
          <w:szCs w:val="32"/>
          <w:lang w:val="zh-CN"/>
        </w:rPr>
        <w:t>目    次</w:t>
      </w:r>
    </w:p>
    <w:p>
      <w:pPr>
        <w:pStyle w:val="23"/>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_Toc4701 </w:instrText>
      </w:r>
      <w:r>
        <w:rPr>
          <w:rFonts w:hint="default" w:ascii="Times New Roman" w:hAnsi="Times New Roman" w:cs="Times New Roman"/>
        </w:rPr>
        <w:fldChar w:fldCharType="separate"/>
      </w:r>
      <w:r>
        <w:rPr>
          <w:rFonts w:hint="default" w:ascii="Times New Roman" w:hAnsi="Times New Roman" w:cs="Times New Roman"/>
        </w:rPr>
        <w:t>前</w:t>
      </w:r>
      <w:r>
        <w:rPr>
          <w:rFonts w:hint="default" w:ascii="Times New Roman" w:hAnsi="Times New Roman" w:eastAsia="MS Mincho" w:cs="Times New Roman"/>
        </w:rPr>
        <w:t>  </w:t>
      </w:r>
      <w:r>
        <w:rPr>
          <w:rFonts w:hint="default" w:ascii="Times New Roman" w:hAnsi="Times New Roman" w:cs="Times New Roman"/>
        </w:rPr>
        <w:t>言</w:t>
      </w:r>
      <w:r>
        <w:tab/>
      </w:r>
      <w:r>
        <w:fldChar w:fldCharType="begin"/>
      </w:r>
      <w:r>
        <w:instrText xml:space="preserve"> PAGEREF _Toc4701 \h </w:instrText>
      </w:r>
      <w:r>
        <w:fldChar w:fldCharType="separate"/>
      </w:r>
      <w:r>
        <w:t>III</w:t>
      </w:r>
      <w:r>
        <w:fldChar w:fldCharType="end"/>
      </w:r>
      <w:r>
        <w:rPr>
          <w:rFonts w:hint="default" w:ascii="Times New Roman" w:hAnsi="Times New Roman" w:cs="Times New Roman"/>
        </w:rPr>
        <w:fldChar w:fldCharType="end"/>
      </w:r>
    </w:p>
    <w:p>
      <w:pPr>
        <w:pStyle w:val="32"/>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_Toc27137 </w:instrText>
      </w:r>
      <w:r>
        <w:rPr>
          <w:rFonts w:hint="default" w:ascii="Times New Roman" w:hAnsi="Times New Roman" w:cs="Times New Roman"/>
        </w:rPr>
        <w:fldChar w:fldCharType="separate"/>
      </w:r>
      <w:r>
        <w:rPr>
          <w:rFonts w:hint="eastAsia" w:ascii="黑体" w:hAnsi="Times New Roman" w:eastAsia="黑体" w:cs="Times New Roman"/>
          <w:i w:val="0"/>
          <w:szCs w:val="21"/>
        </w:rPr>
        <w:t xml:space="preserve">1 </w:t>
      </w:r>
      <w:r>
        <w:rPr>
          <w:rFonts w:hint="default" w:ascii="Times New Roman" w:hAnsi="Times New Roman" w:cs="Times New Roman"/>
        </w:rPr>
        <w:t>范围</w:t>
      </w:r>
      <w:r>
        <w:tab/>
      </w:r>
      <w:r>
        <w:fldChar w:fldCharType="begin"/>
      </w:r>
      <w:r>
        <w:instrText xml:space="preserve"> PAGEREF _Toc27137 \h </w:instrText>
      </w:r>
      <w:r>
        <w:fldChar w:fldCharType="separate"/>
      </w:r>
      <w:r>
        <w:t>1</w:t>
      </w:r>
      <w:r>
        <w:fldChar w:fldCharType="end"/>
      </w:r>
      <w:r>
        <w:rPr>
          <w:rFonts w:hint="default" w:ascii="Times New Roman" w:hAnsi="Times New Roman" w:cs="Times New Roman"/>
        </w:rPr>
        <w:fldChar w:fldCharType="end"/>
      </w:r>
    </w:p>
    <w:p>
      <w:pPr>
        <w:pStyle w:val="32"/>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_Toc7194 </w:instrText>
      </w:r>
      <w:r>
        <w:rPr>
          <w:rFonts w:hint="default" w:ascii="Times New Roman" w:hAnsi="Times New Roman" w:cs="Times New Roman"/>
        </w:rPr>
        <w:fldChar w:fldCharType="separate"/>
      </w:r>
      <w:r>
        <w:rPr>
          <w:rFonts w:hint="eastAsia" w:ascii="黑体" w:hAnsi="Times New Roman" w:eastAsia="黑体" w:cs="Times New Roman"/>
          <w:i w:val="0"/>
          <w:szCs w:val="21"/>
        </w:rPr>
        <w:t xml:space="preserve">2 </w:t>
      </w:r>
      <w:r>
        <w:rPr>
          <w:rFonts w:hint="default" w:ascii="Times New Roman" w:hAnsi="Times New Roman" w:cs="Times New Roman"/>
        </w:rPr>
        <w:t>规范性引用文件</w:t>
      </w:r>
      <w:r>
        <w:tab/>
      </w:r>
      <w:r>
        <w:fldChar w:fldCharType="begin"/>
      </w:r>
      <w:r>
        <w:instrText xml:space="preserve"> PAGEREF _Toc7194 \h </w:instrText>
      </w:r>
      <w:r>
        <w:fldChar w:fldCharType="separate"/>
      </w:r>
      <w:r>
        <w:t>1</w:t>
      </w:r>
      <w:r>
        <w:fldChar w:fldCharType="end"/>
      </w:r>
      <w:r>
        <w:rPr>
          <w:rFonts w:hint="default" w:ascii="Times New Roman" w:hAnsi="Times New Roman" w:cs="Times New Roman"/>
        </w:rPr>
        <w:fldChar w:fldCharType="end"/>
      </w:r>
    </w:p>
    <w:p>
      <w:pPr>
        <w:pStyle w:val="32"/>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_Toc19313 </w:instrText>
      </w:r>
      <w:r>
        <w:rPr>
          <w:rFonts w:hint="default" w:ascii="Times New Roman" w:hAnsi="Times New Roman" w:cs="Times New Roman"/>
        </w:rPr>
        <w:fldChar w:fldCharType="separate"/>
      </w:r>
      <w:r>
        <w:rPr>
          <w:rFonts w:hint="eastAsia" w:ascii="黑体" w:hAnsi="Times New Roman" w:eastAsia="黑体" w:cs="Times New Roman"/>
          <w:i w:val="0"/>
          <w:szCs w:val="21"/>
        </w:rPr>
        <w:t xml:space="preserve">3 </w:t>
      </w:r>
      <w:r>
        <w:rPr>
          <w:rFonts w:hint="default" w:ascii="Times New Roman" w:hAnsi="Times New Roman" w:cs="Times New Roman"/>
        </w:rPr>
        <w:t>术语</w:t>
      </w:r>
      <w:r>
        <w:rPr>
          <w:rFonts w:hint="eastAsia" w:ascii="Times New Roman" w:cs="Times New Roman"/>
          <w:lang w:eastAsia="zh-CN"/>
        </w:rPr>
        <w:t>、</w:t>
      </w:r>
      <w:r>
        <w:rPr>
          <w:rFonts w:hint="default" w:ascii="Times New Roman" w:hAnsi="Times New Roman" w:cs="Times New Roman"/>
        </w:rPr>
        <w:t>定义</w:t>
      </w:r>
      <w:r>
        <w:rPr>
          <w:rFonts w:hint="eastAsia" w:ascii="Times New Roman" w:cs="Times New Roman"/>
          <w:lang w:val="en-US" w:eastAsia="zh-CN"/>
        </w:rPr>
        <w:t>和缩略语</w:t>
      </w:r>
      <w:r>
        <w:tab/>
      </w:r>
      <w:r>
        <w:fldChar w:fldCharType="begin"/>
      </w:r>
      <w:r>
        <w:instrText xml:space="preserve"> PAGEREF _Toc19313 \h </w:instrText>
      </w:r>
      <w:r>
        <w:fldChar w:fldCharType="separate"/>
      </w:r>
      <w:r>
        <w:t>2</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_Toc23156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3.1 </w:t>
      </w:r>
      <w:r>
        <w:rPr>
          <w:rFonts w:hint="eastAsia" w:ascii="Times New Roman" w:cs="Times New Roman"/>
          <w:lang w:val="en-US" w:eastAsia="zh-CN"/>
        </w:rPr>
        <w:t>术语和定义</w:t>
      </w:r>
      <w:r>
        <w:tab/>
      </w:r>
      <w:r>
        <w:fldChar w:fldCharType="begin"/>
      </w:r>
      <w:r>
        <w:instrText xml:space="preserve"> PAGEREF _Toc23156 \h </w:instrText>
      </w:r>
      <w:r>
        <w:fldChar w:fldCharType="separate"/>
      </w:r>
      <w:r>
        <w:t>2</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_Toc19589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3.2 </w:t>
      </w:r>
      <w:r>
        <w:rPr>
          <w:rFonts w:hint="eastAsia"/>
          <w:lang w:val="en-US" w:eastAsia="zh-CN"/>
        </w:rPr>
        <w:t>缩略语</w:t>
      </w:r>
      <w:r>
        <w:tab/>
      </w:r>
      <w:r>
        <w:fldChar w:fldCharType="begin"/>
      </w:r>
      <w:r>
        <w:instrText xml:space="preserve"> PAGEREF _Toc19589 \h </w:instrText>
      </w:r>
      <w:r>
        <w:fldChar w:fldCharType="separate"/>
      </w:r>
      <w:r>
        <w:t>2</w:t>
      </w:r>
      <w:r>
        <w:fldChar w:fldCharType="end"/>
      </w:r>
      <w:r>
        <w:rPr>
          <w:rFonts w:hint="default" w:ascii="Times New Roman" w:hAnsi="Times New Roman" w:cs="Times New Roman"/>
        </w:rPr>
        <w:fldChar w:fldCharType="end"/>
      </w:r>
    </w:p>
    <w:p>
      <w:pPr>
        <w:pStyle w:val="32"/>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_Toc30327 </w:instrText>
      </w:r>
      <w:r>
        <w:rPr>
          <w:rFonts w:hint="default" w:ascii="Times New Roman" w:hAnsi="Times New Roman" w:cs="Times New Roman"/>
        </w:rPr>
        <w:fldChar w:fldCharType="separate"/>
      </w:r>
      <w:r>
        <w:rPr>
          <w:rFonts w:hint="eastAsia" w:ascii="黑体" w:hAnsi="Times New Roman" w:eastAsia="黑体" w:cs="Times New Roman"/>
          <w:i w:val="0"/>
          <w:szCs w:val="21"/>
        </w:rPr>
        <w:t xml:space="preserve">4 </w:t>
      </w:r>
      <w:r>
        <w:rPr>
          <w:rFonts w:hint="eastAsia" w:ascii="Times New Roman" w:cs="Times New Roman"/>
          <w:lang w:val="en-US" w:eastAsia="zh-CN"/>
        </w:rPr>
        <w:t>安装使用技术要求</w:t>
      </w:r>
      <w:r>
        <w:tab/>
      </w:r>
      <w:r>
        <w:fldChar w:fldCharType="begin"/>
      </w:r>
      <w:r>
        <w:instrText xml:space="preserve"> PAGEREF _Toc30327 \h </w:instrText>
      </w:r>
      <w:r>
        <w:fldChar w:fldCharType="separate"/>
      </w:r>
      <w:r>
        <w:t>2</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_Toc8160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4.1 </w:t>
      </w:r>
      <w:r>
        <w:rPr>
          <w:rFonts w:hint="eastAsia" w:ascii="Times New Roman" w:cs="Times New Roman"/>
          <w:lang w:val="en-US" w:eastAsia="zh-CN"/>
        </w:rPr>
        <w:t>使用前的要求</w:t>
      </w:r>
      <w:r>
        <w:tab/>
      </w:r>
      <w:r>
        <w:fldChar w:fldCharType="begin"/>
      </w:r>
      <w:r>
        <w:instrText xml:space="preserve"> PAGEREF _Toc8160 \h </w:instrText>
      </w:r>
      <w:r>
        <w:fldChar w:fldCharType="separate"/>
      </w:r>
      <w:r>
        <w:t>2</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_Toc30427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4.2 </w:t>
      </w:r>
      <w:r>
        <w:rPr>
          <w:rFonts w:hint="eastAsia" w:ascii="Times New Roman" w:cs="Times New Roman"/>
          <w:lang w:val="en-US" w:eastAsia="zh-CN"/>
        </w:rPr>
        <w:t>安装要求</w:t>
      </w:r>
      <w:r>
        <w:tab/>
      </w:r>
      <w:r>
        <w:fldChar w:fldCharType="begin"/>
      </w:r>
      <w:r>
        <w:instrText xml:space="preserve"> PAGEREF _Toc30427 \h </w:instrText>
      </w:r>
      <w:r>
        <w:fldChar w:fldCharType="separate"/>
      </w:r>
      <w:r>
        <w:t>3</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_Toc23923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4.3 </w:t>
      </w:r>
      <w:r>
        <w:rPr>
          <w:rFonts w:hint="eastAsia" w:ascii="Times New Roman" w:cs="Times New Roman"/>
          <w:lang w:val="en-US" w:eastAsia="zh-CN"/>
        </w:rPr>
        <w:t>使用时的要求</w:t>
      </w:r>
      <w:r>
        <w:tab/>
      </w:r>
      <w:r>
        <w:fldChar w:fldCharType="begin"/>
      </w:r>
      <w:r>
        <w:instrText xml:space="preserve"> PAGEREF _Toc23923 \h </w:instrText>
      </w:r>
      <w:r>
        <w:fldChar w:fldCharType="separate"/>
      </w:r>
      <w:r>
        <w:t>3</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_Toc30592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4.4 </w:t>
      </w:r>
      <w:r>
        <w:rPr>
          <w:rFonts w:hint="default" w:ascii="Times New Roman" w:cs="Times New Roman"/>
          <w:lang w:val="en-US" w:eastAsia="zh-CN"/>
        </w:rPr>
        <w:t>使用后的要求</w:t>
      </w:r>
      <w:r>
        <w:tab/>
      </w:r>
      <w:r>
        <w:fldChar w:fldCharType="begin"/>
      </w:r>
      <w:r>
        <w:instrText xml:space="preserve"> PAGEREF _Toc30592 \h </w:instrText>
      </w:r>
      <w:r>
        <w:fldChar w:fldCharType="separate"/>
      </w:r>
      <w:r>
        <w:t>4</w:t>
      </w:r>
      <w:r>
        <w:fldChar w:fldCharType="end"/>
      </w:r>
      <w:r>
        <w:rPr>
          <w:rFonts w:hint="default" w:ascii="Times New Roman" w:hAnsi="Times New Roman" w:cs="Times New Roman"/>
        </w:rPr>
        <w:fldChar w:fldCharType="end"/>
      </w:r>
    </w:p>
    <w:p>
      <w:pPr>
        <w:pStyle w:val="32"/>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_Toc20109 </w:instrText>
      </w:r>
      <w:r>
        <w:rPr>
          <w:rFonts w:hint="default" w:ascii="Times New Roman" w:hAnsi="Times New Roman" w:cs="Times New Roman"/>
        </w:rPr>
        <w:fldChar w:fldCharType="separate"/>
      </w:r>
      <w:r>
        <w:rPr>
          <w:rFonts w:hint="eastAsia" w:ascii="黑体" w:hAnsi="Times New Roman" w:eastAsia="黑体" w:cs="Times New Roman"/>
          <w:i w:val="0"/>
          <w:szCs w:val="21"/>
        </w:rPr>
        <w:t xml:space="preserve">5 </w:t>
      </w:r>
      <w:r>
        <w:rPr>
          <w:rFonts w:hint="eastAsia" w:ascii="Times New Roman" w:cs="Times New Roman"/>
          <w:lang w:val="en-US" w:eastAsia="zh-CN"/>
        </w:rPr>
        <w:t>维护保养要求</w:t>
      </w:r>
      <w:r>
        <w:tab/>
      </w:r>
      <w:r>
        <w:fldChar w:fldCharType="begin"/>
      </w:r>
      <w:r>
        <w:instrText xml:space="preserve"> PAGEREF _Toc20109 \h </w:instrText>
      </w:r>
      <w:r>
        <w:fldChar w:fldCharType="separate"/>
      </w:r>
      <w:r>
        <w:t>4</w:t>
      </w:r>
      <w:r>
        <w:fldChar w:fldCharType="end"/>
      </w:r>
      <w:r>
        <w:rPr>
          <w:rFonts w:hint="default" w:ascii="Times New Roman" w:hAnsi="Times New Roman" w:cs="Times New Roman"/>
        </w:rPr>
        <w:fldChar w:fldCharType="end"/>
      </w:r>
    </w:p>
    <w:p>
      <w:pPr>
        <w:pStyle w:val="32"/>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_Toc28088 </w:instrText>
      </w:r>
      <w:r>
        <w:rPr>
          <w:rFonts w:hint="default" w:ascii="Times New Roman" w:hAnsi="Times New Roman" w:cs="Times New Roman"/>
        </w:rPr>
        <w:fldChar w:fldCharType="separate"/>
      </w:r>
      <w:r>
        <w:rPr>
          <w:rFonts w:hint="eastAsia" w:ascii="黑体" w:hAnsi="Times New Roman" w:eastAsia="黑体" w:cs="Times New Roman"/>
          <w:i w:val="0"/>
          <w:szCs w:val="21"/>
        </w:rPr>
        <w:t xml:space="preserve">6 </w:t>
      </w:r>
      <w:r>
        <w:rPr>
          <w:rFonts w:hint="eastAsia" w:ascii="Times New Roman" w:cs="Times New Roman"/>
          <w:lang w:val="en-US" w:eastAsia="zh-CN"/>
        </w:rPr>
        <w:t>维修的要求</w:t>
      </w:r>
      <w:r>
        <w:tab/>
      </w:r>
      <w:r>
        <w:fldChar w:fldCharType="begin"/>
      </w:r>
      <w:r>
        <w:instrText xml:space="preserve"> PAGEREF _Toc28088 \h </w:instrText>
      </w:r>
      <w:r>
        <w:fldChar w:fldCharType="separate"/>
      </w:r>
      <w:r>
        <w:t>5</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_Toc10094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6.1 </w:t>
      </w:r>
      <w:r>
        <w:rPr>
          <w:rFonts w:hint="eastAsia" w:ascii="Times New Roman" w:cs="Times New Roman"/>
          <w:lang w:val="en-US" w:eastAsia="zh-CN"/>
        </w:rPr>
        <w:t>总则</w:t>
      </w:r>
      <w:r>
        <w:tab/>
      </w:r>
      <w:r>
        <w:fldChar w:fldCharType="begin"/>
      </w:r>
      <w:r>
        <w:instrText xml:space="preserve"> PAGEREF _Toc10094 \h </w:instrText>
      </w:r>
      <w:r>
        <w:fldChar w:fldCharType="separate"/>
      </w:r>
      <w:r>
        <w:t>5</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_Toc26650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6.2 </w:t>
      </w:r>
      <w:r>
        <w:rPr>
          <w:rFonts w:hint="eastAsia" w:ascii="Times New Roman" w:cs="Times New Roman"/>
          <w:lang w:val="en-US" w:eastAsia="zh-CN"/>
        </w:rPr>
        <w:t>维修级别（RL）</w:t>
      </w:r>
      <w:r>
        <w:tab/>
      </w:r>
      <w:r>
        <w:fldChar w:fldCharType="begin"/>
      </w:r>
      <w:r>
        <w:instrText xml:space="preserve"> PAGEREF _Toc26650 \h </w:instrText>
      </w:r>
      <w:r>
        <w:fldChar w:fldCharType="separate"/>
      </w:r>
      <w:r>
        <w:t>5</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_Toc605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6.3 </w:t>
      </w:r>
      <w:r>
        <w:rPr>
          <w:rFonts w:hint="eastAsia" w:ascii="Times New Roman" w:cs="Times New Roman"/>
          <w:lang w:val="en-US" w:eastAsia="zh-CN"/>
        </w:rPr>
        <w:t>人员</w:t>
      </w:r>
      <w:r>
        <w:tab/>
      </w:r>
      <w:r>
        <w:fldChar w:fldCharType="begin"/>
      </w:r>
      <w:r>
        <w:instrText xml:space="preserve"> PAGEREF _Toc605 \h </w:instrText>
      </w:r>
      <w:r>
        <w:fldChar w:fldCharType="separate"/>
      </w:r>
      <w:r>
        <w:t>5</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_Toc28079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6.4 </w:t>
      </w:r>
      <w:r>
        <w:rPr>
          <w:rFonts w:hint="eastAsia" w:ascii="Times New Roman" w:cs="Times New Roman"/>
          <w:lang w:val="en-US" w:eastAsia="zh-CN"/>
        </w:rPr>
        <w:t>管汇鉴别</w:t>
      </w:r>
      <w:r>
        <w:tab/>
      </w:r>
      <w:r>
        <w:fldChar w:fldCharType="begin"/>
      </w:r>
      <w:r>
        <w:instrText xml:space="preserve"> PAGEREF _Toc28079 \h </w:instrText>
      </w:r>
      <w:r>
        <w:fldChar w:fldCharType="separate"/>
      </w:r>
      <w:r>
        <w:t>5</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_Toc20631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6.5 </w:t>
      </w:r>
      <w:r>
        <w:rPr>
          <w:rFonts w:hint="eastAsia" w:ascii="Times New Roman" w:cs="Times New Roman"/>
          <w:lang w:val="en-US" w:eastAsia="zh-CN"/>
        </w:rPr>
        <w:t>维修的内容及方法</w:t>
      </w:r>
      <w:r>
        <w:tab/>
      </w:r>
      <w:r>
        <w:fldChar w:fldCharType="begin"/>
      </w:r>
      <w:r>
        <w:instrText xml:space="preserve"> PAGEREF _Toc20631 \h </w:instrText>
      </w:r>
      <w:r>
        <w:fldChar w:fldCharType="separate"/>
      </w:r>
      <w:r>
        <w:t>5</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_Toc32693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6.6 </w:t>
      </w:r>
      <w:r>
        <w:rPr>
          <w:rFonts w:hint="eastAsia" w:ascii="Times New Roman" w:cs="Times New Roman"/>
          <w:lang w:val="en-US" w:eastAsia="zh-CN"/>
        </w:rPr>
        <w:t>标志</w:t>
      </w:r>
      <w:r>
        <w:tab/>
      </w:r>
      <w:r>
        <w:fldChar w:fldCharType="begin"/>
      </w:r>
      <w:r>
        <w:instrText xml:space="preserve"> PAGEREF _Toc32693 \h </w:instrText>
      </w:r>
      <w:r>
        <w:fldChar w:fldCharType="separate"/>
      </w:r>
      <w:r>
        <w:t>5</w:t>
      </w:r>
      <w:r>
        <w:fldChar w:fldCharType="end"/>
      </w:r>
      <w:r>
        <w:rPr>
          <w:rFonts w:hint="default" w:ascii="Times New Roman" w:hAnsi="Times New Roman" w:cs="Times New Roman"/>
        </w:rPr>
        <w:fldChar w:fldCharType="end"/>
      </w:r>
    </w:p>
    <w:p>
      <w:pPr>
        <w:pStyle w:val="32"/>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_Toc22416 </w:instrText>
      </w:r>
      <w:r>
        <w:rPr>
          <w:rFonts w:hint="default" w:ascii="Times New Roman" w:hAnsi="Times New Roman" w:cs="Times New Roman"/>
        </w:rPr>
        <w:fldChar w:fldCharType="separate"/>
      </w:r>
      <w:r>
        <w:rPr>
          <w:rFonts w:hint="eastAsia" w:ascii="黑体" w:hAnsi="Times New Roman" w:eastAsia="黑体" w:cs="Times New Roman"/>
          <w:i w:val="0"/>
          <w:szCs w:val="21"/>
        </w:rPr>
        <w:t xml:space="preserve">7 </w:t>
      </w:r>
      <w:r>
        <w:rPr>
          <w:rFonts w:hint="eastAsia" w:ascii="Times New Roman" w:cs="Times New Roman"/>
          <w:lang w:val="en-US" w:eastAsia="zh-CN"/>
        </w:rPr>
        <w:t>检测要求</w:t>
      </w:r>
      <w:r>
        <w:tab/>
      </w:r>
      <w:r>
        <w:fldChar w:fldCharType="begin"/>
      </w:r>
      <w:r>
        <w:instrText xml:space="preserve"> PAGEREF _Toc22416 \h </w:instrText>
      </w:r>
      <w:r>
        <w:fldChar w:fldCharType="separate"/>
      </w:r>
      <w:r>
        <w:t>6</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_Toc6732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7.1 </w:t>
      </w:r>
      <w:r>
        <w:rPr>
          <w:rFonts w:hint="eastAsia" w:ascii="Times New Roman" w:cs="Times New Roman"/>
          <w:lang w:val="en-US" w:eastAsia="zh-CN"/>
        </w:rPr>
        <w:t>资格鉴定</w:t>
      </w:r>
      <w:r>
        <w:tab/>
      </w:r>
      <w:r>
        <w:fldChar w:fldCharType="begin"/>
      </w:r>
      <w:r>
        <w:instrText xml:space="preserve"> PAGEREF _Toc6732 \h </w:instrText>
      </w:r>
      <w:r>
        <w:fldChar w:fldCharType="separate"/>
      </w:r>
      <w:r>
        <w:t>6</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_Toc17757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7.2 </w:t>
      </w:r>
      <w:r>
        <w:rPr>
          <w:rFonts w:hint="default" w:ascii="Times New Roman" w:cs="Times New Roman"/>
          <w:lang w:val="en-US" w:eastAsia="zh-CN"/>
        </w:rPr>
        <w:t>检验周期</w:t>
      </w:r>
      <w:r>
        <w:tab/>
      </w:r>
      <w:r>
        <w:fldChar w:fldCharType="begin"/>
      </w:r>
      <w:r>
        <w:instrText xml:space="preserve"> PAGEREF _Toc17757 \h </w:instrText>
      </w:r>
      <w:r>
        <w:fldChar w:fldCharType="separate"/>
      </w:r>
      <w:r>
        <w:t>7</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_Toc13262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7.3 </w:t>
      </w:r>
      <w:r>
        <w:rPr>
          <w:rFonts w:hint="default" w:ascii="Times New Roman" w:cs="Times New Roman"/>
          <w:lang w:val="en-US" w:eastAsia="zh-CN"/>
        </w:rPr>
        <w:t>检测设备要求</w:t>
      </w:r>
      <w:r>
        <w:tab/>
      </w:r>
      <w:r>
        <w:fldChar w:fldCharType="begin"/>
      </w:r>
      <w:r>
        <w:instrText xml:space="preserve"> PAGEREF _Toc13262 \h </w:instrText>
      </w:r>
      <w:r>
        <w:fldChar w:fldCharType="separate"/>
      </w:r>
      <w:r>
        <w:t>7</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_Toc32060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7.4 </w:t>
      </w:r>
      <w:r>
        <w:rPr>
          <w:rFonts w:hint="default" w:ascii="Times New Roman" w:cs="Times New Roman"/>
          <w:lang w:val="en-US" w:eastAsia="zh-CN"/>
        </w:rPr>
        <w:t>检验前的程序</w:t>
      </w:r>
      <w:r>
        <w:tab/>
      </w:r>
      <w:r>
        <w:fldChar w:fldCharType="begin"/>
      </w:r>
      <w:r>
        <w:instrText xml:space="preserve"> PAGEREF _Toc32060 \h </w:instrText>
      </w:r>
      <w:r>
        <w:fldChar w:fldCharType="separate"/>
      </w:r>
      <w:r>
        <w:t>12</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_Toc30625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7.5 </w:t>
      </w:r>
      <w:r>
        <w:rPr>
          <w:rFonts w:hint="default" w:ascii="Times New Roman" w:hAnsi="Times New Roman" w:cs="Times New Roman"/>
        </w:rPr>
        <w:t>检验内容和方法</w:t>
      </w:r>
      <w:r>
        <w:tab/>
      </w:r>
      <w:r>
        <w:fldChar w:fldCharType="begin"/>
      </w:r>
      <w:r>
        <w:instrText xml:space="preserve"> PAGEREF _Toc30625 \h </w:instrText>
      </w:r>
      <w:r>
        <w:fldChar w:fldCharType="separate"/>
      </w:r>
      <w:r>
        <w:t>13</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_Toc1431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7.6 </w:t>
      </w:r>
      <w:r>
        <w:rPr>
          <w:rFonts w:hint="default" w:ascii="Times New Roman" w:cs="Times New Roman"/>
          <w:lang w:val="en-US" w:eastAsia="zh-CN"/>
        </w:rPr>
        <w:t>检测完成后的程序</w:t>
      </w:r>
      <w:r>
        <w:tab/>
      </w:r>
      <w:r>
        <w:fldChar w:fldCharType="begin"/>
      </w:r>
      <w:r>
        <w:instrText xml:space="preserve"> PAGEREF _Toc1431 \h </w:instrText>
      </w:r>
      <w:r>
        <w:fldChar w:fldCharType="separate"/>
      </w:r>
      <w:r>
        <w:t>20</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_Toc8376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7.7 </w:t>
      </w:r>
      <w:r>
        <w:rPr>
          <w:rFonts w:hint="default" w:ascii="Times New Roman" w:cs="Times New Roman"/>
          <w:lang w:val="en-US" w:eastAsia="zh-CN"/>
        </w:rPr>
        <w:t>检测记录和报告</w:t>
      </w:r>
      <w:r>
        <w:tab/>
      </w:r>
      <w:r>
        <w:fldChar w:fldCharType="begin"/>
      </w:r>
      <w:r>
        <w:instrText xml:space="preserve"> PAGEREF _Toc8376 \h </w:instrText>
      </w:r>
      <w:r>
        <w:fldChar w:fldCharType="separate"/>
      </w:r>
      <w:r>
        <w:t>22</w:t>
      </w:r>
      <w:r>
        <w:fldChar w:fldCharType="end"/>
      </w:r>
      <w:r>
        <w:rPr>
          <w:rFonts w:hint="default" w:ascii="Times New Roman" w:hAnsi="Times New Roman" w:cs="Times New Roman"/>
        </w:rPr>
        <w:fldChar w:fldCharType="end"/>
      </w:r>
    </w:p>
    <w:p>
      <w:pPr>
        <w:pStyle w:val="32"/>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_Toc2810 </w:instrText>
      </w:r>
      <w:r>
        <w:rPr>
          <w:rFonts w:hint="default" w:ascii="Times New Roman" w:hAnsi="Times New Roman" w:cs="Times New Roman"/>
        </w:rPr>
        <w:fldChar w:fldCharType="separate"/>
      </w:r>
      <w:r>
        <w:rPr>
          <w:rFonts w:hint="eastAsia" w:ascii="黑体" w:hAnsi="Times New Roman" w:eastAsia="黑体" w:cs="Times New Roman"/>
          <w:i w:val="0"/>
          <w:szCs w:val="21"/>
        </w:rPr>
        <w:t xml:space="preserve">8 </w:t>
      </w:r>
      <w:r>
        <w:rPr>
          <w:rFonts w:hint="eastAsia" w:ascii="Times New Roman" w:cs="Times New Roman"/>
          <w:lang w:val="en-US" w:eastAsia="zh-CN"/>
        </w:rPr>
        <w:t>失效分析</w:t>
      </w:r>
      <w:r>
        <w:tab/>
      </w:r>
      <w:r>
        <w:fldChar w:fldCharType="begin"/>
      </w:r>
      <w:r>
        <w:instrText xml:space="preserve"> PAGEREF _Toc2810 \h </w:instrText>
      </w:r>
      <w:r>
        <w:fldChar w:fldCharType="separate"/>
      </w:r>
      <w:r>
        <w:t>23</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_Toc14640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8.1 </w:t>
      </w:r>
      <w:r>
        <w:rPr>
          <w:rFonts w:hint="eastAsia" w:ascii="Times New Roman" w:cs="Times New Roman"/>
          <w:lang w:val="en-US" w:eastAsia="zh-CN"/>
        </w:rPr>
        <w:t>弯头冲蚀磨损</w:t>
      </w:r>
      <w:r>
        <w:tab/>
      </w:r>
      <w:r>
        <w:fldChar w:fldCharType="begin"/>
      </w:r>
      <w:r>
        <w:instrText xml:space="preserve"> PAGEREF _Toc14640 \h </w:instrText>
      </w:r>
      <w:r>
        <w:fldChar w:fldCharType="separate"/>
      </w:r>
      <w:r>
        <w:t>23</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_Toc18384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8.2 </w:t>
      </w:r>
      <w:r>
        <w:rPr>
          <w:rFonts w:hint="default" w:ascii="Times New Roman" w:cs="Times New Roman"/>
          <w:lang w:val="en-US" w:eastAsia="zh-CN"/>
        </w:rPr>
        <w:t>由壬连接接头断裂</w:t>
      </w:r>
      <w:r>
        <w:tab/>
      </w:r>
      <w:r>
        <w:fldChar w:fldCharType="begin"/>
      </w:r>
      <w:r>
        <w:instrText xml:space="preserve"> PAGEREF _Toc18384 \h </w:instrText>
      </w:r>
      <w:r>
        <w:fldChar w:fldCharType="separate"/>
      </w:r>
      <w:r>
        <w:t>23</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_Toc28573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8.3 </w:t>
      </w:r>
      <w:r>
        <w:rPr>
          <w:rFonts w:hint="eastAsia" w:ascii="Times New Roman" w:cs="Times New Roman"/>
          <w:lang w:val="en-US" w:eastAsia="zh-CN"/>
        </w:rPr>
        <w:t>内壁腐蚀</w:t>
      </w:r>
      <w:r>
        <w:tab/>
      </w:r>
      <w:r>
        <w:fldChar w:fldCharType="begin"/>
      </w:r>
      <w:r>
        <w:instrText xml:space="preserve"> PAGEREF _Toc28573 \h </w:instrText>
      </w:r>
      <w:r>
        <w:fldChar w:fldCharType="separate"/>
      </w:r>
      <w:r>
        <w:t>23</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_Toc24287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8.4 </w:t>
      </w:r>
      <w:r>
        <w:rPr>
          <w:rFonts w:hint="default" w:ascii="Times New Roman" w:cs="Times New Roman"/>
          <w:lang w:val="en-US" w:eastAsia="zh-CN"/>
        </w:rPr>
        <w:t>活动弯头断裂</w:t>
      </w:r>
      <w:r>
        <w:tab/>
      </w:r>
      <w:r>
        <w:fldChar w:fldCharType="begin"/>
      </w:r>
      <w:r>
        <w:instrText xml:space="preserve"> PAGEREF _Toc24287 \h </w:instrText>
      </w:r>
      <w:r>
        <w:fldChar w:fldCharType="separate"/>
      </w:r>
      <w:r>
        <w:t>23</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_Toc30731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8.5 </w:t>
      </w:r>
      <w:r>
        <w:rPr>
          <w:rFonts w:hint="default" w:ascii="Times New Roman" w:cs="Times New Roman"/>
          <w:lang w:val="en-US" w:eastAsia="zh-CN"/>
        </w:rPr>
        <w:t>歧管接头断裂</w:t>
      </w:r>
      <w:r>
        <w:tab/>
      </w:r>
      <w:r>
        <w:fldChar w:fldCharType="begin"/>
      </w:r>
      <w:r>
        <w:instrText xml:space="preserve"> PAGEREF _Toc30731 \h </w:instrText>
      </w:r>
      <w:r>
        <w:fldChar w:fldCharType="separate"/>
      </w:r>
      <w:r>
        <w:t>23</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_Toc26337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8.6 </w:t>
      </w:r>
      <w:r>
        <w:rPr>
          <w:rFonts w:hint="default" w:ascii="Times New Roman" w:cs="Times New Roman"/>
          <w:lang w:val="en-US" w:eastAsia="zh-CN"/>
        </w:rPr>
        <w:t>活动弯头活动关节刺漏</w:t>
      </w:r>
      <w:r>
        <w:tab/>
      </w:r>
      <w:r>
        <w:fldChar w:fldCharType="begin"/>
      </w:r>
      <w:r>
        <w:instrText xml:space="preserve"> PAGEREF _Toc26337 \h </w:instrText>
      </w:r>
      <w:r>
        <w:fldChar w:fldCharType="separate"/>
      </w:r>
      <w:r>
        <w:t>23</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_Toc24000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8.7 </w:t>
      </w:r>
      <w:r>
        <w:rPr>
          <w:rFonts w:hint="default" w:ascii="Times New Roman" w:cs="Times New Roman"/>
          <w:lang w:val="en-US" w:eastAsia="zh-CN"/>
        </w:rPr>
        <w:t>歧管刺漏</w:t>
      </w:r>
      <w:r>
        <w:tab/>
      </w:r>
      <w:r>
        <w:fldChar w:fldCharType="begin"/>
      </w:r>
      <w:r>
        <w:instrText xml:space="preserve"> PAGEREF _Toc24000 \h </w:instrText>
      </w:r>
      <w:r>
        <w:fldChar w:fldCharType="separate"/>
      </w:r>
      <w:r>
        <w:t>23</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_Toc6062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8.8 </w:t>
      </w:r>
      <w:r>
        <w:rPr>
          <w:rFonts w:hint="default" w:ascii="Times New Roman" w:cs="Times New Roman"/>
          <w:lang w:val="en-US" w:eastAsia="zh-CN"/>
        </w:rPr>
        <w:t>旋塞阀公由壬端刺漏</w:t>
      </w:r>
      <w:r>
        <w:tab/>
      </w:r>
      <w:r>
        <w:fldChar w:fldCharType="begin"/>
      </w:r>
      <w:r>
        <w:instrText xml:space="preserve"> PAGEREF _Toc6062 \h </w:instrText>
      </w:r>
      <w:r>
        <w:fldChar w:fldCharType="separate"/>
      </w:r>
      <w:r>
        <w:t>24</w:t>
      </w:r>
      <w:r>
        <w:fldChar w:fldCharType="end"/>
      </w:r>
      <w:r>
        <w:rPr>
          <w:rFonts w:hint="default" w:ascii="Times New Roman" w:hAnsi="Times New Roman" w:cs="Times New Roman"/>
        </w:rPr>
        <w:fldChar w:fldCharType="end"/>
      </w:r>
    </w:p>
    <w:p>
      <w:pPr>
        <w:pStyle w:val="16"/>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_Toc5177 </w:instrText>
      </w:r>
      <w:r>
        <w:rPr>
          <w:rFonts w:hint="default" w:ascii="Times New Roman" w:hAnsi="Times New Roman" w:cs="Times New Roman"/>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8.9 </w:t>
      </w:r>
      <w:r>
        <w:rPr>
          <w:rFonts w:hint="default" w:ascii="Times New Roman" w:cs="Times New Roman"/>
          <w:lang w:val="en-US" w:eastAsia="zh-CN"/>
        </w:rPr>
        <w:t>管汇内壁裂纹</w:t>
      </w:r>
      <w:r>
        <w:tab/>
      </w:r>
      <w:r>
        <w:fldChar w:fldCharType="begin"/>
      </w:r>
      <w:r>
        <w:instrText xml:space="preserve"> PAGEREF _Toc5177 \h </w:instrText>
      </w:r>
      <w:r>
        <w:fldChar w:fldCharType="separate"/>
      </w:r>
      <w:r>
        <w:t>24</w:t>
      </w:r>
      <w:r>
        <w:fldChar w:fldCharType="end"/>
      </w:r>
      <w:r>
        <w:rPr>
          <w:rFonts w:hint="default" w:ascii="Times New Roman" w:hAnsi="Times New Roman" w:cs="Times New Roman"/>
        </w:rPr>
        <w:fldChar w:fldCharType="end"/>
      </w:r>
    </w:p>
    <w:p>
      <w:pPr>
        <w:pStyle w:val="23"/>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_Toc19910 </w:instrText>
      </w:r>
      <w:r>
        <w:rPr>
          <w:rFonts w:hint="default" w:ascii="Times New Roman" w:hAnsi="Times New Roman" w:cs="Times New Roman"/>
        </w:rPr>
        <w:fldChar w:fldCharType="separate"/>
      </w:r>
      <w:r>
        <w:rPr>
          <w:rFonts w:hint="eastAsia" w:ascii="Calibri" w:hAnsi="Calibri" w:eastAsia="黑体"/>
          <w:spacing w:val="101"/>
          <w:kern w:val="0"/>
          <w:szCs w:val="22"/>
          <w:fitText w:val="1050" w:id="1163689803"/>
        </w:rPr>
        <w:t>附录</w:t>
      </w:r>
      <w:r>
        <w:rPr>
          <w:rFonts w:hint="eastAsia" w:ascii="Calibri" w:hAnsi="Calibri" w:eastAsia="黑体"/>
          <w:spacing w:val="1"/>
          <w:kern w:val="0"/>
          <w:szCs w:val="22"/>
          <w:fitText w:val="1050" w:id="1163689803"/>
        </w:rPr>
        <w:t>A</w:t>
      </w:r>
      <w:r>
        <w:tab/>
      </w:r>
      <w:r>
        <w:fldChar w:fldCharType="begin"/>
      </w:r>
      <w:r>
        <w:instrText xml:space="preserve"> PAGEREF _Toc19910 \h </w:instrText>
      </w:r>
      <w:r>
        <w:fldChar w:fldCharType="separate"/>
      </w:r>
      <w:r>
        <w:t>25</w:t>
      </w:r>
      <w:r>
        <w:fldChar w:fldCharType="end"/>
      </w:r>
      <w:r>
        <w:rPr>
          <w:rFonts w:hint="default" w:ascii="Times New Roman" w:hAnsi="Times New Roman" w:cs="Times New Roman"/>
        </w:rPr>
        <w:fldChar w:fldCharType="end"/>
      </w:r>
    </w:p>
    <w:p>
      <w:pPr>
        <w:pStyle w:val="23"/>
        <w:tabs>
          <w:tab w:val="right" w:leader="dot" w:pos="9354"/>
          <w:tab w:val="clear" w:pos="9241"/>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_Toc18692 </w:instrText>
      </w:r>
      <w:r>
        <w:rPr>
          <w:rFonts w:hint="default" w:ascii="Times New Roman" w:hAnsi="Times New Roman" w:cs="Times New Roman"/>
        </w:rPr>
        <w:fldChar w:fldCharType="separate"/>
      </w:r>
      <w:r>
        <w:rPr>
          <w:rFonts w:hint="eastAsia" w:ascii="Calibri" w:hAnsi="Calibri" w:eastAsia="黑体"/>
          <w:spacing w:val="102"/>
          <w:kern w:val="0"/>
          <w:szCs w:val="22"/>
          <w:fitText w:val="1050" w:id="1706186154"/>
        </w:rPr>
        <w:t>附录</w:t>
      </w:r>
      <w:r>
        <w:rPr>
          <w:rFonts w:hint="eastAsia" w:ascii="Calibri" w:hAnsi="Calibri" w:eastAsia="黑体"/>
          <w:spacing w:val="4"/>
          <w:kern w:val="0"/>
          <w:szCs w:val="22"/>
          <w:fitText w:val="1050" w:id="1706186154"/>
        </w:rPr>
        <w:t>B</w:t>
      </w:r>
      <w:r>
        <w:tab/>
      </w:r>
      <w:r>
        <w:fldChar w:fldCharType="begin"/>
      </w:r>
      <w:r>
        <w:instrText xml:space="preserve"> PAGEREF _Toc18692 \h </w:instrText>
      </w:r>
      <w:r>
        <w:fldChar w:fldCharType="separate"/>
      </w:r>
      <w:r>
        <w:t>26</w:t>
      </w:r>
      <w:r>
        <w:fldChar w:fldCharType="end"/>
      </w:r>
      <w:r>
        <w:rPr>
          <w:rFonts w:hint="default" w:ascii="Times New Roman" w:hAnsi="Times New Roman" w:cs="Times New Roman"/>
        </w:rPr>
        <w:fldChar w:fldCharType="end"/>
      </w:r>
    </w:p>
    <w:p>
      <w:pPr>
        <w:rPr>
          <w:rFonts w:hint="default" w:ascii="Times New Roman" w:hAnsi="Times New Roman" w:cs="Times New Roman"/>
        </w:rPr>
      </w:pPr>
      <w:r>
        <w:rPr>
          <w:rFonts w:hint="default" w:ascii="Times New Roman" w:hAnsi="Times New Roman" w:cs="Times New Roman"/>
        </w:rPr>
        <w:fldChar w:fldCharType="end"/>
      </w:r>
    </w:p>
    <w:p>
      <w:pPr>
        <w:pStyle w:val="27"/>
        <w:rPr>
          <w:rFonts w:hint="default" w:ascii="Times New Roman" w:hAnsi="Times New Roman" w:cs="Times New Roman"/>
        </w:rPr>
      </w:pPr>
    </w:p>
    <w:p>
      <w:pPr>
        <w:pStyle w:val="115"/>
        <w:rPr>
          <w:rFonts w:hint="default" w:ascii="Times New Roman" w:hAnsi="Times New Roman" w:cs="Times New Roman"/>
        </w:rPr>
      </w:pPr>
      <w:bookmarkStart w:id="24" w:name="_Toc532849528"/>
      <w:bookmarkStart w:id="25" w:name="_Toc4701"/>
      <w:r>
        <w:rPr>
          <w:rFonts w:hint="default" w:ascii="Times New Roman" w:hAnsi="Times New Roman" w:cs="Times New Roman"/>
        </w:rPr>
        <w:t>前</w:t>
      </w:r>
      <w:bookmarkStart w:id="26" w:name="BKQY"/>
      <w:r>
        <w:rPr>
          <w:rFonts w:hint="default" w:ascii="Times New Roman" w:hAnsi="Times New Roman" w:eastAsia="MS Mincho" w:cs="Times New Roman"/>
        </w:rPr>
        <w:t>  </w:t>
      </w:r>
      <w:r>
        <w:rPr>
          <w:rFonts w:hint="default" w:ascii="Times New Roman" w:hAnsi="Times New Roman" w:cs="Times New Roman"/>
        </w:rPr>
        <w:t>言</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Style w:val="27"/>
        <w:rPr>
          <w:rFonts w:hint="default" w:ascii="Times New Roman" w:hAnsi="Times New Roman" w:cs="Times New Roman"/>
        </w:rPr>
      </w:pPr>
      <w:r>
        <w:rPr>
          <w:rFonts w:hint="default" w:ascii="Times New Roman" w:hAnsi="Times New Roman" w:cs="Times New Roman"/>
        </w:rPr>
        <w:t>本文件</w:t>
      </w:r>
      <w:r>
        <w:rPr>
          <w:rFonts w:hint="default" w:ascii="Times New Roman" w:hAnsi="Times New Roman" w:cs="Times New Roman"/>
          <w:color w:val="000000"/>
        </w:rPr>
        <w:t>按</w:t>
      </w:r>
      <w:r>
        <w:rPr>
          <w:rFonts w:hint="default" w:ascii="Times New Roman" w:hAnsi="Times New Roman" w:cs="Times New Roman"/>
        </w:rPr>
        <w:t>照</w:t>
      </w:r>
      <w:r>
        <w:rPr>
          <w:rFonts w:hint="default" w:ascii="Times New Roman" w:hAnsi="Times New Roman" w:cs="Times New Roman"/>
          <w:color w:val="000000"/>
        </w:rPr>
        <w:t>GB/T 1.1—2020《标准化工作导则  第1部分：标准化文件的结构和起草规则》的规定起草</w:t>
      </w:r>
      <w:r>
        <w:rPr>
          <w:rFonts w:hint="default" w:ascii="Times New Roman" w:hAnsi="Times New Roman" w:cs="Times New Roman"/>
        </w:rPr>
        <w:t>。</w:t>
      </w:r>
    </w:p>
    <w:p>
      <w:pPr>
        <w:pStyle w:val="27"/>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pPr>
        <w:pStyle w:val="27"/>
        <w:rPr>
          <w:rFonts w:hint="default" w:ascii="Times New Roman" w:hAnsi="Times New Roman" w:cs="Times New Roman"/>
        </w:rPr>
      </w:pPr>
      <w:r>
        <w:rPr>
          <w:rFonts w:hint="default" w:ascii="Times New Roman" w:hAnsi="Times New Roman" w:cs="Times New Roman"/>
        </w:rPr>
        <w:t>本文件</w:t>
      </w:r>
      <w:r>
        <w:rPr>
          <w:rFonts w:hint="default" w:ascii="Times New Roman" w:hAnsi="Times New Roman" w:cs="Times New Roman"/>
          <w:szCs w:val="21"/>
        </w:rPr>
        <w:t>由中国石油和石油化工设备工业协会提出</w:t>
      </w:r>
      <w:r>
        <w:rPr>
          <w:rFonts w:hint="default" w:ascii="Times New Roman" w:hAnsi="Times New Roman" w:cs="Times New Roman"/>
        </w:rPr>
        <w:t>。</w:t>
      </w:r>
    </w:p>
    <w:p>
      <w:pPr>
        <w:pStyle w:val="27"/>
        <w:rPr>
          <w:rFonts w:hint="default" w:ascii="Times New Roman" w:hAnsi="Times New Roman" w:cs="Times New Roman"/>
        </w:rPr>
      </w:pPr>
      <w:r>
        <w:rPr>
          <w:rFonts w:hint="default" w:ascii="Times New Roman" w:hAnsi="Times New Roman" w:cs="Times New Roman"/>
        </w:rPr>
        <w:t>本文件由</w:t>
      </w:r>
      <w:r>
        <w:rPr>
          <w:rFonts w:hint="default" w:ascii="Times New Roman" w:hAnsi="Times New Roman" w:cs="Times New Roman"/>
          <w:szCs w:val="21"/>
        </w:rPr>
        <w:t>由中国石油和石油化工设备工业协会归口</w:t>
      </w:r>
      <w:r>
        <w:rPr>
          <w:rFonts w:hint="default" w:ascii="Times New Roman" w:hAnsi="Times New Roman" w:cs="Times New Roman"/>
        </w:rPr>
        <w:t>。</w:t>
      </w:r>
    </w:p>
    <w:p>
      <w:pPr>
        <w:pStyle w:val="27"/>
        <w:rPr>
          <w:rFonts w:hint="default" w:ascii="Times New Roman" w:hAnsi="Times New Roman" w:cs="Times New Roman"/>
        </w:rPr>
      </w:pPr>
      <w:r>
        <w:rPr>
          <w:rFonts w:hint="default" w:ascii="Times New Roman" w:hAnsi="Times New Roman" w:cs="Times New Roman"/>
        </w:rPr>
        <w:t xml:space="preserve">本文件起草单位： </w:t>
      </w:r>
    </w:p>
    <w:p>
      <w:pPr>
        <w:widowControl/>
        <w:jc w:val="left"/>
        <w:rPr>
          <w:rFonts w:hint="default" w:ascii="Times New Roman" w:hAnsi="Times New Roman" w:cs="Times New Roman"/>
        </w:rPr>
      </w:pPr>
      <w:r>
        <w:rPr>
          <w:rFonts w:hint="default" w:ascii="Times New Roman" w:hAnsi="Times New Roman" w:cs="Times New Roman"/>
        </w:rPr>
        <w:t xml:space="preserve">    本文件主要起草人：</w:t>
      </w:r>
    </w:p>
    <w:p>
      <w:pPr>
        <w:widowControl/>
        <w:jc w:val="left"/>
        <w:rPr>
          <w:rFonts w:hint="default" w:ascii="Times New Roman" w:hAnsi="Times New Roman" w:cs="Times New Roman"/>
        </w:rPr>
      </w:pPr>
      <w:r>
        <w:rPr>
          <w:rFonts w:hint="default" w:ascii="Times New Roman" w:hAnsi="Times New Roman" w:cs="Times New Roman"/>
        </w:rPr>
        <w:br w:type="page"/>
      </w:r>
    </w:p>
    <w:p>
      <w:pPr>
        <w:widowControl/>
        <w:jc w:val="left"/>
        <w:rPr>
          <w:rFonts w:hint="default" w:ascii="Times New Roman" w:hAnsi="Times New Roman" w:cs="Times New Roman"/>
        </w:rPr>
        <w:sectPr>
          <w:headerReference r:id="rId5" w:type="default"/>
          <w:footerReference r:id="rId6" w:type="default"/>
          <w:pgSz w:w="11906" w:h="16838"/>
          <w:pgMar w:top="567" w:right="1134" w:bottom="1134" w:left="1418" w:header="1418" w:footer="1134" w:gutter="0"/>
          <w:pgNumType w:fmt="upperRoman" w:start="1"/>
          <w:cols w:space="425" w:num="1"/>
          <w:formProt w:val="0"/>
          <w:docGrid w:type="lines" w:linePitch="312" w:charSpace="0"/>
        </w:sectPr>
      </w:pPr>
    </w:p>
    <w:p>
      <w:pPr>
        <w:bidi w:val="0"/>
        <w:jc w:val="center"/>
        <w:rPr>
          <w:rFonts w:hint="default" w:ascii="Times New Roman" w:hAnsi="Times New Roman" w:eastAsia="黑体" w:cs="Times New Roman"/>
          <w:lang w:val="en-US" w:eastAsia="zh-CN"/>
        </w:rPr>
      </w:pPr>
      <w:bookmarkStart w:id="27" w:name="_Toc531706547"/>
      <w:bookmarkStart w:id="28" w:name="_Toc531941458"/>
      <w:bookmarkStart w:id="29" w:name="_Toc76030072"/>
      <w:bookmarkStart w:id="30" w:name="_Toc532717992"/>
      <w:bookmarkStart w:id="31" w:name="_Toc532738399"/>
      <w:bookmarkStart w:id="32" w:name="_Toc85033033"/>
      <w:r>
        <w:rPr>
          <w:rFonts w:hint="eastAsia" w:ascii="黑体" w:hAnsi="黑体" w:eastAsia="黑体" w:cs="黑体"/>
          <w:sz w:val="32"/>
          <w:szCs w:val="32"/>
        </w:rPr>
        <w:t xml:space="preserve">石油天然气钻采设备 </w:t>
      </w:r>
      <w:bookmarkEnd w:id="27"/>
      <w:bookmarkEnd w:id="28"/>
      <w:bookmarkEnd w:id="29"/>
      <w:bookmarkEnd w:id="30"/>
      <w:bookmarkEnd w:id="31"/>
      <w:bookmarkEnd w:id="32"/>
      <w:r>
        <w:rPr>
          <w:rFonts w:hint="eastAsia" w:ascii="黑体" w:hAnsi="黑体" w:eastAsia="黑体" w:cs="黑体"/>
          <w:sz w:val="32"/>
          <w:szCs w:val="32"/>
          <w:lang w:val="en-US" w:eastAsia="zh-CN"/>
        </w:rPr>
        <w:t>在役高压管汇使用、维护与检验规范</w:t>
      </w:r>
    </w:p>
    <w:p>
      <w:pPr>
        <w:pStyle w:val="48"/>
        <w:spacing w:before="312" w:after="312"/>
        <w:outlineLvl w:val="2"/>
        <w:rPr>
          <w:rFonts w:hint="default" w:ascii="Times New Roman" w:hAnsi="Times New Roman" w:cs="Times New Roman"/>
        </w:rPr>
      </w:pPr>
      <w:bookmarkStart w:id="33" w:name="_Toc529717124"/>
      <w:bookmarkStart w:id="34" w:name="_Toc518484673"/>
      <w:bookmarkStart w:id="35" w:name="_Toc511494782"/>
      <w:bookmarkStart w:id="36" w:name="_Toc532846703"/>
      <w:bookmarkStart w:id="37" w:name="_Toc529373714"/>
      <w:bookmarkStart w:id="38" w:name="_Toc532849529"/>
      <w:bookmarkStart w:id="39" w:name="_Toc27137"/>
      <w:bookmarkStart w:id="40" w:name="_Toc529433210"/>
      <w:bookmarkStart w:id="41" w:name="_Toc532846627"/>
      <w:bookmarkStart w:id="42" w:name="_Toc529373769"/>
      <w:bookmarkStart w:id="43" w:name="_Toc532741186"/>
      <w:bookmarkStart w:id="44" w:name="_Toc529374928"/>
      <w:bookmarkStart w:id="45" w:name="_Toc519675593"/>
      <w:bookmarkStart w:id="46" w:name="_Toc529373839"/>
      <w:bookmarkStart w:id="47" w:name="_Toc511494133"/>
      <w:bookmarkStart w:id="48" w:name="_Toc532738400"/>
      <w:r>
        <w:rPr>
          <w:rFonts w:hint="default" w:ascii="Times New Roman" w:hAnsi="Times New Roman" w:cs="Times New Roman"/>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pStyle w:val="27"/>
        <w:rPr>
          <w:rFonts w:hint="default" w:ascii="Times New Roman" w:hAnsi="Times New Roman" w:cs="Times New Roman"/>
        </w:rPr>
      </w:pPr>
      <w:r>
        <w:rPr>
          <w:rFonts w:hint="default" w:ascii="Times New Roman" w:hAnsi="Times New Roman" w:cs="Times New Roman"/>
        </w:rPr>
        <w:t>本文件规定了额定压力为35 MPa至175 MPa的石油天然气钻采设备在役高压管汇使用、维护与检验程序和方法。</w:t>
      </w:r>
    </w:p>
    <w:p>
      <w:pPr>
        <w:pStyle w:val="27"/>
        <w:rPr>
          <w:rFonts w:hint="default" w:ascii="Times New Roman" w:hAnsi="Times New Roman" w:cs="Times New Roman"/>
        </w:rPr>
      </w:pPr>
      <w:r>
        <w:rPr>
          <w:rFonts w:hint="default" w:ascii="Times New Roman" w:hAnsi="Times New Roman" w:cs="Times New Roman"/>
        </w:rPr>
        <w:t>本文件适用于油气田固井、压裂、地面测试、钻井等井口施工作业用的高压管汇及元件：</w:t>
      </w:r>
    </w:p>
    <w:p>
      <w:pPr>
        <w:pStyle w:val="27"/>
        <w:rPr>
          <w:rFonts w:hint="default" w:ascii="Times New Roman" w:hAnsi="Times New Roman" w:cs="Times New Roman"/>
        </w:rPr>
      </w:pPr>
      <w:r>
        <w:rPr>
          <w:rFonts w:hint="default" w:ascii="Times New Roman" w:hAnsi="Times New Roman" w:cs="Times New Roman"/>
        </w:rPr>
        <w:t>——阀门（旋塞阀、单向阀、闸阀、节流阀、紧急切断阀）；</w:t>
      </w:r>
    </w:p>
    <w:p>
      <w:pPr>
        <w:pStyle w:val="27"/>
        <w:rPr>
          <w:rFonts w:hint="default" w:ascii="Times New Roman" w:hAnsi="Times New Roman" w:cs="Times New Roman"/>
        </w:rPr>
      </w:pPr>
      <w:r>
        <w:rPr>
          <w:rFonts w:hint="default" w:ascii="Times New Roman" w:hAnsi="Times New Roman" w:cs="Times New Roman"/>
        </w:rPr>
        <w:t>——压裂头；</w:t>
      </w:r>
    </w:p>
    <w:p>
      <w:pPr>
        <w:pStyle w:val="27"/>
        <w:rPr>
          <w:rFonts w:hint="default" w:ascii="Times New Roman" w:hAnsi="Times New Roman" w:cs="Times New Roman"/>
        </w:rPr>
      </w:pPr>
      <w:r>
        <w:rPr>
          <w:rFonts w:hint="default" w:ascii="Times New Roman" w:hAnsi="Times New Roman" w:cs="Times New Roman"/>
        </w:rPr>
        <w:t>——活动弯头；</w:t>
      </w:r>
    </w:p>
    <w:p>
      <w:pPr>
        <w:pStyle w:val="27"/>
        <w:rPr>
          <w:rFonts w:hint="default" w:ascii="Times New Roman" w:hAnsi="Times New Roman" w:cs="Times New Roman"/>
        </w:rPr>
      </w:pPr>
      <w:r>
        <w:rPr>
          <w:rFonts w:hint="default" w:ascii="Times New Roman" w:hAnsi="Times New Roman" w:cs="Times New Roman"/>
        </w:rPr>
        <w:t>——刚性管线；</w:t>
      </w:r>
    </w:p>
    <w:p>
      <w:pPr>
        <w:pStyle w:val="27"/>
        <w:rPr>
          <w:rFonts w:hint="default" w:ascii="Times New Roman" w:hAnsi="Times New Roman" w:cs="Times New Roman"/>
        </w:rPr>
      </w:pPr>
      <w:r>
        <w:rPr>
          <w:rFonts w:hint="default" w:ascii="Times New Roman" w:hAnsi="Times New Roman" w:cs="Times New Roman"/>
        </w:rPr>
        <w:t>——油嘴管汇；</w:t>
      </w:r>
    </w:p>
    <w:p>
      <w:pPr>
        <w:pStyle w:val="27"/>
        <w:rPr>
          <w:rFonts w:hint="default" w:ascii="Times New Roman" w:hAnsi="Times New Roman" w:cs="Times New Roman"/>
        </w:rPr>
      </w:pPr>
      <w:r>
        <w:rPr>
          <w:rFonts w:hint="default" w:ascii="Times New Roman" w:hAnsi="Times New Roman" w:cs="Times New Roman"/>
        </w:rPr>
        <w:t>——活接头总成；</w:t>
      </w:r>
    </w:p>
    <w:p>
      <w:pPr>
        <w:pStyle w:val="27"/>
        <w:rPr>
          <w:rFonts w:hint="default" w:ascii="Times New Roman" w:hAnsi="Times New Roman" w:cs="Times New Roman"/>
        </w:rPr>
      </w:pPr>
      <w:r>
        <w:rPr>
          <w:rFonts w:hint="default" w:ascii="Times New Roman" w:hAnsi="Times New Roman" w:cs="Times New Roman"/>
        </w:rPr>
        <w:t>——各种异型整体接头（包括L形接头、T形三通、十字形四通、歧管三通、Y形三通、爪形四通）；</w:t>
      </w:r>
    </w:p>
    <w:p>
      <w:pPr>
        <w:pStyle w:val="27"/>
        <w:rPr>
          <w:rFonts w:hint="default" w:ascii="Times New Roman" w:hAnsi="Times New Roman" w:cs="Times New Roman"/>
        </w:rPr>
      </w:pPr>
      <w:r>
        <w:rPr>
          <w:rFonts w:hint="default" w:ascii="Times New Roman" w:hAnsi="Times New Roman" w:cs="Times New Roman"/>
        </w:rPr>
        <w:t>——钻井液循环管线、防喷管线及放喷管线；</w:t>
      </w:r>
    </w:p>
    <w:p>
      <w:pPr>
        <w:pStyle w:val="27"/>
        <w:rPr>
          <w:rFonts w:hint="default" w:ascii="Times New Roman" w:hAnsi="Times New Roman" w:cs="Times New Roman"/>
        </w:rPr>
      </w:pPr>
      <w:r>
        <w:rPr>
          <w:rFonts w:hint="default" w:ascii="Times New Roman" w:hAnsi="Times New Roman" w:cs="Times New Roman"/>
        </w:rPr>
        <w:t>——大通径管汇。</w:t>
      </w:r>
    </w:p>
    <w:p>
      <w:pPr>
        <w:pStyle w:val="48"/>
        <w:spacing w:before="312" w:after="312"/>
        <w:outlineLvl w:val="2"/>
        <w:rPr>
          <w:rFonts w:hint="default" w:ascii="Times New Roman" w:hAnsi="Times New Roman" w:cs="Times New Roman"/>
        </w:rPr>
      </w:pPr>
      <w:bookmarkStart w:id="49" w:name="_Toc532738401"/>
      <w:bookmarkStart w:id="50" w:name="_Toc532846628"/>
      <w:bookmarkStart w:id="51" w:name="_Toc529373770"/>
      <w:bookmarkStart w:id="52" w:name="_Toc511494783"/>
      <w:bookmarkStart w:id="53" w:name="_Toc519675594"/>
      <w:bookmarkStart w:id="54" w:name="_Toc518484674"/>
      <w:bookmarkStart w:id="55" w:name="_Toc532741187"/>
      <w:bookmarkStart w:id="56" w:name="_Toc511494134"/>
      <w:bookmarkStart w:id="57" w:name="_Toc529373715"/>
      <w:bookmarkStart w:id="58" w:name="_Toc532849530"/>
      <w:bookmarkStart w:id="59" w:name="_Toc7194"/>
      <w:bookmarkStart w:id="60" w:name="_Toc529433211"/>
      <w:bookmarkStart w:id="61" w:name="_Toc529717125"/>
      <w:bookmarkStart w:id="62" w:name="_Toc529373840"/>
      <w:bookmarkStart w:id="63" w:name="_Toc529374929"/>
      <w:bookmarkStart w:id="64" w:name="_Toc532846704"/>
      <w:r>
        <w:rPr>
          <w:rFonts w:hint="default" w:ascii="Times New Roman" w:hAnsi="Times New Roman" w:cs="Times New Roman"/>
        </w:rPr>
        <w:t>规范</w:t>
      </w:r>
      <w:bookmarkStart w:id="65" w:name="BZ"/>
      <w:bookmarkEnd w:id="65"/>
      <w:r>
        <w:rPr>
          <w:rFonts w:hint="default" w:ascii="Times New Roman" w:hAnsi="Times New Roman" w:cs="Times New Roman"/>
        </w:rPr>
        <w:t>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27"/>
        <w:rPr>
          <w:rFonts w:hint="default" w:ascii="Times New Roman" w:hAnsi="Times New Roman" w:cs="Times New Roman"/>
        </w:rPr>
      </w:pPr>
      <w:bookmarkStart w:id="66" w:name="OLE_LINK9"/>
      <w:bookmarkStart w:id="67" w:name="OLE_LINK8"/>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bookmarkEnd w:id="66"/>
    <w:bookmarkEnd w:id="67"/>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GB/T 230.1  金属材料  洛氏硬度试验  第1部分：试验方法</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GB/T 231.1  金属材料  布氏硬度试验  第1部分：试验方法</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GB/T 4340.1  金属材料  维氏硬度试验  第1部分：试验方法</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GB/T 9445  无损检测 人员资格鉴定与认证（GB/T 9445-2015，ISO 9712：2012，IDT）</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GB/T 11533  标准对数视力表</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GB/T</w:t>
      </w:r>
      <w:r>
        <w:rPr>
          <w:rFonts w:hint="default" w:ascii="Times New Roman" w:hAnsi="Times New Roman" w:cs="Times New Roman" w:eastAsiaTheme="minorEastAsia"/>
        </w:rPr>
        <w:t xml:space="preserve"> </w:t>
      </w:r>
      <w:r>
        <w:rPr>
          <w:rFonts w:hint="default" w:ascii="Times New Roman" w:hAnsi="Times New Roman" w:cs="Times New Roman"/>
          <w:color w:val="auto"/>
          <w:highlight w:val="none"/>
        </w:rPr>
        <w:t>18182  金属压力容器声发射检测及结果评价方法</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GB/T</w:t>
      </w:r>
      <w:r>
        <w:rPr>
          <w:rFonts w:hint="default" w:ascii="Times New Roman" w:hAnsi="Times New Roman" w:cs="Times New Roman" w:eastAsiaTheme="minorEastAsia"/>
        </w:rPr>
        <w:t xml:space="preserve"> </w:t>
      </w:r>
      <w:r>
        <w:rPr>
          <w:rFonts w:hint="default" w:ascii="Times New Roman" w:hAnsi="Times New Roman" w:cs="Times New Roman"/>
          <w:color w:val="auto"/>
          <w:highlight w:val="none"/>
        </w:rPr>
        <w:t>20739  橡胶制品  贮存指南（GB/T 20739—2006，ISO2230：2002，IDT）</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GB/T</w:t>
      </w:r>
      <w:r>
        <w:rPr>
          <w:rFonts w:hint="default" w:ascii="Times New Roman" w:hAnsi="Times New Roman" w:cs="Times New Roman" w:eastAsiaTheme="minorEastAsia"/>
        </w:rPr>
        <w:t xml:space="preserve"> </w:t>
      </w:r>
      <w:r>
        <w:rPr>
          <w:rFonts w:hint="default" w:ascii="Times New Roman" w:hAnsi="Times New Roman" w:cs="Times New Roman"/>
          <w:color w:val="auto"/>
          <w:highlight w:val="none"/>
        </w:rPr>
        <w:t>20972 （所有部分）石油天然气工业  油气开采中用于含硫化氢环境的材料</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GB/T</w:t>
      </w:r>
      <w:r>
        <w:rPr>
          <w:rFonts w:hint="default" w:ascii="Times New Roman" w:hAnsi="Times New Roman" w:cs="Times New Roman" w:eastAsiaTheme="minorEastAsia"/>
        </w:rPr>
        <w:t xml:space="preserve"> </w:t>
      </w:r>
      <w:r>
        <w:rPr>
          <w:rFonts w:hint="default" w:ascii="Times New Roman" w:hAnsi="Times New Roman" w:cs="Times New Roman"/>
          <w:color w:val="auto"/>
          <w:highlight w:val="none"/>
        </w:rPr>
        <w:t>22513  石油天然气工业  钻井和采油设备  井口装置和采油树（ISO 10423：2009，MOD）</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SY/T 5072  石油厢式工程车通用技术条件 </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SY/T</w:t>
      </w:r>
      <w:r>
        <w:rPr>
          <w:rFonts w:hint="default" w:ascii="Times New Roman" w:hAnsi="Times New Roman" w:cs="Times New Roman" w:eastAsiaTheme="minorEastAsia"/>
        </w:rPr>
        <w:t xml:space="preserve"> </w:t>
      </w:r>
      <w:r>
        <w:rPr>
          <w:rFonts w:hint="default" w:ascii="Times New Roman" w:hAnsi="Times New Roman" w:cs="Times New Roman"/>
          <w:color w:val="auto"/>
          <w:highlight w:val="none"/>
        </w:rPr>
        <w:t>5323  石油天然气工业  钻井和采油设备  节流和压井设备（SY/T 5323-2016，API Spec 16C：2015，MOD）</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SY/T</w:t>
      </w:r>
      <w:r>
        <w:rPr>
          <w:rFonts w:hint="default" w:ascii="Times New Roman" w:hAnsi="Times New Roman" w:cs="Times New Roman" w:eastAsiaTheme="minorEastAsia"/>
        </w:rPr>
        <w:t xml:space="preserve"> </w:t>
      </w:r>
      <w:r>
        <w:rPr>
          <w:rFonts w:hint="default" w:ascii="Times New Roman" w:hAnsi="Times New Roman" w:cs="Times New Roman"/>
          <w:color w:val="auto"/>
          <w:highlight w:val="none"/>
        </w:rPr>
        <w:t>6270  石油天然气钻采设备 固井、压裂管汇的使用与维护</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SY/T</w:t>
      </w:r>
      <w:r>
        <w:rPr>
          <w:rFonts w:hint="default" w:ascii="Times New Roman" w:hAnsi="Times New Roman" w:cs="Times New Roman" w:eastAsiaTheme="minorEastAsia"/>
        </w:rPr>
        <w:t xml:space="preserve"> </w:t>
      </w:r>
      <w:r>
        <w:rPr>
          <w:rFonts w:hint="default" w:ascii="Times New Roman" w:hAnsi="Times New Roman" w:cs="Times New Roman"/>
          <w:color w:val="auto"/>
          <w:highlight w:val="none"/>
        </w:rPr>
        <w:t>6355  石油天然气生产专用安全标志</w:t>
      </w:r>
      <w:bookmarkStart w:id="160" w:name="_GoBack"/>
      <w:bookmarkEnd w:id="160"/>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NB/T</w:t>
      </w:r>
      <w:r>
        <w:rPr>
          <w:rFonts w:hint="default" w:ascii="Times New Roman" w:hAnsi="Times New Roman" w:cs="Times New Roman" w:eastAsiaTheme="minorEastAsia"/>
        </w:rPr>
        <w:t xml:space="preserve"> </w:t>
      </w:r>
      <w:r>
        <w:rPr>
          <w:rFonts w:hint="default" w:ascii="Times New Roman" w:hAnsi="Times New Roman" w:cs="Times New Roman"/>
          <w:color w:val="auto"/>
          <w:highlight w:val="none"/>
        </w:rPr>
        <w:t>47013.4  承压设备无损检测第4部分：磁粉检测</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NB/T</w:t>
      </w:r>
      <w:r>
        <w:rPr>
          <w:rFonts w:hint="default" w:ascii="Times New Roman" w:hAnsi="Times New Roman" w:cs="Times New Roman" w:eastAsiaTheme="minorEastAsia"/>
        </w:rPr>
        <w:t xml:space="preserve"> </w:t>
      </w:r>
      <w:r>
        <w:rPr>
          <w:rFonts w:hint="default" w:ascii="Times New Roman" w:hAnsi="Times New Roman" w:cs="Times New Roman"/>
          <w:color w:val="auto"/>
          <w:highlight w:val="none"/>
        </w:rPr>
        <w:t>47013.9  承压设备无损检测第9部分：声发射检测</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NB/T</w:t>
      </w:r>
      <w:r>
        <w:rPr>
          <w:rFonts w:hint="default" w:ascii="Times New Roman" w:hAnsi="Times New Roman" w:cs="Times New Roman" w:eastAsiaTheme="minorEastAsia"/>
        </w:rPr>
        <w:t xml:space="preserve"> </w:t>
      </w:r>
      <w:r>
        <w:rPr>
          <w:rFonts w:hint="default" w:ascii="Times New Roman" w:hAnsi="Times New Roman" w:cs="Times New Roman"/>
          <w:color w:val="auto"/>
          <w:highlight w:val="none"/>
        </w:rPr>
        <w:t>47013.12  承压设备无损检测 第12部分：漏磁检测</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ISO 18265  金属材料  硬度值的换算</w:t>
      </w:r>
    </w:p>
    <w:p>
      <w:pPr>
        <w:pStyle w:val="27"/>
        <w:rPr>
          <w:rFonts w:hint="default" w:ascii="Times New Roman" w:hAnsi="Times New Roman" w:cs="Times New Roman"/>
          <w:color w:val="auto"/>
          <w:highlight w:val="none"/>
        </w:rPr>
      </w:pPr>
      <w:r>
        <w:rPr>
          <w:rFonts w:hint="default" w:ascii="Times New Roman" w:hAnsi="Times New Roman" w:cs="Times New Roman"/>
          <w:color w:val="auto"/>
          <w:highlight w:val="none"/>
        </w:rPr>
        <w:t>ASTM E 140  金属标准硬度换算表  布氏硬度、维氏硬度、洛氏硬度、表面硬度、努氏硬度和肖氏硬度之间的关系</w:t>
      </w:r>
    </w:p>
    <w:p>
      <w:pPr>
        <w:pStyle w:val="48"/>
        <w:spacing w:before="312" w:after="312"/>
        <w:outlineLvl w:val="2"/>
        <w:rPr>
          <w:rFonts w:hint="default" w:ascii="Times New Roman" w:hAnsi="Times New Roman" w:cs="Times New Roman"/>
        </w:rPr>
      </w:pPr>
      <w:bookmarkStart w:id="68" w:name="_Toc19313"/>
      <w:r>
        <w:rPr>
          <w:rFonts w:hint="default" w:ascii="Times New Roman" w:hAnsi="Times New Roman" w:cs="Times New Roman"/>
        </w:rPr>
        <w:t>术语</w:t>
      </w:r>
      <w:r>
        <w:rPr>
          <w:rFonts w:hint="eastAsia" w:ascii="Times New Roman" w:cs="Times New Roman"/>
          <w:lang w:eastAsia="zh-CN"/>
        </w:rPr>
        <w:t>、</w:t>
      </w:r>
      <w:r>
        <w:rPr>
          <w:rFonts w:hint="default" w:ascii="Times New Roman" w:hAnsi="Times New Roman" w:cs="Times New Roman"/>
        </w:rPr>
        <w:t>定义</w:t>
      </w:r>
      <w:r>
        <w:rPr>
          <w:rFonts w:hint="eastAsia" w:ascii="Times New Roman" w:cs="Times New Roman"/>
          <w:lang w:val="en-US" w:eastAsia="zh-CN"/>
        </w:rPr>
        <w:t>和缩略语</w:t>
      </w:r>
      <w:bookmarkEnd w:id="68"/>
    </w:p>
    <w:p>
      <w:pPr>
        <w:pStyle w:val="45"/>
        <w:spacing w:before="156" w:after="156" w:line="300" w:lineRule="auto"/>
        <w:ind w:left="0"/>
        <w:outlineLvl w:val="3"/>
        <w:rPr>
          <w:rFonts w:hint="default" w:ascii="Times New Roman" w:hAnsi="Times New Roman" w:cs="Times New Roman"/>
        </w:rPr>
      </w:pPr>
      <w:bookmarkStart w:id="69" w:name="_Toc76030076"/>
      <w:bookmarkEnd w:id="69"/>
      <w:bookmarkStart w:id="70" w:name="_Toc85033037"/>
      <w:bookmarkEnd w:id="70"/>
      <w:bookmarkStart w:id="71" w:name="_Toc23156"/>
      <w:r>
        <w:rPr>
          <w:rFonts w:hint="eastAsia" w:ascii="Times New Roman" w:cs="Times New Roman"/>
          <w:lang w:val="en-US" w:eastAsia="zh-CN"/>
        </w:rPr>
        <w:t>术语和定义</w:t>
      </w:r>
      <w:bookmarkEnd w:id="71"/>
    </w:p>
    <w:p>
      <w:pPr>
        <w:pStyle w:val="27"/>
        <w:rPr>
          <w:rFonts w:hint="default" w:ascii="Times New Roman" w:hAnsi="Times New Roman" w:cs="Times New Roman"/>
        </w:rPr>
      </w:pPr>
      <w:r>
        <w:rPr>
          <w:rFonts w:hint="default" w:ascii="Times New Roman" w:hAnsi="Times New Roman" w:cs="Times New Roman"/>
        </w:rPr>
        <w:t>下列术语和定义适用于本文件。</w:t>
      </w:r>
    </w:p>
    <w:p>
      <w:pPr>
        <w:pStyle w:val="49"/>
        <w:bidi w:val="0"/>
        <w:ind w:left="0" w:leftChars="0" w:firstLine="0" w:firstLineChars="0"/>
        <w:outlineLvl w:val="4"/>
        <w:rPr>
          <w:rFonts w:hint="default"/>
        </w:rPr>
      </w:pPr>
    </w:p>
    <w:p>
      <w:pPr>
        <w:pStyle w:val="27"/>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firstLineChars="200"/>
        <w:textAlignment w:val="auto"/>
        <w:rPr>
          <w:rFonts w:hint="default"/>
        </w:rPr>
      </w:pPr>
      <w:r>
        <w:rPr>
          <w:rFonts w:hint="default" w:ascii="黑体" w:hAnsi="Times New Roman" w:eastAsia="黑体" w:cs="Times New Roman"/>
          <w:sz w:val="21"/>
          <w:szCs w:val="21"/>
          <w:lang w:val="en-US" w:eastAsia="zh-CN" w:bidi="ar-SA"/>
        </w:rPr>
        <w:t>高压管汇 high pressure manifold</w:t>
      </w:r>
    </w:p>
    <w:p>
      <w:pPr>
        <w:pStyle w:val="27"/>
        <w:rPr>
          <w:rFonts w:hint="default"/>
        </w:rPr>
      </w:pPr>
      <w:r>
        <w:rPr>
          <w:rFonts w:hint="default"/>
        </w:rPr>
        <w:t>用于汇集、输送由固井泵、压裂泵排出的固井液、压裂液以及地层返回的高压流体的专用设备。</w:t>
      </w:r>
    </w:p>
    <w:p>
      <w:pPr>
        <w:pStyle w:val="49"/>
        <w:bidi w:val="0"/>
        <w:ind w:left="0" w:leftChars="0" w:firstLine="0" w:firstLineChars="0"/>
        <w:outlineLvl w:val="4"/>
        <w:rPr>
          <w:rFonts w:hint="default"/>
        </w:rPr>
      </w:pPr>
    </w:p>
    <w:p>
      <w:pPr>
        <w:pStyle w:val="27"/>
        <w:keepNext w:val="0"/>
        <w:keepLines w:val="0"/>
        <w:pageBreakBefore w:val="0"/>
        <w:widowControl/>
        <w:kinsoku/>
        <w:wordWrap/>
        <w:overflowPunct/>
        <w:topLinePunct w:val="0"/>
        <w:autoSpaceDE w:val="0"/>
        <w:autoSpaceDN w:val="0"/>
        <w:bidi w:val="0"/>
        <w:adjustRightInd/>
        <w:snapToGrid/>
        <w:spacing w:before="157" w:beforeLines="50" w:after="157" w:afterLines="50"/>
        <w:textAlignment w:val="auto"/>
        <w:rPr>
          <w:rFonts w:hint="default"/>
        </w:rPr>
      </w:pPr>
      <w:r>
        <w:rPr>
          <w:rFonts w:hint="default" w:ascii="黑体" w:hAnsi="Times New Roman" w:eastAsia="黑体" w:cs="Times New Roman"/>
          <w:sz w:val="21"/>
          <w:szCs w:val="21"/>
          <w:lang w:val="en-US" w:eastAsia="zh-CN" w:bidi="ar-SA"/>
        </w:rPr>
        <w:t>大通径管汇 Large diameter manifold</w:t>
      </w:r>
    </w:p>
    <w:p>
      <w:pPr>
        <w:pStyle w:val="27"/>
        <w:rPr>
          <w:rFonts w:hint="default"/>
        </w:rPr>
      </w:pPr>
      <w:r>
        <w:rPr>
          <w:rFonts w:hint="default"/>
        </w:rPr>
        <w:t>主通道规格不小于4 1/16”的压裂用高压管汇元件。</w:t>
      </w:r>
    </w:p>
    <w:p>
      <w:pPr>
        <w:pStyle w:val="49"/>
        <w:bidi w:val="0"/>
        <w:ind w:left="0" w:leftChars="0" w:firstLine="0" w:firstLineChars="0"/>
        <w:outlineLvl w:val="4"/>
        <w:rPr>
          <w:rFonts w:hint="default"/>
        </w:rPr>
      </w:pPr>
    </w:p>
    <w:p>
      <w:pPr>
        <w:pStyle w:val="27"/>
        <w:keepNext w:val="0"/>
        <w:keepLines w:val="0"/>
        <w:pageBreakBefore w:val="0"/>
        <w:widowControl/>
        <w:kinsoku/>
        <w:wordWrap/>
        <w:overflowPunct/>
        <w:topLinePunct w:val="0"/>
        <w:autoSpaceDE w:val="0"/>
        <w:autoSpaceDN w:val="0"/>
        <w:bidi w:val="0"/>
        <w:adjustRightInd/>
        <w:snapToGrid/>
        <w:spacing w:before="157" w:beforeLines="50" w:after="157" w:afterLines="50"/>
        <w:textAlignment w:val="auto"/>
        <w:rPr>
          <w:rFonts w:hint="default" w:ascii="黑体" w:hAnsi="Times New Roman" w:eastAsia="黑体" w:cs="Times New Roman"/>
          <w:sz w:val="21"/>
          <w:szCs w:val="21"/>
          <w:lang w:val="en-US" w:eastAsia="zh-CN" w:bidi="ar-SA"/>
        </w:rPr>
      </w:pPr>
      <w:r>
        <w:rPr>
          <w:rFonts w:hint="default" w:ascii="黑体" w:hAnsi="Times New Roman" w:eastAsia="黑体" w:cs="Times New Roman"/>
          <w:sz w:val="21"/>
          <w:szCs w:val="21"/>
          <w:lang w:val="en-US" w:eastAsia="zh-CN" w:bidi="ar-SA"/>
        </w:rPr>
        <w:t>检验 inspection</w:t>
      </w:r>
    </w:p>
    <w:p>
      <w:pPr>
        <w:pStyle w:val="27"/>
        <w:rPr>
          <w:rFonts w:hint="default"/>
        </w:rPr>
      </w:pPr>
      <w:r>
        <w:t>通过观察和判断，适当时结合测量、试验所进行的符合性评价。</w:t>
      </w:r>
    </w:p>
    <w:p>
      <w:pPr>
        <w:pStyle w:val="49"/>
        <w:bidi w:val="0"/>
        <w:ind w:left="0" w:leftChars="0" w:firstLine="0" w:firstLineChars="0"/>
        <w:outlineLvl w:val="4"/>
        <w:rPr>
          <w:rFonts w:hint="default"/>
        </w:rPr>
      </w:pPr>
    </w:p>
    <w:p>
      <w:pPr>
        <w:pStyle w:val="27"/>
        <w:keepNext w:val="0"/>
        <w:keepLines w:val="0"/>
        <w:pageBreakBefore w:val="0"/>
        <w:widowControl/>
        <w:kinsoku/>
        <w:wordWrap/>
        <w:overflowPunct/>
        <w:topLinePunct w:val="0"/>
        <w:autoSpaceDE w:val="0"/>
        <w:autoSpaceDN w:val="0"/>
        <w:bidi w:val="0"/>
        <w:adjustRightInd/>
        <w:snapToGrid/>
        <w:spacing w:before="157" w:beforeLines="50" w:after="157" w:afterLines="50"/>
        <w:textAlignment w:val="auto"/>
        <w:rPr>
          <w:rFonts w:hint="default" w:ascii="黑体" w:hAnsi="Times New Roman" w:eastAsia="黑体" w:cs="Times New Roman"/>
          <w:sz w:val="21"/>
          <w:szCs w:val="21"/>
          <w:lang w:val="en-US" w:eastAsia="zh-CN" w:bidi="ar-SA"/>
        </w:rPr>
      </w:pPr>
      <w:r>
        <w:rPr>
          <w:rFonts w:hint="default" w:ascii="黑体" w:hAnsi="Times New Roman" w:eastAsia="黑体" w:cs="Times New Roman"/>
          <w:sz w:val="21"/>
          <w:szCs w:val="21"/>
          <w:lang w:val="en-US" w:eastAsia="zh-CN" w:bidi="ar-SA"/>
        </w:rPr>
        <w:t>芯棒 mandrel</w:t>
      </w:r>
    </w:p>
    <w:p>
      <w:pPr>
        <w:pStyle w:val="27"/>
        <w:rPr>
          <w:rFonts w:hint="default"/>
        </w:rPr>
      </w:pPr>
      <w:r>
        <w:t>穿入空心工件孔腔的导电体。通电后，在被检件上形成周向磁场。</w:t>
      </w:r>
    </w:p>
    <w:p>
      <w:pPr>
        <w:pStyle w:val="49"/>
        <w:bidi w:val="0"/>
        <w:ind w:left="0" w:leftChars="0" w:firstLine="0" w:firstLineChars="0"/>
        <w:outlineLvl w:val="4"/>
        <w:rPr>
          <w:rFonts w:hint="default"/>
        </w:rPr>
      </w:pPr>
    </w:p>
    <w:p>
      <w:pPr>
        <w:pStyle w:val="27"/>
        <w:keepNext w:val="0"/>
        <w:keepLines w:val="0"/>
        <w:pageBreakBefore w:val="0"/>
        <w:widowControl/>
        <w:kinsoku/>
        <w:wordWrap/>
        <w:overflowPunct/>
        <w:topLinePunct w:val="0"/>
        <w:autoSpaceDE w:val="0"/>
        <w:autoSpaceDN w:val="0"/>
        <w:bidi w:val="0"/>
        <w:adjustRightInd/>
        <w:snapToGrid/>
        <w:spacing w:before="157" w:beforeLines="50" w:after="157" w:afterLines="50"/>
        <w:textAlignment w:val="auto"/>
        <w:rPr>
          <w:rFonts w:hint="default" w:ascii="黑体" w:hAnsi="Times New Roman" w:eastAsia="黑体" w:cs="Times New Roman"/>
          <w:sz w:val="21"/>
          <w:szCs w:val="21"/>
          <w:lang w:val="en-US" w:eastAsia="zh-CN" w:bidi="ar-SA"/>
        </w:rPr>
      </w:pPr>
      <w:r>
        <w:rPr>
          <w:rFonts w:hint="default" w:ascii="黑体" w:hAnsi="Times New Roman" w:eastAsia="黑体" w:cs="Times New Roman"/>
          <w:sz w:val="21"/>
          <w:szCs w:val="21"/>
          <w:lang w:val="en-US" w:eastAsia="zh-CN" w:bidi="ar-SA"/>
        </w:rPr>
        <w:t>可见泄漏 visible leakage</w:t>
      </w:r>
    </w:p>
    <w:p>
      <w:pPr>
        <w:pStyle w:val="154"/>
        <w:tabs>
          <w:tab w:val="left" w:pos="709"/>
        </w:tabs>
        <w:adjustRightInd w:val="0"/>
        <w:snapToGrid w:val="0"/>
        <w:ind w:firstLineChars="0"/>
      </w:pPr>
      <w:r>
        <w:t>通过直接观察或使用视频设备，在压力测试期间看到的测试液泄漏。</w:t>
      </w:r>
    </w:p>
    <w:p>
      <w:pPr>
        <w:pStyle w:val="27"/>
        <w:rPr>
          <w:rFonts w:hint="default"/>
        </w:rPr>
      </w:pPr>
      <w:r>
        <w:t>注：可以通过压力边界或在界面处观察到泄漏。</w:t>
      </w:r>
    </w:p>
    <w:p>
      <w:pPr>
        <w:pStyle w:val="49"/>
        <w:bidi w:val="0"/>
        <w:ind w:left="0" w:leftChars="0" w:firstLine="0" w:firstLineChars="0"/>
        <w:outlineLvl w:val="4"/>
        <w:rPr>
          <w:rFonts w:hint="default" w:ascii="黑体" w:hAnsi="Times New Roman" w:eastAsia="黑体" w:cs="Times New Roman"/>
          <w:sz w:val="21"/>
          <w:szCs w:val="21"/>
          <w:lang w:val="en-US" w:eastAsia="zh-CN" w:bidi="ar-SA"/>
        </w:rPr>
      </w:pPr>
      <w:r>
        <w:rPr>
          <w:rFonts w:hint="default"/>
        </w:rPr>
        <w:br w:type="textWrapping"/>
      </w:r>
      <w:r>
        <w:rPr>
          <w:rFonts w:hint="default"/>
        </w:rPr>
        <w:t xml:space="preserve">   </w:t>
      </w:r>
      <w:r>
        <w:rPr>
          <w:rFonts w:hint="default" w:ascii="黑体" w:hAnsi="Times New Roman" w:eastAsia="黑体" w:cs="Times New Roman"/>
          <w:sz w:val="21"/>
          <w:szCs w:val="21"/>
          <w:lang w:val="en-US" w:eastAsia="zh-CN" w:bidi="ar-SA"/>
        </w:rPr>
        <w:t xml:space="preserve"> </w:t>
      </w:r>
      <w:r>
        <w:rPr>
          <w:rFonts w:hint="eastAsia" w:ascii="黑体" w:hAnsi="Times New Roman" w:eastAsia="黑体" w:cs="Times New Roman"/>
          <w:sz w:val="21"/>
          <w:szCs w:val="21"/>
          <w:lang w:val="en-US" w:eastAsia="zh-CN" w:bidi="ar-SA"/>
        </w:rPr>
        <w:t>额定压力</w:t>
      </w:r>
      <w:r>
        <w:rPr>
          <w:rFonts w:hint="default" w:ascii="黑体" w:hAnsi="Times New Roman" w:eastAsia="黑体" w:cs="Times New Roman"/>
          <w:sz w:val="21"/>
          <w:szCs w:val="21"/>
          <w:lang w:val="en-US" w:eastAsia="zh-CN" w:bidi="ar-SA"/>
        </w:rPr>
        <w:t xml:space="preserve"> rated working pressure</w:t>
      </w:r>
    </w:p>
    <w:p>
      <w:pPr>
        <w:pStyle w:val="27"/>
        <w:rPr>
          <w:rFonts w:hint="default"/>
        </w:rPr>
      </w:pPr>
      <w:r>
        <w:rPr>
          <w:rFonts w:hint="default"/>
        </w:rPr>
        <w:t>装置设计在运行时能承受和/或控制的最大内压。</w:t>
      </w:r>
    </w:p>
    <w:p>
      <w:pPr>
        <w:pStyle w:val="45"/>
        <w:spacing w:before="156" w:after="156" w:line="300" w:lineRule="auto"/>
        <w:ind w:left="0"/>
        <w:outlineLvl w:val="3"/>
        <w:rPr>
          <w:rFonts w:hint="default" w:ascii="Times New Roman" w:hAnsi="Times New Roman" w:cs="Times New Roman"/>
        </w:rPr>
      </w:pPr>
      <w:bookmarkStart w:id="72" w:name="_Toc19589"/>
      <w:r>
        <w:rPr>
          <w:rFonts w:hint="eastAsia"/>
          <w:lang w:val="en-US" w:eastAsia="zh-CN"/>
        </w:rPr>
        <w:t>缩略语</w:t>
      </w:r>
      <w:bookmarkEnd w:id="72"/>
    </w:p>
    <w:p>
      <w:pPr>
        <w:pStyle w:val="154"/>
        <w:keepNext w:val="0"/>
        <w:keepLines w:val="0"/>
        <w:pageBreakBefore w:val="0"/>
        <w:tabs>
          <w:tab w:val="left" w:pos="709"/>
        </w:tabs>
        <w:kinsoku/>
        <w:wordWrap/>
        <w:overflowPunct/>
        <w:topLinePunct w:val="0"/>
        <w:bidi w:val="0"/>
        <w:adjustRightInd w:val="0"/>
        <w:snapToGrid w:val="0"/>
        <w:spacing w:beforeLines="0" w:afterLines="0"/>
        <w:ind w:firstLineChars="0"/>
        <w:textAlignment w:val="auto"/>
      </w:pPr>
      <w:r>
        <w:t>下列缩略语适用于本文件。</w:t>
      </w:r>
    </w:p>
    <w:p>
      <w:pPr>
        <w:pStyle w:val="154"/>
        <w:keepNext w:val="0"/>
        <w:keepLines w:val="0"/>
        <w:pageBreakBefore w:val="0"/>
        <w:tabs>
          <w:tab w:val="left" w:pos="709"/>
        </w:tabs>
        <w:kinsoku/>
        <w:wordWrap/>
        <w:overflowPunct/>
        <w:topLinePunct w:val="0"/>
        <w:bidi w:val="0"/>
        <w:adjustRightInd w:val="0"/>
        <w:snapToGrid w:val="0"/>
        <w:spacing w:beforeLines="0" w:afterLines="0"/>
        <w:ind w:firstLineChars="0"/>
        <w:textAlignment w:val="auto"/>
      </w:pPr>
      <w:r>
        <w:t>PSL：产品规范级别（Product  Specification  Level）</w:t>
      </w:r>
    </w:p>
    <w:p>
      <w:pPr>
        <w:pStyle w:val="27"/>
        <w:keepNext w:val="0"/>
        <w:keepLines w:val="0"/>
        <w:pageBreakBefore w:val="0"/>
        <w:kinsoku/>
        <w:wordWrap/>
        <w:overflowPunct/>
        <w:topLinePunct w:val="0"/>
        <w:bidi w:val="0"/>
        <w:ind w:left="0" w:leftChars="0" w:firstLine="420" w:firstLineChars="200"/>
        <w:textAlignment w:val="auto"/>
        <w:rPr>
          <w:rFonts w:hint="default" w:ascii="Times New Roman" w:hAnsi="Times New Roman" w:cs="Times New Roman"/>
        </w:rPr>
      </w:pPr>
      <w:r>
        <w:t>PR：性能要求（Performance Require</w:t>
      </w:r>
      <w:r>
        <w:rPr>
          <w:rFonts w:hint="eastAsia"/>
        </w:rPr>
        <w:t>ment</w:t>
      </w:r>
      <w:r>
        <w:t>）</w:t>
      </w:r>
    </w:p>
    <w:p>
      <w:pPr>
        <w:pStyle w:val="48"/>
        <w:spacing w:before="312" w:after="312"/>
        <w:outlineLvl w:val="2"/>
        <w:rPr>
          <w:rFonts w:hint="default" w:ascii="Times New Roman" w:hAnsi="Times New Roman" w:cs="Times New Roman"/>
        </w:rPr>
      </w:pPr>
      <w:bookmarkStart w:id="73" w:name="_Toc30327"/>
      <w:r>
        <w:rPr>
          <w:rFonts w:hint="eastAsia" w:ascii="Times New Roman" w:cs="Times New Roman"/>
          <w:lang w:val="en-US" w:eastAsia="zh-CN"/>
        </w:rPr>
        <w:t>安装使用技术要求</w:t>
      </w:r>
      <w:bookmarkEnd w:id="73"/>
    </w:p>
    <w:p>
      <w:pPr>
        <w:pStyle w:val="45"/>
        <w:spacing w:before="156" w:after="156"/>
        <w:ind w:left="2"/>
        <w:outlineLvl w:val="3"/>
        <w:rPr>
          <w:rFonts w:hint="default" w:ascii="Times New Roman" w:hAnsi="Times New Roman" w:cs="Times New Roman"/>
        </w:rPr>
      </w:pPr>
      <w:bookmarkStart w:id="74" w:name="_Toc8160"/>
      <w:r>
        <w:rPr>
          <w:rFonts w:hint="eastAsia" w:ascii="Times New Roman" w:cs="Times New Roman"/>
          <w:lang w:val="en-US" w:eastAsia="zh-CN"/>
        </w:rPr>
        <w:t>使用前的要求</w:t>
      </w:r>
      <w:bookmarkEnd w:id="74"/>
    </w:p>
    <w:p>
      <w:pPr>
        <w:pStyle w:val="27"/>
        <w:rPr>
          <w:rFonts w:hint="eastAsia" w:ascii="Times New Roman" w:cs="Times New Roman"/>
          <w:lang w:val="en-US" w:eastAsia="zh-CN"/>
        </w:rPr>
      </w:pPr>
      <w:r>
        <w:rPr>
          <w:rFonts w:hint="eastAsia" w:ascii="Times New Roman" w:cs="Times New Roman"/>
          <w:lang w:val="en-US" w:eastAsia="zh-CN"/>
        </w:rPr>
        <w:t>a) 目视检查包括以下内容：</w:t>
      </w:r>
    </w:p>
    <w:p>
      <w:pPr>
        <w:pStyle w:val="27"/>
        <w:ind w:left="0" w:leftChars="0" w:firstLine="638" w:firstLineChars="304"/>
        <w:rPr>
          <w:rFonts w:hint="eastAsia" w:ascii="Times New Roman" w:cs="Times New Roman"/>
          <w:lang w:val="en-US" w:eastAsia="zh-CN"/>
        </w:rPr>
      </w:pPr>
      <w:r>
        <w:rPr>
          <w:rFonts w:hint="eastAsia" w:ascii="Times New Roman" w:cs="Times New Roman"/>
          <w:lang w:val="en-US" w:eastAsia="zh-CN"/>
        </w:rPr>
        <w:t>1.内外表面应无裂纹、明显凹坑或缺损。</w:t>
      </w:r>
    </w:p>
    <w:p>
      <w:pPr>
        <w:pStyle w:val="27"/>
        <w:ind w:left="0" w:leftChars="0" w:firstLine="638" w:firstLineChars="304"/>
        <w:rPr>
          <w:rFonts w:hint="eastAsia" w:ascii="Times New Roman" w:cs="Times New Roman"/>
          <w:lang w:val="en-US" w:eastAsia="zh-CN"/>
        </w:rPr>
      </w:pPr>
      <w:r>
        <w:rPr>
          <w:rFonts w:hint="eastAsia" w:ascii="Times New Roman" w:cs="Times New Roman"/>
          <w:lang w:val="en-US" w:eastAsia="zh-CN"/>
        </w:rPr>
        <w:t>2.密封面的磨损、腐蚀程度不影响密封性能。</w:t>
      </w:r>
    </w:p>
    <w:p>
      <w:pPr>
        <w:pStyle w:val="27"/>
        <w:ind w:left="0" w:leftChars="0" w:firstLine="638" w:firstLineChars="304"/>
        <w:rPr>
          <w:rFonts w:hint="eastAsia" w:ascii="Times New Roman" w:cs="Times New Roman"/>
          <w:lang w:val="en-US" w:eastAsia="zh-CN"/>
        </w:rPr>
      </w:pPr>
      <w:r>
        <w:rPr>
          <w:rFonts w:hint="eastAsia" w:ascii="Times New Roman" w:cs="Times New Roman"/>
          <w:lang w:val="en-US" w:eastAsia="zh-CN"/>
        </w:rPr>
        <w:t>3.密封件应完好。</w:t>
      </w:r>
    </w:p>
    <w:p>
      <w:pPr>
        <w:pStyle w:val="27"/>
        <w:ind w:left="0" w:leftChars="0" w:firstLine="638" w:firstLineChars="304"/>
        <w:rPr>
          <w:rFonts w:hint="eastAsia" w:ascii="Times New Roman" w:cs="Times New Roman"/>
          <w:lang w:val="en-US" w:eastAsia="zh-CN"/>
        </w:rPr>
      </w:pPr>
      <w:r>
        <w:rPr>
          <w:rFonts w:hint="eastAsia" w:ascii="Times New Roman" w:cs="Times New Roman"/>
          <w:lang w:val="en-US" w:eastAsia="zh-CN"/>
        </w:rPr>
        <w:t>4.铭牌或本体的标志应完好。</w:t>
      </w:r>
    </w:p>
    <w:p>
      <w:pPr>
        <w:pStyle w:val="27"/>
        <w:ind w:left="0" w:leftChars="0" w:firstLine="638" w:firstLineChars="304"/>
        <w:rPr>
          <w:rFonts w:hint="eastAsia" w:ascii="Times New Roman" w:cs="Times New Roman"/>
          <w:lang w:val="en-US" w:eastAsia="zh-CN"/>
        </w:rPr>
      </w:pPr>
      <w:r>
        <w:rPr>
          <w:rFonts w:hint="eastAsia" w:ascii="Times New Roman" w:cs="Times New Roman"/>
          <w:lang w:val="en-US" w:eastAsia="zh-CN"/>
        </w:rPr>
        <w:t>5.刚性管线应无明显弯曲变形。</w:t>
      </w:r>
    </w:p>
    <w:p>
      <w:pPr>
        <w:pStyle w:val="27"/>
        <w:rPr>
          <w:rFonts w:hint="eastAsia" w:ascii="Times New Roman" w:cs="Times New Roman"/>
          <w:lang w:val="en-US" w:eastAsia="zh-CN"/>
        </w:rPr>
      </w:pPr>
      <w:r>
        <w:rPr>
          <w:rFonts w:hint="eastAsia" w:ascii="Times New Roman" w:cs="Times New Roman"/>
          <w:lang w:val="en-US" w:eastAsia="zh-CN"/>
        </w:rPr>
        <w:t>b) 检查旋塞阀、闸阀、节流阀、单向阀、活动弯头等管汇元件，应处于正常工作状态，阀门开关、活动弯头转动应灵活。</w:t>
      </w:r>
    </w:p>
    <w:p>
      <w:pPr>
        <w:pStyle w:val="27"/>
        <w:rPr>
          <w:rFonts w:hint="eastAsia" w:ascii="Times New Roman" w:cs="Times New Roman"/>
          <w:lang w:val="en-US" w:eastAsia="zh-CN"/>
        </w:rPr>
      </w:pPr>
      <w:r>
        <w:rPr>
          <w:rFonts w:hint="eastAsia" w:ascii="Times New Roman" w:cs="Times New Roman"/>
          <w:lang w:val="en-US" w:eastAsia="zh-CN"/>
        </w:rPr>
        <w:t>c) 活接头、螺纹及密封圈使用前应清洗干净。</w:t>
      </w:r>
    </w:p>
    <w:p>
      <w:pPr>
        <w:pStyle w:val="27"/>
        <w:rPr>
          <w:rFonts w:hint="eastAsia" w:ascii="Times New Roman" w:cs="Times New Roman"/>
          <w:lang w:val="en-US" w:eastAsia="zh-CN"/>
        </w:rPr>
      </w:pPr>
      <w:r>
        <w:rPr>
          <w:rFonts w:hint="eastAsia" w:ascii="Times New Roman" w:cs="Times New Roman"/>
          <w:lang w:val="en-US" w:eastAsia="zh-CN"/>
        </w:rPr>
        <w:t>d) 检查安全卡箍和安全软绳外表是否有裂纹和断丝现象，发现其中任一缺陷，均应更换。</w:t>
      </w:r>
    </w:p>
    <w:p>
      <w:pPr>
        <w:pStyle w:val="27"/>
        <w:rPr>
          <w:rFonts w:hint="eastAsia" w:ascii="Times New Roman" w:cs="Times New Roman"/>
          <w:lang w:val="en-US" w:eastAsia="zh-CN"/>
        </w:rPr>
      </w:pPr>
      <w:r>
        <w:rPr>
          <w:rFonts w:hint="eastAsia" w:ascii="Times New Roman" w:cs="Times New Roman"/>
          <w:lang w:val="en-US" w:eastAsia="zh-CN"/>
        </w:rPr>
        <w:t>e) 在含硫化氢环境下， 应使用抗硫化氢的管汇元件( 抗硫化氢的管汇元件的铭牌和本体上有“SOURGAS”标志)。产出液中的硫化氢分压等于或超过GB/T 20972(所有部分)规定的酸性环境中的硫化氢分压最低值，则适用。</w:t>
      </w:r>
    </w:p>
    <w:p>
      <w:pPr>
        <w:pStyle w:val="27"/>
        <w:rPr>
          <w:rFonts w:hint="eastAsia" w:ascii="Times New Roman" w:cs="Times New Roman"/>
          <w:lang w:val="en-US" w:eastAsia="zh-CN"/>
        </w:rPr>
      </w:pPr>
      <w:r>
        <w:rPr>
          <w:rFonts w:hint="eastAsia" w:ascii="Times New Roman" w:cs="Times New Roman"/>
          <w:lang w:val="en-US" w:eastAsia="zh-CN"/>
        </w:rPr>
        <w:t>f) 使用管汇应配备超压保护装置。</w:t>
      </w:r>
    </w:p>
    <w:p>
      <w:pPr>
        <w:pStyle w:val="27"/>
        <w:rPr>
          <w:rFonts w:hint="eastAsia" w:ascii="Times New Roman" w:cs="Times New Roman"/>
          <w:lang w:val="en-US" w:eastAsia="zh-CN"/>
        </w:rPr>
      </w:pPr>
      <w:r>
        <w:rPr>
          <w:rFonts w:hint="eastAsia" w:ascii="Times New Roman" w:cs="Times New Roman"/>
          <w:lang w:val="en-US" w:eastAsia="zh-CN"/>
        </w:rPr>
        <w:t>g) 所有阀门应有清晰的开、关标识，标识应与阀门开关状态一致。</w:t>
      </w:r>
    </w:p>
    <w:p>
      <w:pPr>
        <w:pStyle w:val="27"/>
        <w:rPr>
          <w:rFonts w:hint="eastAsia" w:ascii="Times New Roman" w:cs="Times New Roman"/>
          <w:lang w:val="en-US" w:eastAsia="zh-CN"/>
        </w:rPr>
      </w:pPr>
      <w:r>
        <w:rPr>
          <w:rFonts w:hint="eastAsia" w:ascii="Times New Roman" w:cs="Times New Roman"/>
          <w:lang w:val="en-US" w:eastAsia="zh-CN"/>
        </w:rPr>
        <w:t>h) 压裂施工现场应安装高清摄像头，保证施工时能实时监测整个高压区的工作状况。高压区域应设置安全警示带、安全防护栅栏和安全标志，安全标志应符合SY/T 6355的规定。</w:t>
      </w:r>
    </w:p>
    <w:p>
      <w:pPr>
        <w:pStyle w:val="27"/>
        <w:rPr>
          <w:rFonts w:hint="eastAsia" w:ascii="Times New Roman" w:hAnsi="Times New Roman" w:eastAsia="宋体" w:cs="Times New Roman"/>
          <w:lang w:eastAsia="zh-CN"/>
        </w:rPr>
      </w:pPr>
      <w:r>
        <w:rPr>
          <w:rFonts w:hint="eastAsia" w:ascii="Times New Roman" w:cs="Times New Roman"/>
          <w:lang w:val="en-US" w:eastAsia="zh-CN"/>
        </w:rPr>
        <w:t>i) 对施工所有高压管汇应建立使用时间、检测时间、编号和累计使用时间（累计使用小时、液量、砂量）。</w:t>
      </w:r>
    </w:p>
    <w:p>
      <w:pPr>
        <w:pStyle w:val="45"/>
        <w:spacing w:before="156" w:after="156"/>
        <w:ind w:left="2"/>
        <w:outlineLvl w:val="3"/>
        <w:rPr>
          <w:rFonts w:hint="default" w:ascii="Times New Roman" w:hAnsi="Times New Roman" w:cs="Times New Roman"/>
        </w:rPr>
      </w:pPr>
      <w:bookmarkStart w:id="75" w:name="_Toc30427"/>
      <w:r>
        <w:rPr>
          <w:rFonts w:hint="eastAsia" w:ascii="Times New Roman" w:cs="Times New Roman"/>
          <w:lang w:val="en-US" w:eastAsia="zh-CN"/>
        </w:rPr>
        <w:t>安装要求</w:t>
      </w:r>
      <w:bookmarkEnd w:id="75"/>
    </w:p>
    <w:p>
      <w:pPr>
        <w:pStyle w:val="27"/>
        <w:rPr>
          <w:rFonts w:hint="default" w:ascii="Times New Roman" w:hAnsi="Times New Roman" w:cs="Times New Roman"/>
        </w:rPr>
      </w:pPr>
      <w:r>
        <w:rPr>
          <w:rFonts w:hint="default" w:ascii="Times New Roman" w:hAnsi="Times New Roman" w:cs="Times New Roman"/>
        </w:rPr>
        <w:t>a)</w:t>
      </w:r>
      <w:r>
        <w:rPr>
          <w:rFonts w:hint="eastAsia" w:ascii="Times New Roman" w:cs="Times New Roman"/>
          <w:lang w:val="en-US" w:eastAsia="zh-CN"/>
        </w:rPr>
        <w:t xml:space="preserve"> </w:t>
      </w:r>
      <w:r>
        <w:rPr>
          <w:rFonts w:hint="default" w:ascii="Times New Roman" w:hAnsi="Times New Roman" w:cs="Times New Roman"/>
        </w:rPr>
        <w:t>所有接头连接处不应强行安装。管汇连接后应使用安全卡箍和安全软绳捆绑。每条管路的起点和终点使用卸扣固定。</w:t>
      </w:r>
    </w:p>
    <w:p>
      <w:pPr>
        <w:pStyle w:val="27"/>
        <w:rPr>
          <w:rFonts w:hint="default" w:ascii="Times New Roman" w:hAnsi="Times New Roman" w:cs="Times New Roman"/>
        </w:rPr>
      </w:pPr>
      <w:r>
        <w:rPr>
          <w:rFonts w:hint="default" w:ascii="Times New Roman" w:hAnsi="Times New Roman" w:cs="Times New Roman"/>
        </w:rPr>
        <w:t>b)</w:t>
      </w:r>
      <w:r>
        <w:rPr>
          <w:rFonts w:hint="eastAsia" w:ascii="Times New Roman" w:cs="Times New Roman"/>
          <w:lang w:val="en-US" w:eastAsia="zh-CN"/>
        </w:rPr>
        <w:t xml:space="preserve"> </w:t>
      </w:r>
      <w:r>
        <w:rPr>
          <w:rFonts w:hint="default" w:ascii="Times New Roman" w:hAnsi="Times New Roman" w:cs="Times New Roman"/>
        </w:rPr>
        <w:t>管汇元件装卸过程中应避免碰撞，除翼型螺母外不允许敲击。</w:t>
      </w:r>
    </w:p>
    <w:p>
      <w:pPr>
        <w:pStyle w:val="27"/>
        <w:rPr>
          <w:rFonts w:hint="default" w:ascii="Times New Roman" w:hAnsi="Times New Roman" w:cs="Times New Roman"/>
        </w:rPr>
      </w:pPr>
      <w:r>
        <w:rPr>
          <w:rFonts w:hint="default" w:ascii="Times New Roman" w:hAnsi="Times New Roman" w:cs="Times New Roman"/>
        </w:rPr>
        <w:t>c)</w:t>
      </w:r>
      <w:r>
        <w:rPr>
          <w:rFonts w:hint="eastAsia" w:ascii="Times New Roman" w:cs="Times New Roman"/>
          <w:lang w:val="en-US" w:eastAsia="zh-CN"/>
        </w:rPr>
        <w:t xml:space="preserve"> </w:t>
      </w:r>
      <w:r>
        <w:rPr>
          <w:rFonts w:hint="default" w:ascii="Times New Roman" w:hAnsi="Times New Roman" w:cs="Times New Roman"/>
        </w:rPr>
        <w:t>管汇元件安装或拆卸时不应损坏螺栓、螺母、工作密封表面及活接头连接处。</w:t>
      </w:r>
    </w:p>
    <w:p>
      <w:pPr>
        <w:pStyle w:val="27"/>
        <w:rPr>
          <w:rFonts w:hint="default" w:ascii="Times New Roman" w:hAnsi="Times New Roman" w:cs="Times New Roman"/>
        </w:rPr>
      </w:pPr>
      <w:r>
        <w:rPr>
          <w:rFonts w:hint="default" w:ascii="Times New Roman" w:hAnsi="Times New Roman" w:cs="Times New Roman"/>
        </w:rPr>
        <w:t>d</w:t>
      </w:r>
      <w:r>
        <w:rPr>
          <w:rFonts w:hint="eastAsia" w:ascii="Times New Roman" w:cs="Times New Roman"/>
          <w:lang w:val="en-US" w:eastAsia="zh-CN"/>
        </w:rPr>
        <w:t xml:space="preserve"> </w:t>
      </w:r>
      <w:r>
        <w:rPr>
          <w:rFonts w:hint="default" w:ascii="Times New Roman" w:hAnsi="Times New Roman" w:cs="Times New Roman"/>
        </w:rPr>
        <w:t>)</w:t>
      </w:r>
      <w:r>
        <w:rPr>
          <w:rFonts w:hint="eastAsia" w:ascii="Times New Roman" w:cs="Times New Roman"/>
          <w:lang w:val="en-US" w:eastAsia="zh-CN"/>
        </w:rPr>
        <w:t xml:space="preserve"> </w:t>
      </w:r>
      <w:r>
        <w:rPr>
          <w:rFonts w:hint="default" w:ascii="Times New Roman" w:hAnsi="Times New Roman" w:cs="Times New Roman"/>
        </w:rPr>
        <w:t>两个活动弯头串接时，与活动弯头连接的刚性管线(阀门)在靠近活动弯头处需支撑固定。</w:t>
      </w:r>
    </w:p>
    <w:p>
      <w:pPr>
        <w:pStyle w:val="27"/>
        <w:rPr>
          <w:rFonts w:hint="default" w:ascii="Times New Roman" w:hAnsi="Times New Roman" w:cs="Times New Roman"/>
        </w:rPr>
      </w:pPr>
      <w:r>
        <w:rPr>
          <w:rFonts w:hint="default" w:ascii="Times New Roman" w:hAnsi="Times New Roman" w:cs="Times New Roman"/>
        </w:rPr>
        <w:t>e)</w:t>
      </w:r>
      <w:r>
        <w:rPr>
          <w:rFonts w:hint="eastAsia" w:ascii="Times New Roman" w:cs="Times New Roman"/>
          <w:lang w:val="en-US" w:eastAsia="zh-CN"/>
        </w:rPr>
        <w:t xml:space="preserve"> </w:t>
      </w:r>
      <w:r>
        <w:rPr>
          <w:rFonts w:hint="default" w:ascii="Times New Roman" w:hAnsi="Times New Roman" w:cs="Times New Roman"/>
        </w:rPr>
        <w:t>活动弯头不允许使用三个或三个以上连续串接。</w:t>
      </w:r>
    </w:p>
    <w:p>
      <w:pPr>
        <w:pStyle w:val="27"/>
        <w:rPr>
          <w:rFonts w:hint="default" w:ascii="Times New Roman" w:hAnsi="Times New Roman" w:cs="Times New Roman"/>
        </w:rPr>
      </w:pPr>
      <w:r>
        <w:rPr>
          <w:rFonts w:hint="default" w:ascii="Times New Roman" w:hAnsi="Times New Roman" w:cs="Times New Roman"/>
        </w:rPr>
        <w:t>f)</w:t>
      </w:r>
      <w:r>
        <w:rPr>
          <w:rFonts w:hint="eastAsia" w:ascii="Times New Roman" w:cs="Times New Roman"/>
          <w:lang w:val="en-US" w:eastAsia="zh-CN"/>
        </w:rPr>
        <w:t xml:space="preserve"> </w:t>
      </w:r>
      <w:r>
        <w:rPr>
          <w:rFonts w:hint="default" w:ascii="Times New Roman" w:hAnsi="Times New Roman" w:cs="Times New Roman"/>
        </w:rPr>
        <w:t>地面的活动弯头、刚性管线等管汇元件应采用橡胶垫块支撑，必要时可在橡胶垫块下部增加垫木调整高度；高压管路直线段距离大于6m时应采用基墩或地锚固定支撑；管线与基墩或地锚之间应安装厚度不小于10mm的橡胶垫，地脚螺栓应不小于M16。</w:t>
      </w:r>
    </w:p>
    <w:p>
      <w:pPr>
        <w:pStyle w:val="27"/>
        <w:rPr>
          <w:rFonts w:hint="default" w:ascii="Times New Roman" w:hAnsi="Times New Roman" w:cs="Times New Roman"/>
        </w:rPr>
      </w:pPr>
      <w:r>
        <w:rPr>
          <w:rFonts w:hint="default" w:ascii="Times New Roman" w:hAnsi="Times New Roman" w:cs="Times New Roman"/>
        </w:rPr>
        <w:t>g)</w:t>
      </w:r>
      <w:r>
        <w:rPr>
          <w:rFonts w:hint="eastAsia" w:ascii="Times New Roman" w:cs="Times New Roman"/>
          <w:lang w:val="en-US" w:eastAsia="zh-CN"/>
        </w:rPr>
        <w:t xml:space="preserve"> </w:t>
      </w:r>
      <w:r>
        <w:rPr>
          <w:rFonts w:hint="default" w:ascii="Times New Roman" w:hAnsi="Times New Roman" w:cs="Times New Roman"/>
        </w:rPr>
        <w:t>两条高压管路之间不应有接触，当两条高压管路之间距离小于30 mm时应使用橡胶块或垫木隔开。</w:t>
      </w:r>
    </w:p>
    <w:p>
      <w:pPr>
        <w:pStyle w:val="27"/>
        <w:rPr>
          <w:rFonts w:hint="default" w:ascii="Times New Roman" w:hAnsi="Times New Roman" w:cs="Times New Roman"/>
        </w:rPr>
      </w:pPr>
      <w:r>
        <w:rPr>
          <w:rFonts w:hint="default" w:ascii="Times New Roman" w:hAnsi="Times New Roman" w:cs="Times New Roman"/>
        </w:rPr>
        <w:t>h)</w:t>
      </w:r>
      <w:r>
        <w:rPr>
          <w:rFonts w:hint="eastAsia" w:ascii="Times New Roman" w:cs="Times New Roman"/>
          <w:lang w:val="en-US" w:eastAsia="zh-CN"/>
        </w:rPr>
        <w:t xml:space="preserve"> </w:t>
      </w:r>
      <w:r>
        <w:rPr>
          <w:rFonts w:hint="default" w:ascii="Times New Roman" w:hAnsi="Times New Roman" w:cs="Times New Roman"/>
        </w:rPr>
        <w:t>管汇橇出口应采用活动弯头连接并落地。</w:t>
      </w:r>
    </w:p>
    <w:p>
      <w:pPr>
        <w:pStyle w:val="27"/>
        <w:rPr>
          <w:rFonts w:hint="default" w:ascii="Times New Roman" w:hAnsi="Times New Roman" w:cs="Times New Roman"/>
        </w:rPr>
      </w:pPr>
      <w:r>
        <w:rPr>
          <w:rFonts w:hint="default" w:ascii="Times New Roman" w:hAnsi="Times New Roman" w:cs="Times New Roman"/>
        </w:rPr>
        <w:t>i)</w:t>
      </w:r>
      <w:r>
        <w:rPr>
          <w:rFonts w:hint="eastAsia" w:ascii="Times New Roman" w:cs="Times New Roman"/>
          <w:lang w:val="en-US" w:eastAsia="zh-CN"/>
        </w:rPr>
        <w:t xml:space="preserve"> </w:t>
      </w:r>
      <w:r>
        <w:rPr>
          <w:rFonts w:hint="default" w:ascii="Times New Roman" w:hAnsi="Times New Roman" w:cs="Times New Roman"/>
        </w:rPr>
        <w:t>管汇橇与分流管汇之间每条管路中宜安装一个旋塞阀和一个挡板式单向阀，旋塞阀和单向阀串联安装，单向阀标识方向与液体流向一致。</w:t>
      </w:r>
    </w:p>
    <w:p>
      <w:pPr>
        <w:pStyle w:val="27"/>
        <w:rPr>
          <w:rFonts w:hint="default" w:ascii="Times New Roman" w:hAnsi="Times New Roman" w:cs="Times New Roman"/>
        </w:rPr>
      </w:pPr>
      <w:r>
        <w:rPr>
          <w:rFonts w:hint="default" w:ascii="Times New Roman" w:hAnsi="Times New Roman" w:cs="Times New Roman"/>
        </w:rPr>
        <w:t>j)</w:t>
      </w:r>
      <w:r>
        <w:rPr>
          <w:rFonts w:hint="eastAsia" w:ascii="Times New Roman" w:cs="Times New Roman"/>
          <w:lang w:val="en-US" w:eastAsia="zh-CN"/>
        </w:rPr>
        <w:t xml:space="preserve"> </w:t>
      </w:r>
      <w:r>
        <w:rPr>
          <w:rFonts w:hint="default" w:ascii="Times New Roman" w:hAnsi="Times New Roman" w:cs="Times New Roman"/>
        </w:rPr>
        <w:t>泄压管路宜安装在最外侧的主管线上。泄压管路的安装方式为:在单向阀与分流管汇之间安装T形三通，在T形三通上依次安装旋塞阀和泄压管线。</w:t>
      </w:r>
    </w:p>
    <w:p>
      <w:pPr>
        <w:pStyle w:val="27"/>
        <w:rPr>
          <w:rFonts w:hint="default" w:ascii="Times New Roman" w:hAnsi="Times New Roman" w:cs="Times New Roman"/>
        </w:rPr>
      </w:pPr>
      <w:r>
        <w:rPr>
          <w:rFonts w:hint="default" w:ascii="Times New Roman" w:hAnsi="Times New Roman" w:cs="Times New Roman"/>
        </w:rPr>
        <w:t>k)</w:t>
      </w:r>
      <w:r>
        <w:rPr>
          <w:rFonts w:hint="eastAsia" w:ascii="Times New Roman" w:cs="Times New Roman"/>
          <w:lang w:val="en-US" w:eastAsia="zh-CN"/>
        </w:rPr>
        <w:t xml:space="preserve"> </w:t>
      </w:r>
      <w:r>
        <w:rPr>
          <w:rFonts w:hint="default" w:ascii="Times New Roman" w:hAnsi="Times New Roman" w:cs="Times New Roman"/>
        </w:rPr>
        <w:t>井工厂压裂井场超过两口井时应采用分流管汇。</w:t>
      </w:r>
    </w:p>
    <w:p>
      <w:pPr>
        <w:pStyle w:val="27"/>
        <w:rPr>
          <w:rFonts w:hint="default" w:ascii="Times New Roman" w:hAnsi="Times New Roman" w:cs="Times New Roman"/>
        </w:rPr>
      </w:pPr>
      <w:r>
        <w:rPr>
          <w:rFonts w:hint="default" w:ascii="Times New Roman" w:hAnsi="Times New Roman" w:cs="Times New Roman"/>
        </w:rPr>
        <w:t>l)</w:t>
      </w:r>
      <w:r>
        <w:rPr>
          <w:rFonts w:hint="eastAsia" w:ascii="Times New Roman" w:cs="Times New Roman"/>
          <w:lang w:val="en-US" w:eastAsia="zh-CN"/>
        </w:rPr>
        <w:t xml:space="preserve"> </w:t>
      </w:r>
      <w:r>
        <w:rPr>
          <w:rFonts w:hint="default" w:ascii="Times New Roman" w:hAnsi="Times New Roman" w:cs="Times New Roman"/>
        </w:rPr>
        <w:t>连接所有高压管汇时应使用新的减振支撑胶皮。</w:t>
      </w:r>
    </w:p>
    <w:p>
      <w:pPr>
        <w:pStyle w:val="27"/>
        <w:rPr>
          <w:rFonts w:hint="default" w:ascii="Times New Roman" w:hAnsi="Times New Roman" w:cs="Times New Roman"/>
        </w:rPr>
      </w:pPr>
      <w:r>
        <w:rPr>
          <w:rFonts w:hint="default" w:ascii="Times New Roman" w:hAnsi="Times New Roman" w:cs="Times New Roman"/>
        </w:rPr>
        <w:t>m)</w:t>
      </w:r>
      <w:r>
        <w:rPr>
          <w:rFonts w:hint="eastAsia" w:ascii="Times New Roman" w:cs="Times New Roman"/>
          <w:lang w:val="en-US" w:eastAsia="zh-CN"/>
        </w:rPr>
        <w:t xml:space="preserve"> </w:t>
      </w:r>
      <w:r>
        <w:rPr>
          <w:rFonts w:hint="default" w:ascii="Times New Roman" w:hAnsi="Times New Roman" w:cs="Times New Roman"/>
        </w:rPr>
        <w:t>连接高压管汇，不得损伤工作密封表面及连接处。</w:t>
      </w:r>
    </w:p>
    <w:p>
      <w:pPr>
        <w:pStyle w:val="27"/>
        <w:rPr>
          <w:rFonts w:hint="default" w:ascii="Times New Roman" w:hAnsi="Times New Roman" w:cs="Times New Roman"/>
        </w:rPr>
      </w:pPr>
      <w:r>
        <w:rPr>
          <w:rFonts w:hint="eastAsia" w:ascii="Times New Roman" w:cs="Times New Roman"/>
          <w:lang w:val="en-US" w:eastAsia="zh-CN"/>
        </w:rPr>
        <w:t>n</w:t>
      </w:r>
      <w:r>
        <w:rPr>
          <w:rFonts w:hint="default" w:ascii="Times New Roman" w:hAnsi="Times New Roman" w:cs="Times New Roman"/>
        </w:rPr>
        <w:t>)</w:t>
      </w:r>
      <w:r>
        <w:rPr>
          <w:rFonts w:hint="eastAsia" w:ascii="Times New Roman" w:cs="Times New Roman"/>
          <w:lang w:val="en-US" w:eastAsia="zh-CN"/>
        </w:rPr>
        <w:t xml:space="preserve"> </w:t>
      </w:r>
      <w:r>
        <w:rPr>
          <w:rFonts w:hint="default" w:ascii="Times New Roman" w:hAnsi="Times New Roman" w:cs="Times New Roman"/>
        </w:rPr>
        <w:t>高压管汇安装总体要求，见附录A。</w:t>
      </w:r>
    </w:p>
    <w:p>
      <w:pPr>
        <w:pStyle w:val="45"/>
        <w:spacing w:before="156" w:after="156"/>
        <w:ind w:left="2"/>
        <w:outlineLvl w:val="3"/>
        <w:rPr>
          <w:rFonts w:hint="eastAsia" w:ascii="Times New Roman" w:cs="Times New Roman"/>
          <w:lang w:val="en-US" w:eastAsia="zh-CN"/>
        </w:rPr>
      </w:pPr>
      <w:bookmarkStart w:id="76" w:name="_Toc29338"/>
      <w:bookmarkStart w:id="77" w:name="_Toc23923"/>
      <w:r>
        <w:rPr>
          <w:rFonts w:hint="eastAsia" w:ascii="Times New Roman" w:cs="Times New Roman"/>
          <w:lang w:val="en-US" w:eastAsia="zh-CN"/>
        </w:rPr>
        <w:t>使用时的要求</w:t>
      </w:r>
      <w:bookmarkEnd w:id="76"/>
      <w:bookmarkEnd w:id="77"/>
    </w:p>
    <w:p>
      <w:pPr>
        <w:pStyle w:val="27"/>
      </w:pPr>
      <w:r>
        <w:rPr>
          <w:rFonts w:hint="eastAsia"/>
          <w:lang w:val="en-US" w:eastAsia="zh-CN"/>
        </w:rPr>
        <w:t>a</w:t>
      </w:r>
      <w:r>
        <w:rPr>
          <w:rFonts w:hint="default" w:ascii="Times New Roman" w:hAnsi="Times New Roman" w:cs="Times New Roman"/>
        </w:rPr>
        <w:t>)</w:t>
      </w:r>
      <w:r>
        <w:rPr>
          <w:rFonts w:hint="eastAsia" w:ascii="Times New Roman" w:cs="Times New Roman"/>
          <w:lang w:val="en-US" w:eastAsia="zh-CN"/>
        </w:rPr>
        <w:t xml:space="preserve"> </w:t>
      </w:r>
      <w:r>
        <w:t>不推荐使用管螺纹，如果要使用管螺纹，拧紧力矩应符合表1的要求。</w:t>
      </w:r>
    </w:p>
    <w:p>
      <w:pPr>
        <w:pStyle w:val="129"/>
        <w:bidi w:val="0"/>
        <w:rPr>
          <w:rFonts w:hint="eastAsia"/>
          <w:lang w:val="en-US" w:eastAsia="zh-CN"/>
        </w:rPr>
      </w:pPr>
      <w:r>
        <w:rPr>
          <w:rFonts w:hint="eastAsia"/>
          <w:lang w:val="en-US" w:eastAsia="zh-CN"/>
        </w:rPr>
        <w:t>管汇元件螺纹拧紧力矩值</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2"/>
        <w:gridCol w:w="3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2" w:type="dxa"/>
            <w:tcBorders>
              <w:top w:val="single" w:color="auto" w:sz="12" w:space="0"/>
              <w:left w:val="single" w:color="auto" w:sz="12" w:space="0"/>
              <w:bottom w:val="single" w:color="auto" w:sz="2" w:space="0"/>
              <w:right w:val="single" w:color="auto" w:sz="2" w:space="0"/>
            </w:tcBorders>
          </w:tcPr>
          <w:p>
            <w:pPr>
              <w:pStyle w:val="27"/>
              <w:jc w:val="center"/>
              <w:rPr>
                <w:rFonts w:hint="default"/>
                <w:szCs w:val="18"/>
              </w:rPr>
            </w:pPr>
            <w:r>
              <w:rPr>
                <w:rFonts w:hint="default"/>
                <w:szCs w:val="18"/>
              </w:rPr>
              <w:t>管线管螺纹规格</w:t>
            </w:r>
          </w:p>
        </w:tc>
        <w:tc>
          <w:tcPr>
            <w:tcW w:w="3739" w:type="dxa"/>
            <w:tcBorders>
              <w:top w:val="single" w:color="auto" w:sz="12" w:space="0"/>
              <w:left w:val="single" w:color="auto" w:sz="2" w:space="0"/>
              <w:bottom w:val="single" w:color="auto" w:sz="2" w:space="0"/>
              <w:right w:val="single" w:color="auto" w:sz="12" w:space="0"/>
            </w:tcBorders>
          </w:tcPr>
          <w:p>
            <w:pPr>
              <w:pStyle w:val="27"/>
              <w:jc w:val="center"/>
              <w:rPr>
                <w:rFonts w:hint="default"/>
                <w:szCs w:val="18"/>
              </w:rPr>
            </w:pPr>
            <w:r>
              <w:rPr>
                <w:rFonts w:hint="default"/>
                <w:szCs w:val="18"/>
              </w:rPr>
              <w:t>拧紧力矩，N·m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2" w:type="dxa"/>
            <w:tcBorders>
              <w:top w:val="single" w:color="auto" w:sz="2" w:space="0"/>
              <w:left w:val="single" w:color="auto" w:sz="12" w:space="0"/>
              <w:bottom w:val="single" w:color="auto" w:sz="2" w:space="0"/>
              <w:right w:val="single" w:color="auto" w:sz="2" w:space="0"/>
            </w:tcBorders>
          </w:tcPr>
          <w:p>
            <w:pPr>
              <w:pStyle w:val="27"/>
              <w:jc w:val="center"/>
              <w:rPr>
                <w:rFonts w:hint="default"/>
                <w:szCs w:val="18"/>
              </w:rPr>
            </w:pPr>
            <w:r>
              <w:rPr>
                <w:rFonts w:hint="default"/>
                <w:szCs w:val="18"/>
              </w:rPr>
              <w:t>2LP</w:t>
            </w:r>
          </w:p>
        </w:tc>
        <w:tc>
          <w:tcPr>
            <w:tcW w:w="3739" w:type="dxa"/>
            <w:tcBorders>
              <w:top w:val="single" w:color="auto" w:sz="2" w:space="0"/>
              <w:left w:val="single" w:color="auto" w:sz="2" w:space="0"/>
              <w:bottom w:val="single" w:color="auto" w:sz="2" w:space="0"/>
              <w:right w:val="single" w:color="auto" w:sz="12" w:space="0"/>
            </w:tcBorders>
          </w:tcPr>
          <w:p>
            <w:pPr>
              <w:pStyle w:val="27"/>
              <w:jc w:val="center"/>
              <w:rPr>
                <w:rFonts w:hint="default"/>
                <w:szCs w:val="18"/>
              </w:rPr>
            </w:pPr>
            <w:r>
              <w:rPr>
                <w:rFonts w:hint="default"/>
                <w:szCs w:val="18"/>
              </w:rPr>
              <w:t>2032～2600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2" w:type="dxa"/>
            <w:tcBorders>
              <w:top w:val="single" w:color="auto" w:sz="2" w:space="0"/>
              <w:left w:val="single" w:color="auto" w:sz="12" w:space="0"/>
              <w:bottom w:val="single" w:color="auto" w:sz="2" w:space="0"/>
              <w:right w:val="single" w:color="auto" w:sz="2" w:space="0"/>
            </w:tcBorders>
          </w:tcPr>
          <w:p>
            <w:pPr>
              <w:pStyle w:val="27"/>
              <w:jc w:val="center"/>
              <w:rPr>
                <w:rFonts w:hint="default"/>
                <w:szCs w:val="18"/>
              </w:rPr>
            </w:pPr>
            <w:r>
              <w:rPr>
                <w:rFonts w:hint="default"/>
                <w:szCs w:val="18"/>
              </w:rPr>
              <w:t>3LP</w:t>
            </w:r>
          </w:p>
        </w:tc>
        <w:tc>
          <w:tcPr>
            <w:tcW w:w="3739" w:type="dxa"/>
            <w:tcBorders>
              <w:top w:val="single" w:color="auto" w:sz="2" w:space="0"/>
              <w:left w:val="single" w:color="auto" w:sz="2" w:space="0"/>
              <w:bottom w:val="single" w:color="auto" w:sz="2" w:space="0"/>
              <w:right w:val="single" w:color="auto" w:sz="12" w:space="0"/>
            </w:tcBorders>
          </w:tcPr>
          <w:p>
            <w:pPr>
              <w:pStyle w:val="27"/>
              <w:jc w:val="center"/>
              <w:rPr>
                <w:rFonts w:hint="default"/>
                <w:szCs w:val="18"/>
              </w:rPr>
            </w:pPr>
            <w:r>
              <w:rPr>
                <w:rFonts w:hint="default"/>
                <w:szCs w:val="18"/>
              </w:rPr>
              <w:t>2400～3000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2" w:type="dxa"/>
            <w:tcBorders>
              <w:top w:val="single" w:color="auto" w:sz="2" w:space="0"/>
              <w:left w:val="single" w:color="auto" w:sz="12" w:space="0"/>
              <w:bottom w:val="single" w:color="auto" w:sz="12" w:space="0"/>
              <w:right w:val="single" w:color="auto" w:sz="2" w:space="0"/>
            </w:tcBorders>
          </w:tcPr>
          <w:p>
            <w:pPr>
              <w:pStyle w:val="27"/>
              <w:jc w:val="center"/>
              <w:rPr>
                <w:rFonts w:hint="default"/>
                <w:szCs w:val="18"/>
              </w:rPr>
            </w:pPr>
            <w:r>
              <w:rPr>
                <w:rFonts w:hint="default"/>
                <w:szCs w:val="18"/>
              </w:rPr>
              <w:t>4LP</w:t>
            </w:r>
          </w:p>
        </w:tc>
        <w:tc>
          <w:tcPr>
            <w:tcW w:w="3739" w:type="dxa"/>
            <w:tcBorders>
              <w:top w:val="single" w:color="auto" w:sz="2" w:space="0"/>
              <w:left w:val="single" w:color="auto" w:sz="2" w:space="0"/>
              <w:bottom w:val="single" w:color="auto" w:sz="12" w:space="0"/>
              <w:right w:val="single" w:color="auto" w:sz="12" w:space="0"/>
            </w:tcBorders>
          </w:tcPr>
          <w:p>
            <w:pPr>
              <w:pStyle w:val="27"/>
              <w:jc w:val="center"/>
              <w:rPr>
                <w:rFonts w:hint="default"/>
                <w:szCs w:val="18"/>
              </w:rPr>
            </w:pPr>
            <w:r>
              <w:rPr>
                <w:rFonts w:hint="default"/>
                <w:szCs w:val="18"/>
              </w:rPr>
              <w:t>2600～3252</w:t>
            </w:r>
          </w:p>
        </w:tc>
      </w:tr>
    </w:tbl>
    <w:p>
      <w:pPr>
        <w:pStyle w:val="27"/>
        <w:jc w:val="left"/>
        <w:rPr>
          <w:rFonts w:hint="default"/>
        </w:rPr>
      </w:pPr>
    </w:p>
    <w:p>
      <w:pPr>
        <w:pStyle w:val="27"/>
        <w:jc w:val="left"/>
        <w:rPr>
          <w:rFonts w:hint="default"/>
        </w:rPr>
      </w:pPr>
      <w:r>
        <w:rPr>
          <w:rFonts w:hint="default"/>
        </w:rPr>
        <w:t>b)</w:t>
      </w:r>
      <w:r>
        <w:rPr>
          <w:rFonts w:hint="eastAsia"/>
          <w:lang w:val="en-US" w:eastAsia="zh-CN"/>
        </w:rPr>
        <w:t xml:space="preserve"> </w:t>
      </w:r>
      <w:r>
        <w:rPr>
          <w:rFonts w:hint="default"/>
        </w:rPr>
        <w:t>活动弯头不应在连续旋转、摆动和承受轴向负荷的工况下使用。</w:t>
      </w:r>
    </w:p>
    <w:p>
      <w:pPr>
        <w:pStyle w:val="27"/>
        <w:jc w:val="left"/>
        <w:rPr>
          <w:rFonts w:hint="default"/>
        </w:rPr>
      </w:pPr>
      <w:r>
        <w:rPr>
          <w:rFonts w:hint="default"/>
        </w:rPr>
        <w:t>c)</w:t>
      </w:r>
      <w:r>
        <w:rPr>
          <w:rFonts w:hint="eastAsia"/>
          <w:lang w:val="en-US" w:eastAsia="zh-CN"/>
        </w:rPr>
        <w:t xml:space="preserve"> </w:t>
      </w:r>
      <w:r>
        <w:rPr>
          <w:rFonts w:hint="default"/>
        </w:rPr>
        <w:t>单向阀标识方向应与流体流动方向一致。</w:t>
      </w:r>
    </w:p>
    <w:p>
      <w:pPr>
        <w:pStyle w:val="27"/>
        <w:jc w:val="left"/>
        <w:rPr>
          <w:rFonts w:hint="default"/>
        </w:rPr>
      </w:pPr>
      <w:r>
        <w:rPr>
          <w:rFonts w:hint="default"/>
        </w:rPr>
        <w:t>d)</w:t>
      </w:r>
      <w:r>
        <w:rPr>
          <w:rFonts w:hint="eastAsia"/>
          <w:lang w:val="en-US" w:eastAsia="zh-CN"/>
        </w:rPr>
        <w:t xml:space="preserve"> </w:t>
      </w:r>
      <w:r>
        <w:rPr>
          <w:rFonts w:hint="default"/>
        </w:rPr>
        <w:t>管汇连接后应进行静水压试验，试验压力不低于设计施工限压。试压前，应充分循环管线，排尽空气。</w:t>
      </w:r>
    </w:p>
    <w:p>
      <w:pPr>
        <w:pStyle w:val="27"/>
        <w:jc w:val="left"/>
        <w:rPr>
          <w:rFonts w:hint="default"/>
        </w:rPr>
      </w:pPr>
      <w:r>
        <w:rPr>
          <w:rFonts w:hint="default"/>
        </w:rPr>
        <w:t>e)</w:t>
      </w:r>
      <w:r>
        <w:rPr>
          <w:rFonts w:hint="eastAsia"/>
          <w:lang w:val="en-US" w:eastAsia="zh-CN"/>
        </w:rPr>
        <w:t xml:space="preserve"> </w:t>
      </w:r>
      <w:r>
        <w:rPr>
          <w:rFonts w:hint="default"/>
        </w:rPr>
        <w:t>管汇输送的流体压力不应超过额定压力，工作温度不应超过额定温度，流量控制要求参见SY/T 6270附录A。</w:t>
      </w:r>
    </w:p>
    <w:p>
      <w:pPr>
        <w:pStyle w:val="27"/>
        <w:jc w:val="left"/>
        <w:rPr>
          <w:rFonts w:hint="default"/>
        </w:rPr>
      </w:pPr>
      <w:r>
        <w:rPr>
          <w:rFonts w:hint="default"/>
        </w:rPr>
        <w:t>f)</w:t>
      </w:r>
      <w:r>
        <w:rPr>
          <w:rFonts w:hint="eastAsia"/>
          <w:lang w:val="en-US" w:eastAsia="zh-CN"/>
        </w:rPr>
        <w:t xml:space="preserve"> </w:t>
      </w:r>
      <w:r>
        <w:rPr>
          <w:rFonts w:hint="default"/>
        </w:rPr>
        <w:t>管汇元件工作压力建议不超过其额定工作压力的90%。</w:t>
      </w:r>
    </w:p>
    <w:p>
      <w:pPr>
        <w:pStyle w:val="27"/>
        <w:jc w:val="left"/>
        <w:rPr>
          <w:rFonts w:hint="default"/>
        </w:rPr>
      </w:pPr>
      <w:r>
        <w:rPr>
          <w:rFonts w:hint="default"/>
        </w:rPr>
        <w:t>g)</w:t>
      </w:r>
      <w:r>
        <w:rPr>
          <w:rFonts w:hint="eastAsia"/>
          <w:lang w:val="en-US" w:eastAsia="zh-CN"/>
        </w:rPr>
        <w:t xml:space="preserve"> </w:t>
      </w:r>
      <w:r>
        <w:rPr>
          <w:rFonts w:hint="default"/>
        </w:rPr>
        <w:t>不宜使用歧管接头，宜使用T形接头。</w:t>
      </w:r>
    </w:p>
    <w:p>
      <w:pPr>
        <w:pStyle w:val="27"/>
        <w:jc w:val="left"/>
        <w:rPr>
          <w:rFonts w:hint="default"/>
        </w:rPr>
      </w:pPr>
      <w:r>
        <w:rPr>
          <w:rFonts w:hint="default"/>
        </w:rPr>
        <w:t>h)</w:t>
      </w:r>
      <w:r>
        <w:rPr>
          <w:rFonts w:hint="eastAsia"/>
          <w:lang w:val="en-US" w:eastAsia="zh-CN"/>
        </w:rPr>
        <w:t xml:space="preserve"> </w:t>
      </w:r>
      <w:r>
        <w:rPr>
          <w:rFonts w:hint="default"/>
        </w:rPr>
        <w:t>施工时严禁人员进入高压区。实时监测管汇的工作情况，当出现刺漏、爆裂等紧急情况时应立即停泵、关井口，泄压后对其进行整改。</w:t>
      </w:r>
    </w:p>
    <w:p>
      <w:pPr>
        <w:pStyle w:val="27"/>
        <w:jc w:val="left"/>
        <w:rPr>
          <w:rFonts w:hint="default"/>
        </w:rPr>
      </w:pPr>
      <w:r>
        <w:rPr>
          <w:rFonts w:hint="eastAsia"/>
          <w:lang w:val="en-US" w:eastAsia="zh-CN"/>
        </w:rPr>
        <w:t>i</w:t>
      </w:r>
      <w:r>
        <w:rPr>
          <w:rFonts w:hint="default"/>
        </w:rPr>
        <w:t>)</w:t>
      </w:r>
      <w:r>
        <w:rPr>
          <w:rFonts w:hint="eastAsia"/>
          <w:lang w:val="en-US" w:eastAsia="zh-CN"/>
        </w:rPr>
        <w:t xml:space="preserve"> </w:t>
      </w:r>
      <w:r>
        <w:rPr>
          <w:rFonts w:hint="default"/>
        </w:rPr>
        <w:t>出现泄漏需要整体更换的活动弯头、旋塞阀、单向阀等应对泄漏部位进行标记并做好记录。</w:t>
      </w:r>
    </w:p>
    <w:p>
      <w:pPr>
        <w:pStyle w:val="45"/>
        <w:spacing w:before="156" w:after="156"/>
        <w:ind w:left="2"/>
        <w:outlineLvl w:val="3"/>
        <w:rPr>
          <w:rFonts w:hint="default" w:ascii="Times New Roman" w:cs="Times New Roman"/>
          <w:lang w:val="en-US" w:eastAsia="zh-CN"/>
        </w:rPr>
      </w:pPr>
      <w:bookmarkStart w:id="78" w:name="_Toc30592"/>
      <w:r>
        <w:rPr>
          <w:rFonts w:hint="default" w:ascii="Times New Roman" w:cs="Times New Roman"/>
          <w:lang w:val="en-US" w:eastAsia="zh-CN"/>
        </w:rPr>
        <w:t>使用后的要求</w:t>
      </w:r>
      <w:bookmarkEnd w:id="78"/>
    </w:p>
    <w:p>
      <w:pPr>
        <w:pStyle w:val="27"/>
        <w:jc w:val="left"/>
        <w:rPr>
          <w:rFonts w:hint="default"/>
        </w:rPr>
      </w:pPr>
      <w:r>
        <w:rPr>
          <w:rFonts w:hint="default"/>
        </w:rPr>
        <w:t>a)</w:t>
      </w:r>
      <w:r>
        <w:rPr>
          <w:rFonts w:hint="eastAsia"/>
          <w:lang w:val="en-US" w:eastAsia="zh-CN"/>
        </w:rPr>
        <w:t xml:space="preserve"> </w:t>
      </w:r>
      <w:r>
        <w:rPr>
          <w:rFonts w:hint="default"/>
        </w:rPr>
        <w:t>不应在带压工况下拆卸管汇。</w:t>
      </w:r>
    </w:p>
    <w:p>
      <w:pPr>
        <w:pStyle w:val="27"/>
        <w:jc w:val="left"/>
        <w:rPr>
          <w:rFonts w:hint="default"/>
        </w:rPr>
      </w:pPr>
      <w:r>
        <w:rPr>
          <w:rFonts w:hint="default"/>
        </w:rPr>
        <w:t>b)</w:t>
      </w:r>
      <w:r>
        <w:rPr>
          <w:rFonts w:hint="eastAsia"/>
          <w:lang w:val="en-US" w:eastAsia="zh-CN"/>
        </w:rPr>
        <w:t xml:space="preserve"> </w:t>
      </w:r>
      <w:r>
        <w:rPr>
          <w:rFonts w:hint="default"/>
        </w:rPr>
        <w:t>应将阀门、活动弯头、管线中的水泥或酸液等腐蚀性物质冲洗干净，不应有腐蚀性物质残留。</w:t>
      </w:r>
    </w:p>
    <w:p>
      <w:pPr>
        <w:pStyle w:val="27"/>
        <w:jc w:val="left"/>
        <w:rPr>
          <w:rFonts w:hint="default"/>
        </w:rPr>
      </w:pPr>
      <w:r>
        <w:rPr>
          <w:rFonts w:hint="default"/>
        </w:rPr>
        <w:t>c)</w:t>
      </w:r>
      <w:r>
        <w:rPr>
          <w:rFonts w:hint="eastAsia"/>
          <w:lang w:val="en-US" w:eastAsia="zh-CN"/>
        </w:rPr>
        <w:t xml:space="preserve"> </w:t>
      </w:r>
      <w:r>
        <w:rPr>
          <w:rFonts w:hint="default"/>
        </w:rPr>
        <w:t>应按使用说明书的规定注入新的密封润滑脂，直到挤出旧的密封润滑脂。</w:t>
      </w:r>
    </w:p>
    <w:p>
      <w:pPr>
        <w:pStyle w:val="27"/>
        <w:jc w:val="left"/>
        <w:rPr>
          <w:rFonts w:hint="default"/>
        </w:rPr>
      </w:pPr>
      <w:r>
        <w:rPr>
          <w:rFonts w:hint="default"/>
        </w:rPr>
        <w:t>d)</w:t>
      </w:r>
      <w:r>
        <w:rPr>
          <w:rFonts w:hint="eastAsia"/>
          <w:lang w:val="en-US" w:eastAsia="zh-CN"/>
        </w:rPr>
        <w:t xml:space="preserve"> </w:t>
      </w:r>
      <w:r>
        <w:rPr>
          <w:rFonts w:hint="default"/>
        </w:rPr>
        <w:t>拆卸后任何外露的外螺纹表面、活接头密封面或法兰面应采取保护措施，活接口或螺纹应佩戴保护套，以防密封面受损。</w:t>
      </w:r>
    </w:p>
    <w:p>
      <w:pPr>
        <w:pStyle w:val="27"/>
        <w:jc w:val="left"/>
        <w:rPr>
          <w:rFonts w:hint="default"/>
        </w:rPr>
      </w:pPr>
      <w:r>
        <w:rPr>
          <w:rFonts w:hint="default"/>
        </w:rPr>
        <w:t>e)</w:t>
      </w:r>
      <w:r>
        <w:rPr>
          <w:rFonts w:hint="eastAsia"/>
          <w:lang w:val="en-US" w:eastAsia="zh-CN"/>
        </w:rPr>
        <w:t xml:space="preserve"> </w:t>
      </w:r>
      <w:r>
        <w:rPr>
          <w:rFonts w:hint="default"/>
        </w:rPr>
        <w:t>记录管汇元件的使用时间、砂量、液量、压力等参数。</w:t>
      </w:r>
    </w:p>
    <w:p>
      <w:pPr>
        <w:pStyle w:val="27"/>
        <w:jc w:val="left"/>
        <w:rPr>
          <w:rFonts w:hint="default"/>
        </w:rPr>
      </w:pPr>
      <w:r>
        <w:rPr>
          <w:rFonts w:hint="eastAsia"/>
          <w:lang w:val="en-US" w:eastAsia="zh-CN"/>
        </w:rPr>
        <w:t>f</w:t>
      </w:r>
      <w:r>
        <w:rPr>
          <w:rFonts w:hint="default"/>
        </w:rPr>
        <w:t>)</w:t>
      </w:r>
      <w:r>
        <w:rPr>
          <w:rFonts w:hint="eastAsia"/>
          <w:lang w:val="en-US" w:eastAsia="zh-CN"/>
        </w:rPr>
        <w:t xml:space="preserve"> </w:t>
      </w:r>
      <w:r>
        <w:rPr>
          <w:rFonts w:hint="default"/>
        </w:rPr>
        <w:t>将参与施工的管汇及管汇元件进行分类、检测、保养、储存。</w:t>
      </w:r>
    </w:p>
    <w:p>
      <w:pPr>
        <w:pStyle w:val="48"/>
        <w:spacing w:before="312" w:after="312"/>
        <w:outlineLvl w:val="2"/>
        <w:rPr>
          <w:rFonts w:hint="default" w:ascii="Times New Roman" w:hAnsi="Times New Roman" w:cs="Times New Roman"/>
        </w:rPr>
      </w:pPr>
      <w:bookmarkStart w:id="79" w:name="_Toc20109"/>
      <w:r>
        <w:rPr>
          <w:rFonts w:hint="eastAsia" w:ascii="Times New Roman" w:cs="Times New Roman"/>
          <w:lang w:val="en-US" w:eastAsia="zh-CN"/>
        </w:rPr>
        <w:t>维护保养要求</w:t>
      </w:r>
      <w:bookmarkEnd w:id="79"/>
    </w:p>
    <w:p>
      <w:pPr>
        <w:pStyle w:val="27"/>
        <w:rPr>
          <w:rFonts w:hint="default" w:ascii="Times New Roman" w:hAnsi="Times New Roman" w:cs="Times New Roman"/>
        </w:rPr>
      </w:pPr>
      <w:r>
        <w:rPr>
          <w:rFonts w:hint="default" w:ascii="Times New Roman" w:hAnsi="Times New Roman" w:cs="Times New Roman"/>
        </w:rPr>
        <w:t>a)</w:t>
      </w:r>
      <w:r>
        <w:rPr>
          <w:rFonts w:hint="eastAsia" w:ascii="Times New Roman" w:cs="Times New Roman"/>
          <w:lang w:val="en-US" w:eastAsia="zh-CN"/>
        </w:rPr>
        <w:t xml:space="preserve"> </w:t>
      </w:r>
      <w:r>
        <w:rPr>
          <w:rFonts w:hint="default" w:ascii="Times New Roman" w:hAnsi="Times New Roman" w:cs="Times New Roman"/>
        </w:rPr>
        <w:t>每次作业后，应对管汇元件进行常规维护保养。进行常规维护保养时，应按4.1 a)的要求对管汇元件内外表面进行目视检查，不应有可见的裂纹，承压件本体不应有明显的冲蚀。</w:t>
      </w:r>
    </w:p>
    <w:p>
      <w:pPr>
        <w:pStyle w:val="27"/>
        <w:rPr>
          <w:rFonts w:hint="default" w:ascii="Times New Roman" w:hAnsi="Times New Roman" w:cs="Times New Roman"/>
        </w:rPr>
      </w:pPr>
      <w:r>
        <w:rPr>
          <w:rFonts w:hint="default" w:ascii="Times New Roman" w:hAnsi="Times New Roman" w:cs="Times New Roman"/>
        </w:rPr>
        <w:t>b)</w:t>
      </w:r>
      <w:r>
        <w:rPr>
          <w:rFonts w:hint="eastAsia" w:ascii="Times New Roman" w:cs="Times New Roman"/>
          <w:lang w:val="en-US" w:eastAsia="zh-CN"/>
        </w:rPr>
        <w:t xml:space="preserve"> </w:t>
      </w:r>
      <w:r>
        <w:rPr>
          <w:rFonts w:hint="default" w:ascii="Times New Roman" w:hAnsi="Times New Roman" w:cs="Times New Roman"/>
        </w:rPr>
        <w:t>对点蚀、冲蚀凹坑等缺陷部位，应按SY/T 6270的7.5.3条的要求进行壁厚检测。</w:t>
      </w:r>
    </w:p>
    <w:p>
      <w:pPr>
        <w:pStyle w:val="27"/>
        <w:rPr>
          <w:rFonts w:hint="default" w:ascii="Times New Roman" w:hAnsi="Times New Roman" w:cs="Times New Roman"/>
        </w:rPr>
      </w:pPr>
      <w:r>
        <w:rPr>
          <w:rFonts w:hint="default" w:ascii="Times New Roman" w:hAnsi="Times New Roman" w:cs="Times New Roman"/>
        </w:rPr>
        <w:t>c)</w:t>
      </w:r>
      <w:r>
        <w:rPr>
          <w:rFonts w:hint="eastAsia" w:ascii="Times New Roman" w:cs="Times New Roman"/>
          <w:lang w:val="en-US" w:eastAsia="zh-CN"/>
        </w:rPr>
        <w:t xml:space="preserve"> </w:t>
      </w:r>
      <w:r>
        <w:rPr>
          <w:rFonts w:hint="default" w:ascii="Times New Roman" w:hAnsi="Times New Roman" w:cs="Times New Roman"/>
        </w:rPr>
        <w:t>端部连接用的非金属密封件不应有裂痕、裂缝、老化或破碎现象。</w:t>
      </w:r>
    </w:p>
    <w:p>
      <w:pPr>
        <w:pStyle w:val="27"/>
        <w:rPr>
          <w:rFonts w:hint="default" w:ascii="Times New Roman" w:hAnsi="Times New Roman" w:cs="Times New Roman"/>
        </w:rPr>
      </w:pPr>
      <w:r>
        <w:rPr>
          <w:rFonts w:hint="default" w:ascii="Times New Roman" w:hAnsi="Times New Roman" w:cs="Times New Roman"/>
        </w:rPr>
        <w:t>d)</w:t>
      </w:r>
      <w:r>
        <w:rPr>
          <w:rFonts w:hint="eastAsia" w:ascii="Times New Roman" w:cs="Times New Roman"/>
          <w:lang w:val="en-US" w:eastAsia="zh-CN"/>
        </w:rPr>
        <w:t xml:space="preserve"> </w:t>
      </w:r>
      <w:r>
        <w:rPr>
          <w:rFonts w:hint="default" w:ascii="Times New Roman" w:hAnsi="Times New Roman" w:cs="Times New Roman"/>
        </w:rPr>
        <w:t>密封面和密封槽不应有明显压痕、划伤或碰伤。</w:t>
      </w:r>
    </w:p>
    <w:p>
      <w:pPr>
        <w:pStyle w:val="27"/>
        <w:rPr>
          <w:rFonts w:hint="default" w:ascii="Times New Roman" w:hAnsi="Times New Roman" w:cs="Times New Roman"/>
        </w:rPr>
      </w:pPr>
      <w:r>
        <w:rPr>
          <w:rFonts w:hint="default" w:ascii="Times New Roman" w:hAnsi="Times New Roman" w:cs="Times New Roman"/>
        </w:rPr>
        <w:t>e)</w:t>
      </w:r>
      <w:r>
        <w:rPr>
          <w:rFonts w:hint="eastAsia" w:ascii="Times New Roman" w:cs="Times New Roman"/>
          <w:lang w:val="en-US" w:eastAsia="zh-CN"/>
        </w:rPr>
        <w:t xml:space="preserve"> </w:t>
      </w:r>
      <w:r>
        <w:rPr>
          <w:rFonts w:hint="default" w:ascii="Times New Roman" w:hAnsi="Times New Roman" w:cs="Times New Roman"/>
        </w:rPr>
        <w:t>阀门开关应灵活，环形管汇、活动弯头应转动灵活。</w:t>
      </w:r>
    </w:p>
    <w:p>
      <w:pPr>
        <w:pStyle w:val="27"/>
        <w:rPr>
          <w:rFonts w:hint="default" w:ascii="Times New Roman" w:hAnsi="Times New Roman" w:cs="Times New Roman"/>
        </w:rPr>
      </w:pPr>
      <w:r>
        <w:rPr>
          <w:rFonts w:hint="default" w:ascii="Times New Roman" w:hAnsi="Times New Roman" w:cs="Times New Roman"/>
        </w:rPr>
        <w:t>f)</w:t>
      </w:r>
      <w:r>
        <w:rPr>
          <w:rFonts w:hint="eastAsia" w:ascii="Times New Roman" w:cs="Times New Roman"/>
          <w:lang w:val="en-US" w:eastAsia="zh-CN"/>
        </w:rPr>
        <w:t xml:space="preserve"> </w:t>
      </w:r>
      <w:r>
        <w:rPr>
          <w:rFonts w:hint="default" w:ascii="Times New Roman" w:hAnsi="Times New Roman" w:cs="Times New Roman"/>
        </w:rPr>
        <w:t>阀门以及环形管汇、活动弯头的旋转部分应加注润滑脂。</w:t>
      </w:r>
    </w:p>
    <w:p>
      <w:pPr>
        <w:pStyle w:val="27"/>
        <w:rPr>
          <w:rFonts w:hint="default" w:ascii="Times New Roman" w:hAnsi="Times New Roman" w:cs="Times New Roman"/>
        </w:rPr>
      </w:pPr>
      <w:r>
        <w:rPr>
          <w:rFonts w:hint="default" w:ascii="Times New Roman" w:hAnsi="Times New Roman" w:cs="Times New Roman"/>
        </w:rPr>
        <w:t>g)</w:t>
      </w:r>
      <w:r>
        <w:rPr>
          <w:rFonts w:hint="eastAsia" w:ascii="Times New Roman" w:cs="Times New Roman"/>
          <w:lang w:val="en-US" w:eastAsia="zh-CN"/>
        </w:rPr>
        <w:t xml:space="preserve"> </w:t>
      </w:r>
      <w:r>
        <w:rPr>
          <w:rFonts w:hint="default" w:ascii="Times New Roman" w:hAnsi="Times New Roman" w:cs="Times New Roman"/>
        </w:rPr>
        <w:t>对于长期放置未使用的管汇元件，至少一年保养一次。</w:t>
      </w:r>
    </w:p>
    <w:p>
      <w:pPr>
        <w:pStyle w:val="27"/>
        <w:rPr>
          <w:rFonts w:hint="default" w:ascii="Times New Roman" w:hAnsi="Times New Roman" w:cs="Times New Roman"/>
        </w:rPr>
      </w:pPr>
      <w:r>
        <w:rPr>
          <w:rFonts w:hint="default" w:ascii="Times New Roman" w:hAnsi="Times New Roman" w:cs="Times New Roman"/>
        </w:rPr>
        <w:t>h)</w:t>
      </w:r>
      <w:r>
        <w:rPr>
          <w:rFonts w:hint="eastAsia" w:ascii="Times New Roman" w:cs="Times New Roman"/>
          <w:lang w:val="en-US" w:eastAsia="zh-CN"/>
        </w:rPr>
        <w:t xml:space="preserve"> </w:t>
      </w:r>
      <w:r>
        <w:rPr>
          <w:rFonts w:hint="default" w:ascii="Times New Roman" w:hAnsi="Times New Roman" w:cs="Times New Roman"/>
        </w:rPr>
        <w:t>橡胶密封件的存放需按照GB/T 20739或者生产厂家的规定进行存放。除非厂家有特殊说明的，存放期不应超过2年。</w:t>
      </w:r>
    </w:p>
    <w:p>
      <w:pPr>
        <w:pStyle w:val="27"/>
        <w:rPr>
          <w:rFonts w:hint="default" w:ascii="Times New Roman" w:hAnsi="Times New Roman" w:cs="Times New Roman"/>
        </w:rPr>
      </w:pPr>
      <w:r>
        <w:rPr>
          <w:rFonts w:hint="default" w:ascii="Times New Roman" w:hAnsi="Times New Roman" w:cs="Times New Roman"/>
        </w:rPr>
        <w:t>i)</w:t>
      </w:r>
      <w:r>
        <w:rPr>
          <w:rFonts w:hint="eastAsia" w:ascii="Times New Roman" w:cs="Times New Roman"/>
          <w:lang w:val="en-US" w:eastAsia="zh-CN"/>
        </w:rPr>
        <w:t xml:space="preserve"> </w:t>
      </w:r>
      <w:r>
        <w:rPr>
          <w:rFonts w:hint="default" w:ascii="Times New Roman" w:hAnsi="Times New Roman" w:cs="Times New Roman"/>
        </w:rPr>
        <w:t>维护保养后，应进行防腐处理，对于裸露的螺纹、密封面和密封槽应带上相应的保护套，防止生锈或损坏，并及时填写使用保养记录。</w:t>
      </w:r>
    </w:p>
    <w:p>
      <w:pPr>
        <w:pStyle w:val="27"/>
        <w:rPr>
          <w:rFonts w:hint="default" w:ascii="Times New Roman" w:hAnsi="Times New Roman" w:cs="Times New Roman"/>
        </w:rPr>
      </w:pPr>
      <w:r>
        <w:rPr>
          <w:rFonts w:hint="default" w:ascii="Times New Roman" w:hAnsi="Times New Roman" w:cs="Times New Roman"/>
        </w:rPr>
        <w:t>j)</w:t>
      </w:r>
      <w:r>
        <w:rPr>
          <w:rFonts w:hint="eastAsia" w:ascii="Times New Roman" w:cs="Times New Roman"/>
          <w:lang w:val="en-US" w:eastAsia="zh-CN"/>
        </w:rPr>
        <w:t xml:space="preserve"> </w:t>
      </w:r>
      <w:r>
        <w:rPr>
          <w:rFonts w:hint="default" w:ascii="Times New Roman" w:hAnsi="Times New Roman" w:cs="Times New Roman"/>
        </w:rPr>
        <w:t>有缺陷的管汇元件，应停止使用并送检。</w:t>
      </w:r>
    </w:p>
    <w:p>
      <w:pPr>
        <w:pStyle w:val="27"/>
        <w:rPr>
          <w:rFonts w:hint="default" w:ascii="Times New Roman" w:hAnsi="Times New Roman" w:cs="Times New Roman"/>
        </w:rPr>
      </w:pPr>
      <w:r>
        <w:rPr>
          <w:rFonts w:hint="eastAsia" w:ascii="Times New Roman" w:cs="Times New Roman"/>
          <w:lang w:val="en-US" w:eastAsia="zh-CN"/>
        </w:rPr>
        <w:t>k</w:t>
      </w:r>
      <w:r>
        <w:rPr>
          <w:rFonts w:hint="default" w:ascii="Times New Roman" w:hAnsi="Times New Roman" w:cs="Times New Roman"/>
        </w:rPr>
        <w:t>)</w:t>
      </w:r>
      <w:r>
        <w:rPr>
          <w:rFonts w:hint="eastAsia" w:ascii="Times New Roman" w:cs="Times New Roman"/>
          <w:lang w:val="en-US" w:eastAsia="zh-CN"/>
        </w:rPr>
        <w:t xml:space="preserve"> </w:t>
      </w:r>
      <w:r>
        <w:rPr>
          <w:rFonts w:hint="default" w:ascii="Times New Roman" w:hAnsi="Times New Roman" w:cs="Times New Roman"/>
        </w:rPr>
        <w:t>高压管汇储存和运输过程应采用垫木支撑或者撬装，不允许直接堆放在地面。</w:t>
      </w:r>
    </w:p>
    <w:p>
      <w:pPr>
        <w:pStyle w:val="48"/>
        <w:spacing w:before="312" w:after="312"/>
        <w:outlineLvl w:val="2"/>
        <w:rPr>
          <w:rFonts w:hint="default" w:ascii="Times New Roman" w:hAnsi="Times New Roman" w:cs="Times New Roman"/>
        </w:rPr>
      </w:pPr>
      <w:bookmarkStart w:id="80" w:name="_Toc28088"/>
      <w:r>
        <w:rPr>
          <w:rFonts w:hint="eastAsia" w:ascii="Times New Roman" w:cs="Times New Roman"/>
          <w:lang w:val="en-US" w:eastAsia="zh-CN"/>
        </w:rPr>
        <w:t>维修的要求</w:t>
      </w:r>
      <w:bookmarkEnd w:id="80"/>
    </w:p>
    <w:p>
      <w:pPr>
        <w:pStyle w:val="45"/>
        <w:spacing w:before="156" w:after="156"/>
        <w:ind w:left="2"/>
        <w:outlineLvl w:val="3"/>
        <w:rPr>
          <w:rFonts w:hint="default" w:ascii="Times New Roman" w:hAnsi="Times New Roman" w:cs="Times New Roman"/>
        </w:rPr>
      </w:pPr>
      <w:bookmarkStart w:id="81" w:name="_Toc10094"/>
      <w:r>
        <w:rPr>
          <w:rFonts w:hint="eastAsia" w:ascii="Times New Roman" w:cs="Times New Roman"/>
          <w:lang w:val="en-US" w:eastAsia="zh-CN"/>
        </w:rPr>
        <w:t>总则</w:t>
      </w:r>
      <w:bookmarkEnd w:id="81"/>
    </w:p>
    <w:p>
      <w:pPr>
        <w:pStyle w:val="27"/>
        <w:rPr>
          <w:rFonts w:hint="default"/>
        </w:rPr>
      </w:pPr>
      <w:r>
        <w:rPr>
          <w:rFonts w:hint="default"/>
        </w:rPr>
        <w:t>维修包括修理和再制造，应按GB/T 22513中附录N规定的修理和再制造要求进行，不适合于更换或不更换零件的现场维修和管汇的调整。</w:t>
      </w:r>
    </w:p>
    <w:p>
      <w:pPr>
        <w:pStyle w:val="45"/>
        <w:spacing w:before="156" w:after="156"/>
        <w:ind w:left="2"/>
        <w:outlineLvl w:val="3"/>
        <w:rPr>
          <w:rFonts w:hint="default" w:ascii="Times New Roman" w:hAnsi="Times New Roman" w:cs="Times New Roman"/>
        </w:rPr>
      </w:pPr>
      <w:bookmarkStart w:id="82" w:name="_Toc26650"/>
      <w:r>
        <w:rPr>
          <w:rFonts w:hint="eastAsia" w:ascii="Times New Roman" w:cs="Times New Roman"/>
          <w:lang w:val="en-US" w:eastAsia="zh-CN"/>
        </w:rPr>
        <w:t>维修级别（RL）</w:t>
      </w:r>
      <w:bookmarkEnd w:id="82"/>
    </w:p>
    <w:p>
      <w:pPr>
        <w:pStyle w:val="27"/>
        <w:rPr>
          <w:rFonts w:hint="default"/>
        </w:rPr>
      </w:pPr>
      <w:r>
        <w:rPr>
          <w:rFonts w:hint="default"/>
        </w:rPr>
        <w:t>维修级别按GB/T 22513中N.2的要求。</w:t>
      </w:r>
    </w:p>
    <w:p>
      <w:pPr>
        <w:pStyle w:val="45"/>
        <w:spacing w:before="156" w:after="156"/>
        <w:ind w:left="2"/>
        <w:outlineLvl w:val="3"/>
        <w:rPr>
          <w:rFonts w:hint="default" w:ascii="Times New Roman" w:cs="Times New Roman"/>
          <w:lang w:val="en-US" w:eastAsia="zh-CN"/>
        </w:rPr>
      </w:pPr>
      <w:bookmarkStart w:id="83" w:name="_Toc605"/>
      <w:r>
        <w:rPr>
          <w:rFonts w:hint="eastAsia" w:ascii="Times New Roman" w:cs="Times New Roman"/>
          <w:lang w:val="en-US" w:eastAsia="zh-CN"/>
        </w:rPr>
        <w:t>人员</w:t>
      </w:r>
      <w:bookmarkEnd w:id="83"/>
    </w:p>
    <w:p>
      <w:pPr>
        <w:pStyle w:val="27"/>
        <w:rPr>
          <w:rFonts w:hint="eastAsia"/>
          <w:lang w:val="en-US" w:eastAsia="zh-CN"/>
        </w:rPr>
      </w:pPr>
      <w:r>
        <w:rPr>
          <w:rFonts w:hint="eastAsia"/>
          <w:lang w:val="en-US" w:eastAsia="zh-CN"/>
        </w:rPr>
        <w:t>维修操作人员应经过设备制造商的专业培训并取得资格。</w:t>
      </w:r>
    </w:p>
    <w:p>
      <w:pPr>
        <w:pStyle w:val="45"/>
        <w:spacing w:before="156" w:after="156"/>
        <w:ind w:left="2"/>
        <w:outlineLvl w:val="3"/>
        <w:rPr>
          <w:rFonts w:hint="eastAsia" w:ascii="Times New Roman" w:cs="Times New Roman"/>
          <w:lang w:val="en-US" w:eastAsia="zh-CN"/>
        </w:rPr>
      </w:pPr>
      <w:bookmarkStart w:id="84" w:name="_Toc28079"/>
      <w:r>
        <w:rPr>
          <w:rFonts w:hint="eastAsia" w:ascii="Times New Roman" w:cs="Times New Roman"/>
          <w:lang w:val="en-US" w:eastAsia="zh-CN"/>
        </w:rPr>
        <w:t>管汇鉴别</w:t>
      </w:r>
      <w:bookmarkEnd w:id="84"/>
    </w:p>
    <w:p>
      <w:pPr>
        <w:pStyle w:val="27"/>
        <w:rPr>
          <w:rFonts w:hint="eastAsia"/>
          <w:lang w:val="en-US" w:eastAsia="zh-CN"/>
        </w:rPr>
      </w:pPr>
      <w:r>
        <w:rPr>
          <w:rFonts w:hint="eastAsia"/>
          <w:lang w:val="en-US" w:eastAsia="zh-CN"/>
        </w:rPr>
        <w:t>被维修的管汇应通过下列标志或标志的追踪记录进行鉴别:</w:t>
      </w:r>
    </w:p>
    <w:p>
      <w:pPr>
        <w:pStyle w:val="27"/>
        <w:rPr>
          <w:rFonts w:hint="eastAsia"/>
          <w:lang w:val="en-US" w:eastAsia="zh-CN"/>
        </w:rPr>
      </w:pPr>
      <w:r>
        <w:rPr>
          <w:rFonts w:hint="eastAsia"/>
          <w:lang w:val="en-US" w:eastAsia="zh-CN"/>
        </w:rPr>
        <w:t>a) 原制造厂家。</w:t>
      </w:r>
    </w:p>
    <w:p>
      <w:pPr>
        <w:pStyle w:val="27"/>
        <w:rPr>
          <w:rFonts w:hint="eastAsia"/>
          <w:lang w:val="en-US" w:eastAsia="zh-CN"/>
        </w:rPr>
      </w:pPr>
      <w:r>
        <w:rPr>
          <w:rFonts w:hint="eastAsia"/>
          <w:lang w:val="en-US" w:eastAsia="zh-CN"/>
        </w:rPr>
        <w:t>b) 规格和额定压力。</w:t>
      </w:r>
    </w:p>
    <w:p>
      <w:pPr>
        <w:pStyle w:val="27"/>
        <w:rPr>
          <w:rFonts w:hint="eastAsia"/>
          <w:lang w:val="en-US" w:eastAsia="zh-CN"/>
        </w:rPr>
      </w:pPr>
      <w:r>
        <w:rPr>
          <w:rFonts w:hint="eastAsia"/>
          <w:lang w:val="en-US" w:eastAsia="zh-CN"/>
        </w:rPr>
        <w:t>c) PSL、PR、额定温度值、材料级别及相应的RL。</w:t>
      </w:r>
    </w:p>
    <w:p>
      <w:pPr>
        <w:pStyle w:val="27"/>
        <w:rPr>
          <w:rFonts w:hint="eastAsia"/>
          <w:lang w:val="en-US" w:eastAsia="zh-CN"/>
        </w:rPr>
      </w:pPr>
      <w:r>
        <w:rPr>
          <w:rFonts w:hint="eastAsia"/>
          <w:lang w:val="en-US" w:eastAsia="zh-CN"/>
        </w:rPr>
        <w:t>d) 序列号和其他有关的可追溯性资料（如适合时）。</w:t>
      </w:r>
    </w:p>
    <w:p>
      <w:pPr>
        <w:pStyle w:val="27"/>
        <w:rPr>
          <w:rFonts w:hint="eastAsia"/>
          <w:lang w:val="en-US" w:eastAsia="zh-CN"/>
        </w:rPr>
      </w:pPr>
      <w:r>
        <w:rPr>
          <w:rFonts w:hint="eastAsia"/>
          <w:lang w:val="en-US" w:eastAsia="zh-CN"/>
        </w:rPr>
        <w:t>e) 总体情况意见。</w:t>
      </w:r>
    </w:p>
    <w:p>
      <w:pPr>
        <w:pStyle w:val="27"/>
        <w:rPr>
          <w:rFonts w:hint="eastAsia"/>
          <w:lang w:val="en-US" w:eastAsia="zh-CN"/>
        </w:rPr>
      </w:pPr>
      <w:r>
        <w:rPr>
          <w:rFonts w:hint="eastAsia"/>
          <w:lang w:val="en-US" w:eastAsia="zh-CN"/>
        </w:rPr>
        <w:t>修理者/再制造者，应对产品的修理或再制造标明的RL级别和RL级别的确定原则等资料形成文件。</w:t>
      </w:r>
    </w:p>
    <w:p>
      <w:pPr>
        <w:pStyle w:val="45"/>
        <w:spacing w:before="156" w:after="156"/>
        <w:ind w:left="2"/>
        <w:outlineLvl w:val="3"/>
        <w:rPr>
          <w:rFonts w:hint="eastAsia" w:ascii="Times New Roman" w:cs="Times New Roman"/>
          <w:lang w:val="en-US" w:eastAsia="zh-CN"/>
        </w:rPr>
      </w:pPr>
      <w:bookmarkStart w:id="85" w:name="_Toc20631"/>
      <w:r>
        <w:rPr>
          <w:rFonts w:hint="eastAsia" w:ascii="Times New Roman" w:cs="Times New Roman"/>
          <w:lang w:val="en-US" w:eastAsia="zh-CN"/>
        </w:rPr>
        <w:t>维修的内容及方法</w:t>
      </w:r>
      <w:bookmarkEnd w:id="85"/>
      <w:r>
        <w:rPr>
          <w:rFonts w:hint="eastAsia" w:ascii="Times New Roman" w:cs="Times New Roman"/>
          <w:lang w:val="en-US" w:eastAsia="zh-CN"/>
        </w:rPr>
        <w:t xml:space="preserve"> </w:t>
      </w:r>
    </w:p>
    <w:p>
      <w:pPr>
        <w:pStyle w:val="27"/>
        <w:rPr>
          <w:rFonts w:hint="eastAsia"/>
          <w:lang w:val="en-US" w:eastAsia="zh-CN"/>
        </w:rPr>
      </w:pPr>
      <w:r>
        <w:rPr>
          <w:rFonts w:hint="eastAsia"/>
          <w:lang w:val="en-US" w:eastAsia="zh-CN"/>
        </w:rPr>
        <w:t>a) 应按维修单位的书面规范进行拆卸和清洗。维修级别为RL2~RL4的产品，要求全部拆卸。拆卸时应对零件进行分类或以其他方式进行识别，以避免重新装配时混淆或装错。</w:t>
      </w:r>
    </w:p>
    <w:p>
      <w:pPr>
        <w:pStyle w:val="27"/>
        <w:rPr>
          <w:rFonts w:hint="eastAsia"/>
          <w:lang w:val="en-US" w:eastAsia="zh-CN"/>
        </w:rPr>
      </w:pPr>
      <w:r>
        <w:rPr>
          <w:rFonts w:hint="eastAsia"/>
          <w:lang w:val="en-US" w:eastAsia="zh-CN"/>
        </w:rPr>
        <w:t>b) 所有关键尺寸均应验证，制造商提供需要控制尺寸的书面规范。验证结果应形成书面文件并保存。</w:t>
      </w:r>
    </w:p>
    <w:p>
      <w:pPr>
        <w:pStyle w:val="27"/>
        <w:rPr>
          <w:rFonts w:hint="eastAsia"/>
          <w:lang w:val="en-US" w:eastAsia="zh-CN"/>
        </w:rPr>
      </w:pPr>
      <w:r>
        <w:rPr>
          <w:rFonts w:hint="eastAsia"/>
          <w:lang w:val="en-US" w:eastAsia="zh-CN"/>
        </w:rPr>
        <w:t>c) 对零件损坏的表面(如点蚀、片蚀、锈蚀、碰伤等)修理，采用打磨或用细砂布去除锈蚀和毛刺。</w:t>
      </w:r>
    </w:p>
    <w:p>
      <w:pPr>
        <w:pStyle w:val="27"/>
        <w:rPr>
          <w:rFonts w:hint="eastAsia"/>
          <w:lang w:val="en-US" w:eastAsia="zh-CN"/>
        </w:rPr>
      </w:pPr>
      <w:r>
        <w:rPr>
          <w:rFonts w:hint="eastAsia"/>
          <w:lang w:val="en-US" w:eastAsia="zh-CN"/>
        </w:rPr>
        <w:t>d) 对目测和无损检测中发现存在裂纹的零件予以报废。</w:t>
      </w:r>
    </w:p>
    <w:p>
      <w:pPr>
        <w:pStyle w:val="27"/>
        <w:rPr>
          <w:rFonts w:hint="eastAsia"/>
          <w:lang w:val="en-US" w:eastAsia="zh-CN"/>
        </w:rPr>
      </w:pPr>
      <w:r>
        <w:rPr>
          <w:rFonts w:hint="eastAsia"/>
          <w:lang w:val="en-US" w:eastAsia="zh-CN"/>
        </w:rPr>
        <w:t>e) 更换零件应优先采用原始设备制造商制造的零件，或满足原始设备制造商的设计要求制造的零件。</w:t>
      </w:r>
    </w:p>
    <w:p>
      <w:pPr>
        <w:pStyle w:val="27"/>
        <w:rPr>
          <w:rFonts w:hint="eastAsia"/>
          <w:lang w:val="en-US" w:eastAsia="zh-CN"/>
        </w:rPr>
      </w:pPr>
      <w:r>
        <w:rPr>
          <w:rFonts w:hint="eastAsia"/>
          <w:lang w:val="en-US" w:eastAsia="zh-CN"/>
        </w:rPr>
        <w:t>f) 零部件需要焊接时，应按GB/T 22513中N.6的规定进行。</w:t>
      </w:r>
    </w:p>
    <w:p>
      <w:pPr>
        <w:pStyle w:val="27"/>
        <w:rPr>
          <w:rFonts w:hint="eastAsia"/>
          <w:lang w:val="en-US" w:eastAsia="zh-CN"/>
        </w:rPr>
      </w:pPr>
      <w:r>
        <w:rPr>
          <w:rFonts w:hint="eastAsia"/>
          <w:lang w:val="en-US" w:eastAsia="zh-CN"/>
        </w:rPr>
        <w:t>g) 重复使用和再制造的零件应按GB/T 22513中N.7的规定执行，验证结果应形成书面文件，并保存。</w:t>
      </w:r>
    </w:p>
    <w:p>
      <w:pPr>
        <w:pStyle w:val="27"/>
        <w:rPr>
          <w:rFonts w:hint="eastAsia"/>
          <w:lang w:val="en-US" w:eastAsia="zh-CN"/>
        </w:rPr>
      </w:pPr>
      <w:r>
        <w:rPr>
          <w:rFonts w:hint="eastAsia"/>
          <w:lang w:val="en-US" w:eastAsia="zh-CN"/>
        </w:rPr>
        <w:t>h) 组装后，应按GB/T 22513中7.4.9或SY/T 5323的规定进行额定压力下的静水压试验，并进行防腐处理。</w:t>
      </w:r>
    </w:p>
    <w:p>
      <w:pPr>
        <w:pStyle w:val="45"/>
        <w:spacing w:before="156" w:after="156"/>
        <w:ind w:left="2"/>
        <w:outlineLvl w:val="3"/>
        <w:rPr>
          <w:rFonts w:hint="eastAsia" w:ascii="Times New Roman" w:cs="Times New Roman"/>
          <w:lang w:val="en-US" w:eastAsia="zh-CN"/>
        </w:rPr>
      </w:pPr>
      <w:bookmarkStart w:id="86" w:name="_Toc32693"/>
      <w:r>
        <w:rPr>
          <w:rFonts w:hint="eastAsia" w:ascii="Times New Roman" w:cs="Times New Roman"/>
          <w:lang w:val="en-US" w:eastAsia="zh-CN"/>
        </w:rPr>
        <w:t>标志</w:t>
      </w:r>
      <w:bookmarkEnd w:id="86"/>
    </w:p>
    <w:p>
      <w:pPr>
        <w:pStyle w:val="27"/>
        <w:rPr>
          <w:rFonts w:hint="eastAsia"/>
          <w:lang w:val="en-US" w:eastAsia="zh-CN"/>
        </w:rPr>
      </w:pPr>
      <w:r>
        <w:rPr>
          <w:rFonts w:hint="eastAsia"/>
          <w:lang w:val="en-US" w:eastAsia="zh-CN"/>
        </w:rPr>
        <w:t>维修后的管汇应按本文件要求做标志，标志位置见GB/T 22513中第8章的规定，在紧靠PSL标志处做下列标志:</w:t>
      </w:r>
    </w:p>
    <w:p>
      <w:pPr>
        <w:pStyle w:val="27"/>
        <w:rPr>
          <w:rFonts w:hint="eastAsia"/>
          <w:lang w:val="en-US" w:eastAsia="zh-CN"/>
        </w:rPr>
      </w:pPr>
      <w:r>
        <w:rPr>
          <w:rFonts w:hint="eastAsia"/>
          <w:lang w:val="en-US" w:eastAsia="zh-CN"/>
        </w:rPr>
        <w:t>a) 修理用“RPR”标志再制造用“RMFR”标志。</w:t>
      </w:r>
    </w:p>
    <w:p>
      <w:pPr>
        <w:pStyle w:val="27"/>
        <w:rPr>
          <w:rFonts w:hint="eastAsia"/>
          <w:lang w:val="en-US" w:eastAsia="zh-CN"/>
        </w:rPr>
      </w:pPr>
      <w:r>
        <w:rPr>
          <w:rFonts w:hint="eastAsia"/>
          <w:lang w:val="en-US" w:eastAsia="zh-CN"/>
        </w:rPr>
        <w:t>b) 修理者/再制造者的名称或商标。</w:t>
      </w:r>
    </w:p>
    <w:p>
      <w:pPr>
        <w:pStyle w:val="27"/>
        <w:rPr>
          <w:rFonts w:hint="eastAsia"/>
          <w:lang w:val="en-US" w:eastAsia="zh-CN"/>
        </w:rPr>
      </w:pPr>
      <w:r>
        <w:rPr>
          <w:rFonts w:hint="eastAsia"/>
          <w:lang w:val="en-US" w:eastAsia="zh-CN"/>
        </w:rPr>
        <w:t>c) 修理/再制造级别(RL)。</w:t>
      </w:r>
    </w:p>
    <w:p>
      <w:pPr>
        <w:pStyle w:val="27"/>
        <w:rPr>
          <w:rFonts w:hint="eastAsia"/>
          <w:lang w:val="en-US" w:eastAsia="zh-CN"/>
        </w:rPr>
      </w:pPr>
      <w:r>
        <w:rPr>
          <w:rFonts w:hint="eastAsia"/>
          <w:lang w:val="en-US" w:eastAsia="zh-CN"/>
        </w:rPr>
        <w:t>d) 修理/再制造日期(月和年)。</w:t>
      </w:r>
    </w:p>
    <w:p>
      <w:pPr>
        <w:pStyle w:val="27"/>
        <w:rPr>
          <w:rFonts w:hint="default"/>
          <w:lang w:val="en-US" w:eastAsia="zh-CN"/>
        </w:rPr>
      </w:pPr>
      <w:r>
        <w:rPr>
          <w:rFonts w:hint="eastAsia"/>
          <w:lang w:val="en-US" w:eastAsia="zh-CN"/>
        </w:rPr>
        <w:t>维修后的产品应保留原有的标志。</w:t>
      </w:r>
    </w:p>
    <w:p>
      <w:pPr>
        <w:pStyle w:val="48"/>
        <w:spacing w:before="312" w:after="312"/>
        <w:outlineLvl w:val="2"/>
        <w:rPr>
          <w:rFonts w:hint="default" w:ascii="Times New Roman" w:hAnsi="Times New Roman" w:cs="Times New Roman"/>
        </w:rPr>
      </w:pPr>
      <w:bookmarkStart w:id="87" w:name="_Toc22416"/>
      <w:r>
        <w:rPr>
          <w:rFonts w:hint="eastAsia" w:ascii="Times New Roman" w:cs="Times New Roman"/>
          <w:lang w:val="en-US" w:eastAsia="zh-CN"/>
        </w:rPr>
        <w:t>检测要求</w:t>
      </w:r>
      <w:bookmarkEnd w:id="87"/>
    </w:p>
    <w:p>
      <w:pPr>
        <w:pStyle w:val="45"/>
        <w:spacing w:before="156" w:after="156"/>
        <w:ind w:left="2"/>
        <w:outlineLvl w:val="3"/>
        <w:rPr>
          <w:rFonts w:hint="default" w:ascii="Times New Roman" w:hAnsi="Times New Roman" w:cs="Times New Roman"/>
        </w:rPr>
      </w:pPr>
      <w:bookmarkStart w:id="88" w:name="_Toc6732"/>
      <w:r>
        <w:rPr>
          <w:rFonts w:hint="eastAsia" w:ascii="Times New Roman" w:cs="Times New Roman"/>
          <w:lang w:val="en-US" w:eastAsia="zh-CN"/>
        </w:rPr>
        <w:t>资格鉴定</w:t>
      </w:r>
      <w:bookmarkEnd w:id="88"/>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hAnsi="Times New Roman" w:cs="Times New Roman"/>
        </w:rPr>
      </w:pPr>
      <w:r>
        <w:rPr>
          <w:rFonts w:hint="eastAsia" w:ascii="Times New Roman" w:cs="Times New Roman"/>
          <w:lang w:val="en-US" w:eastAsia="zh-CN"/>
        </w:rPr>
        <w:t>检验检测机构资质</w:t>
      </w:r>
    </w:p>
    <w:p>
      <w:pPr>
        <w:pStyle w:val="27"/>
        <w:rPr>
          <w:rFonts w:hint="default"/>
        </w:rPr>
      </w:pPr>
      <w:r>
        <w:rPr>
          <w:rFonts w:hint="default"/>
        </w:rPr>
        <w:t>检验检测机构应具备CNAS或CMA资质，检验检测能力范围涵盖被检验检测对象，其中产品类应包括阀门 、高压管汇元件、钻井液循环管汇、防喷管汇、放喷管线等，参数类应包括金属材料无损检测。</w:t>
      </w:r>
    </w:p>
    <w:p>
      <w:pPr>
        <w:pStyle w:val="27"/>
        <w:rPr>
          <w:rFonts w:hint="default"/>
        </w:rPr>
      </w:pPr>
      <w:r>
        <w:rPr>
          <w:rFonts w:hint="default"/>
        </w:rPr>
        <w:t>检验检测机构应具备特种设备无损检测机构资质，核准项目最低要求为常规检测（CG）。</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人员资质</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资格要求</w:t>
      </w:r>
    </w:p>
    <w:p>
      <w:pPr>
        <w:pStyle w:val="27"/>
        <w:rPr>
          <w:rFonts w:hint="default"/>
        </w:rPr>
      </w:pPr>
      <w:r>
        <w:rPr>
          <w:rFonts w:hint="default"/>
        </w:rPr>
        <w:t>检测人员应按GB/T 9445或BS EN ISO 9712规定的要求取得资格，每种适用的资格要求至少应包括：</w:t>
      </w:r>
    </w:p>
    <w:p>
      <w:pPr>
        <w:pStyle w:val="27"/>
        <w:rPr>
          <w:rFonts w:hint="default"/>
        </w:rPr>
      </w:pPr>
      <w:r>
        <w:rPr>
          <w:rFonts w:hint="default"/>
        </w:rPr>
        <w:t>a)</w:t>
      </w:r>
      <w:r>
        <w:rPr>
          <w:rFonts w:hint="eastAsia"/>
          <w:lang w:val="en-US" w:eastAsia="zh-CN"/>
        </w:rPr>
        <w:t xml:space="preserve"> </w:t>
      </w:r>
      <w:r>
        <w:rPr>
          <w:rFonts w:hint="default"/>
        </w:rPr>
        <w:t>与检测人员资格等级相应的培训和经历。</w:t>
      </w:r>
    </w:p>
    <w:p>
      <w:pPr>
        <w:pStyle w:val="27"/>
        <w:rPr>
          <w:rFonts w:hint="default"/>
        </w:rPr>
      </w:pPr>
      <w:r>
        <w:rPr>
          <w:rFonts w:hint="default"/>
        </w:rPr>
        <w:t>b)</w:t>
      </w:r>
      <w:r>
        <w:rPr>
          <w:rFonts w:hint="eastAsia"/>
          <w:lang w:val="en-US" w:eastAsia="zh-CN"/>
        </w:rPr>
        <w:t xml:space="preserve"> </w:t>
      </w:r>
      <w:r>
        <w:rPr>
          <w:rFonts w:hint="default"/>
        </w:rPr>
        <w:t>相应等级的理论考试和实践能力考试。</w:t>
      </w:r>
    </w:p>
    <w:p>
      <w:pPr>
        <w:pStyle w:val="27"/>
        <w:rPr>
          <w:rFonts w:hint="default"/>
        </w:rPr>
      </w:pPr>
      <w:r>
        <w:rPr>
          <w:rFonts w:hint="default"/>
        </w:rPr>
        <w:t>c)</w:t>
      </w:r>
      <w:r>
        <w:rPr>
          <w:rFonts w:hint="eastAsia"/>
          <w:lang w:val="en-US" w:eastAsia="zh-CN"/>
        </w:rPr>
        <w:t xml:space="preserve"> </w:t>
      </w:r>
      <w:r>
        <w:rPr>
          <w:rFonts w:hint="default"/>
        </w:rPr>
        <w:t>视力检查。目视检验人员应按GB/T 9445规定的要求，每年进行一次视力检查。</w:t>
      </w:r>
    </w:p>
    <w:p>
      <w:pPr>
        <w:pStyle w:val="27"/>
        <w:rPr>
          <w:rFonts w:hint="default"/>
        </w:rPr>
      </w:pPr>
      <w:r>
        <w:rPr>
          <w:rFonts w:hint="default"/>
        </w:rPr>
        <w:t>d)</w:t>
      </w:r>
      <w:r>
        <w:rPr>
          <w:rFonts w:hint="eastAsia"/>
          <w:lang w:val="en-US" w:eastAsia="zh-CN"/>
        </w:rPr>
        <w:t xml:space="preserve"> </w:t>
      </w:r>
      <w:r>
        <w:rPr>
          <w:rFonts w:hint="default"/>
        </w:rPr>
        <w:t>具备</w:t>
      </w:r>
      <w:r>
        <w:rPr>
          <w:rFonts w:hint="eastAsia"/>
          <w:lang w:eastAsia="zh-CN"/>
        </w:rPr>
        <w:t>本文件</w:t>
      </w:r>
      <w:r>
        <w:rPr>
          <w:rFonts w:hint="default"/>
        </w:rPr>
        <w:t>及相关工业应用标准的知识。</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书面记录</w:t>
      </w:r>
    </w:p>
    <w:p>
      <w:pPr>
        <w:pStyle w:val="27"/>
        <w:rPr>
          <w:rFonts w:hint="default"/>
        </w:rPr>
      </w:pPr>
      <w:r>
        <w:rPr>
          <w:rFonts w:hint="default"/>
        </w:rPr>
        <w:t>依据</w:t>
      </w:r>
      <w:r>
        <w:rPr>
          <w:rFonts w:hint="eastAsia"/>
          <w:lang w:eastAsia="zh-CN"/>
        </w:rPr>
        <w:t>本文件</w:t>
      </w:r>
      <w:r>
        <w:rPr>
          <w:rFonts w:hint="default"/>
        </w:rPr>
        <w:t>，从事高压管汇检验的机构对检测人员的教育、培训、经历和资格应有书面记录，书面记录应包括如下内容：</w:t>
      </w:r>
    </w:p>
    <w:p>
      <w:pPr>
        <w:pStyle w:val="27"/>
        <w:rPr>
          <w:rFonts w:hint="default"/>
        </w:rPr>
      </w:pPr>
      <w:r>
        <w:rPr>
          <w:rFonts w:hint="default"/>
        </w:rPr>
        <w:t>a)</w:t>
      </w:r>
      <w:r>
        <w:rPr>
          <w:rFonts w:hint="eastAsia"/>
          <w:lang w:val="en-US" w:eastAsia="zh-CN"/>
        </w:rPr>
        <w:t xml:space="preserve"> </w:t>
      </w:r>
      <w:r>
        <w:rPr>
          <w:rFonts w:hint="default"/>
        </w:rPr>
        <w:t>建立履行书面记录的管理职责。</w:t>
      </w:r>
    </w:p>
    <w:p>
      <w:pPr>
        <w:pStyle w:val="27"/>
        <w:rPr>
          <w:rFonts w:hint="default"/>
        </w:rPr>
      </w:pPr>
      <w:r>
        <w:rPr>
          <w:rFonts w:hint="default"/>
        </w:rPr>
        <w:t>b)</w:t>
      </w:r>
      <w:r>
        <w:rPr>
          <w:rFonts w:hint="eastAsia"/>
          <w:lang w:val="en-US" w:eastAsia="zh-CN"/>
        </w:rPr>
        <w:t xml:space="preserve"> </w:t>
      </w:r>
      <w:r>
        <w:rPr>
          <w:rFonts w:hint="default"/>
        </w:rPr>
        <w:t>建立人员资格要求。</w:t>
      </w:r>
    </w:p>
    <w:p>
      <w:pPr>
        <w:pStyle w:val="27"/>
        <w:rPr>
          <w:rFonts w:hint="default"/>
        </w:rPr>
      </w:pPr>
      <w:r>
        <w:rPr>
          <w:rFonts w:hint="default"/>
        </w:rPr>
        <w:t>c)</w:t>
      </w:r>
      <w:r>
        <w:rPr>
          <w:rFonts w:hint="eastAsia"/>
          <w:lang w:val="en-US" w:eastAsia="zh-CN"/>
        </w:rPr>
        <w:t xml:space="preserve"> </w:t>
      </w:r>
      <w:r>
        <w:rPr>
          <w:rFonts w:hint="default"/>
        </w:rPr>
        <w:t>所有资格的证明文件。</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培训要求</w:t>
      </w:r>
    </w:p>
    <w:p>
      <w:pPr>
        <w:pStyle w:val="27"/>
        <w:rPr>
          <w:rFonts w:hint="default"/>
        </w:rPr>
      </w:pPr>
      <w:r>
        <w:rPr>
          <w:rFonts w:hint="default"/>
        </w:rPr>
        <w:t>所有具备资格的人员应完成资格等级培训。培训可由认证机构或其他单位完成。培训应包括如下内容：</w:t>
      </w:r>
    </w:p>
    <w:p>
      <w:pPr>
        <w:pStyle w:val="27"/>
        <w:rPr>
          <w:rFonts w:hint="default"/>
        </w:rPr>
      </w:pPr>
      <w:r>
        <w:rPr>
          <w:rFonts w:hint="default"/>
        </w:rPr>
        <w:t>a)</w:t>
      </w:r>
      <w:r>
        <w:rPr>
          <w:rFonts w:hint="eastAsia"/>
          <w:lang w:val="en-US" w:eastAsia="zh-CN"/>
        </w:rPr>
        <w:t xml:space="preserve"> </w:t>
      </w:r>
      <w:r>
        <w:rPr>
          <w:rFonts w:hint="default"/>
        </w:rPr>
        <w:t>每种适用的检测方法的原理。</w:t>
      </w:r>
    </w:p>
    <w:p>
      <w:pPr>
        <w:pStyle w:val="27"/>
        <w:rPr>
          <w:rFonts w:hint="default"/>
        </w:rPr>
      </w:pPr>
      <w:r>
        <w:rPr>
          <w:rFonts w:hint="default"/>
        </w:rPr>
        <w:t>b)</w:t>
      </w:r>
      <w:r>
        <w:rPr>
          <w:rFonts w:hint="eastAsia"/>
          <w:lang w:val="en-US" w:eastAsia="zh-CN"/>
        </w:rPr>
        <w:t xml:space="preserve"> </w:t>
      </w:r>
      <w:r>
        <w:rPr>
          <w:rFonts w:hint="default"/>
        </w:rPr>
        <w:t>每种适用的检测方法的检测程序，包括检测设备的校准和操作。</w:t>
      </w:r>
    </w:p>
    <w:p>
      <w:pPr>
        <w:pStyle w:val="27"/>
        <w:rPr>
          <w:rFonts w:hint="default"/>
        </w:rPr>
      </w:pPr>
      <w:r>
        <w:rPr>
          <w:rFonts w:hint="default"/>
        </w:rPr>
        <w:t>c)</w:t>
      </w:r>
      <w:r>
        <w:rPr>
          <w:rFonts w:hint="eastAsia"/>
          <w:lang w:val="en-US" w:eastAsia="zh-CN"/>
        </w:rPr>
        <w:t xml:space="preserve"> </w:t>
      </w:r>
      <w:r>
        <w:rPr>
          <w:rFonts w:hint="default"/>
        </w:rPr>
        <w:t>适用的工业标准的相关内容。</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考核</w:t>
      </w:r>
    </w:p>
    <w:p>
      <w:pPr>
        <w:pStyle w:val="27"/>
        <w:rPr>
          <w:rFonts w:hint="default"/>
        </w:rPr>
      </w:pPr>
      <w:r>
        <w:rPr>
          <w:rFonts w:hint="default"/>
        </w:rPr>
        <w:t>考核可以由认证机构或外部机构组织完成。所有的检测人员都应顺利通过以下考核：</w:t>
      </w:r>
    </w:p>
    <w:p>
      <w:pPr>
        <w:pStyle w:val="27"/>
        <w:rPr>
          <w:rFonts w:hint="default"/>
        </w:rPr>
      </w:pPr>
      <w:r>
        <w:rPr>
          <w:rFonts w:hint="default"/>
        </w:rPr>
        <w:t>a)</w:t>
      </w:r>
      <w:r>
        <w:rPr>
          <w:rFonts w:hint="eastAsia"/>
          <w:lang w:val="en-US" w:eastAsia="zh-CN"/>
        </w:rPr>
        <w:t xml:space="preserve"> </w:t>
      </w:r>
      <w:r>
        <w:rPr>
          <w:rFonts w:hint="default"/>
        </w:rPr>
        <w:t>适用的检测方法的通用和专业原理、检测程序和相应标准的笔试。</w:t>
      </w:r>
    </w:p>
    <w:p>
      <w:pPr>
        <w:pStyle w:val="27"/>
        <w:rPr>
          <w:rFonts w:hint="default"/>
        </w:rPr>
      </w:pPr>
      <w:r>
        <w:rPr>
          <w:rFonts w:hint="default"/>
        </w:rPr>
        <w:t>b)</w:t>
      </w:r>
      <w:r>
        <w:rPr>
          <w:rFonts w:hint="eastAsia"/>
          <w:lang w:val="en-US" w:eastAsia="zh-CN"/>
        </w:rPr>
        <w:t xml:space="preserve"> </w:t>
      </w:r>
      <w:r>
        <w:rPr>
          <w:rFonts w:hint="default"/>
        </w:rPr>
        <w:t>操作考核应包括设备安装、校验、检测技术、操作程序、相应等级检测结果的解释及相关报告的准备。</w:t>
      </w:r>
    </w:p>
    <w:p>
      <w:pPr>
        <w:pStyle w:val="27"/>
        <w:rPr>
          <w:rFonts w:hint="default"/>
        </w:rPr>
      </w:pPr>
      <w:r>
        <w:rPr>
          <w:rFonts w:hint="default"/>
        </w:rPr>
        <w:t>c)</w:t>
      </w:r>
      <w:r>
        <w:rPr>
          <w:rFonts w:hint="eastAsia"/>
          <w:lang w:val="en-US" w:eastAsia="zh-CN"/>
        </w:rPr>
        <w:t xml:space="preserve"> </w:t>
      </w:r>
      <w:r>
        <w:rPr>
          <w:rFonts w:hint="default"/>
        </w:rPr>
        <w:t>检验检测人员未经矫正或经矫正的近（距）视力和远（距）视力应不低于5.0（小数记录值为1.0），测试方法应符合GB 11533的规定。每年应检查一次身体，不得有色盲。</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资历</w:t>
      </w:r>
    </w:p>
    <w:p>
      <w:pPr>
        <w:pStyle w:val="27"/>
        <w:rPr>
          <w:rFonts w:hint="default"/>
        </w:rPr>
      </w:pPr>
      <w:r>
        <w:rPr>
          <w:rFonts w:hint="default"/>
        </w:rPr>
        <w:t>所有申请资格鉴定的人员都应具备书面程序所要求的经历。</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资格复审</w:t>
      </w:r>
    </w:p>
    <w:p>
      <w:pPr>
        <w:pStyle w:val="27"/>
        <w:rPr>
          <w:rFonts w:hint="default"/>
        </w:rPr>
      </w:pPr>
      <w:r>
        <w:rPr>
          <w:rFonts w:hint="default"/>
        </w:rPr>
        <w:t>资格重审要求应在书面程序中明确。</w:t>
      </w:r>
    </w:p>
    <w:p>
      <w:pPr>
        <w:pStyle w:val="27"/>
        <w:rPr>
          <w:rFonts w:hint="default"/>
        </w:rPr>
      </w:pPr>
      <w:r>
        <w:rPr>
          <w:rFonts w:hint="default"/>
        </w:rPr>
        <w:t>对所有人员的资格重审至少每5年进行一次。若一个独立的检验机构在前12个月内没有进行过规定方法的检测，或变换雇员时，要求进行人员资格重审。作为资格重审的最低要求，所有人员都应做到：</w:t>
      </w:r>
    </w:p>
    <w:p>
      <w:pPr>
        <w:pStyle w:val="27"/>
        <w:rPr>
          <w:rFonts w:hint="default"/>
        </w:rPr>
      </w:pPr>
      <w:r>
        <w:rPr>
          <w:rFonts w:hint="default"/>
        </w:rPr>
        <w:t>a)</w:t>
      </w:r>
      <w:r>
        <w:rPr>
          <w:rFonts w:hint="eastAsia"/>
          <w:lang w:val="en-US" w:eastAsia="zh-CN"/>
        </w:rPr>
        <w:t xml:space="preserve"> </w:t>
      </w:r>
      <w:r>
        <w:rPr>
          <w:rFonts w:hint="default"/>
        </w:rPr>
        <w:t>通过相应等级的笔试，笔试内容包括目前适用的检测程序和行业标准。</w:t>
      </w:r>
    </w:p>
    <w:p>
      <w:pPr>
        <w:pStyle w:val="27"/>
        <w:rPr>
          <w:rFonts w:hint="default"/>
        </w:rPr>
      </w:pPr>
      <w:r>
        <w:rPr>
          <w:rFonts w:hint="default"/>
        </w:rPr>
        <w:t>b)</w:t>
      </w:r>
      <w:r>
        <w:rPr>
          <w:rFonts w:hint="eastAsia"/>
          <w:lang w:val="en-US" w:eastAsia="zh-CN"/>
        </w:rPr>
        <w:t xml:space="preserve"> </w:t>
      </w:r>
      <w:r>
        <w:rPr>
          <w:rFonts w:hint="default"/>
        </w:rPr>
        <w:t>提供能够继续满足操作要求的证明。</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文件</w:t>
      </w:r>
    </w:p>
    <w:p>
      <w:pPr>
        <w:pStyle w:val="27"/>
        <w:rPr>
          <w:rFonts w:hint="default"/>
        </w:rPr>
      </w:pPr>
      <w:r>
        <w:rPr>
          <w:rFonts w:hint="default"/>
        </w:rPr>
        <w:t>所有资格鉴定程序要求保留记录和文件资料。下面所列为最低要求：</w:t>
      </w:r>
    </w:p>
    <w:p>
      <w:pPr>
        <w:pStyle w:val="27"/>
        <w:rPr>
          <w:rFonts w:hint="default"/>
        </w:rPr>
      </w:pPr>
      <w:r>
        <w:rPr>
          <w:rFonts w:hint="default"/>
        </w:rPr>
        <w:t>a)</w:t>
      </w:r>
      <w:r>
        <w:rPr>
          <w:rFonts w:hint="eastAsia"/>
          <w:lang w:val="en-US" w:eastAsia="zh-CN"/>
        </w:rPr>
        <w:t xml:space="preserve"> </w:t>
      </w:r>
      <w:r>
        <w:rPr>
          <w:rFonts w:hint="default"/>
        </w:rPr>
        <w:t>所有证明检测人员完成培训计划和经历的记录。</w:t>
      </w:r>
    </w:p>
    <w:p>
      <w:pPr>
        <w:pStyle w:val="27"/>
        <w:rPr>
          <w:rFonts w:hint="default"/>
        </w:rPr>
      </w:pPr>
      <w:r>
        <w:rPr>
          <w:rFonts w:hint="default"/>
        </w:rPr>
        <w:t>b)</w:t>
      </w:r>
      <w:r>
        <w:rPr>
          <w:rFonts w:hint="eastAsia"/>
          <w:lang w:val="en-US" w:eastAsia="zh-CN"/>
        </w:rPr>
        <w:t xml:space="preserve"> </w:t>
      </w:r>
      <w:r>
        <w:rPr>
          <w:rFonts w:hint="default"/>
        </w:rPr>
        <w:t>认证机构应保存考核结果，并在要求时提供。</w:t>
      </w:r>
    </w:p>
    <w:p>
      <w:pPr>
        <w:pStyle w:val="27"/>
        <w:rPr>
          <w:rFonts w:hint="default"/>
        </w:rPr>
      </w:pPr>
      <w:r>
        <w:rPr>
          <w:rFonts w:hint="default"/>
        </w:rPr>
        <w:t>c)</w:t>
      </w:r>
      <w:r>
        <w:rPr>
          <w:rFonts w:hint="eastAsia"/>
          <w:lang w:val="en-US" w:eastAsia="zh-CN"/>
        </w:rPr>
        <w:t xml:space="preserve"> </w:t>
      </w:r>
      <w:r>
        <w:rPr>
          <w:rFonts w:hint="default"/>
        </w:rPr>
        <w:t>每位合格检测人员的记录至少应保存到其资格鉴定过期一年以后。</w:t>
      </w:r>
    </w:p>
    <w:p>
      <w:pPr>
        <w:pStyle w:val="27"/>
        <w:rPr>
          <w:rFonts w:hint="default"/>
        </w:rPr>
      </w:pPr>
      <w:r>
        <w:rPr>
          <w:rFonts w:hint="default"/>
        </w:rPr>
        <w:t>注：所有的资格鉴定和相关文件都应得到授权机构人员的批准。</w:t>
      </w:r>
    </w:p>
    <w:p>
      <w:pPr>
        <w:pStyle w:val="45"/>
        <w:spacing w:before="156" w:after="156"/>
        <w:ind w:left="2"/>
        <w:outlineLvl w:val="3"/>
        <w:rPr>
          <w:rFonts w:hint="default" w:ascii="Times New Roman" w:cs="Times New Roman"/>
          <w:lang w:val="en-US" w:eastAsia="zh-CN"/>
        </w:rPr>
      </w:pPr>
      <w:bookmarkStart w:id="89" w:name="_Toc17757"/>
      <w:r>
        <w:rPr>
          <w:rFonts w:hint="default" w:ascii="Times New Roman" w:cs="Times New Roman"/>
          <w:lang w:val="en-US" w:eastAsia="zh-CN"/>
        </w:rPr>
        <w:t>检验周期</w:t>
      </w:r>
      <w:bookmarkEnd w:id="89"/>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压裂管汇</w:t>
      </w:r>
    </w:p>
    <w:p>
      <w:pPr>
        <w:pStyle w:val="27"/>
        <w:rPr>
          <w:rFonts w:hint="default"/>
        </w:rPr>
      </w:pPr>
      <w:r>
        <w:rPr>
          <w:rFonts w:hint="default"/>
        </w:rPr>
        <w:t>压裂管汇元件的使用满足以下条件之一时，应进行检验：</w:t>
      </w:r>
    </w:p>
    <w:p>
      <w:pPr>
        <w:pStyle w:val="27"/>
        <w:rPr>
          <w:rFonts w:hint="default"/>
        </w:rPr>
      </w:pPr>
      <w:r>
        <w:rPr>
          <w:rFonts w:hint="default"/>
        </w:rPr>
        <w:t>a)累计上井使用时间达到200h。</w:t>
      </w:r>
    </w:p>
    <w:p>
      <w:pPr>
        <w:pStyle w:val="27"/>
        <w:rPr>
          <w:rFonts w:hint="default"/>
        </w:rPr>
      </w:pPr>
      <w:r>
        <w:rPr>
          <w:rFonts w:hint="default"/>
        </w:rPr>
        <w:t>b)使用砂量达到1500立方米。</w:t>
      </w:r>
    </w:p>
    <w:p>
      <w:pPr>
        <w:pStyle w:val="27"/>
        <w:rPr>
          <w:rFonts w:hint="default"/>
        </w:rPr>
      </w:pPr>
      <w:r>
        <w:rPr>
          <w:rFonts w:hint="default"/>
        </w:rPr>
        <w:t>c)使用液量达到55000立方米。</w:t>
      </w:r>
    </w:p>
    <w:p>
      <w:pPr>
        <w:pStyle w:val="27"/>
        <w:rPr>
          <w:rFonts w:hint="default"/>
        </w:rPr>
      </w:pPr>
      <w:r>
        <w:rPr>
          <w:rFonts w:hint="default"/>
        </w:rPr>
        <w:t>d)作业15口井后。</w:t>
      </w:r>
    </w:p>
    <w:p>
      <w:pPr>
        <w:pStyle w:val="27"/>
        <w:rPr>
          <w:rFonts w:hint="default"/>
        </w:rPr>
      </w:pPr>
      <w:r>
        <w:rPr>
          <w:rFonts w:hint="default"/>
        </w:rPr>
        <w:t>e)正常使用的常规压裂作业用高压管汇，距上次检验时间间隔已达半年。</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固井管汇</w:t>
      </w:r>
    </w:p>
    <w:p>
      <w:pPr>
        <w:pStyle w:val="27"/>
        <w:rPr>
          <w:rFonts w:hint="default"/>
        </w:rPr>
      </w:pPr>
      <w:r>
        <w:rPr>
          <w:rFonts w:hint="default"/>
        </w:rPr>
        <w:t>固井管汇一年检验一次。</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钻井作业用高压管汇</w:t>
      </w:r>
    </w:p>
    <w:p>
      <w:pPr>
        <w:pStyle w:val="27"/>
        <w:rPr>
          <w:rFonts w:hint="default"/>
        </w:rPr>
      </w:pPr>
      <w:r>
        <w:rPr>
          <w:rFonts w:hint="default"/>
        </w:rPr>
        <w:t>钻井液循环管线、防喷管线及放喷管线每6个月检验一次。</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特殊情况</w:t>
      </w:r>
    </w:p>
    <w:p>
      <w:pPr>
        <w:pStyle w:val="27"/>
        <w:rPr>
          <w:rFonts w:hint="default"/>
        </w:rPr>
      </w:pPr>
      <w:r>
        <w:rPr>
          <w:rFonts w:hint="default"/>
        </w:rPr>
        <w:t>高压管汇使用中出现下列情况需重新检验：</w:t>
      </w:r>
    </w:p>
    <w:p>
      <w:pPr>
        <w:pStyle w:val="27"/>
        <w:rPr>
          <w:rFonts w:hint="default"/>
        </w:rPr>
      </w:pPr>
      <w:r>
        <w:rPr>
          <w:rFonts w:hint="default"/>
        </w:rPr>
        <w:t>a)停用超过1年。</w:t>
      </w:r>
    </w:p>
    <w:p>
      <w:pPr>
        <w:pStyle w:val="27"/>
        <w:rPr>
          <w:rFonts w:hint="default"/>
        </w:rPr>
      </w:pPr>
      <w:r>
        <w:rPr>
          <w:rFonts w:hint="default"/>
        </w:rPr>
        <w:t>b)本体发生严重磕碰。</w:t>
      </w:r>
    </w:p>
    <w:p>
      <w:pPr>
        <w:pStyle w:val="27"/>
        <w:rPr>
          <w:rFonts w:hint="default"/>
        </w:rPr>
      </w:pPr>
      <w:r>
        <w:rPr>
          <w:rFonts w:hint="default"/>
        </w:rPr>
        <w:t>c)发现应力腐蚀、严重局部腐蚀冲蚀或者气体腐蚀。</w:t>
      </w:r>
    </w:p>
    <w:p>
      <w:pPr>
        <w:pStyle w:val="27"/>
        <w:rPr>
          <w:rFonts w:hint="default"/>
        </w:rPr>
      </w:pPr>
      <w:r>
        <w:rPr>
          <w:rFonts w:hint="default"/>
        </w:rPr>
        <w:t>d)本体经过补焊处理。</w:t>
      </w:r>
    </w:p>
    <w:p>
      <w:pPr>
        <w:pStyle w:val="27"/>
        <w:rPr>
          <w:rFonts w:hint="default"/>
        </w:rPr>
      </w:pPr>
      <w:r>
        <w:rPr>
          <w:rFonts w:hint="default"/>
        </w:rPr>
        <w:t>e)同批高压管汇发生过爆裂事故。</w:t>
      </w:r>
    </w:p>
    <w:p>
      <w:pPr>
        <w:pStyle w:val="27"/>
        <w:rPr>
          <w:rFonts w:hint="default"/>
        </w:rPr>
      </w:pPr>
      <w:r>
        <w:rPr>
          <w:rFonts w:hint="default"/>
        </w:rPr>
        <w:t>f)经过特殊工况使用（如高浓度硫化氢和二氧化碳）。</w:t>
      </w:r>
    </w:p>
    <w:p>
      <w:pPr>
        <w:pStyle w:val="27"/>
        <w:rPr>
          <w:rFonts w:hint="default"/>
        </w:rPr>
      </w:pPr>
      <w:r>
        <w:rPr>
          <w:rFonts w:hint="default"/>
        </w:rPr>
        <w:t>g)使用方没有按规定进行定期检查的。</w:t>
      </w:r>
    </w:p>
    <w:p>
      <w:pPr>
        <w:pStyle w:val="27"/>
        <w:rPr>
          <w:rFonts w:hint="default"/>
        </w:rPr>
      </w:pPr>
      <w:r>
        <w:rPr>
          <w:rFonts w:hint="default"/>
        </w:rPr>
        <w:t>h)检验人员或使用单位认为应该缩短检验周期的高压管汇件。</w:t>
      </w:r>
    </w:p>
    <w:p>
      <w:pPr>
        <w:pStyle w:val="45"/>
        <w:spacing w:before="156" w:after="156"/>
        <w:ind w:left="2"/>
        <w:outlineLvl w:val="3"/>
        <w:rPr>
          <w:rFonts w:hint="default" w:ascii="Times New Roman" w:cs="Times New Roman"/>
          <w:lang w:val="en-US" w:eastAsia="zh-CN"/>
        </w:rPr>
      </w:pPr>
      <w:bookmarkStart w:id="90" w:name="_Toc13262"/>
      <w:r>
        <w:rPr>
          <w:rFonts w:hint="default" w:ascii="Times New Roman" w:cs="Times New Roman"/>
          <w:lang w:val="en-US" w:eastAsia="zh-CN"/>
        </w:rPr>
        <w:t>检测设备要求</w:t>
      </w:r>
      <w:bookmarkEnd w:id="90"/>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磁粉检测设备</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磁化电源</w:t>
      </w:r>
    </w:p>
    <w:p>
      <w:pPr>
        <w:pStyle w:val="27"/>
        <w:rPr>
          <w:rFonts w:hint="default"/>
        </w:rPr>
      </w:pPr>
      <w:r>
        <w:rPr>
          <w:rFonts w:hint="default"/>
        </w:rPr>
        <w:t>磁化电源应装有电流表。电流表在正常情况下，至少半年校准一次。当设备进行重要电气修理或大修后，或者设备停用一年以上应重新进行校验。校准检查结果应进行记录，校准记录应包括最新校准日期、到期日期和校准人员的姓名。</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线圈</w:t>
      </w:r>
    </w:p>
    <w:p>
      <w:pPr>
        <w:pStyle w:val="27"/>
        <w:rPr>
          <w:rFonts w:hint="default"/>
        </w:rPr>
      </w:pPr>
      <w:r>
        <w:rPr>
          <w:rFonts w:hint="default"/>
        </w:rPr>
        <w:t>通过放置一个通电线圈，在被检产品的周围形成一个纵向磁场。线圈的匝数应在线圈上清楚地标明。线圈应进行检查，以保证内部线圈匝数的完整，并符合检验机构质量保证程序。对于新线圈，可通过比较电阻或磁通值来确定。</w:t>
      </w:r>
    </w:p>
    <w:p>
      <w:pPr>
        <w:pStyle w:val="27"/>
        <w:rPr>
          <w:rFonts w:hint="default"/>
        </w:rPr>
      </w:pPr>
      <w:r>
        <w:rPr>
          <w:rFonts w:hint="default"/>
        </w:rPr>
        <w:t>线圈的校准检查结果应进行记录，校准记录应包括最新校准日期、到期日期和校准人员的姓名。</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芯棒</w:t>
      </w:r>
    </w:p>
    <w:p>
      <w:pPr>
        <w:pStyle w:val="27"/>
        <w:rPr>
          <w:rFonts w:hint="default"/>
        </w:rPr>
      </w:pPr>
      <w:r>
        <w:rPr>
          <w:rFonts w:hint="default"/>
        </w:rPr>
        <w:t>在被检产品内部插入一个导体，并接通电源，调整电流，形成一个圆周磁场。电流表上应有一个用于显示电流不足的声光报警器。导体应与工件表面绝缘，以防止电接触或引起电弧烧伤。</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磁轭</w:t>
      </w:r>
    </w:p>
    <w:p>
      <w:pPr>
        <w:pStyle w:val="27"/>
        <w:rPr>
          <w:rFonts w:hint="default"/>
        </w:rPr>
      </w:pPr>
      <w:r>
        <w:rPr>
          <w:rFonts w:hint="default"/>
        </w:rPr>
        <w:t>磁轭是一种手持式磁化装置，可用来检测工件表面上任何方向的缺陷。磁轭有固定的或带活动关节的磁极，可由交流电或直流电激励。在应用时，优先选择带活动关节磁极的磁轭。当使用磁轭最大间距时，交流电磁轭至少应有45N的提升力，直流电磁轭至少应有177N的提升力，交叉磁轭至少应有118N的提升力（磁极与试件表面间隙小于等于0.5mm）。通常采用具有适当质量的钢棒或钢板检测磁轭的提升力。磁轭核查周期：</w:t>
      </w:r>
    </w:p>
    <w:p>
      <w:pPr>
        <w:pStyle w:val="27"/>
        <w:rPr>
          <w:rFonts w:hint="default"/>
        </w:rPr>
      </w:pPr>
      <w:r>
        <w:rPr>
          <w:rFonts w:hint="default"/>
        </w:rPr>
        <w:t>a)磁轭提升力每半年核查一次。</w:t>
      </w:r>
    </w:p>
    <w:p>
      <w:pPr>
        <w:pStyle w:val="27"/>
        <w:rPr>
          <w:rFonts w:hint="default"/>
        </w:rPr>
      </w:pPr>
      <w:r>
        <w:rPr>
          <w:rFonts w:hint="default"/>
        </w:rPr>
        <w:t>b)在磁轭损伤修复后应重新核查。</w:t>
      </w:r>
    </w:p>
    <w:p>
      <w:pPr>
        <w:pStyle w:val="27"/>
        <w:rPr>
          <w:rFonts w:hint="default"/>
        </w:rPr>
      </w:pPr>
      <w:r>
        <w:rPr>
          <w:rFonts w:hint="default"/>
        </w:rPr>
        <w:t>c)停用三个月首次使用前核查。</w:t>
      </w:r>
    </w:p>
    <w:p>
      <w:pPr>
        <w:pStyle w:val="27"/>
        <w:rPr>
          <w:rFonts w:hint="default"/>
        </w:rPr>
      </w:pPr>
      <w:r>
        <w:rPr>
          <w:rFonts w:hint="default"/>
        </w:rPr>
        <w:t>提升力检测的频率和程序应符合检验机构的质量保证程序。磁轭的校准检查结果应进行记录，校准记录应包括最新校准日期、到期日期和校准人员的姓名。</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接地故障断路器</w:t>
      </w:r>
    </w:p>
    <w:p>
      <w:pPr>
        <w:pStyle w:val="27"/>
        <w:rPr>
          <w:rFonts w:hint="default"/>
        </w:rPr>
      </w:pPr>
      <w:r>
        <w:rPr>
          <w:rFonts w:hint="default"/>
        </w:rPr>
        <w:t>当使用线圈或磁轭进行湿法磁粉检测时，电路中应接有一个接地故障断路器。</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磁场指示器</w:t>
      </w:r>
    </w:p>
    <w:p>
      <w:pPr>
        <w:pStyle w:val="27"/>
        <w:rPr>
          <w:rFonts w:hint="default"/>
        </w:rPr>
      </w:pPr>
      <w:r>
        <w:rPr>
          <w:rFonts w:hint="default"/>
        </w:rPr>
        <w:t>可用的磁场指示器应能在大约5Gs范围内吸附磁粉。磁场指示器只限于表明外部磁场的存在，即空气中的磁力线，而不是材料中的磁力线。</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磁强计和高斯计</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eastAsia" w:ascii="宋体" w:hAnsi="宋体" w:eastAsia="宋体" w:cs="宋体"/>
        </w:rPr>
      </w:pPr>
      <w:r>
        <w:rPr>
          <w:rFonts w:hint="eastAsia" w:ascii="宋体" w:hAnsi="宋体" w:eastAsia="宋体" w:cs="宋体"/>
        </w:rPr>
        <w:t>高斯计</w:t>
      </w:r>
    </w:p>
    <w:p>
      <w:pPr>
        <w:pStyle w:val="27"/>
        <w:rPr>
          <w:rFonts w:hint="default"/>
        </w:rPr>
      </w:pPr>
      <w:r>
        <w:rPr>
          <w:rFonts w:hint="default"/>
        </w:rPr>
        <w:t>用于验证相对磁场强度的高斯计应按照检验机构的质量保证程序进行校准。高斯计的校准检查结果应进行记录，校准记录应包括最新校准日期、到期日期和校准人员的姓名。</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磁强计</w:t>
      </w:r>
    </w:p>
    <w:p>
      <w:pPr>
        <w:pStyle w:val="27"/>
        <w:rPr>
          <w:rFonts w:hint="default"/>
        </w:rPr>
      </w:pPr>
      <w:r>
        <w:rPr>
          <w:rFonts w:hint="default"/>
        </w:rPr>
        <w:t>磁强计的精度应按照检验机构的质量保证程序进行校准。磁强计的校准检查结果应进行记录，校准记录应包括最新校准日期、到期日期和校准人员的姓名。</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磁粉</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湿荧光磁粉</w:t>
      </w:r>
    </w:p>
    <w:p>
      <w:pPr>
        <w:pStyle w:val="27"/>
        <w:rPr>
          <w:rFonts w:hint="default"/>
        </w:rPr>
      </w:pPr>
      <w:r>
        <w:rPr>
          <w:rFonts w:hint="default"/>
        </w:rPr>
        <w:t>使用时，荧光磁粉悬浮于载液中。该载液应是低粘度（运动粘度5mm2/s或以下）、非荧光、闪点高于93℃并且能够完全润湿被检表面。荧光磁粉置于紫外线光下时，能发出色泽鲜明的黄绿色荧光。应采用低流速施加磁悬液，防止细小缺陷显示被冲掉。应合理使用循环系统、喷雾容器或其他设施。</w:t>
      </w:r>
    </w:p>
    <w:p>
      <w:pPr>
        <w:pStyle w:val="27"/>
        <w:rPr>
          <w:rFonts w:hint="default"/>
        </w:rPr>
      </w:pPr>
      <w:r>
        <w:rPr>
          <w:rFonts w:hint="default"/>
        </w:rPr>
        <w:t>磁悬液应按照制造商的说明书连续或定期混合配置，磁悬液的体积浓度应在0.1%至0.4%之间。油基载体磁悬液的试验时间为1h，水基载体磁悬液的试验时间为30min。沉降试验应在一个无震动、无磁性的环境中完成。对于雾状罐装磁粉，制造商的批量检验可用于代替磁粉的沉降试验。</w:t>
      </w:r>
    </w:p>
    <w:p>
      <w:pPr>
        <w:pStyle w:val="27"/>
        <w:rPr>
          <w:rFonts w:hint="default"/>
        </w:rPr>
      </w:pPr>
      <w:r>
        <w:rPr>
          <w:rFonts w:hint="default"/>
        </w:rPr>
        <w:t>磁悬液的混合浓度应在使用前进行检查。循环系统的磁悬液浓度检查至少应每班进行一次。</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黑色磁粉和白色背景</w:t>
      </w:r>
    </w:p>
    <w:p>
      <w:pPr>
        <w:pStyle w:val="27"/>
        <w:rPr>
          <w:rFonts w:hint="default"/>
        </w:rPr>
      </w:pPr>
      <w:r>
        <w:rPr>
          <w:rFonts w:hint="default"/>
        </w:rPr>
        <w:t>黑色磁粉的制造商应提供或指定与黑色磁粉兼容的白色背景涂层（反差增强剂）。检测时，所有背景涂层的总厚度不应超过0.05mm。黑色磁粉悬浮于载液中。该载液应是低黏度（5cSt或以下）、闪点高于93℃并且能够完全润湿被检工件表面。应采用低流速施加磁悬液，防止细小缺陷显示被冲掉。应合理使用循环系统、喷雾容器或其他设施。</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紫外线</w:t>
      </w:r>
    </w:p>
    <w:p>
      <w:pPr>
        <w:pStyle w:val="27"/>
        <w:rPr>
          <w:rFonts w:hint="default"/>
        </w:rPr>
      </w:pPr>
      <w:r>
        <w:rPr>
          <w:rFonts w:hint="default"/>
        </w:rPr>
        <w:t>紫外线用于照射荧光磁粉的磁痕。通过合适的黑光灯或其他光源提供紫外线。它在工作状态下应具有为被检表面提供波长达到或接近365nm和强度不低于1000μw/cm</w:t>
      </w:r>
      <w:r>
        <w:rPr>
          <w:rFonts w:hint="default"/>
          <w:vertAlign w:val="superscript"/>
        </w:rPr>
        <w:t>2</w:t>
      </w:r>
      <w:r>
        <w:rPr>
          <w:rFonts w:hint="default"/>
        </w:rPr>
        <w:t>的紫外线能力。通过被检表面的紫外线感应器检测紫外线强度。检测期间，检测表面的可见光强度应不大于21.5 lx。</w:t>
      </w:r>
    </w:p>
    <w:p>
      <w:pPr>
        <w:pStyle w:val="27"/>
        <w:rPr>
          <w:rFonts w:hint="default"/>
        </w:rPr>
      </w:pPr>
      <w:r>
        <w:rPr>
          <w:rFonts w:hint="default"/>
        </w:rPr>
        <w:t>检测紫外线或可见光强度的仪器应按照检验机构的质量保证程序进行校准。仪器的校准检查结果应进行记录，校准记录应包括最新校准日期、到期日期和校准人员的姓名。</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超声测厚设备</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测厚仪的线性</w:t>
      </w:r>
    </w:p>
    <w:p>
      <w:pPr>
        <w:pStyle w:val="27"/>
        <w:rPr>
          <w:rFonts w:hint="default"/>
        </w:rPr>
      </w:pPr>
      <w:r>
        <w:rPr>
          <w:rFonts w:hint="default"/>
        </w:rPr>
        <w:t>应根据检验机构的质量保证程序校准测厚仪读数的线性。测厚仪的校准检查结果应进行记录，校准记录应包括最新校准日期、到期日期和校准人员的姓名。</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灵敏度检查</w:t>
      </w:r>
    </w:p>
    <w:p>
      <w:pPr>
        <w:pStyle w:val="27"/>
        <w:rPr>
          <w:rFonts w:hint="default"/>
        </w:rPr>
      </w:pPr>
      <w:r>
        <w:rPr>
          <w:rFonts w:hint="default"/>
        </w:rPr>
        <w:t>使用超声波测厚仪从高压管汇件外表面测量壁厚。超声波测厚仪的测量探头是一个双晶探头，其直径不应超过9.53mm。对比试样的厚度读数与实际厚度的误差应在±0.025mm之内。</w:t>
      </w:r>
    </w:p>
    <w:p>
      <w:pPr>
        <w:pStyle w:val="27"/>
        <w:rPr>
          <w:rFonts w:hint="default"/>
        </w:rPr>
      </w:pPr>
      <w:r>
        <w:rPr>
          <w:rFonts w:hint="default"/>
        </w:rPr>
        <w:t>如果使用超声波测厚仪测量内部缺陷部位的剩余壁厚，测厚仪探头应能检测到一个平行表面试块上，埋深至少为9.7mm、直径为0.79mm的平底孔，测量精度应为±0.25mm。这种检测能力的验证可作为检验机构定期校准的一部分。如果灵敏度检查是在校准期间完成的，应在校准记录中指明。</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耦合剂</w:t>
      </w:r>
    </w:p>
    <w:p>
      <w:pPr>
        <w:pStyle w:val="27"/>
        <w:rPr>
          <w:rFonts w:hint="default"/>
        </w:rPr>
      </w:pPr>
      <w:r>
        <w:rPr>
          <w:rFonts w:hint="default"/>
        </w:rPr>
        <w:t>耦合剂用于润湿高压管汇件的表面，并保证探头与被检高压管汇之间的声能传输。耦合剂应不含有影响测量读数的污染物。耦合剂中可添加不损害高压管汇件表面的防锈剂、甘油、防冻液或润湿剂等。耦合剂应具有足够的黏度，在探头不施加过大压力的情况下，耦合良好。</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深度计</w:t>
      </w:r>
    </w:p>
    <w:p>
      <w:pPr>
        <w:pStyle w:val="27"/>
        <w:rPr>
          <w:rFonts w:hint="default"/>
        </w:rPr>
      </w:pPr>
      <w:r>
        <w:rPr>
          <w:rFonts w:hint="default"/>
        </w:rPr>
        <w:t>深度计应按照检验机构的质量保证程序进行校准。应记录深度计的校准检查结果，校准记录应包括最新校准日期、到期日期和校准人员的姓名。</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水压试验设备</w:t>
      </w:r>
    </w:p>
    <w:p>
      <w:pPr>
        <w:pStyle w:val="27"/>
        <w:rPr>
          <w:rFonts w:hint="default"/>
        </w:rPr>
      </w:pPr>
      <w:r>
        <w:rPr>
          <w:rFonts w:hint="default"/>
        </w:rPr>
        <w:t>水压试验设备应满足：</w:t>
      </w:r>
    </w:p>
    <w:p>
      <w:pPr>
        <w:pStyle w:val="27"/>
        <w:rPr>
          <w:rFonts w:hint="default"/>
        </w:rPr>
      </w:pPr>
      <w:r>
        <w:rPr>
          <w:rFonts w:hint="default"/>
        </w:rPr>
        <w:t>a)</w:t>
      </w:r>
      <w:r>
        <w:rPr>
          <w:rFonts w:hint="eastAsia"/>
          <w:lang w:val="en-US" w:eastAsia="zh-CN"/>
        </w:rPr>
        <w:t xml:space="preserve"> </w:t>
      </w:r>
      <w:r>
        <w:rPr>
          <w:rFonts w:hint="default"/>
        </w:rPr>
        <w:t>水压试验设备测量范围(0～250)MPa。</w:t>
      </w:r>
    </w:p>
    <w:p>
      <w:pPr>
        <w:pStyle w:val="27"/>
        <w:rPr>
          <w:rFonts w:hint="default"/>
        </w:rPr>
      </w:pPr>
      <w:r>
        <w:rPr>
          <w:rFonts w:hint="default"/>
        </w:rPr>
        <w:t>b)</w:t>
      </w:r>
      <w:r>
        <w:rPr>
          <w:rFonts w:hint="eastAsia"/>
          <w:lang w:val="en-US" w:eastAsia="zh-CN"/>
        </w:rPr>
        <w:t xml:space="preserve"> </w:t>
      </w:r>
      <w:r>
        <w:rPr>
          <w:rFonts w:hint="default"/>
        </w:rPr>
        <w:t>应具有超压自动卸荷功能。</w:t>
      </w:r>
    </w:p>
    <w:p>
      <w:pPr>
        <w:pStyle w:val="27"/>
        <w:rPr>
          <w:rFonts w:hint="default"/>
        </w:rPr>
      </w:pPr>
      <w:r>
        <w:rPr>
          <w:rFonts w:hint="default"/>
        </w:rPr>
        <w:t>c)</w:t>
      </w:r>
      <w:r>
        <w:rPr>
          <w:rFonts w:hint="eastAsia"/>
          <w:lang w:val="en-US" w:eastAsia="zh-CN"/>
        </w:rPr>
        <w:t xml:space="preserve"> </w:t>
      </w:r>
      <w:r>
        <w:rPr>
          <w:rFonts w:hint="default"/>
        </w:rPr>
        <w:t>具有压力曲线记录功能。</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类型和准确度</w:t>
      </w:r>
    </w:p>
    <w:p>
      <w:pPr>
        <w:pStyle w:val="27"/>
        <w:rPr>
          <w:rFonts w:hint="default"/>
        </w:rPr>
      </w:pPr>
      <w:r>
        <w:rPr>
          <w:rFonts w:hint="default"/>
        </w:rPr>
        <w:t>压力测量仪表至少应精确到满量程的±2%。如果使用压力测量仪表代替压力传感器，应使试验压力在其满量程的20%至80%。</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校准程序</w:t>
      </w:r>
    </w:p>
    <w:p>
      <w:pPr>
        <w:pStyle w:val="27"/>
        <w:rPr>
          <w:rFonts w:hint="default"/>
        </w:rPr>
      </w:pPr>
      <w:r>
        <w:rPr>
          <w:rFonts w:hint="default"/>
        </w:rPr>
        <w:t>压力测量仪表应定期用标准压力测量装置或砝码试验器，至少在满量程的3个平均点上重新校准（校准点不包括0点和满量程点）。</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校准周期</w:t>
      </w:r>
    </w:p>
    <w:p>
      <w:pPr>
        <w:pStyle w:val="27"/>
        <w:rPr>
          <w:rFonts w:hint="default"/>
        </w:rPr>
      </w:pPr>
      <w:r>
        <w:rPr>
          <w:rFonts w:hint="default"/>
        </w:rPr>
        <w:t>校准周期应根据使用的重复性和使用程度确定。根据记录的校准历史，校准周期可延长或者缩短。</w:t>
      </w:r>
    </w:p>
    <w:p>
      <w:pPr>
        <w:pStyle w:val="27"/>
        <w:rPr>
          <w:rFonts w:hint="default"/>
        </w:rPr>
      </w:pPr>
      <w:r>
        <w:rPr>
          <w:rFonts w:hint="default"/>
        </w:rPr>
        <w:t>在能建立校准历史记录和新延长时间间隔（最长增加三个月）之前，间隔延长的增加应限制在3个月内，最大校准间隔不超过1年。</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声发射检测设备</w:t>
      </w:r>
    </w:p>
    <w:p>
      <w:pPr>
        <w:pStyle w:val="27"/>
        <w:rPr>
          <w:rFonts w:hint="default"/>
        </w:rPr>
      </w:pPr>
      <w:r>
        <w:rPr>
          <w:rFonts w:hint="default"/>
        </w:rPr>
        <w:t>声发射检测系统应包括传感器、前置放大器、系统主机、显示和存储等单元。系统主机应有覆盖检测区域的足够通道数，应至少能实时显示和存储声发射信号的参数（包括到达时间、门槛、幅度、振铃计数、能量、上升时间、持续时间、撞击数），宜具有接收和记录压力、温度等外部电信号的功能。</w:t>
      </w:r>
    </w:p>
    <w:p>
      <w:pPr>
        <w:pStyle w:val="27"/>
        <w:rPr>
          <w:rFonts w:hint="default"/>
        </w:rPr>
      </w:pPr>
      <w:r>
        <w:rPr>
          <w:rFonts w:hint="default"/>
        </w:rPr>
        <w:t>声发射检测设备应按照检验机构的质量保证程序进行校准。声发射传感器、前置放大器和系统主机每年至少进行一次校准。检测机构应制定校准作业指导书，校准结果应有相应记录和报告，校准记录应包括最新校准日期、到期日期和校准人员的姓名。</w:t>
      </w:r>
    </w:p>
    <w:p>
      <w:pPr>
        <w:pStyle w:val="27"/>
        <w:rPr>
          <w:rFonts w:hint="default"/>
        </w:rPr>
      </w:pPr>
      <w:r>
        <w:rPr>
          <w:rFonts w:hint="default"/>
        </w:rPr>
        <w:t>声发射设备软件在首次投入使用前、软件版本升级后及遭到网络攻击后都应进行软件测试确认。</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漏磁检测设备</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漏磁检测设备组成</w:t>
      </w:r>
    </w:p>
    <w:p>
      <w:pPr>
        <w:pStyle w:val="27"/>
        <w:rPr>
          <w:rFonts w:hint="default"/>
        </w:rPr>
      </w:pPr>
      <w:r>
        <w:rPr>
          <w:rFonts w:hint="default"/>
        </w:rPr>
        <w:t>漏磁检测设备应包括电源、磁化装置、磁场传感器、扫查装置、信号处理单元及信号显示单元。漏磁检测设备、校准试件、对比试件及被检工件应满足NB/T 47013.12标准要求，同时应满足：</w:t>
      </w:r>
    </w:p>
    <w:p>
      <w:pPr>
        <w:pStyle w:val="27"/>
        <w:rPr>
          <w:rFonts w:hint="default"/>
        </w:rPr>
      </w:pPr>
      <w:r>
        <w:rPr>
          <w:rFonts w:hint="default"/>
        </w:rPr>
        <w:t>a)</w:t>
      </w:r>
      <w:r>
        <w:rPr>
          <w:rFonts w:hint="eastAsia"/>
          <w:lang w:val="en-US" w:eastAsia="zh-CN"/>
        </w:rPr>
        <w:t xml:space="preserve"> </w:t>
      </w:r>
      <w:r>
        <w:rPr>
          <w:rFonts w:hint="default"/>
        </w:rPr>
        <w:t>磁化装置采用永久磁铁。</w:t>
      </w:r>
    </w:p>
    <w:p>
      <w:pPr>
        <w:pStyle w:val="27"/>
        <w:rPr>
          <w:rFonts w:hint="default"/>
        </w:rPr>
      </w:pPr>
      <w:r>
        <w:rPr>
          <w:rFonts w:hint="default"/>
        </w:rPr>
        <w:t>b)</w:t>
      </w:r>
      <w:r>
        <w:rPr>
          <w:rFonts w:hint="eastAsia"/>
          <w:lang w:val="en-US" w:eastAsia="zh-CN"/>
        </w:rPr>
        <w:t xml:space="preserve"> </w:t>
      </w:r>
      <w:r>
        <w:rPr>
          <w:rFonts w:hint="default"/>
        </w:rPr>
        <w:t>磁场传感器可以采用霍尔元件。</w:t>
      </w:r>
    </w:p>
    <w:p>
      <w:pPr>
        <w:pStyle w:val="27"/>
        <w:rPr>
          <w:rFonts w:hint="default"/>
        </w:rPr>
      </w:pPr>
      <w:r>
        <w:rPr>
          <w:rFonts w:hint="default"/>
        </w:rPr>
        <w:t>c)</w:t>
      </w:r>
      <w:r>
        <w:rPr>
          <w:rFonts w:hint="eastAsia"/>
          <w:lang w:val="en-US" w:eastAsia="zh-CN"/>
        </w:rPr>
        <w:t xml:space="preserve"> </w:t>
      </w:r>
      <w:r>
        <w:rPr>
          <w:rFonts w:hint="default"/>
        </w:rPr>
        <w:t>扫查装置应适应一定范围管汇直径变化。</w:t>
      </w:r>
    </w:p>
    <w:p>
      <w:pPr>
        <w:pStyle w:val="27"/>
        <w:rPr>
          <w:rFonts w:hint="default"/>
        </w:rPr>
      </w:pPr>
      <w:r>
        <w:rPr>
          <w:rFonts w:hint="default"/>
        </w:rPr>
        <w:t>d)</w:t>
      </w:r>
      <w:r>
        <w:rPr>
          <w:rFonts w:hint="eastAsia"/>
          <w:lang w:val="en-US" w:eastAsia="zh-CN"/>
        </w:rPr>
        <w:t xml:space="preserve"> </w:t>
      </w:r>
      <w:r>
        <w:rPr>
          <w:rFonts w:hint="default"/>
        </w:rPr>
        <w:t>信号显示单元采用手持式无线传输显示器。</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对比试样</w:t>
      </w:r>
    </w:p>
    <w:p>
      <w:pPr>
        <w:pStyle w:val="27"/>
        <w:rPr>
          <w:rFonts w:hint="default"/>
        </w:rPr>
      </w:pPr>
      <w:r>
        <w:rPr>
          <w:rFonts w:hint="default"/>
        </w:rPr>
        <w:t>对比试样用来确定所有探头共同的灵敏度，对比试样的壁厚和人工缺陷尺寸不限定。对比试样内径应与被检管体内径一致。对比试样可以有一个或多个人工缺陷。人工缺陷通常是1.6 mm(1/16in)的通孔。如果有多个孔，那么它们的设置应间隔开，以便获得清晰可辨的信号。</w:t>
      </w:r>
    </w:p>
    <w:p>
      <w:pPr>
        <w:pStyle w:val="27"/>
        <w:rPr>
          <w:rFonts w:hint="default"/>
        </w:rPr>
      </w:pPr>
      <w:r>
        <w:rPr>
          <w:rFonts w:hint="default"/>
        </w:rPr>
        <w:t>对比试样的每个人工缺陷的检测显示值应接近(平均波动值±10%)，应在制造时校准，并且以后至少每两年校准一次。</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超声波探伤仪</w:t>
      </w:r>
    </w:p>
    <w:p>
      <w:pPr>
        <w:pStyle w:val="27"/>
        <w:rPr>
          <w:rFonts w:hint="default"/>
        </w:rPr>
      </w:pPr>
      <w:r>
        <w:rPr>
          <w:rFonts w:hint="default"/>
        </w:rPr>
        <w:t>超声波探伤仪应按照检验机构的质量保证程序进行校准。应采用A型脉冲反射式超声波探伤仪。探伤仪增益控制增量不大于0.5dB。使用的探头频率应在2.25 MHz~10.0 MHz之间。耦合剂应保证探头与被检高压管汇元件之间的有效耦合。检测表面应无干扰检测灵敏度或读数的污染物。防锈剂、甘油、防冻液或润湿剂可以添加到耦合剂中，前提是不损害被检表面。探伤仪的灵敏度应使其能够检测、显示和记录体积型缺陷，包括但不限于裂纹和凹坑。探伤仪的校准检查结果应进行记录，校准记录应包括最新校准日期、到期日期和校准人员的姓名。</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照明设备</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外表面照明</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自然光</w:t>
      </w:r>
    </w:p>
    <w:p>
      <w:pPr>
        <w:pStyle w:val="27"/>
        <w:rPr>
          <w:rFonts w:hint="default"/>
        </w:rPr>
      </w:pPr>
      <w:r>
        <w:rPr>
          <w:rFonts w:hint="default"/>
        </w:rPr>
        <w:t>自然光条件下不需要表面照明。</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夜间和封闭设施内的照明</w:t>
      </w:r>
    </w:p>
    <w:p>
      <w:pPr>
        <w:pStyle w:val="27"/>
        <w:rPr>
          <w:rFonts w:hint="default"/>
        </w:rPr>
      </w:pPr>
      <w:r>
        <w:rPr>
          <w:rFonts w:hint="default"/>
        </w:rPr>
        <w:t>被检测的表面散射光水平至少要达到538 lx。在封闭的固定位置设施内的照明应符合检验机构的质量保证程序。记录检查结果，包括检查日期，读数和检查者的身份。现场应有这些记录。</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便携式设备的夜间照明</w:t>
      </w:r>
    </w:p>
    <w:p>
      <w:pPr>
        <w:pStyle w:val="27"/>
        <w:rPr>
          <w:rFonts w:hint="default"/>
        </w:rPr>
      </w:pPr>
      <w:r>
        <w:rPr>
          <w:rFonts w:hint="default"/>
        </w:rPr>
        <w:t>被检测的表面散射光水平至少要达到538 lx。在检测工作开始时，应验证合适的照明条件，以保证便携式光源有效地照在被检测表面。在检测工作过程中，当照明光源改变相对被检测表面的位置或强度时，应检查照明。</w:t>
      </w:r>
    </w:p>
    <w:p>
      <w:pPr>
        <w:pStyle w:val="27"/>
        <w:rPr>
          <w:rFonts w:hint="default"/>
        </w:rPr>
      </w:pPr>
      <w:r>
        <w:rPr>
          <w:rFonts w:hint="default"/>
        </w:rPr>
        <w:t>用于照明的光学仪器应依据检验机构的质量保证程序进行校准。校准检查应进行记录，校准记录应包括最新校准日期、到期日期和校准人员的姓名。</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内表面照明</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用于照明的镜子</w:t>
      </w:r>
    </w:p>
    <w:p>
      <w:pPr>
        <w:pStyle w:val="27"/>
        <w:rPr>
          <w:rFonts w:hint="default"/>
        </w:rPr>
      </w:pPr>
      <w:r>
        <w:rPr>
          <w:rFonts w:hint="default"/>
        </w:rPr>
        <w:t>反射表面应是一个提供不变影像的无染色的镜子。反射表面应平整并清洁。</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便携式光源</w:t>
      </w:r>
    </w:p>
    <w:p>
      <w:pPr>
        <w:pStyle w:val="27"/>
        <w:rPr>
          <w:rFonts w:hint="default"/>
        </w:rPr>
      </w:pPr>
      <w:r>
        <w:rPr>
          <w:rFonts w:hint="default"/>
        </w:rPr>
        <w:t>在最大检测距离处可以产生强度大于1076 lx的便携式光源可用于内表面照明。</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其他的光源</w:t>
      </w:r>
    </w:p>
    <w:p>
      <w:pPr>
        <w:pStyle w:val="27"/>
        <w:rPr>
          <w:rFonts w:hint="default"/>
        </w:rPr>
      </w:pPr>
      <w:r>
        <w:rPr>
          <w:rFonts w:hint="default"/>
        </w:rPr>
        <w:t>满足文件要求的照明能力的光源可以用于内表面的检测。</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光学检测设备</w:t>
      </w:r>
    </w:p>
    <w:p>
      <w:pPr>
        <w:pStyle w:val="27"/>
        <w:rPr>
          <w:rFonts w:hint="default"/>
        </w:rPr>
      </w:pPr>
      <w:r>
        <w:rPr>
          <w:rFonts w:hint="default"/>
        </w:rPr>
        <w:t>检测工作开始时，内窥镜或其他光学的内表面检测设备的分辨率应进行检查。在工作期间，设备的部分或全部部件进行组装时，检测设备也应进行检查。放置在102mm的物镜上的J-4字母应能够通过光学检测设备清楚读出。</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检验服务车</w:t>
      </w:r>
    </w:p>
    <w:p>
      <w:pPr>
        <w:pStyle w:val="27"/>
        <w:rPr>
          <w:rFonts w:hint="default"/>
        </w:rPr>
      </w:pPr>
      <w:r>
        <w:rPr>
          <w:rFonts w:hint="default"/>
        </w:rPr>
        <w:t>检验机构宜配置检验服务车，检验服务车应满足：</w:t>
      </w:r>
    </w:p>
    <w:p>
      <w:pPr>
        <w:pStyle w:val="27"/>
        <w:rPr>
          <w:rFonts w:hint="default"/>
        </w:rPr>
      </w:pPr>
      <w:r>
        <w:rPr>
          <w:rFonts w:hint="default"/>
        </w:rPr>
        <w:t>a)</w:t>
      </w:r>
      <w:r>
        <w:rPr>
          <w:rFonts w:hint="eastAsia"/>
          <w:lang w:val="en-US" w:eastAsia="zh-CN"/>
        </w:rPr>
        <w:t xml:space="preserve"> </w:t>
      </w:r>
      <w:r>
        <w:rPr>
          <w:rFonts w:hint="default"/>
        </w:rPr>
        <w:t>检验服务车用于在施工作业现场开展在役高压管汇检验服务。功能宜包括静水压试验、检维修工具运输、检测仪器储存、现场办公、现场施工照明、人员休息、安全监视等。</w:t>
      </w:r>
    </w:p>
    <w:p>
      <w:pPr>
        <w:pStyle w:val="27"/>
        <w:rPr>
          <w:rFonts w:hint="default"/>
        </w:rPr>
      </w:pPr>
      <w:r>
        <w:rPr>
          <w:rFonts w:hint="default"/>
        </w:rPr>
        <w:t>b)</w:t>
      </w:r>
      <w:r>
        <w:rPr>
          <w:rFonts w:hint="eastAsia"/>
          <w:lang w:val="en-US" w:eastAsia="zh-CN"/>
        </w:rPr>
        <w:t xml:space="preserve"> </w:t>
      </w:r>
      <w:r>
        <w:rPr>
          <w:rFonts w:hint="default"/>
        </w:rPr>
        <w:t>检验服务车的设计规范、制造工艺及技术质量应符合SY/T 5072标准要求。</w:t>
      </w:r>
    </w:p>
    <w:p>
      <w:pPr>
        <w:pStyle w:val="27"/>
        <w:rPr>
          <w:rFonts w:hint="default"/>
        </w:rPr>
      </w:pPr>
      <w:r>
        <w:rPr>
          <w:rFonts w:hint="default"/>
        </w:rPr>
        <w:t>c)</w:t>
      </w:r>
      <w:r>
        <w:rPr>
          <w:rFonts w:hint="eastAsia"/>
          <w:lang w:val="en-US" w:eastAsia="zh-CN"/>
        </w:rPr>
        <w:t xml:space="preserve"> </w:t>
      </w:r>
      <w:r>
        <w:rPr>
          <w:rFonts w:hint="default"/>
        </w:rPr>
        <w:t>所有仪器设备宜布局合理，方便操作、检查和维护。箱体设计和布置符合整车载荷分布要求，无偏重现象。</w:t>
      </w:r>
    </w:p>
    <w:p>
      <w:pPr>
        <w:pStyle w:val="27"/>
        <w:rPr>
          <w:rFonts w:hint="default"/>
        </w:rPr>
      </w:pPr>
      <w:r>
        <w:rPr>
          <w:rFonts w:hint="default"/>
        </w:rPr>
        <w:t>d)</w:t>
      </w:r>
      <w:r>
        <w:rPr>
          <w:rFonts w:hint="eastAsia"/>
          <w:lang w:val="en-US" w:eastAsia="zh-CN"/>
        </w:rPr>
        <w:t xml:space="preserve"> </w:t>
      </w:r>
      <w:r>
        <w:rPr>
          <w:rFonts w:hint="default"/>
        </w:rPr>
        <w:t>试压区与办公区之间安装隔墙（隔墙内设有5mm防护钢板），并设有150mm ×120mm观察窗。</w:t>
      </w:r>
    </w:p>
    <w:p>
      <w:pPr>
        <w:pStyle w:val="27"/>
        <w:rPr>
          <w:rFonts w:hint="default"/>
        </w:rPr>
      </w:pPr>
      <w:r>
        <w:rPr>
          <w:rFonts w:hint="default"/>
        </w:rPr>
        <w:t>e)</w:t>
      </w:r>
      <w:r>
        <w:rPr>
          <w:rFonts w:hint="eastAsia"/>
          <w:lang w:val="en-US" w:eastAsia="zh-CN"/>
        </w:rPr>
        <w:t xml:space="preserve"> </w:t>
      </w:r>
      <w:r>
        <w:rPr>
          <w:rFonts w:hint="default"/>
        </w:rPr>
        <w:t>箱体设备具有良好的密封及抗震动能力，以保障设备能适应在潮湿、下雨及风沙等气候条件下作业。</w:t>
      </w:r>
    </w:p>
    <w:p>
      <w:pPr>
        <w:pStyle w:val="27"/>
        <w:rPr>
          <w:rFonts w:hint="default"/>
        </w:rPr>
      </w:pPr>
      <w:r>
        <w:rPr>
          <w:rFonts w:hint="default"/>
        </w:rPr>
        <w:t>f)</w:t>
      </w:r>
      <w:r>
        <w:rPr>
          <w:rFonts w:hint="eastAsia"/>
          <w:lang w:val="en-US" w:eastAsia="zh-CN"/>
        </w:rPr>
        <w:t xml:space="preserve"> </w:t>
      </w:r>
      <w:r>
        <w:rPr>
          <w:rFonts w:hint="default"/>
        </w:rPr>
        <w:t>试压设备宜采用液驱大排量高压增压系统，能实现试验数据同步传输。</w:t>
      </w:r>
    </w:p>
    <w:p>
      <w:pPr>
        <w:pStyle w:val="27"/>
        <w:rPr>
          <w:rFonts w:hint="default"/>
        </w:rPr>
      </w:pPr>
      <w:r>
        <w:rPr>
          <w:rFonts w:hint="default"/>
        </w:rPr>
        <w:t>g)</w:t>
      </w:r>
      <w:r>
        <w:rPr>
          <w:rFonts w:hint="eastAsia"/>
          <w:lang w:val="en-US" w:eastAsia="zh-CN"/>
        </w:rPr>
        <w:t xml:space="preserve"> </w:t>
      </w:r>
      <w:r>
        <w:rPr>
          <w:rFonts w:hint="default"/>
        </w:rPr>
        <w:t>试压设备具有污水回收再利用设施。</w:t>
      </w:r>
    </w:p>
    <w:p>
      <w:pPr>
        <w:pStyle w:val="27"/>
        <w:rPr>
          <w:rFonts w:hint="default"/>
        </w:rPr>
      </w:pPr>
      <w:r>
        <w:rPr>
          <w:rFonts w:hint="default"/>
        </w:rPr>
        <w:t>h)</w:t>
      </w:r>
      <w:r>
        <w:rPr>
          <w:rFonts w:hint="eastAsia"/>
          <w:lang w:val="en-US" w:eastAsia="zh-CN"/>
        </w:rPr>
        <w:t xml:space="preserve"> </w:t>
      </w:r>
      <w:r>
        <w:rPr>
          <w:rFonts w:hint="default"/>
        </w:rPr>
        <w:t>电路外接接口应符合防爆要求。</w:t>
      </w:r>
    </w:p>
    <w:p>
      <w:pPr>
        <w:pStyle w:val="27"/>
        <w:rPr>
          <w:rFonts w:hint="default"/>
        </w:rPr>
      </w:pPr>
      <w:r>
        <w:rPr>
          <w:rFonts w:hint="default"/>
        </w:rPr>
        <w:t>i)</w:t>
      </w:r>
      <w:r>
        <w:rPr>
          <w:rFonts w:hint="eastAsia"/>
          <w:lang w:val="en-US" w:eastAsia="zh-CN"/>
        </w:rPr>
        <w:t xml:space="preserve"> </w:t>
      </w:r>
      <w:r>
        <w:rPr>
          <w:rFonts w:hint="default"/>
        </w:rPr>
        <w:t>底板铺设防滑橡胶。</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安全防护装置</w:t>
      </w:r>
    </w:p>
    <w:p>
      <w:pPr>
        <w:pStyle w:val="27"/>
        <w:rPr>
          <w:rFonts w:hint="default"/>
        </w:rPr>
      </w:pPr>
      <w:r>
        <w:rPr>
          <w:rFonts w:hint="default"/>
        </w:rPr>
        <w:t>a)</w:t>
      </w:r>
      <w:r>
        <w:rPr>
          <w:rFonts w:hint="eastAsia"/>
          <w:lang w:val="en-US" w:eastAsia="zh-CN"/>
        </w:rPr>
        <w:t xml:space="preserve"> </w:t>
      </w:r>
      <w:r>
        <w:rPr>
          <w:rFonts w:hint="default"/>
        </w:rPr>
        <w:t>静水压试验时，如果采用固定式安全防护装置，装置高度不低于2m，安全防护装置的材质为钢板或者钢板和缓冲材料的组合，应避免试压介质因泄漏飞溅伤人。</w:t>
      </w:r>
    </w:p>
    <w:p>
      <w:pPr>
        <w:pStyle w:val="27"/>
        <w:rPr>
          <w:rFonts w:hint="default"/>
        </w:rPr>
      </w:pPr>
      <w:r>
        <w:rPr>
          <w:rFonts w:hint="default"/>
        </w:rPr>
        <w:t>b)</w:t>
      </w:r>
      <w:r>
        <w:rPr>
          <w:rFonts w:hint="eastAsia"/>
          <w:lang w:val="en-US" w:eastAsia="zh-CN"/>
        </w:rPr>
        <w:t xml:space="preserve"> </w:t>
      </w:r>
      <w:r>
        <w:rPr>
          <w:rFonts w:hint="default"/>
        </w:rPr>
        <w:t>移动式安全防护装置只与检验服务车配套使用，使用过程中移动式安全防护装置位于被试压对象与试压设备之间。</w:t>
      </w:r>
    </w:p>
    <w:p>
      <w:pPr>
        <w:pStyle w:val="27"/>
        <w:rPr>
          <w:rFonts w:hint="default"/>
        </w:rPr>
      </w:pPr>
      <w:r>
        <w:rPr>
          <w:rFonts w:hint="default"/>
        </w:rPr>
        <w:t>c)</w:t>
      </w:r>
      <w:r>
        <w:rPr>
          <w:rFonts w:hint="eastAsia"/>
          <w:lang w:val="en-US" w:eastAsia="zh-CN"/>
        </w:rPr>
        <w:t xml:space="preserve"> </w:t>
      </w:r>
      <w:r>
        <w:rPr>
          <w:rFonts w:hint="default"/>
        </w:rPr>
        <w:t>移动式安全防护装置优先采用不锈钢材质，材质厚度不小于8mm，具有可拆卸性。</w:t>
      </w:r>
    </w:p>
    <w:p>
      <w:pPr>
        <w:pStyle w:val="27"/>
        <w:rPr>
          <w:rFonts w:hint="default"/>
        </w:rPr>
      </w:pPr>
      <w:r>
        <w:rPr>
          <w:rFonts w:hint="default"/>
        </w:rPr>
        <w:t>d)</w:t>
      </w:r>
      <w:r>
        <w:rPr>
          <w:rFonts w:hint="eastAsia"/>
          <w:lang w:val="en-US" w:eastAsia="zh-CN"/>
        </w:rPr>
        <w:t xml:space="preserve"> </w:t>
      </w:r>
      <w:r>
        <w:rPr>
          <w:rFonts w:hint="default"/>
        </w:rPr>
        <w:t>安全防护装置上应设置警示标志，在周边拉警戒线。</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检维修专用工具</w:t>
      </w:r>
    </w:p>
    <w:p>
      <w:pPr>
        <w:pStyle w:val="27"/>
        <w:rPr>
          <w:rFonts w:hint="default"/>
        </w:rPr>
      </w:pPr>
      <w:r>
        <w:rPr>
          <w:rFonts w:hint="default"/>
        </w:rPr>
        <w:t>检验机构应配置适用于各类高压管汇元件的拆装用的检维修专用工具，包括旋塞阀阀盖拆卸工具、旋塞阀阀芯拆卸工具、单流阀拆卸工具、活动弯头拆卸工具、起吊和运输装置等。</w:t>
      </w:r>
    </w:p>
    <w:p>
      <w:pPr>
        <w:pStyle w:val="45"/>
        <w:spacing w:before="156" w:after="156"/>
        <w:ind w:left="2"/>
        <w:outlineLvl w:val="3"/>
        <w:rPr>
          <w:rFonts w:hint="default" w:ascii="Times New Roman" w:cs="Times New Roman"/>
          <w:lang w:val="en-US" w:eastAsia="zh-CN"/>
        </w:rPr>
      </w:pPr>
      <w:bookmarkStart w:id="91" w:name="_Toc32060"/>
      <w:r>
        <w:rPr>
          <w:rFonts w:hint="default" w:ascii="Times New Roman" w:cs="Times New Roman"/>
          <w:lang w:val="en-US" w:eastAsia="zh-CN"/>
        </w:rPr>
        <w:t>检验前的程序</w:t>
      </w:r>
      <w:bookmarkEnd w:id="91"/>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工作场地要求</w:t>
      </w:r>
    </w:p>
    <w:p>
      <w:pPr>
        <w:pStyle w:val="27"/>
        <w:rPr>
          <w:rFonts w:hint="default"/>
        </w:rPr>
      </w:pPr>
      <w:r>
        <w:rPr>
          <w:rFonts w:hint="default"/>
        </w:rPr>
        <w:t>检验机构/操作者应在一个合适的工作场地进行检测。阀门、刚性管线和各种接头应分类摆放，现场划分待检区、检验区、已检合格区、维修区及报废区，并具有足够的周转空间。</w:t>
      </w:r>
    </w:p>
    <w:p>
      <w:pPr>
        <w:pStyle w:val="27"/>
        <w:rPr>
          <w:rFonts w:hint="default"/>
        </w:rPr>
      </w:pPr>
      <w:r>
        <w:rPr>
          <w:rFonts w:hint="default"/>
        </w:rPr>
        <w:t>a)</w:t>
      </w:r>
      <w:r>
        <w:rPr>
          <w:rFonts w:hint="eastAsia"/>
          <w:lang w:val="en-US" w:eastAsia="zh-CN"/>
        </w:rPr>
        <w:t xml:space="preserve"> </w:t>
      </w:r>
      <w:r>
        <w:rPr>
          <w:rFonts w:hint="default"/>
        </w:rPr>
        <w:t>检测场地温度：-20℃至45℃。</w:t>
      </w:r>
    </w:p>
    <w:p>
      <w:pPr>
        <w:pStyle w:val="27"/>
        <w:rPr>
          <w:rFonts w:hint="default"/>
        </w:rPr>
      </w:pPr>
      <w:r>
        <w:rPr>
          <w:rFonts w:hint="default"/>
        </w:rPr>
        <w:t>b)</w:t>
      </w:r>
      <w:r>
        <w:rPr>
          <w:rFonts w:hint="eastAsia"/>
          <w:lang w:val="en-US" w:eastAsia="zh-CN"/>
        </w:rPr>
        <w:t xml:space="preserve"> </w:t>
      </w:r>
      <w:r>
        <w:rPr>
          <w:rFonts w:hint="default"/>
        </w:rPr>
        <w:t>检测场地相对湿度：最大90%，非凝结型。</w:t>
      </w:r>
    </w:p>
    <w:p>
      <w:pPr>
        <w:pStyle w:val="27"/>
        <w:rPr>
          <w:rFonts w:hint="default"/>
        </w:rPr>
      </w:pPr>
      <w:r>
        <w:rPr>
          <w:rFonts w:hint="default"/>
        </w:rPr>
        <w:t>c)</w:t>
      </w:r>
      <w:r>
        <w:rPr>
          <w:rFonts w:hint="eastAsia"/>
          <w:lang w:val="en-US" w:eastAsia="zh-CN"/>
        </w:rPr>
        <w:t xml:space="preserve"> </w:t>
      </w:r>
      <w:r>
        <w:rPr>
          <w:rFonts w:hint="default"/>
        </w:rPr>
        <w:t>电源：持续稳定的220V交流电源及380V交流电源。</w:t>
      </w:r>
    </w:p>
    <w:p>
      <w:pPr>
        <w:pStyle w:val="27"/>
        <w:rPr>
          <w:rFonts w:hint="default"/>
        </w:rPr>
      </w:pPr>
      <w:r>
        <w:rPr>
          <w:rFonts w:hint="default"/>
        </w:rPr>
        <w:t>d)</w:t>
      </w:r>
      <w:r>
        <w:rPr>
          <w:rFonts w:hint="eastAsia"/>
          <w:lang w:val="en-US" w:eastAsia="zh-CN"/>
        </w:rPr>
        <w:t xml:space="preserve"> </w:t>
      </w:r>
      <w:r>
        <w:rPr>
          <w:rFonts w:hint="default"/>
        </w:rPr>
        <w:t>环境光照度达到538lx以上。</w:t>
      </w:r>
    </w:p>
    <w:p>
      <w:pPr>
        <w:pStyle w:val="27"/>
        <w:rPr>
          <w:rFonts w:hint="default"/>
        </w:rPr>
      </w:pPr>
      <w:r>
        <w:rPr>
          <w:rFonts w:hint="default"/>
        </w:rPr>
        <w:t>e)</w:t>
      </w:r>
      <w:r>
        <w:rPr>
          <w:rFonts w:hint="eastAsia"/>
          <w:lang w:val="en-US" w:eastAsia="zh-CN"/>
        </w:rPr>
        <w:t xml:space="preserve"> </w:t>
      </w:r>
      <w:r>
        <w:rPr>
          <w:rFonts w:hint="default"/>
        </w:rPr>
        <w:t>要求场地通风、防雨。</w:t>
      </w:r>
    </w:p>
    <w:p>
      <w:pPr>
        <w:pStyle w:val="27"/>
        <w:rPr>
          <w:rFonts w:hint="default"/>
        </w:rPr>
      </w:pPr>
      <w:r>
        <w:rPr>
          <w:rFonts w:hint="default"/>
        </w:rPr>
        <w:t>f)</w:t>
      </w:r>
      <w:r>
        <w:rPr>
          <w:rFonts w:hint="eastAsia"/>
          <w:lang w:val="en-US" w:eastAsia="zh-CN"/>
        </w:rPr>
        <w:t xml:space="preserve"> </w:t>
      </w:r>
      <w:r>
        <w:rPr>
          <w:rFonts w:hint="default"/>
        </w:rPr>
        <w:t>作业地面硬化平整。</w:t>
      </w:r>
    </w:p>
    <w:p>
      <w:pPr>
        <w:pStyle w:val="27"/>
        <w:rPr>
          <w:rFonts w:hint="default"/>
        </w:rPr>
      </w:pPr>
      <w:r>
        <w:rPr>
          <w:rFonts w:hint="default"/>
        </w:rPr>
        <w:t>g)</w:t>
      </w:r>
      <w:r>
        <w:rPr>
          <w:rFonts w:hint="eastAsia"/>
          <w:lang w:val="en-US" w:eastAsia="zh-CN"/>
        </w:rPr>
        <w:t xml:space="preserve"> </w:t>
      </w:r>
      <w:r>
        <w:rPr>
          <w:rFonts w:hint="default"/>
        </w:rPr>
        <w:t>具有起吊重量400kg的高压管汇件吊装设备。</w:t>
      </w:r>
    </w:p>
    <w:p>
      <w:pPr>
        <w:pStyle w:val="27"/>
        <w:rPr>
          <w:rFonts w:hint="default"/>
        </w:rPr>
      </w:pPr>
      <w:r>
        <w:rPr>
          <w:rFonts w:hint="default"/>
        </w:rPr>
        <w:t>h)</w:t>
      </w:r>
      <w:r>
        <w:rPr>
          <w:rFonts w:hint="eastAsia"/>
          <w:lang w:val="en-US" w:eastAsia="zh-CN"/>
        </w:rPr>
        <w:t xml:space="preserve"> </w:t>
      </w:r>
      <w:r>
        <w:rPr>
          <w:rFonts w:hint="default"/>
        </w:rPr>
        <w:t>具有空压机，排气量不小于1m</w:t>
      </w:r>
      <w:r>
        <w:rPr>
          <w:rFonts w:hint="default"/>
          <w:vertAlign w:val="superscript"/>
        </w:rPr>
        <w:t>3</w:t>
      </w:r>
      <w:r>
        <w:rPr>
          <w:rFonts w:hint="default"/>
        </w:rPr>
        <w:t>/min。</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待检高压管汇要求</w:t>
      </w:r>
    </w:p>
    <w:p>
      <w:pPr>
        <w:pStyle w:val="27"/>
        <w:rPr>
          <w:rFonts w:hint="default"/>
        </w:rPr>
      </w:pPr>
      <w:r>
        <w:rPr>
          <w:rFonts w:hint="default"/>
        </w:rPr>
        <w:t>a)</w:t>
      </w:r>
      <w:r>
        <w:rPr>
          <w:rFonts w:hint="eastAsia"/>
          <w:lang w:val="en-US" w:eastAsia="zh-CN"/>
        </w:rPr>
        <w:t xml:space="preserve"> </w:t>
      </w:r>
      <w:r>
        <w:rPr>
          <w:rFonts w:hint="default"/>
        </w:rPr>
        <w:t>待检高压管汇应表面清洁，无疏松锈层、泥浆和其它影响检测效果的附着物。</w:t>
      </w:r>
    </w:p>
    <w:p>
      <w:pPr>
        <w:pStyle w:val="27"/>
        <w:rPr>
          <w:rFonts w:hint="default"/>
        </w:rPr>
      </w:pPr>
      <w:r>
        <w:rPr>
          <w:rFonts w:hint="default"/>
        </w:rPr>
        <w:t>b)</w:t>
      </w:r>
      <w:r>
        <w:rPr>
          <w:rFonts w:hint="eastAsia"/>
          <w:lang w:val="en-US" w:eastAsia="zh-CN"/>
        </w:rPr>
        <w:t xml:space="preserve"> </w:t>
      </w:r>
      <w:r>
        <w:rPr>
          <w:rFonts w:hint="default"/>
        </w:rPr>
        <w:t>待检高压管汇所悬挂的标签应尽量避开易发生损伤部位。</w:t>
      </w:r>
    </w:p>
    <w:p>
      <w:pPr>
        <w:pStyle w:val="27"/>
        <w:rPr>
          <w:rFonts w:hint="default"/>
        </w:rPr>
      </w:pPr>
      <w:r>
        <w:rPr>
          <w:rFonts w:hint="default"/>
        </w:rPr>
        <w:t>c)</w:t>
      </w:r>
      <w:r>
        <w:rPr>
          <w:rFonts w:hint="eastAsia"/>
          <w:lang w:val="en-US" w:eastAsia="zh-CN"/>
        </w:rPr>
        <w:t xml:space="preserve"> </w:t>
      </w:r>
      <w:r>
        <w:rPr>
          <w:rFonts w:hint="default"/>
        </w:rPr>
        <w:t>检测前应对高压管汇进行表观目视检查，合格后，方可进行检测。</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工作场地文件要求</w:t>
      </w:r>
    </w:p>
    <w:p>
      <w:pPr>
        <w:pStyle w:val="27"/>
        <w:rPr>
          <w:rFonts w:hint="default"/>
        </w:rPr>
      </w:pPr>
      <w:r>
        <w:rPr>
          <w:rFonts w:hint="default"/>
        </w:rPr>
        <w:t>检验机构所持有的与作业相关的检测程序文件、法律法规、参考标准及记录表格等应适用于工作场地。检测人员认证的附加文件也应适用。</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设备可用性</w:t>
      </w:r>
    </w:p>
    <w:p>
      <w:pPr>
        <w:pStyle w:val="27"/>
        <w:rPr>
          <w:rFonts w:hint="default"/>
        </w:rPr>
      </w:pPr>
      <w:r>
        <w:rPr>
          <w:rFonts w:hint="default"/>
        </w:rPr>
        <w:t>每次检测工作开始前，都应首先调试设备，并使其处于良好的工作状态。</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描述比较</w:t>
      </w:r>
    </w:p>
    <w:p>
      <w:pPr>
        <w:pStyle w:val="27"/>
        <w:rPr>
          <w:rFonts w:hint="default"/>
        </w:rPr>
      </w:pPr>
      <w:r>
        <w:rPr>
          <w:rFonts w:hint="default"/>
        </w:rPr>
        <w:t>检验机构应确定即将检测的高压管汇件就是用户要求检测的高压管汇件。可以通过比较工作要求和高压管汇件的标志来确定，例如原制造厂家、型号规格、PSL、PR、产品编号、额定压力、内径、功能或法兰连接等。</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编号或标记</w:t>
      </w:r>
    </w:p>
    <w:p>
      <w:pPr>
        <w:pStyle w:val="27"/>
        <w:rPr>
          <w:rFonts w:hint="default"/>
        </w:rPr>
      </w:pPr>
      <w:r>
        <w:rPr>
          <w:rFonts w:hint="default"/>
        </w:rPr>
        <w:t>a)</w:t>
      </w:r>
      <w:r>
        <w:rPr>
          <w:rFonts w:hint="eastAsia"/>
          <w:lang w:val="en-US" w:eastAsia="zh-CN"/>
        </w:rPr>
        <w:t xml:space="preserve"> </w:t>
      </w:r>
      <w:r>
        <w:rPr>
          <w:rFonts w:hint="default"/>
        </w:rPr>
        <w:t>所有的检测都应是可追溯的，可以通过每个高压管汇件的出厂编号或用户自编号标记实现。应了解前次检查时间和情况数据记录。</w:t>
      </w:r>
    </w:p>
    <w:p>
      <w:pPr>
        <w:pStyle w:val="27"/>
        <w:rPr>
          <w:rFonts w:hint="default"/>
        </w:rPr>
      </w:pPr>
      <w:r>
        <w:rPr>
          <w:rFonts w:hint="default"/>
        </w:rPr>
        <w:t>b)</w:t>
      </w:r>
      <w:r>
        <w:rPr>
          <w:rFonts w:hint="eastAsia"/>
          <w:lang w:val="en-US" w:eastAsia="zh-CN"/>
        </w:rPr>
        <w:t xml:space="preserve"> </w:t>
      </w:r>
      <w:r>
        <w:rPr>
          <w:rFonts w:hint="default"/>
        </w:rPr>
        <w:t>在用户同意的情况下，任何一个没有出厂编号及用户自编号的高压管汇件都应标识一个具有唯一性的数字编码。</w:t>
      </w:r>
    </w:p>
    <w:p>
      <w:pPr>
        <w:pStyle w:val="27"/>
        <w:rPr>
          <w:rFonts w:hint="default"/>
        </w:rPr>
      </w:pPr>
      <w:r>
        <w:rPr>
          <w:rFonts w:hint="default"/>
        </w:rPr>
        <w:t>c)</w:t>
      </w:r>
      <w:r>
        <w:rPr>
          <w:rFonts w:hint="eastAsia"/>
          <w:lang w:val="en-US" w:eastAsia="zh-CN"/>
        </w:rPr>
        <w:t xml:space="preserve"> </w:t>
      </w:r>
      <w:r>
        <w:rPr>
          <w:rFonts w:hint="default"/>
        </w:rPr>
        <w:t>应先将原铭牌妥善保管，用标记牌在各总成主体和承压件本体上标记检测序列号。</w:t>
      </w:r>
    </w:p>
    <w:p>
      <w:pPr>
        <w:pStyle w:val="27"/>
        <w:rPr>
          <w:rFonts w:hint="default"/>
        </w:rPr>
      </w:pPr>
      <w:r>
        <w:rPr>
          <w:rFonts w:hint="default"/>
        </w:rPr>
        <w:t>d)</w:t>
      </w:r>
      <w:r>
        <w:rPr>
          <w:rFonts w:hint="eastAsia"/>
          <w:lang w:val="en-US" w:eastAsia="zh-CN"/>
        </w:rPr>
        <w:t xml:space="preserve"> </w:t>
      </w:r>
      <w:r>
        <w:rPr>
          <w:rFonts w:hint="default"/>
        </w:rPr>
        <w:t>记录所有待检总成的原标记和待检序列号。</w:t>
      </w:r>
    </w:p>
    <w:p>
      <w:pPr>
        <w:pStyle w:val="27"/>
        <w:rPr>
          <w:rFonts w:hint="default"/>
        </w:rPr>
      </w:pPr>
      <w:r>
        <w:rPr>
          <w:rFonts w:hint="default"/>
        </w:rPr>
        <w:t>e)</w:t>
      </w:r>
      <w:r>
        <w:rPr>
          <w:rFonts w:hint="eastAsia"/>
          <w:lang w:val="en-US" w:eastAsia="zh-CN"/>
        </w:rPr>
        <w:t xml:space="preserve"> </w:t>
      </w:r>
      <w:r>
        <w:rPr>
          <w:rFonts w:hint="default"/>
        </w:rPr>
        <w:t>记录所有待检承压件本体（如阀体、活动弯头体、直管等）上的原标记和待检序号。</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降级条款</w:t>
      </w:r>
    </w:p>
    <w:p>
      <w:pPr>
        <w:pStyle w:val="27"/>
        <w:rPr>
          <w:rFonts w:hint="default"/>
        </w:rPr>
      </w:pPr>
      <w:r>
        <w:rPr>
          <w:rFonts w:hint="default"/>
        </w:rPr>
        <w:t>每个高压管汇件都应在此类构件要求的所有必要检测程序全部完成后才能进行评价。可能会出现这样的情况，即在所有要求的检测程序完成前发现有裂纹、孔洞或不可修复的缺陷，在发现可报废状况的情况下是否停止该构件的检测应由用户和检验机构讨论确定。</w:t>
      </w:r>
    </w:p>
    <w:p>
      <w:pPr>
        <w:pStyle w:val="45"/>
        <w:spacing w:before="156" w:after="156"/>
        <w:ind w:left="0"/>
        <w:jc w:val="left"/>
        <w:outlineLvl w:val="3"/>
        <w:rPr>
          <w:rFonts w:hint="default" w:ascii="Times New Roman" w:hAnsi="Times New Roman" w:cs="Times New Roman"/>
        </w:rPr>
      </w:pPr>
      <w:bookmarkStart w:id="92" w:name="_Toc30625"/>
      <w:r>
        <w:rPr>
          <w:rFonts w:hint="default" w:ascii="Times New Roman" w:hAnsi="Times New Roman" w:cs="Times New Roman"/>
        </w:rPr>
        <w:t>检验内容和方法</w:t>
      </w:r>
      <w:bookmarkEnd w:id="92"/>
    </w:p>
    <w:p>
      <w:pPr>
        <w:pStyle w:val="27"/>
        <w:rPr>
          <w:rFonts w:hint="default"/>
        </w:rPr>
      </w:pPr>
      <w:r>
        <w:rPr>
          <w:rFonts w:hint="default"/>
        </w:rPr>
        <w:t>实际检验项目和检验流程需与用户沟通，在项目合同里明确。检验项目可参照表 2所列开展。</w:t>
      </w:r>
    </w:p>
    <w:p>
      <w:pPr>
        <w:pStyle w:val="129"/>
        <w:bidi w:val="0"/>
        <w:rPr>
          <w:rFonts w:hint="default"/>
          <w:lang w:val="en-US" w:eastAsia="zh-CN"/>
        </w:rPr>
      </w:pPr>
      <w:r>
        <w:rPr>
          <w:rFonts w:hint="default"/>
          <w:lang w:val="en-US" w:eastAsia="zh-CN"/>
        </w:rPr>
        <w:t>高压管汇件检验项目</w:t>
      </w:r>
    </w:p>
    <w:tbl>
      <w:tblPr>
        <w:tblStyle w:val="36"/>
        <w:tblW w:w="92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393"/>
        <w:gridCol w:w="773"/>
        <w:gridCol w:w="772"/>
        <w:gridCol w:w="1237"/>
        <w:gridCol w:w="787"/>
        <w:gridCol w:w="1026"/>
        <w:gridCol w:w="1012"/>
        <w:gridCol w:w="758"/>
        <w:gridCol w:w="772"/>
        <w:gridCol w:w="76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2" w:hRule="atLeast"/>
          <w:jc w:val="center"/>
        </w:trPr>
        <w:tc>
          <w:tcPr>
            <w:tcW w:w="1393" w:type="dxa"/>
            <w:vMerge w:val="restart"/>
            <w:tcBorders>
              <w:tl2br w:val="nil"/>
              <w:tr2bl w:val="nil"/>
            </w:tcBorders>
            <w:vAlign w:val="center"/>
          </w:tcPr>
          <w:p>
            <w:pPr>
              <w:widowControl w:val="0"/>
              <w:tabs>
                <w:tab w:val="left" w:pos="709"/>
              </w:tabs>
              <w:adjustRightInd w:val="0"/>
              <w:snapToGrid w:val="0"/>
              <w:ind w:firstLine="0" w:firstLineChars="0"/>
              <w:jc w:val="center"/>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名称</w:t>
            </w:r>
          </w:p>
        </w:tc>
        <w:tc>
          <w:tcPr>
            <w:tcW w:w="7906" w:type="dxa"/>
            <w:gridSpan w:val="9"/>
            <w:tcBorders>
              <w:tl2br w:val="nil"/>
              <w:tr2bl w:val="nil"/>
            </w:tcBorders>
            <w:vAlign w:val="center"/>
          </w:tcPr>
          <w:p>
            <w:pPr>
              <w:widowControl w:val="0"/>
              <w:tabs>
                <w:tab w:val="left" w:pos="709"/>
              </w:tabs>
              <w:adjustRightInd w:val="0"/>
              <w:snapToGrid w:val="0"/>
              <w:ind w:firstLine="420" w:firstLineChars="200"/>
              <w:jc w:val="center"/>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检验项目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393" w:type="dxa"/>
            <w:vMerge w:val="continue"/>
            <w:tcBorders>
              <w:tl2br w:val="nil"/>
              <w:tr2bl w:val="nil"/>
            </w:tcBorders>
            <w:vAlign w:val="center"/>
          </w:tcPr>
          <w:p>
            <w:pPr>
              <w:widowControl w:val="0"/>
              <w:tabs>
                <w:tab w:val="left" w:pos="709"/>
              </w:tabs>
              <w:adjustRightInd w:val="0"/>
              <w:snapToGrid w:val="0"/>
              <w:ind w:firstLine="0" w:firstLineChars="0"/>
              <w:jc w:val="both"/>
              <w:rPr>
                <w:rFonts w:ascii="宋体" w:hAnsi="Times New Roman" w:eastAsia="宋体" w:cs="Times New Roman"/>
                <w:kern w:val="2"/>
                <w:sz w:val="21"/>
                <w:szCs w:val="24"/>
                <w:lang w:val="en-US" w:eastAsia="zh-CN" w:bidi="ar-SA"/>
              </w:rPr>
            </w:pPr>
          </w:p>
        </w:tc>
        <w:tc>
          <w:tcPr>
            <w:tcW w:w="773" w:type="dxa"/>
            <w:tcBorders>
              <w:tl2br w:val="nil"/>
              <w:tr2bl w:val="nil"/>
            </w:tcBorders>
            <w:vAlign w:val="center"/>
          </w:tcPr>
          <w:p>
            <w:pPr>
              <w:widowControl w:val="0"/>
              <w:tabs>
                <w:tab w:val="left" w:pos="709"/>
              </w:tabs>
              <w:adjustRightInd w:val="0"/>
              <w:snapToGrid w:val="0"/>
              <w:ind w:firstLine="0" w:firstLineChars="0"/>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资料审查</w:t>
            </w:r>
          </w:p>
        </w:tc>
        <w:tc>
          <w:tcPr>
            <w:tcW w:w="772" w:type="dxa"/>
            <w:tcBorders>
              <w:tl2br w:val="nil"/>
              <w:tr2bl w:val="nil"/>
            </w:tcBorders>
            <w:vAlign w:val="center"/>
          </w:tcPr>
          <w:p>
            <w:pPr>
              <w:widowControl w:val="0"/>
              <w:tabs>
                <w:tab w:val="left" w:pos="709"/>
              </w:tabs>
              <w:adjustRightInd w:val="0"/>
              <w:snapToGrid w:val="0"/>
              <w:ind w:firstLine="0" w:firstLineChars="0"/>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宏观检测</w:t>
            </w:r>
          </w:p>
        </w:tc>
        <w:tc>
          <w:tcPr>
            <w:tcW w:w="1237" w:type="dxa"/>
            <w:tcBorders>
              <w:tl2br w:val="nil"/>
              <w:tr2bl w:val="nil"/>
            </w:tcBorders>
            <w:vAlign w:val="center"/>
          </w:tcPr>
          <w:p>
            <w:pPr>
              <w:widowControl w:val="0"/>
              <w:tabs>
                <w:tab w:val="left" w:pos="709"/>
              </w:tabs>
              <w:adjustRightInd w:val="0"/>
              <w:snapToGrid w:val="0"/>
              <w:ind w:firstLine="0" w:firstLineChars="0"/>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危险截面壁厚检测</w:t>
            </w:r>
          </w:p>
        </w:tc>
        <w:tc>
          <w:tcPr>
            <w:tcW w:w="787" w:type="dxa"/>
            <w:tcBorders>
              <w:tl2br w:val="nil"/>
              <w:tr2bl w:val="nil"/>
            </w:tcBorders>
            <w:vAlign w:val="center"/>
          </w:tcPr>
          <w:p>
            <w:pPr>
              <w:widowControl w:val="0"/>
              <w:tabs>
                <w:tab w:val="left" w:pos="709"/>
              </w:tabs>
              <w:adjustRightInd w:val="0"/>
              <w:snapToGrid w:val="0"/>
              <w:ind w:firstLine="0" w:firstLineChars="0"/>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磁粉检测</w:t>
            </w:r>
          </w:p>
        </w:tc>
        <w:tc>
          <w:tcPr>
            <w:tcW w:w="1026" w:type="dxa"/>
            <w:tcBorders>
              <w:tl2br w:val="nil"/>
              <w:tr2bl w:val="nil"/>
            </w:tcBorders>
            <w:vAlign w:val="center"/>
          </w:tcPr>
          <w:p>
            <w:pPr>
              <w:widowControl w:val="0"/>
              <w:tabs>
                <w:tab w:val="left" w:pos="709"/>
              </w:tabs>
              <w:adjustRightInd w:val="0"/>
              <w:snapToGrid w:val="0"/>
              <w:ind w:firstLine="0" w:firstLineChars="0"/>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静水压试验</w:t>
            </w:r>
          </w:p>
        </w:tc>
        <w:tc>
          <w:tcPr>
            <w:tcW w:w="1012" w:type="dxa"/>
            <w:tcBorders>
              <w:tl2br w:val="nil"/>
              <w:tr2bl w:val="nil"/>
            </w:tcBorders>
            <w:vAlign w:val="center"/>
          </w:tcPr>
          <w:p>
            <w:pPr>
              <w:widowControl w:val="0"/>
              <w:tabs>
                <w:tab w:val="left" w:pos="709"/>
              </w:tabs>
              <w:adjustRightInd w:val="0"/>
              <w:snapToGrid w:val="0"/>
              <w:ind w:firstLine="0" w:firstLineChars="0"/>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声发射试验</w:t>
            </w:r>
          </w:p>
        </w:tc>
        <w:tc>
          <w:tcPr>
            <w:tcW w:w="758" w:type="dxa"/>
            <w:tcBorders>
              <w:tl2br w:val="nil"/>
              <w:tr2bl w:val="nil"/>
            </w:tcBorders>
            <w:vAlign w:val="center"/>
          </w:tcPr>
          <w:p>
            <w:pPr>
              <w:widowControl w:val="0"/>
              <w:tabs>
                <w:tab w:val="left" w:pos="709"/>
              </w:tabs>
              <w:adjustRightInd w:val="0"/>
              <w:snapToGrid w:val="0"/>
              <w:ind w:firstLine="0" w:firstLineChars="0"/>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硬度检测</w:t>
            </w:r>
          </w:p>
        </w:tc>
        <w:tc>
          <w:tcPr>
            <w:tcW w:w="772" w:type="dxa"/>
            <w:tcBorders>
              <w:tl2br w:val="nil"/>
              <w:tr2bl w:val="nil"/>
            </w:tcBorders>
            <w:vAlign w:val="center"/>
          </w:tcPr>
          <w:p>
            <w:pPr>
              <w:widowControl w:val="0"/>
              <w:tabs>
                <w:tab w:val="left" w:pos="709"/>
              </w:tabs>
              <w:adjustRightInd w:val="0"/>
              <w:snapToGrid w:val="0"/>
              <w:ind w:firstLine="0" w:firstLineChars="0"/>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漏磁检测</w:t>
            </w:r>
          </w:p>
        </w:tc>
        <w:tc>
          <w:tcPr>
            <w:tcW w:w="769" w:type="dxa"/>
            <w:tcBorders>
              <w:tl2br w:val="nil"/>
              <w:tr2bl w:val="nil"/>
            </w:tcBorders>
            <w:vAlign w:val="center"/>
          </w:tcPr>
          <w:p>
            <w:pPr>
              <w:widowControl w:val="0"/>
              <w:tabs>
                <w:tab w:val="left" w:pos="709"/>
              </w:tabs>
              <w:adjustRightInd w:val="0"/>
              <w:snapToGrid w:val="0"/>
              <w:ind w:firstLine="0" w:firstLineChars="0"/>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超声检测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1393" w:type="dxa"/>
            <w:tcBorders>
              <w:tl2br w:val="nil"/>
              <w:tr2bl w:val="nil"/>
            </w:tcBorders>
            <w:vAlign w:val="center"/>
          </w:tcPr>
          <w:p>
            <w:pPr>
              <w:widowControl w:val="0"/>
              <w:tabs>
                <w:tab w:val="left" w:pos="709"/>
              </w:tabs>
              <w:adjustRightInd w:val="0"/>
              <w:snapToGrid w:val="0"/>
              <w:ind w:firstLine="0" w:firstLineChars="0"/>
              <w:jc w:val="center"/>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旋塞阀</w:t>
            </w:r>
          </w:p>
        </w:tc>
        <w:tc>
          <w:tcPr>
            <w:tcW w:w="773"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1237" w:type="dxa"/>
            <w:tcBorders>
              <w:tl2br w:val="nil"/>
              <w:tr2bl w:val="nil"/>
            </w:tcBorders>
            <w:vAlign w:val="center"/>
          </w:tcPr>
          <w:p>
            <w:pPr>
              <w:adjustRightInd w:val="0"/>
              <w:snapToGrid w:val="0"/>
              <w:jc w:val="center"/>
              <w:rPr>
                <w:rFonts w:ascii="宋体"/>
              </w:rPr>
            </w:pPr>
            <w:r>
              <w:rPr>
                <w:rFonts w:ascii="宋体"/>
              </w:rPr>
              <w:t>√</w:t>
            </w:r>
          </w:p>
        </w:tc>
        <w:tc>
          <w:tcPr>
            <w:tcW w:w="787" w:type="dxa"/>
            <w:tcBorders>
              <w:tl2br w:val="nil"/>
              <w:tr2bl w:val="nil"/>
            </w:tcBorders>
            <w:vAlign w:val="center"/>
          </w:tcPr>
          <w:p>
            <w:pPr>
              <w:adjustRightInd w:val="0"/>
              <w:snapToGrid w:val="0"/>
              <w:jc w:val="center"/>
              <w:rPr>
                <w:rFonts w:ascii="宋体"/>
              </w:rPr>
            </w:pPr>
            <w:r>
              <w:rPr>
                <w:rFonts w:ascii="宋体"/>
              </w:rPr>
              <w:t>√</w:t>
            </w:r>
          </w:p>
        </w:tc>
        <w:tc>
          <w:tcPr>
            <w:tcW w:w="1026" w:type="dxa"/>
            <w:tcBorders>
              <w:tl2br w:val="nil"/>
              <w:tr2bl w:val="nil"/>
            </w:tcBorders>
            <w:vAlign w:val="center"/>
          </w:tcPr>
          <w:p>
            <w:pPr>
              <w:adjustRightInd w:val="0"/>
              <w:snapToGrid w:val="0"/>
              <w:jc w:val="center"/>
              <w:rPr>
                <w:rFonts w:ascii="宋体"/>
              </w:rPr>
            </w:pPr>
            <w:r>
              <w:rPr>
                <w:rFonts w:ascii="宋体"/>
              </w:rPr>
              <w:t>√</w:t>
            </w:r>
          </w:p>
        </w:tc>
        <w:tc>
          <w:tcPr>
            <w:tcW w:w="1012" w:type="dxa"/>
            <w:tcBorders>
              <w:tl2br w:val="nil"/>
              <w:tr2bl w:val="nil"/>
            </w:tcBorders>
            <w:vAlign w:val="center"/>
          </w:tcPr>
          <w:p>
            <w:pPr>
              <w:adjustRightInd w:val="0"/>
              <w:snapToGrid w:val="0"/>
              <w:jc w:val="center"/>
              <w:rPr>
                <w:rFonts w:ascii="宋体"/>
              </w:rPr>
            </w:pPr>
            <w:r>
              <w:rPr>
                <w:rFonts w:ascii="宋体"/>
              </w:rPr>
              <w:t>—</w:t>
            </w:r>
          </w:p>
        </w:tc>
        <w:tc>
          <w:tcPr>
            <w:tcW w:w="758"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769" w:type="dxa"/>
            <w:tcBorders>
              <w:tl2br w:val="nil"/>
              <w:tr2bl w:val="nil"/>
            </w:tcBorders>
            <w:vAlign w:val="center"/>
          </w:tcPr>
          <w:p>
            <w:pPr>
              <w:adjustRightInd w:val="0"/>
              <w:snapToGrid w:val="0"/>
              <w:jc w:val="center"/>
              <w:rPr>
                <w:rFonts w:ascii="宋体"/>
              </w:rPr>
            </w:pPr>
            <w:r>
              <w:rPr>
                <w:rFonts w:hint="eastAsia" w:ascii="宋体"/>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1393" w:type="dxa"/>
            <w:tcBorders>
              <w:tl2br w:val="nil"/>
              <w:tr2bl w:val="nil"/>
            </w:tcBorders>
            <w:vAlign w:val="center"/>
          </w:tcPr>
          <w:p>
            <w:pPr>
              <w:widowControl w:val="0"/>
              <w:tabs>
                <w:tab w:val="left" w:pos="709"/>
              </w:tabs>
              <w:adjustRightInd w:val="0"/>
              <w:snapToGrid w:val="0"/>
              <w:ind w:firstLine="0" w:firstLineChars="0"/>
              <w:jc w:val="center"/>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单向阀</w:t>
            </w:r>
          </w:p>
        </w:tc>
        <w:tc>
          <w:tcPr>
            <w:tcW w:w="773"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1237" w:type="dxa"/>
            <w:tcBorders>
              <w:tl2br w:val="nil"/>
              <w:tr2bl w:val="nil"/>
            </w:tcBorders>
            <w:vAlign w:val="center"/>
          </w:tcPr>
          <w:p>
            <w:pPr>
              <w:adjustRightInd w:val="0"/>
              <w:snapToGrid w:val="0"/>
              <w:jc w:val="center"/>
              <w:rPr>
                <w:rFonts w:ascii="宋体"/>
              </w:rPr>
            </w:pPr>
            <w:r>
              <w:rPr>
                <w:rFonts w:ascii="宋体"/>
              </w:rPr>
              <w:t>√</w:t>
            </w:r>
          </w:p>
        </w:tc>
        <w:tc>
          <w:tcPr>
            <w:tcW w:w="787" w:type="dxa"/>
            <w:tcBorders>
              <w:tl2br w:val="nil"/>
              <w:tr2bl w:val="nil"/>
            </w:tcBorders>
            <w:vAlign w:val="center"/>
          </w:tcPr>
          <w:p>
            <w:pPr>
              <w:adjustRightInd w:val="0"/>
              <w:snapToGrid w:val="0"/>
              <w:jc w:val="center"/>
              <w:rPr>
                <w:rFonts w:ascii="宋体"/>
              </w:rPr>
            </w:pPr>
            <w:r>
              <w:rPr>
                <w:rFonts w:ascii="宋体"/>
              </w:rPr>
              <w:t>√</w:t>
            </w:r>
          </w:p>
        </w:tc>
        <w:tc>
          <w:tcPr>
            <w:tcW w:w="1026" w:type="dxa"/>
            <w:tcBorders>
              <w:tl2br w:val="nil"/>
              <w:tr2bl w:val="nil"/>
            </w:tcBorders>
            <w:vAlign w:val="center"/>
          </w:tcPr>
          <w:p>
            <w:pPr>
              <w:adjustRightInd w:val="0"/>
              <w:snapToGrid w:val="0"/>
              <w:jc w:val="center"/>
              <w:rPr>
                <w:rFonts w:ascii="宋体"/>
              </w:rPr>
            </w:pPr>
            <w:r>
              <w:rPr>
                <w:rFonts w:ascii="宋体"/>
              </w:rPr>
              <w:t>√</w:t>
            </w:r>
          </w:p>
        </w:tc>
        <w:tc>
          <w:tcPr>
            <w:tcW w:w="1012" w:type="dxa"/>
            <w:tcBorders>
              <w:tl2br w:val="nil"/>
              <w:tr2bl w:val="nil"/>
            </w:tcBorders>
            <w:vAlign w:val="center"/>
          </w:tcPr>
          <w:p>
            <w:pPr>
              <w:adjustRightInd w:val="0"/>
              <w:snapToGrid w:val="0"/>
              <w:jc w:val="center"/>
              <w:rPr>
                <w:rFonts w:ascii="宋体"/>
              </w:rPr>
            </w:pPr>
            <w:r>
              <w:rPr>
                <w:rFonts w:ascii="宋体"/>
              </w:rPr>
              <w:t>—</w:t>
            </w:r>
          </w:p>
        </w:tc>
        <w:tc>
          <w:tcPr>
            <w:tcW w:w="758"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769" w:type="dxa"/>
            <w:tcBorders>
              <w:tl2br w:val="nil"/>
              <w:tr2bl w:val="nil"/>
            </w:tcBorders>
            <w:vAlign w:val="center"/>
          </w:tcPr>
          <w:p>
            <w:pPr>
              <w:adjustRightInd w:val="0"/>
              <w:snapToGrid w:val="0"/>
              <w:jc w:val="center"/>
              <w:rPr>
                <w:rFonts w:ascii="宋体"/>
              </w:rPr>
            </w:pPr>
            <w:r>
              <w:rPr>
                <w:rFonts w:hint="eastAsia" w:ascii="宋体"/>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1393" w:type="dxa"/>
            <w:tcBorders>
              <w:tl2br w:val="nil"/>
              <w:tr2bl w:val="nil"/>
            </w:tcBorders>
            <w:vAlign w:val="center"/>
          </w:tcPr>
          <w:p>
            <w:pPr>
              <w:widowControl w:val="0"/>
              <w:tabs>
                <w:tab w:val="left" w:pos="709"/>
              </w:tabs>
              <w:adjustRightInd w:val="0"/>
              <w:snapToGrid w:val="0"/>
              <w:ind w:firstLine="0" w:firstLineChars="0"/>
              <w:jc w:val="center"/>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活动弯头</w:t>
            </w:r>
          </w:p>
        </w:tc>
        <w:tc>
          <w:tcPr>
            <w:tcW w:w="773"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1237" w:type="dxa"/>
            <w:tcBorders>
              <w:tl2br w:val="nil"/>
              <w:tr2bl w:val="nil"/>
            </w:tcBorders>
            <w:vAlign w:val="center"/>
          </w:tcPr>
          <w:p>
            <w:pPr>
              <w:adjustRightInd w:val="0"/>
              <w:snapToGrid w:val="0"/>
              <w:jc w:val="center"/>
              <w:rPr>
                <w:rFonts w:ascii="宋体"/>
              </w:rPr>
            </w:pPr>
            <w:r>
              <w:rPr>
                <w:rFonts w:ascii="宋体"/>
              </w:rPr>
              <w:t>√</w:t>
            </w:r>
          </w:p>
        </w:tc>
        <w:tc>
          <w:tcPr>
            <w:tcW w:w="787" w:type="dxa"/>
            <w:tcBorders>
              <w:tl2br w:val="nil"/>
              <w:tr2bl w:val="nil"/>
            </w:tcBorders>
            <w:vAlign w:val="center"/>
          </w:tcPr>
          <w:p>
            <w:pPr>
              <w:adjustRightInd w:val="0"/>
              <w:snapToGrid w:val="0"/>
              <w:jc w:val="center"/>
              <w:rPr>
                <w:rFonts w:ascii="宋体"/>
              </w:rPr>
            </w:pPr>
            <w:r>
              <w:rPr>
                <w:rFonts w:ascii="宋体"/>
              </w:rPr>
              <w:t>√</w:t>
            </w:r>
          </w:p>
        </w:tc>
        <w:tc>
          <w:tcPr>
            <w:tcW w:w="1026" w:type="dxa"/>
            <w:tcBorders>
              <w:tl2br w:val="nil"/>
              <w:tr2bl w:val="nil"/>
            </w:tcBorders>
            <w:vAlign w:val="center"/>
          </w:tcPr>
          <w:p>
            <w:pPr>
              <w:adjustRightInd w:val="0"/>
              <w:snapToGrid w:val="0"/>
              <w:jc w:val="center"/>
              <w:rPr>
                <w:rFonts w:ascii="宋体"/>
              </w:rPr>
            </w:pPr>
            <w:r>
              <w:rPr>
                <w:rFonts w:ascii="宋体"/>
              </w:rPr>
              <w:t>√</w:t>
            </w:r>
          </w:p>
        </w:tc>
        <w:tc>
          <w:tcPr>
            <w:tcW w:w="1012" w:type="dxa"/>
            <w:tcBorders>
              <w:tl2br w:val="nil"/>
              <w:tr2bl w:val="nil"/>
            </w:tcBorders>
            <w:vAlign w:val="center"/>
          </w:tcPr>
          <w:p>
            <w:pPr>
              <w:adjustRightInd w:val="0"/>
              <w:snapToGrid w:val="0"/>
              <w:jc w:val="center"/>
              <w:rPr>
                <w:rFonts w:ascii="宋体"/>
              </w:rPr>
            </w:pPr>
            <w:r>
              <w:rPr>
                <w:rFonts w:ascii="宋体"/>
              </w:rPr>
              <w:t>—</w:t>
            </w:r>
          </w:p>
        </w:tc>
        <w:tc>
          <w:tcPr>
            <w:tcW w:w="758"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769" w:type="dxa"/>
            <w:tcBorders>
              <w:tl2br w:val="nil"/>
              <w:tr2bl w:val="nil"/>
            </w:tcBorders>
            <w:vAlign w:val="center"/>
          </w:tcPr>
          <w:p>
            <w:pPr>
              <w:adjustRightInd w:val="0"/>
              <w:snapToGrid w:val="0"/>
              <w:jc w:val="center"/>
              <w:rPr>
                <w:rFonts w:ascii="宋体"/>
              </w:rPr>
            </w:pPr>
            <w:r>
              <w:rPr>
                <w:rFonts w:hint="eastAsia" w:ascii="宋体"/>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1393" w:type="dxa"/>
            <w:tcBorders>
              <w:tl2br w:val="nil"/>
              <w:tr2bl w:val="nil"/>
            </w:tcBorders>
            <w:vAlign w:val="center"/>
          </w:tcPr>
          <w:p>
            <w:pPr>
              <w:widowControl w:val="0"/>
              <w:tabs>
                <w:tab w:val="left" w:pos="709"/>
              </w:tabs>
              <w:adjustRightInd w:val="0"/>
              <w:snapToGrid w:val="0"/>
              <w:ind w:firstLine="0" w:firstLineChars="0"/>
              <w:jc w:val="center"/>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刚性管线</w:t>
            </w:r>
          </w:p>
        </w:tc>
        <w:tc>
          <w:tcPr>
            <w:tcW w:w="773"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1237" w:type="dxa"/>
            <w:tcBorders>
              <w:tl2br w:val="nil"/>
              <w:tr2bl w:val="nil"/>
            </w:tcBorders>
            <w:vAlign w:val="center"/>
          </w:tcPr>
          <w:p>
            <w:pPr>
              <w:adjustRightInd w:val="0"/>
              <w:snapToGrid w:val="0"/>
              <w:jc w:val="center"/>
              <w:rPr>
                <w:rFonts w:ascii="宋体"/>
              </w:rPr>
            </w:pPr>
            <w:r>
              <w:rPr>
                <w:rFonts w:ascii="宋体"/>
              </w:rPr>
              <w:t>√</w:t>
            </w:r>
          </w:p>
        </w:tc>
        <w:tc>
          <w:tcPr>
            <w:tcW w:w="787" w:type="dxa"/>
            <w:tcBorders>
              <w:tl2br w:val="nil"/>
              <w:tr2bl w:val="nil"/>
            </w:tcBorders>
            <w:vAlign w:val="center"/>
          </w:tcPr>
          <w:p>
            <w:pPr>
              <w:adjustRightInd w:val="0"/>
              <w:snapToGrid w:val="0"/>
              <w:jc w:val="center"/>
              <w:rPr>
                <w:rFonts w:ascii="宋体"/>
              </w:rPr>
            </w:pPr>
            <w:r>
              <w:rPr>
                <w:rFonts w:ascii="宋体"/>
              </w:rPr>
              <w:t>√</w:t>
            </w:r>
          </w:p>
        </w:tc>
        <w:tc>
          <w:tcPr>
            <w:tcW w:w="1026" w:type="dxa"/>
            <w:tcBorders>
              <w:tl2br w:val="nil"/>
              <w:tr2bl w:val="nil"/>
            </w:tcBorders>
            <w:vAlign w:val="center"/>
          </w:tcPr>
          <w:p>
            <w:pPr>
              <w:adjustRightInd w:val="0"/>
              <w:snapToGrid w:val="0"/>
              <w:jc w:val="center"/>
              <w:rPr>
                <w:rFonts w:ascii="宋体"/>
              </w:rPr>
            </w:pPr>
            <w:r>
              <w:rPr>
                <w:rFonts w:ascii="宋体"/>
              </w:rPr>
              <w:t>√</w:t>
            </w:r>
          </w:p>
        </w:tc>
        <w:tc>
          <w:tcPr>
            <w:tcW w:w="1012" w:type="dxa"/>
            <w:tcBorders>
              <w:tl2br w:val="nil"/>
              <w:tr2bl w:val="nil"/>
            </w:tcBorders>
            <w:vAlign w:val="center"/>
          </w:tcPr>
          <w:p>
            <w:pPr>
              <w:adjustRightInd w:val="0"/>
              <w:snapToGrid w:val="0"/>
              <w:jc w:val="center"/>
              <w:rPr>
                <w:rFonts w:ascii="宋体"/>
              </w:rPr>
            </w:pPr>
            <w:r>
              <w:rPr>
                <w:rFonts w:ascii="宋体"/>
              </w:rPr>
              <w:t>—</w:t>
            </w:r>
          </w:p>
        </w:tc>
        <w:tc>
          <w:tcPr>
            <w:tcW w:w="758"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O</w:t>
            </w:r>
          </w:p>
        </w:tc>
        <w:tc>
          <w:tcPr>
            <w:tcW w:w="769" w:type="dxa"/>
            <w:tcBorders>
              <w:tl2br w:val="nil"/>
              <w:tr2bl w:val="nil"/>
            </w:tcBorders>
            <w:vAlign w:val="center"/>
          </w:tcPr>
          <w:p>
            <w:pPr>
              <w:adjustRightInd w:val="0"/>
              <w:snapToGrid w:val="0"/>
              <w:jc w:val="center"/>
              <w:rPr>
                <w:rFonts w:ascii="宋体"/>
              </w:rPr>
            </w:pPr>
            <w:r>
              <w:rPr>
                <w:rFonts w:hint="eastAsia" w:ascii="宋体"/>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1393" w:type="dxa"/>
            <w:tcBorders>
              <w:tl2br w:val="nil"/>
              <w:tr2bl w:val="nil"/>
            </w:tcBorders>
            <w:vAlign w:val="center"/>
          </w:tcPr>
          <w:p>
            <w:pPr>
              <w:widowControl w:val="0"/>
              <w:tabs>
                <w:tab w:val="left" w:pos="709"/>
              </w:tabs>
              <w:adjustRightInd w:val="0"/>
              <w:snapToGrid w:val="0"/>
              <w:ind w:firstLine="0" w:firstLineChars="0"/>
              <w:jc w:val="center"/>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油嘴管汇</w:t>
            </w:r>
          </w:p>
        </w:tc>
        <w:tc>
          <w:tcPr>
            <w:tcW w:w="773"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1237" w:type="dxa"/>
            <w:tcBorders>
              <w:tl2br w:val="nil"/>
              <w:tr2bl w:val="nil"/>
            </w:tcBorders>
            <w:vAlign w:val="center"/>
          </w:tcPr>
          <w:p>
            <w:pPr>
              <w:adjustRightInd w:val="0"/>
              <w:snapToGrid w:val="0"/>
              <w:jc w:val="center"/>
              <w:rPr>
                <w:rFonts w:ascii="宋体"/>
              </w:rPr>
            </w:pPr>
            <w:r>
              <w:rPr>
                <w:rFonts w:ascii="宋体"/>
              </w:rPr>
              <w:t>√</w:t>
            </w:r>
          </w:p>
        </w:tc>
        <w:tc>
          <w:tcPr>
            <w:tcW w:w="787" w:type="dxa"/>
            <w:tcBorders>
              <w:tl2br w:val="nil"/>
              <w:tr2bl w:val="nil"/>
            </w:tcBorders>
            <w:vAlign w:val="center"/>
          </w:tcPr>
          <w:p>
            <w:pPr>
              <w:adjustRightInd w:val="0"/>
              <w:snapToGrid w:val="0"/>
              <w:jc w:val="center"/>
              <w:rPr>
                <w:rFonts w:ascii="宋体"/>
              </w:rPr>
            </w:pPr>
            <w:r>
              <w:rPr>
                <w:rFonts w:ascii="宋体"/>
              </w:rPr>
              <w:t>√</w:t>
            </w:r>
          </w:p>
        </w:tc>
        <w:tc>
          <w:tcPr>
            <w:tcW w:w="1026" w:type="dxa"/>
            <w:tcBorders>
              <w:tl2br w:val="nil"/>
              <w:tr2bl w:val="nil"/>
            </w:tcBorders>
            <w:vAlign w:val="center"/>
          </w:tcPr>
          <w:p>
            <w:pPr>
              <w:adjustRightInd w:val="0"/>
              <w:snapToGrid w:val="0"/>
              <w:jc w:val="center"/>
              <w:rPr>
                <w:rFonts w:ascii="宋体"/>
              </w:rPr>
            </w:pPr>
            <w:r>
              <w:rPr>
                <w:rFonts w:ascii="宋体"/>
              </w:rPr>
              <w:t>√</w:t>
            </w:r>
          </w:p>
        </w:tc>
        <w:tc>
          <w:tcPr>
            <w:tcW w:w="1012" w:type="dxa"/>
            <w:tcBorders>
              <w:tl2br w:val="nil"/>
              <w:tr2bl w:val="nil"/>
            </w:tcBorders>
            <w:vAlign w:val="center"/>
          </w:tcPr>
          <w:p>
            <w:pPr>
              <w:adjustRightInd w:val="0"/>
              <w:snapToGrid w:val="0"/>
              <w:jc w:val="center"/>
              <w:rPr>
                <w:rFonts w:ascii="宋体"/>
              </w:rPr>
            </w:pPr>
            <w:r>
              <w:rPr>
                <w:rFonts w:ascii="宋体"/>
              </w:rPr>
              <w:t>—</w:t>
            </w:r>
          </w:p>
        </w:tc>
        <w:tc>
          <w:tcPr>
            <w:tcW w:w="758"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769" w:type="dxa"/>
            <w:tcBorders>
              <w:tl2br w:val="nil"/>
              <w:tr2bl w:val="nil"/>
            </w:tcBorders>
            <w:vAlign w:val="center"/>
          </w:tcPr>
          <w:p>
            <w:pPr>
              <w:adjustRightInd w:val="0"/>
              <w:snapToGrid w:val="0"/>
              <w:jc w:val="center"/>
              <w:rPr>
                <w:rFonts w:ascii="宋体"/>
              </w:rPr>
            </w:pPr>
            <w:r>
              <w:rPr>
                <w:rFonts w:hint="eastAsia" w:ascii="宋体"/>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393" w:type="dxa"/>
            <w:tcBorders>
              <w:tl2br w:val="nil"/>
              <w:tr2bl w:val="nil"/>
            </w:tcBorders>
            <w:vAlign w:val="center"/>
          </w:tcPr>
          <w:p>
            <w:pPr>
              <w:widowControl w:val="0"/>
              <w:tabs>
                <w:tab w:val="left" w:pos="709"/>
              </w:tabs>
              <w:adjustRightInd w:val="0"/>
              <w:snapToGrid w:val="0"/>
              <w:ind w:firstLine="0" w:firstLineChars="0"/>
              <w:jc w:val="center"/>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各种异型整体接头</w:t>
            </w:r>
          </w:p>
        </w:tc>
        <w:tc>
          <w:tcPr>
            <w:tcW w:w="773"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1237" w:type="dxa"/>
            <w:tcBorders>
              <w:tl2br w:val="nil"/>
              <w:tr2bl w:val="nil"/>
            </w:tcBorders>
            <w:vAlign w:val="center"/>
          </w:tcPr>
          <w:p>
            <w:pPr>
              <w:adjustRightInd w:val="0"/>
              <w:snapToGrid w:val="0"/>
              <w:jc w:val="center"/>
              <w:rPr>
                <w:rFonts w:ascii="宋体"/>
              </w:rPr>
            </w:pPr>
            <w:r>
              <w:rPr>
                <w:rFonts w:ascii="宋体"/>
              </w:rPr>
              <w:t>√</w:t>
            </w:r>
          </w:p>
        </w:tc>
        <w:tc>
          <w:tcPr>
            <w:tcW w:w="787" w:type="dxa"/>
            <w:tcBorders>
              <w:tl2br w:val="nil"/>
              <w:tr2bl w:val="nil"/>
            </w:tcBorders>
            <w:vAlign w:val="center"/>
          </w:tcPr>
          <w:p>
            <w:pPr>
              <w:adjustRightInd w:val="0"/>
              <w:snapToGrid w:val="0"/>
              <w:jc w:val="center"/>
              <w:rPr>
                <w:rFonts w:ascii="宋体"/>
              </w:rPr>
            </w:pPr>
            <w:r>
              <w:rPr>
                <w:rFonts w:ascii="宋体"/>
              </w:rPr>
              <w:t>√</w:t>
            </w:r>
          </w:p>
        </w:tc>
        <w:tc>
          <w:tcPr>
            <w:tcW w:w="1026" w:type="dxa"/>
            <w:tcBorders>
              <w:tl2br w:val="nil"/>
              <w:tr2bl w:val="nil"/>
            </w:tcBorders>
            <w:vAlign w:val="center"/>
          </w:tcPr>
          <w:p>
            <w:pPr>
              <w:adjustRightInd w:val="0"/>
              <w:snapToGrid w:val="0"/>
              <w:jc w:val="center"/>
              <w:rPr>
                <w:rFonts w:ascii="宋体"/>
              </w:rPr>
            </w:pPr>
            <w:r>
              <w:rPr>
                <w:rFonts w:ascii="宋体"/>
              </w:rPr>
              <w:t>√</w:t>
            </w:r>
          </w:p>
        </w:tc>
        <w:tc>
          <w:tcPr>
            <w:tcW w:w="1012" w:type="dxa"/>
            <w:tcBorders>
              <w:tl2br w:val="nil"/>
              <w:tr2bl w:val="nil"/>
            </w:tcBorders>
            <w:vAlign w:val="center"/>
          </w:tcPr>
          <w:p>
            <w:pPr>
              <w:adjustRightInd w:val="0"/>
              <w:snapToGrid w:val="0"/>
              <w:jc w:val="center"/>
              <w:rPr>
                <w:rFonts w:ascii="宋体"/>
              </w:rPr>
            </w:pPr>
            <w:r>
              <w:rPr>
                <w:rFonts w:ascii="宋体"/>
              </w:rPr>
              <w:t>—</w:t>
            </w:r>
          </w:p>
        </w:tc>
        <w:tc>
          <w:tcPr>
            <w:tcW w:w="758"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769" w:type="dxa"/>
            <w:tcBorders>
              <w:tl2br w:val="nil"/>
              <w:tr2bl w:val="nil"/>
            </w:tcBorders>
            <w:vAlign w:val="center"/>
          </w:tcPr>
          <w:p>
            <w:pPr>
              <w:adjustRightInd w:val="0"/>
              <w:snapToGrid w:val="0"/>
              <w:jc w:val="center"/>
              <w:rPr>
                <w:rFonts w:ascii="宋体"/>
              </w:rPr>
            </w:pPr>
            <w:r>
              <w:rPr>
                <w:rFonts w:hint="eastAsia" w:ascii="宋体"/>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99" w:hRule="atLeast"/>
          <w:jc w:val="center"/>
        </w:trPr>
        <w:tc>
          <w:tcPr>
            <w:tcW w:w="1393" w:type="dxa"/>
            <w:tcBorders>
              <w:tl2br w:val="nil"/>
              <w:tr2bl w:val="nil"/>
            </w:tcBorders>
            <w:vAlign w:val="center"/>
          </w:tcPr>
          <w:p>
            <w:pPr>
              <w:widowControl w:val="0"/>
              <w:tabs>
                <w:tab w:val="left" w:pos="709"/>
              </w:tabs>
              <w:adjustRightInd w:val="0"/>
              <w:snapToGrid w:val="0"/>
              <w:ind w:firstLine="0" w:firstLineChars="0"/>
              <w:jc w:val="left"/>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钻井液循环管线、防喷管线及放喷管线</w:t>
            </w:r>
          </w:p>
        </w:tc>
        <w:tc>
          <w:tcPr>
            <w:tcW w:w="773"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1237" w:type="dxa"/>
            <w:tcBorders>
              <w:tl2br w:val="nil"/>
              <w:tr2bl w:val="nil"/>
            </w:tcBorders>
            <w:vAlign w:val="center"/>
          </w:tcPr>
          <w:p>
            <w:pPr>
              <w:adjustRightInd w:val="0"/>
              <w:snapToGrid w:val="0"/>
              <w:jc w:val="center"/>
              <w:rPr>
                <w:rFonts w:ascii="宋体"/>
              </w:rPr>
            </w:pPr>
            <w:r>
              <w:rPr>
                <w:rFonts w:ascii="宋体"/>
              </w:rPr>
              <w:t>√</w:t>
            </w:r>
          </w:p>
        </w:tc>
        <w:tc>
          <w:tcPr>
            <w:tcW w:w="787" w:type="dxa"/>
            <w:tcBorders>
              <w:tl2br w:val="nil"/>
              <w:tr2bl w:val="nil"/>
            </w:tcBorders>
            <w:vAlign w:val="center"/>
          </w:tcPr>
          <w:p>
            <w:pPr>
              <w:adjustRightInd w:val="0"/>
              <w:snapToGrid w:val="0"/>
              <w:jc w:val="center"/>
              <w:rPr>
                <w:rFonts w:ascii="宋体"/>
              </w:rPr>
            </w:pPr>
            <w:r>
              <w:rPr>
                <w:rFonts w:ascii="宋体"/>
              </w:rPr>
              <w:t>√</w:t>
            </w:r>
          </w:p>
        </w:tc>
        <w:tc>
          <w:tcPr>
            <w:tcW w:w="1026" w:type="dxa"/>
            <w:tcBorders>
              <w:tl2br w:val="nil"/>
              <w:tr2bl w:val="nil"/>
            </w:tcBorders>
            <w:vAlign w:val="center"/>
          </w:tcPr>
          <w:p>
            <w:pPr>
              <w:adjustRightInd w:val="0"/>
              <w:snapToGrid w:val="0"/>
              <w:jc w:val="center"/>
              <w:rPr>
                <w:rFonts w:ascii="宋体"/>
              </w:rPr>
            </w:pPr>
            <w:r>
              <w:rPr>
                <w:rFonts w:ascii="宋体"/>
              </w:rPr>
              <w:t>√</w:t>
            </w:r>
          </w:p>
        </w:tc>
        <w:tc>
          <w:tcPr>
            <w:tcW w:w="1012" w:type="dxa"/>
            <w:tcBorders>
              <w:tl2br w:val="nil"/>
              <w:tr2bl w:val="nil"/>
            </w:tcBorders>
            <w:vAlign w:val="center"/>
          </w:tcPr>
          <w:p>
            <w:pPr>
              <w:adjustRightInd w:val="0"/>
              <w:snapToGrid w:val="0"/>
              <w:jc w:val="center"/>
              <w:rPr>
                <w:rFonts w:ascii="宋体"/>
              </w:rPr>
            </w:pPr>
            <w:r>
              <w:rPr>
                <w:rFonts w:ascii="宋体"/>
              </w:rPr>
              <w:t>—</w:t>
            </w:r>
          </w:p>
        </w:tc>
        <w:tc>
          <w:tcPr>
            <w:tcW w:w="758" w:type="dxa"/>
            <w:tcBorders>
              <w:tl2br w:val="nil"/>
              <w:tr2bl w:val="nil"/>
            </w:tcBorders>
            <w:vAlign w:val="center"/>
          </w:tcPr>
          <w:p>
            <w:pPr>
              <w:adjustRightInd w:val="0"/>
              <w:snapToGrid w:val="0"/>
              <w:jc w:val="center"/>
              <w:rPr>
                <w:rFonts w:ascii="宋体"/>
              </w:rPr>
            </w:pPr>
            <w:r>
              <w:rPr>
                <w:rFonts w:ascii="宋体"/>
              </w:rPr>
              <w:t>—</w:t>
            </w:r>
          </w:p>
        </w:tc>
        <w:tc>
          <w:tcPr>
            <w:tcW w:w="772" w:type="dxa"/>
            <w:tcBorders>
              <w:tl2br w:val="nil"/>
              <w:tr2bl w:val="nil"/>
            </w:tcBorders>
            <w:vAlign w:val="center"/>
          </w:tcPr>
          <w:p>
            <w:pPr>
              <w:adjustRightInd w:val="0"/>
              <w:snapToGrid w:val="0"/>
              <w:jc w:val="center"/>
              <w:rPr>
                <w:rFonts w:ascii="宋体"/>
              </w:rPr>
            </w:pPr>
            <w:r>
              <w:rPr>
                <w:rFonts w:ascii="宋体"/>
              </w:rPr>
              <w:t>×</w:t>
            </w:r>
          </w:p>
        </w:tc>
        <w:tc>
          <w:tcPr>
            <w:tcW w:w="769" w:type="dxa"/>
            <w:tcBorders>
              <w:tl2br w:val="nil"/>
              <w:tr2bl w:val="nil"/>
            </w:tcBorders>
            <w:vAlign w:val="center"/>
          </w:tcPr>
          <w:p>
            <w:pPr>
              <w:adjustRightInd w:val="0"/>
              <w:snapToGrid w:val="0"/>
              <w:jc w:val="center"/>
              <w:rPr>
                <w:rFonts w:ascii="宋体"/>
              </w:rPr>
            </w:pPr>
            <w:r>
              <w:rPr>
                <w:rFonts w:hint="eastAsia" w:ascii="宋体"/>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7" w:hRule="atLeast"/>
          <w:jc w:val="center"/>
        </w:trPr>
        <w:tc>
          <w:tcPr>
            <w:tcW w:w="9299" w:type="dxa"/>
            <w:gridSpan w:val="10"/>
            <w:tcBorders>
              <w:tl2br w:val="nil"/>
              <w:tr2bl w:val="nil"/>
            </w:tcBorders>
            <w:vAlign w:val="center"/>
          </w:tcPr>
          <w:p>
            <w:pPr>
              <w:adjustRightInd w:val="0"/>
              <w:snapToGrid w:val="0"/>
              <w:jc w:val="left"/>
              <w:rPr>
                <w:rFonts w:ascii="宋体" w:eastAsia="黑体"/>
                <w:b/>
                <w:bCs/>
                <w:sz w:val="20"/>
                <w:szCs w:val="20"/>
              </w:rPr>
            </w:pPr>
            <w:r>
              <w:rPr>
                <w:rFonts w:ascii="宋体" w:eastAsia="黑体"/>
                <w:b/>
                <w:bCs/>
                <w:sz w:val="20"/>
                <w:szCs w:val="20"/>
              </w:rPr>
              <w:t>注：</w:t>
            </w:r>
            <w:r>
              <w:rPr>
                <w:rFonts w:hint="eastAsia" w:ascii="宋体"/>
              </w:rPr>
              <w:t>“</w:t>
            </w:r>
            <w:r>
              <w:rPr>
                <w:rFonts w:ascii="宋体"/>
              </w:rPr>
              <w:t>√</w:t>
            </w:r>
            <w:r>
              <w:rPr>
                <w:rFonts w:hint="eastAsia" w:ascii="宋体"/>
              </w:rPr>
              <w:t>”表示应做项目，“</w:t>
            </w:r>
            <w:r>
              <w:rPr>
                <w:rFonts w:ascii="宋体"/>
              </w:rPr>
              <w:t>O</w:t>
            </w:r>
            <w:r>
              <w:rPr>
                <w:rFonts w:hint="eastAsia" w:ascii="宋体"/>
              </w:rPr>
              <w:t>”</w:t>
            </w:r>
            <w:r>
              <w:rPr>
                <w:rFonts w:ascii="宋体"/>
              </w:rPr>
              <w:t>表示适用于大通径管汇</w:t>
            </w:r>
            <w:r>
              <w:rPr>
                <w:rFonts w:hint="eastAsia" w:ascii="宋体"/>
              </w:rPr>
              <w:t>内检测或者外检测</w:t>
            </w:r>
            <w:r>
              <w:rPr>
                <w:rFonts w:ascii="宋体"/>
              </w:rPr>
              <w:t>，</w:t>
            </w:r>
            <w:r>
              <w:rPr>
                <w:rFonts w:hint="eastAsia" w:ascii="宋体"/>
              </w:rPr>
              <w:t>“</w:t>
            </w:r>
            <w:r>
              <w:rPr>
                <w:rFonts w:ascii="宋体"/>
              </w:rPr>
              <w:t>—</w:t>
            </w:r>
            <w:r>
              <w:rPr>
                <w:rFonts w:hint="eastAsia" w:ascii="宋体"/>
              </w:rPr>
              <w:t>”</w:t>
            </w:r>
            <w:r>
              <w:rPr>
                <w:rFonts w:ascii="宋体"/>
              </w:rPr>
              <w:t>表示可选项目，</w:t>
            </w:r>
            <w:r>
              <w:rPr>
                <w:rFonts w:hint="eastAsia" w:ascii="宋体"/>
              </w:rPr>
              <w:t>“</w:t>
            </w:r>
            <w:r>
              <w:rPr>
                <w:rFonts w:ascii="宋体"/>
              </w:rPr>
              <w:t>×</w:t>
            </w:r>
            <w:r>
              <w:rPr>
                <w:rFonts w:hint="eastAsia" w:ascii="宋体"/>
              </w:rPr>
              <w:t>”</w:t>
            </w:r>
            <w:r>
              <w:rPr>
                <w:rFonts w:ascii="宋体"/>
              </w:rPr>
              <w:t>表示无要求</w:t>
            </w:r>
            <w:r>
              <w:rPr>
                <w:rFonts w:hint="eastAsia" w:ascii="宋体"/>
              </w:rPr>
              <w:t>，“△”表示</w:t>
            </w:r>
            <w:r>
              <w:rPr>
                <w:rFonts w:ascii="宋体"/>
              </w:rPr>
              <w:t>PSL 3/3G和PSL 4</w:t>
            </w:r>
            <w:r>
              <w:rPr>
                <w:rFonts w:hint="eastAsia" w:ascii="宋体"/>
              </w:rPr>
              <w:t>对应的本体、盖、端部和出口连接和阀杆可选做项目</w:t>
            </w:r>
            <w:r>
              <w:rPr>
                <w:rFonts w:ascii="宋体"/>
              </w:rPr>
              <w:t>。</w:t>
            </w:r>
          </w:p>
        </w:tc>
      </w:tr>
    </w:tbl>
    <w:p>
      <w:pPr>
        <w:pStyle w:val="27"/>
        <w:rPr>
          <w:rFonts w:hint="default"/>
        </w:rPr>
      </w:pP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eastAsia" w:ascii="Times New Roman" w:cs="Times New Roman"/>
          <w:lang w:val="en-US" w:eastAsia="zh-CN"/>
        </w:rPr>
      </w:pPr>
      <w:r>
        <w:rPr>
          <w:rFonts w:hint="eastAsia" w:ascii="Times New Roman" w:cs="Times New Roman"/>
          <w:lang w:val="en-US" w:eastAsia="zh-CN"/>
        </w:rPr>
        <w:t>资料审查</w:t>
      </w:r>
    </w:p>
    <w:p>
      <w:pPr>
        <w:pStyle w:val="27"/>
        <w:rPr>
          <w:rFonts w:hint="default"/>
          <w:lang w:val="en-US" w:eastAsia="zh-CN"/>
        </w:rPr>
      </w:pPr>
      <w:r>
        <w:rPr>
          <w:rFonts w:hint="default"/>
          <w:lang w:val="en-US" w:eastAsia="zh-CN"/>
        </w:rPr>
        <w:t>资料审查应包括下列内容：</w:t>
      </w:r>
    </w:p>
    <w:p>
      <w:pPr>
        <w:pStyle w:val="27"/>
        <w:rPr>
          <w:rFonts w:hint="default"/>
          <w:lang w:val="en-US" w:eastAsia="zh-CN"/>
        </w:rPr>
      </w:pPr>
      <w:r>
        <w:rPr>
          <w:rFonts w:hint="default"/>
          <w:lang w:val="en-US" w:eastAsia="zh-CN"/>
        </w:rPr>
        <w:t>a)</w:t>
      </w:r>
      <w:r>
        <w:rPr>
          <w:rFonts w:hint="eastAsia"/>
          <w:lang w:val="en-US" w:eastAsia="zh-CN"/>
        </w:rPr>
        <w:t xml:space="preserve"> </w:t>
      </w:r>
      <w:r>
        <w:rPr>
          <w:rFonts w:hint="default"/>
          <w:lang w:val="en-US" w:eastAsia="zh-CN"/>
        </w:rPr>
        <w:t>待检产品制造文件资料：产品合格证、质量证明文件等。</w:t>
      </w:r>
    </w:p>
    <w:p>
      <w:pPr>
        <w:pStyle w:val="27"/>
        <w:rPr>
          <w:rFonts w:hint="default"/>
          <w:lang w:val="en-US" w:eastAsia="zh-CN"/>
        </w:rPr>
      </w:pPr>
      <w:r>
        <w:rPr>
          <w:rFonts w:hint="default"/>
          <w:lang w:val="en-US" w:eastAsia="zh-CN"/>
        </w:rPr>
        <w:t>b)</w:t>
      </w:r>
      <w:r>
        <w:rPr>
          <w:rFonts w:hint="eastAsia"/>
          <w:lang w:val="en-US" w:eastAsia="zh-CN"/>
        </w:rPr>
        <w:t xml:space="preserve"> </w:t>
      </w:r>
      <w:r>
        <w:rPr>
          <w:rFonts w:hint="default"/>
          <w:lang w:val="en-US" w:eastAsia="zh-CN"/>
        </w:rPr>
        <w:t>运行记录资料：管汇元件的累计使用时间、累计砂量、累计液量、使用压力和上一次检测结束后的使用时间、砂量、液量、压力等参数，以及运行中出现的异常情况等。</w:t>
      </w:r>
    </w:p>
    <w:p>
      <w:pPr>
        <w:pStyle w:val="27"/>
        <w:rPr>
          <w:rFonts w:hint="default"/>
          <w:lang w:val="en-US" w:eastAsia="zh-CN"/>
        </w:rPr>
      </w:pPr>
      <w:r>
        <w:rPr>
          <w:rFonts w:hint="default"/>
          <w:lang w:val="en-US" w:eastAsia="zh-CN"/>
        </w:rPr>
        <w:t>c)</w:t>
      </w:r>
      <w:r>
        <w:rPr>
          <w:rFonts w:hint="eastAsia"/>
          <w:lang w:val="en-US" w:eastAsia="zh-CN"/>
        </w:rPr>
        <w:t xml:space="preserve"> </w:t>
      </w:r>
      <w:r>
        <w:rPr>
          <w:rFonts w:hint="default"/>
          <w:lang w:val="en-US" w:eastAsia="zh-CN"/>
        </w:rPr>
        <w:t>检验资料：历次检验报告。</w:t>
      </w:r>
    </w:p>
    <w:p>
      <w:pPr>
        <w:pStyle w:val="27"/>
        <w:rPr>
          <w:rFonts w:hint="default"/>
          <w:lang w:val="en-US" w:eastAsia="zh-CN"/>
        </w:rPr>
      </w:pPr>
      <w:r>
        <w:rPr>
          <w:rFonts w:hint="default"/>
          <w:lang w:val="en-US" w:eastAsia="zh-CN"/>
        </w:rPr>
        <w:t>d)</w:t>
      </w:r>
      <w:r>
        <w:rPr>
          <w:rFonts w:hint="eastAsia"/>
          <w:lang w:val="en-US" w:eastAsia="zh-CN"/>
        </w:rPr>
        <w:t xml:space="preserve"> </w:t>
      </w:r>
      <w:r>
        <w:rPr>
          <w:rFonts w:hint="default"/>
          <w:lang w:val="en-US" w:eastAsia="zh-CN"/>
        </w:rPr>
        <w:t>其他资料：修理和维修更换的文件资料等。</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拆解、清洗和打磨处理</w:t>
      </w:r>
    </w:p>
    <w:p>
      <w:pPr>
        <w:pStyle w:val="27"/>
        <w:rPr>
          <w:rFonts w:hint="default"/>
          <w:lang w:val="en-US" w:eastAsia="zh-CN"/>
        </w:rPr>
      </w:pPr>
      <w:r>
        <w:rPr>
          <w:rFonts w:hint="default"/>
          <w:lang w:val="en-US" w:eastAsia="zh-CN"/>
        </w:rPr>
        <w:t>a)</w:t>
      </w:r>
      <w:r>
        <w:rPr>
          <w:rFonts w:hint="eastAsia"/>
          <w:lang w:val="en-US" w:eastAsia="zh-CN"/>
        </w:rPr>
        <w:t xml:space="preserve"> </w:t>
      </w:r>
      <w:r>
        <w:rPr>
          <w:rFonts w:hint="default"/>
          <w:lang w:val="en-US" w:eastAsia="zh-CN"/>
        </w:rPr>
        <w:t>维修人员负责高压管汇件的拆解、清洗、修理、打磨及装配等操作活动。</w:t>
      </w:r>
    </w:p>
    <w:p>
      <w:pPr>
        <w:pStyle w:val="27"/>
        <w:rPr>
          <w:rFonts w:hint="default"/>
          <w:lang w:val="en-US" w:eastAsia="zh-CN"/>
        </w:rPr>
      </w:pPr>
      <w:r>
        <w:rPr>
          <w:rFonts w:hint="default"/>
          <w:lang w:val="en-US" w:eastAsia="zh-CN"/>
        </w:rPr>
        <w:t>b)</w:t>
      </w:r>
      <w:r>
        <w:rPr>
          <w:rFonts w:hint="eastAsia"/>
          <w:lang w:val="en-US" w:eastAsia="zh-CN"/>
        </w:rPr>
        <w:t xml:space="preserve"> </w:t>
      </w:r>
      <w:r>
        <w:rPr>
          <w:rFonts w:hint="default"/>
          <w:lang w:val="en-US" w:eastAsia="zh-CN"/>
        </w:rPr>
        <w:t>检查活动弯头和各种类型阀门的功能是否正常，若正常，则不拆解。若不正常，则进行拆解维修。</w:t>
      </w:r>
    </w:p>
    <w:p>
      <w:pPr>
        <w:pStyle w:val="27"/>
        <w:rPr>
          <w:rFonts w:hint="default"/>
          <w:lang w:val="en-US" w:eastAsia="zh-CN"/>
        </w:rPr>
      </w:pPr>
      <w:r>
        <w:rPr>
          <w:rFonts w:hint="default"/>
          <w:lang w:val="en-US" w:eastAsia="zh-CN"/>
        </w:rPr>
        <w:t>c)</w:t>
      </w:r>
      <w:r>
        <w:rPr>
          <w:rFonts w:hint="eastAsia"/>
          <w:lang w:val="en-US" w:eastAsia="zh-CN"/>
        </w:rPr>
        <w:t xml:space="preserve"> </w:t>
      </w:r>
      <w:r>
        <w:rPr>
          <w:rFonts w:hint="default"/>
          <w:lang w:val="en-US" w:eastAsia="zh-CN"/>
        </w:rPr>
        <w:t>对于用户有明确要求拆解的和成撬总成必须进行拆解。</w:t>
      </w:r>
    </w:p>
    <w:p>
      <w:pPr>
        <w:pStyle w:val="27"/>
        <w:rPr>
          <w:rFonts w:hint="default"/>
          <w:lang w:val="en-US" w:eastAsia="zh-CN"/>
        </w:rPr>
      </w:pPr>
      <w:r>
        <w:rPr>
          <w:rFonts w:hint="default"/>
          <w:lang w:val="en-US" w:eastAsia="zh-CN"/>
        </w:rPr>
        <w:t>d)</w:t>
      </w:r>
      <w:r>
        <w:rPr>
          <w:rFonts w:hint="eastAsia"/>
          <w:lang w:val="en-US" w:eastAsia="zh-CN"/>
        </w:rPr>
        <w:t xml:space="preserve"> </w:t>
      </w:r>
      <w:r>
        <w:rPr>
          <w:rFonts w:hint="default"/>
          <w:lang w:val="en-US" w:eastAsia="zh-CN"/>
        </w:rPr>
        <w:t>除普通直管及贯通式直管外，其他所有管汇件在检测前必须拆卸翼形螺母、弹性卡圈。</w:t>
      </w:r>
    </w:p>
    <w:p>
      <w:pPr>
        <w:pStyle w:val="27"/>
        <w:rPr>
          <w:rFonts w:hint="default"/>
          <w:lang w:val="en-US" w:eastAsia="zh-CN"/>
        </w:rPr>
      </w:pPr>
      <w:r>
        <w:rPr>
          <w:rFonts w:hint="default"/>
          <w:lang w:val="en-US" w:eastAsia="zh-CN"/>
        </w:rPr>
        <w:t>e)</w:t>
      </w:r>
      <w:r>
        <w:rPr>
          <w:rFonts w:hint="eastAsia"/>
          <w:lang w:val="en-US" w:eastAsia="zh-CN"/>
        </w:rPr>
        <w:t xml:space="preserve"> </w:t>
      </w:r>
      <w:r>
        <w:rPr>
          <w:rFonts w:hint="default"/>
          <w:lang w:val="en-US" w:eastAsia="zh-CN"/>
        </w:rPr>
        <w:t>拆解过程中，对零部件进行编号，检测结束后依照之前的编号顺序进行装配，使所有零部件之间的相对位置保持不变。</w:t>
      </w:r>
    </w:p>
    <w:p>
      <w:pPr>
        <w:pStyle w:val="27"/>
        <w:rPr>
          <w:rFonts w:hint="default"/>
          <w:lang w:val="en-US" w:eastAsia="zh-CN"/>
        </w:rPr>
      </w:pPr>
      <w:r>
        <w:rPr>
          <w:rFonts w:hint="default"/>
          <w:lang w:val="en-US" w:eastAsia="zh-CN"/>
        </w:rPr>
        <w:t>f)</w:t>
      </w:r>
      <w:r>
        <w:rPr>
          <w:rFonts w:hint="eastAsia"/>
          <w:lang w:val="en-US" w:eastAsia="zh-CN"/>
        </w:rPr>
        <w:t xml:space="preserve"> </w:t>
      </w:r>
      <w:r>
        <w:rPr>
          <w:rFonts w:hint="default"/>
          <w:lang w:val="en-US" w:eastAsia="zh-CN"/>
        </w:rPr>
        <w:t>拆解过程中，注意避免零件之间的配合面划伤。</w:t>
      </w:r>
    </w:p>
    <w:p>
      <w:pPr>
        <w:pStyle w:val="27"/>
        <w:rPr>
          <w:rFonts w:hint="default"/>
          <w:lang w:val="en-US" w:eastAsia="zh-CN"/>
        </w:rPr>
      </w:pPr>
      <w:r>
        <w:rPr>
          <w:rFonts w:hint="default"/>
          <w:lang w:val="en-US" w:eastAsia="zh-CN"/>
        </w:rPr>
        <w:t>g)</w:t>
      </w:r>
      <w:r>
        <w:rPr>
          <w:rFonts w:hint="eastAsia"/>
          <w:lang w:val="en-US" w:eastAsia="zh-CN"/>
        </w:rPr>
        <w:t xml:space="preserve"> </w:t>
      </w:r>
      <w:r>
        <w:rPr>
          <w:rFonts w:hint="default"/>
          <w:lang w:val="en-US" w:eastAsia="zh-CN"/>
        </w:rPr>
        <w:t>拆解完成后，待检区域应进行清理，清除所有的油脂、松散铁锈和其他影响检测过程和检测准确性的异物。可采用煤油浸泡和清洗，确保配合面干净无油污。</w:t>
      </w:r>
    </w:p>
    <w:p>
      <w:pPr>
        <w:pStyle w:val="27"/>
        <w:rPr>
          <w:rFonts w:hint="default"/>
          <w:lang w:val="en-US" w:eastAsia="zh-CN"/>
        </w:rPr>
      </w:pPr>
      <w:r>
        <w:rPr>
          <w:rFonts w:hint="default"/>
          <w:lang w:val="en-US" w:eastAsia="zh-CN"/>
        </w:rPr>
        <w:t>h)</w:t>
      </w:r>
      <w:r>
        <w:rPr>
          <w:rFonts w:hint="eastAsia"/>
          <w:lang w:val="en-US" w:eastAsia="zh-CN"/>
        </w:rPr>
        <w:t xml:space="preserve"> </w:t>
      </w:r>
      <w:r>
        <w:rPr>
          <w:rFonts w:hint="default"/>
          <w:lang w:val="en-US" w:eastAsia="zh-CN"/>
        </w:rPr>
        <w:t>对零件损坏的表面（如点蚀、片蚀、锈蚀、碰伤等）修理，采用打磨或用细砂布去除锈蚀和毛刺。</w:t>
      </w:r>
    </w:p>
    <w:p>
      <w:pPr>
        <w:pStyle w:val="27"/>
        <w:rPr>
          <w:rFonts w:hint="default"/>
          <w:lang w:val="en-US" w:eastAsia="zh-CN"/>
        </w:rPr>
      </w:pPr>
      <w:r>
        <w:rPr>
          <w:rFonts w:hint="default"/>
          <w:lang w:val="en-US" w:eastAsia="zh-CN"/>
        </w:rPr>
        <w:t>i)</w:t>
      </w:r>
      <w:r>
        <w:rPr>
          <w:rFonts w:hint="eastAsia"/>
          <w:lang w:val="en-US" w:eastAsia="zh-CN"/>
        </w:rPr>
        <w:t xml:space="preserve"> </w:t>
      </w:r>
      <w:r>
        <w:rPr>
          <w:rFonts w:hint="default"/>
          <w:lang w:val="en-US" w:eastAsia="zh-CN"/>
        </w:rPr>
        <w:t>所有产品的检测部位，应进行喷丸、喷砂或打磨处理，表面漆膜应全部去除，使零件本体露出金属光泽。喷丸、喷砂或打磨时，应对螺纹及密封面进行保护。</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宏观检测</w:t>
      </w:r>
    </w:p>
    <w:p>
      <w:pPr>
        <w:pStyle w:val="27"/>
        <w:rPr>
          <w:rFonts w:hint="default"/>
          <w:lang w:val="en-US" w:eastAsia="zh-CN"/>
        </w:rPr>
      </w:pPr>
      <w:r>
        <w:rPr>
          <w:rFonts w:hint="default"/>
          <w:lang w:val="en-US" w:eastAsia="zh-CN"/>
        </w:rPr>
        <w:t>对每个高压管汇件的外表面进行目视检测。转动每个高压管汇件并对其整个表面进行目视观察，检测是否有目视可见的缺陷。</w:t>
      </w:r>
    </w:p>
    <w:p>
      <w:pPr>
        <w:pStyle w:val="27"/>
        <w:rPr>
          <w:rFonts w:hint="default"/>
          <w:lang w:val="en-US" w:eastAsia="zh-CN"/>
        </w:rPr>
      </w:pPr>
      <w:r>
        <w:rPr>
          <w:rFonts w:hint="default"/>
          <w:lang w:val="en-US" w:eastAsia="zh-CN"/>
        </w:rPr>
        <w:t>照亮高压管汇件内表面，通过镜子、内窥镜或5～10倍放大镜从进出口两端分别对高压管汇件内表面进行目视检测，并记录目视可见的缺陷和内涂层状况。</w:t>
      </w:r>
    </w:p>
    <w:p>
      <w:pPr>
        <w:pStyle w:val="27"/>
        <w:rPr>
          <w:rFonts w:hint="default"/>
          <w:lang w:val="en-US" w:eastAsia="zh-CN"/>
        </w:rPr>
      </w:pPr>
      <w:r>
        <w:rPr>
          <w:rFonts w:hint="default"/>
          <w:lang w:val="en-US" w:eastAsia="zh-CN"/>
        </w:rPr>
        <w:t>宏观检测内容包括：</w:t>
      </w:r>
    </w:p>
    <w:p>
      <w:pPr>
        <w:pStyle w:val="27"/>
        <w:rPr>
          <w:rFonts w:hint="default"/>
          <w:lang w:val="en-US" w:eastAsia="zh-CN"/>
        </w:rPr>
      </w:pPr>
      <w:r>
        <w:rPr>
          <w:rFonts w:hint="default"/>
          <w:lang w:val="en-US" w:eastAsia="zh-CN"/>
        </w:rPr>
        <w:t>a)</w:t>
      </w:r>
      <w:r>
        <w:rPr>
          <w:rFonts w:hint="eastAsia"/>
          <w:lang w:val="en-US" w:eastAsia="zh-CN"/>
        </w:rPr>
        <w:t xml:space="preserve"> </w:t>
      </w:r>
      <w:r>
        <w:rPr>
          <w:rFonts w:hint="default"/>
          <w:lang w:val="en-US" w:eastAsia="zh-CN"/>
        </w:rPr>
        <w:t>内外表面应无裂纹、明显凹坑或缺损。</w:t>
      </w:r>
    </w:p>
    <w:p>
      <w:pPr>
        <w:pStyle w:val="27"/>
        <w:rPr>
          <w:rFonts w:hint="default"/>
          <w:lang w:val="en-US" w:eastAsia="zh-CN"/>
        </w:rPr>
      </w:pPr>
      <w:r>
        <w:rPr>
          <w:rFonts w:hint="default"/>
          <w:lang w:val="en-US" w:eastAsia="zh-CN"/>
        </w:rPr>
        <w:t>b)</w:t>
      </w:r>
      <w:r>
        <w:rPr>
          <w:rFonts w:hint="eastAsia"/>
          <w:lang w:val="en-US" w:eastAsia="zh-CN"/>
        </w:rPr>
        <w:t xml:space="preserve"> </w:t>
      </w:r>
      <w:r>
        <w:rPr>
          <w:rFonts w:hint="default"/>
          <w:lang w:val="en-US" w:eastAsia="zh-CN"/>
        </w:rPr>
        <w:t>密封面的磨损、腐蚀程度不影响密封性能。</w:t>
      </w:r>
    </w:p>
    <w:p>
      <w:pPr>
        <w:pStyle w:val="27"/>
        <w:rPr>
          <w:rFonts w:hint="default"/>
          <w:lang w:val="en-US" w:eastAsia="zh-CN"/>
        </w:rPr>
      </w:pPr>
      <w:r>
        <w:rPr>
          <w:rFonts w:hint="default"/>
          <w:lang w:val="en-US" w:eastAsia="zh-CN"/>
        </w:rPr>
        <w:t>c)</w:t>
      </w:r>
      <w:r>
        <w:rPr>
          <w:rFonts w:hint="eastAsia"/>
          <w:lang w:val="en-US" w:eastAsia="zh-CN"/>
        </w:rPr>
        <w:t xml:space="preserve"> </w:t>
      </w:r>
      <w:r>
        <w:rPr>
          <w:rFonts w:hint="default"/>
          <w:lang w:val="en-US" w:eastAsia="zh-CN"/>
        </w:rPr>
        <w:t>铭牌或本体标志应完好。</w:t>
      </w:r>
    </w:p>
    <w:p>
      <w:pPr>
        <w:pStyle w:val="27"/>
        <w:rPr>
          <w:rFonts w:hint="default"/>
          <w:lang w:val="en-US" w:eastAsia="zh-CN"/>
        </w:rPr>
      </w:pPr>
      <w:r>
        <w:rPr>
          <w:rFonts w:hint="default"/>
          <w:lang w:val="en-US" w:eastAsia="zh-CN"/>
        </w:rPr>
        <w:t>d)</w:t>
      </w:r>
      <w:r>
        <w:rPr>
          <w:rFonts w:hint="eastAsia"/>
          <w:lang w:val="en-US" w:eastAsia="zh-CN"/>
        </w:rPr>
        <w:t xml:space="preserve"> </w:t>
      </w:r>
      <w:r>
        <w:rPr>
          <w:rFonts w:hint="default"/>
          <w:lang w:val="en-US" w:eastAsia="zh-CN"/>
        </w:rPr>
        <w:t>刚性管线应无明显弯曲变形。</w:t>
      </w:r>
    </w:p>
    <w:p>
      <w:pPr>
        <w:pStyle w:val="27"/>
        <w:rPr>
          <w:rFonts w:hint="default"/>
          <w:lang w:val="en-US" w:eastAsia="zh-CN"/>
        </w:rPr>
      </w:pPr>
      <w:r>
        <w:rPr>
          <w:rFonts w:hint="default"/>
          <w:lang w:val="en-US" w:eastAsia="zh-CN"/>
        </w:rPr>
        <w:t>e)</w:t>
      </w:r>
      <w:r>
        <w:rPr>
          <w:rFonts w:hint="eastAsia"/>
          <w:lang w:val="en-US" w:eastAsia="zh-CN"/>
        </w:rPr>
        <w:t xml:space="preserve"> </w:t>
      </w:r>
      <w:r>
        <w:rPr>
          <w:rFonts w:hint="default"/>
          <w:lang w:val="en-US" w:eastAsia="zh-CN"/>
        </w:rPr>
        <w:t>所有阀门应有清晰的开、关标识，标识应与阀门开关状态一致。</w:t>
      </w:r>
    </w:p>
    <w:p>
      <w:pPr>
        <w:pStyle w:val="27"/>
        <w:rPr>
          <w:rFonts w:hint="default"/>
          <w:lang w:val="en-US" w:eastAsia="zh-CN"/>
        </w:rPr>
      </w:pPr>
      <w:r>
        <w:rPr>
          <w:rFonts w:hint="default"/>
          <w:lang w:val="en-US" w:eastAsia="zh-CN"/>
        </w:rPr>
        <w:t>f)</w:t>
      </w:r>
      <w:r>
        <w:rPr>
          <w:rFonts w:hint="eastAsia"/>
          <w:lang w:val="en-US" w:eastAsia="zh-CN"/>
        </w:rPr>
        <w:t xml:space="preserve"> </w:t>
      </w:r>
      <w:r>
        <w:rPr>
          <w:rFonts w:hint="default"/>
          <w:lang w:val="en-US" w:eastAsia="zh-CN"/>
        </w:rPr>
        <w:t>本体与接头的连接合理。</w:t>
      </w:r>
    </w:p>
    <w:p>
      <w:pPr>
        <w:pStyle w:val="27"/>
        <w:rPr>
          <w:rFonts w:hint="default"/>
          <w:lang w:val="en-US" w:eastAsia="zh-CN"/>
        </w:rPr>
      </w:pPr>
      <w:r>
        <w:rPr>
          <w:rFonts w:hint="default"/>
          <w:lang w:val="en-US" w:eastAsia="zh-CN"/>
        </w:rPr>
        <w:t>g)</w:t>
      </w:r>
      <w:r>
        <w:rPr>
          <w:rFonts w:hint="eastAsia"/>
          <w:lang w:val="en-US" w:eastAsia="zh-CN"/>
        </w:rPr>
        <w:t xml:space="preserve"> </w:t>
      </w:r>
      <w:r>
        <w:rPr>
          <w:rFonts w:hint="default"/>
          <w:lang w:val="en-US" w:eastAsia="zh-CN"/>
        </w:rPr>
        <w:t>阀件开关、活动弯头转动应灵活、轻便，不得有锈蚀锈死状况。</w:t>
      </w:r>
    </w:p>
    <w:p>
      <w:pPr>
        <w:pStyle w:val="27"/>
        <w:rPr>
          <w:rFonts w:hint="default"/>
          <w:lang w:val="en-US" w:eastAsia="zh-CN"/>
        </w:rPr>
      </w:pPr>
      <w:r>
        <w:rPr>
          <w:rFonts w:hint="default"/>
          <w:sz w:val="18"/>
          <w:szCs w:val="18"/>
          <w:lang w:val="en-US" w:eastAsia="zh-CN"/>
        </w:rPr>
        <w:t>注：对于宏观检测发现的裂纹及存在严重冲刷腐蚀的部位，要准确记录其尺寸位置并拍照。</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危险截面壁厚检测</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表面准备</w:t>
      </w:r>
    </w:p>
    <w:p>
      <w:pPr>
        <w:pStyle w:val="27"/>
        <w:rPr>
          <w:rFonts w:hint="default"/>
          <w:lang w:val="en-US" w:eastAsia="zh-CN"/>
        </w:rPr>
      </w:pPr>
      <w:r>
        <w:rPr>
          <w:rFonts w:hint="default"/>
          <w:lang w:val="en-US" w:eastAsia="zh-CN"/>
        </w:rPr>
        <w:t>放置探头的区域表面应清洁，无疏松铁锈、污垢、油脂或其他影响高压管汇件表面检测灵敏度或读数的异物。</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校验</w:t>
      </w:r>
    </w:p>
    <w:p>
      <w:pPr>
        <w:pStyle w:val="27"/>
        <w:rPr>
          <w:rFonts w:hint="default"/>
          <w:lang w:val="en-US" w:eastAsia="zh-CN"/>
        </w:rPr>
      </w:pPr>
      <w:r>
        <w:rPr>
          <w:rFonts w:hint="default"/>
          <w:lang w:val="en-US" w:eastAsia="zh-CN"/>
        </w:rPr>
        <w:t>将探头平稳的放在标准试块上，如果读数不稳定，则表明仪器出现故障，应进行修理或更换。所有用于校验的标准试块都应与被检测材料具有类似的声速和衰减特性。在使用之前，标准试块应置于与待检高压管汇件相同的环境温度中至少30min，以减少由于温度差异造成的测量误差。将标准试块放在待检高压管汇件表面并实现充分接触的情况下，可以将时间缩短为10min。</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校验频率</w:t>
      </w:r>
    </w:p>
    <w:p>
      <w:pPr>
        <w:pStyle w:val="27"/>
        <w:rPr>
          <w:rFonts w:hint="default"/>
          <w:lang w:val="en-US" w:eastAsia="zh-CN"/>
        </w:rPr>
      </w:pPr>
      <w:r>
        <w:rPr>
          <w:rFonts w:hint="default"/>
          <w:lang w:val="en-US" w:eastAsia="zh-CN"/>
        </w:rPr>
        <w:t>如下情况应进行重新校验：</w:t>
      </w:r>
    </w:p>
    <w:p>
      <w:pPr>
        <w:pStyle w:val="27"/>
        <w:rPr>
          <w:rFonts w:hint="default"/>
          <w:lang w:val="en-US" w:eastAsia="zh-CN"/>
        </w:rPr>
      </w:pPr>
      <w:r>
        <w:rPr>
          <w:rFonts w:hint="default"/>
          <w:lang w:val="en-US" w:eastAsia="zh-CN"/>
        </w:rPr>
        <w:t>a)</w:t>
      </w:r>
      <w:r>
        <w:rPr>
          <w:rFonts w:hint="eastAsia"/>
          <w:lang w:val="en-US" w:eastAsia="zh-CN"/>
        </w:rPr>
        <w:t xml:space="preserve"> </w:t>
      </w:r>
      <w:r>
        <w:rPr>
          <w:rFonts w:hint="default"/>
          <w:lang w:val="en-US" w:eastAsia="zh-CN"/>
        </w:rPr>
        <w:t>每次换班检测开始时。</w:t>
      </w:r>
    </w:p>
    <w:p>
      <w:pPr>
        <w:pStyle w:val="27"/>
        <w:rPr>
          <w:rFonts w:hint="default"/>
          <w:lang w:val="en-US" w:eastAsia="zh-CN"/>
        </w:rPr>
      </w:pPr>
      <w:r>
        <w:rPr>
          <w:rFonts w:hint="default"/>
          <w:lang w:val="en-US" w:eastAsia="zh-CN"/>
        </w:rPr>
        <w:t>b)</w:t>
      </w:r>
      <w:r>
        <w:rPr>
          <w:rFonts w:hint="eastAsia"/>
          <w:lang w:val="en-US" w:eastAsia="zh-CN"/>
        </w:rPr>
        <w:t xml:space="preserve"> </w:t>
      </w:r>
      <w:r>
        <w:rPr>
          <w:rFonts w:hint="default"/>
          <w:lang w:val="en-US" w:eastAsia="zh-CN"/>
        </w:rPr>
        <w:t>连续检测或测量了25个区域。</w:t>
      </w:r>
    </w:p>
    <w:p>
      <w:pPr>
        <w:pStyle w:val="27"/>
        <w:rPr>
          <w:rFonts w:hint="default"/>
          <w:lang w:val="en-US" w:eastAsia="zh-CN"/>
        </w:rPr>
      </w:pPr>
      <w:r>
        <w:rPr>
          <w:rFonts w:hint="default"/>
          <w:lang w:val="en-US" w:eastAsia="zh-CN"/>
        </w:rPr>
        <w:t>c)</w:t>
      </w:r>
      <w:r>
        <w:rPr>
          <w:rFonts w:hint="eastAsia"/>
          <w:lang w:val="en-US" w:eastAsia="zh-CN"/>
        </w:rPr>
        <w:t xml:space="preserve"> </w:t>
      </w:r>
      <w:r>
        <w:rPr>
          <w:rFonts w:hint="default"/>
          <w:lang w:val="en-US" w:eastAsia="zh-CN"/>
        </w:rPr>
        <w:t>在电源中断或更换电源时。</w:t>
      </w:r>
    </w:p>
    <w:p>
      <w:pPr>
        <w:pStyle w:val="27"/>
        <w:rPr>
          <w:rFonts w:hint="default"/>
          <w:lang w:val="en-US" w:eastAsia="zh-CN"/>
        </w:rPr>
      </w:pPr>
      <w:r>
        <w:rPr>
          <w:rFonts w:hint="default"/>
          <w:lang w:val="en-US" w:eastAsia="zh-CN"/>
        </w:rPr>
        <w:t>d)</w:t>
      </w:r>
      <w:r>
        <w:rPr>
          <w:rFonts w:hint="eastAsia"/>
          <w:lang w:val="en-US" w:eastAsia="zh-CN"/>
        </w:rPr>
        <w:t xml:space="preserve"> </w:t>
      </w:r>
      <w:r>
        <w:rPr>
          <w:rFonts w:hint="default"/>
          <w:lang w:val="en-US" w:eastAsia="zh-CN"/>
        </w:rPr>
        <w:t>操作人员（检测人员）变更时。</w:t>
      </w:r>
    </w:p>
    <w:p>
      <w:pPr>
        <w:pStyle w:val="27"/>
        <w:rPr>
          <w:rFonts w:hint="default"/>
          <w:lang w:val="en-US" w:eastAsia="zh-CN"/>
        </w:rPr>
      </w:pPr>
      <w:r>
        <w:rPr>
          <w:rFonts w:hint="default"/>
          <w:lang w:val="en-US" w:eastAsia="zh-CN"/>
        </w:rPr>
        <w:t>e)</w:t>
      </w:r>
      <w:r>
        <w:rPr>
          <w:rFonts w:hint="eastAsia"/>
          <w:lang w:val="en-US" w:eastAsia="zh-CN"/>
        </w:rPr>
        <w:t xml:space="preserve"> </w:t>
      </w:r>
      <w:r>
        <w:rPr>
          <w:rFonts w:hint="default"/>
          <w:lang w:val="en-US" w:eastAsia="zh-CN"/>
        </w:rPr>
        <w:t>工作期间关闭设备前。</w:t>
      </w:r>
    </w:p>
    <w:p>
      <w:pPr>
        <w:pStyle w:val="27"/>
        <w:rPr>
          <w:rFonts w:hint="default"/>
          <w:lang w:val="en-US" w:eastAsia="zh-CN"/>
        </w:rPr>
      </w:pPr>
      <w:r>
        <w:rPr>
          <w:rFonts w:hint="default"/>
          <w:lang w:val="en-US" w:eastAsia="zh-CN"/>
        </w:rPr>
        <w:t>f)</w:t>
      </w:r>
      <w:r>
        <w:rPr>
          <w:rFonts w:hint="eastAsia"/>
          <w:lang w:val="en-US" w:eastAsia="zh-CN"/>
        </w:rPr>
        <w:t xml:space="preserve"> </w:t>
      </w:r>
      <w:r>
        <w:rPr>
          <w:rFonts w:hint="default"/>
          <w:lang w:val="en-US" w:eastAsia="zh-CN"/>
        </w:rPr>
        <w:t>修理或更换影响系统性能的组件后，恢复操作之前。</w:t>
      </w:r>
    </w:p>
    <w:p>
      <w:pPr>
        <w:pStyle w:val="27"/>
        <w:rPr>
          <w:rFonts w:hint="default"/>
          <w:lang w:val="en-US" w:eastAsia="zh-CN"/>
        </w:rPr>
      </w:pPr>
      <w:r>
        <w:rPr>
          <w:rFonts w:hint="default"/>
          <w:lang w:val="en-US" w:eastAsia="zh-CN"/>
        </w:rPr>
        <w:t>g)</w:t>
      </w:r>
      <w:r>
        <w:rPr>
          <w:rFonts w:hint="eastAsia"/>
          <w:lang w:val="en-US" w:eastAsia="zh-CN"/>
        </w:rPr>
        <w:t xml:space="preserve"> </w:t>
      </w:r>
      <w:r>
        <w:rPr>
          <w:rFonts w:hint="default"/>
          <w:lang w:val="en-US" w:eastAsia="zh-CN"/>
        </w:rPr>
        <w:t>探头、电缆或耦合剂类型变化时。</w:t>
      </w:r>
    </w:p>
    <w:p>
      <w:pPr>
        <w:pStyle w:val="27"/>
        <w:rPr>
          <w:rFonts w:hint="default"/>
          <w:lang w:val="en-US" w:eastAsia="zh-CN"/>
        </w:rPr>
      </w:pPr>
      <w:r>
        <w:rPr>
          <w:rFonts w:hint="default"/>
          <w:lang w:val="en-US" w:eastAsia="zh-CN"/>
        </w:rPr>
        <w:t>h)</w:t>
      </w:r>
      <w:r>
        <w:rPr>
          <w:rFonts w:hint="eastAsia"/>
          <w:lang w:val="en-US" w:eastAsia="zh-CN"/>
        </w:rPr>
        <w:t xml:space="preserve"> </w:t>
      </w:r>
      <w:r>
        <w:rPr>
          <w:rFonts w:hint="default"/>
          <w:lang w:val="en-US" w:eastAsia="zh-CN"/>
        </w:rPr>
        <w:t>完成工作后，关闭仪器之前。</w:t>
      </w:r>
    </w:p>
    <w:p>
      <w:pPr>
        <w:pStyle w:val="27"/>
        <w:rPr>
          <w:rFonts w:hint="default"/>
          <w:lang w:val="en-US" w:eastAsia="zh-CN"/>
        </w:rPr>
      </w:pPr>
      <w:r>
        <w:rPr>
          <w:rFonts w:hint="default"/>
          <w:lang w:val="en-US" w:eastAsia="zh-CN"/>
        </w:rPr>
        <w:t>i)</w:t>
      </w:r>
      <w:r>
        <w:rPr>
          <w:rFonts w:hint="eastAsia"/>
          <w:lang w:val="en-US" w:eastAsia="zh-CN"/>
        </w:rPr>
        <w:t xml:space="preserve"> </w:t>
      </w:r>
      <w:r>
        <w:rPr>
          <w:rFonts w:hint="default"/>
          <w:lang w:val="en-US" w:eastAsia="zh-CN"/>
        </w:rPr>
        <w:t>当测量读数与高压管汇件的使用壁厚极限推荐值的差值不足0.25mm时。</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不合格的校验</w:t>
      </w:r>
    </w:p>
    <w:p>
      <w:pPr>
        <w:pStyle w:val="27"/>
        <w:rPr>
          <w:rFonts w:hint="default"/>
          <w:lang w:val="en-US" w:eastAsia="zh-CN"/>
        </w:rPr>
      </w:pPr>
      <w:r>
        <w:rPr>
          <w:rFonts w:hint="default"/>
          <w:lang w:val="en-US" w:eastAsia="zh-CN"/>
        </w:rPr>
        <w:t>如果不能核准前次现场校验精度时，那么从最后一次有效校验起所作所有测量都应在正确校验之后重新测量。</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检测程序</w:t>
      </w:r>
    </w:p>
    <w:p>
      <w:pPr>
        <w:pStyle w:val="27"/>
        <w:rPr>
          <w:rFonts w:hint="default"/>
          <w:lang w:val="en-US" w:eastAsia="zh-CN"/>
        </w:rPr>
      </w:pPr>
      <w:r>
        <w:rPr>
          <w:rFonts w:hint="default"/>
          <w:lang w:val="en-US" w:eastAsia="zh-CN"/>
        </w:rPr>
        <w:t>用超声波测厚仪检测危险截面的壁厚（在规定的检测区域，取4点进行检测）。检测时需满足如下要求：</w:t>
      </w:r>
    </w:p>
    <w:p>
      <w:pPr>
        <w:pStyle w:val="27"/>
        <w:rPr>
          <w:rFonts w:hint="default"/>
          <w:lang w:val="en-US" w:eastAsia="zh-CN"/>
        </w:rPr>
      </w:pPr>
      <w:r>
        <w:rPr>
          <w:rFonts w:hint="default"/>
          <w:lang w:val="en-US" w:eastAsia="zh-CN"/>
        </w:rPr>
        <w:t>a)</w:t>
      </w:r>
      <w:r>
        <w:rPr>
          <w:rFonts w:hint="eastAsia"/>
          <w:lang w:val="en-US" w:eastAsia="zh-CN"/>
        </w:rPr>
        <w:t xml:space="preserve"> </w:t>
      </w:r>
      <w:r>
        <w:rPr>
          <w:rFonts w:hint="default"/>
          <w:lang w:val="en-US" w:eastAsia="zh-CN"/>
        </w:rPr>
        <w:t>对于每次测量，应在读数稳定后，比较读数与使用壁厚极限推荐值。稳定的读数是指保持相同数值（在±0.025mm以内）至少3s的读数。</w:t>
      </w:r>
    </w:p>
    <w:p>
      <w:pPr>
        <w:pStyle w:val="27"/>
        <w:rPr>
          <w:rFonts w:hint="default"/>
          <w:lang w:val="en-US" w:eastAsia="zh-CN"/>
        </w:rPr>
      </w:pPr>
      <w:r>
        <w:rPr>
          <w:rFonts w:hint="default"/>
          <w:lang w:val="en-US" w:eastAsia="zh-CN"/>
        </w:rPr>
        <w:t>b)</w:t>
      </w:r>
      <w:r>
        <w:rPr>
          <w:rFonts w:hint="eastAsia"/>
          <w:lang w:val="en-US" w:eastAsia="zh-CN"/>
        </w:rPr>
        <w:t xml:space="preserve"> </w:t>
      </w:r>
      <w:r>
        <w:rPr>
          <w:rFonts w:hint="default"/>
          <w:lang w:val="en-US" w:eastAsia="zh-CN"/>
        </w:rPr>
        <w:t>对于凹坑的剩余壁厚测量，采用深度计测量凹坑深度，用凹坑邻近平均壁厚减去凹坑深度来确定凹坑的剩余壁厚。凹坑邻近平均壁厚由凹坑两对面壁厚读数的平均值决定。应当去掉正常表面之上的金属凸起，以利于凹坑深度的测量。</w:t>
      </w:r>
    </w:p>
    <w:p>
      <w:pPr>
        <w:pStyle w:val="27"/>
        <w:rPr>
          <w:rFonts w:hint="default"/>
          <w:lang w:val="en-US" w:eastAsia="zh-CN"/>
        </w:rPr>
      </w:pPr>
      <w:r>
        <w:rPr>
          <w:rFonts w:hint="default"/>
          <w:lang w:val="en-US" w:eastAsia="zh-CN"/>
        </w:rPr>
        <w:t>c)</w:t>
      </w:r>
      <w:r>
        <w:rPr>
          <w:rFonts w:hint="eastAsia"/>
          <w:lang w:val="en-US" w:eastAsia="zh-CN"/>
        </w:rPr>
        <w:t xml:space="preserve"> </w:t>
      </w:r>
      <w:r>
        <w:rPr>
          <w:rFonts w:hint="default"/>
          <w:lang w:val="en-US" w:eastAsia="zh-CN"/>
        </w:rPr>
        <w:t>当遇到一个边缘读数时，围绕低读数周围检测以发现壁厚减少更多的区域。</w:t>
      </w:r>
    </w:p>
    <w:p>
      <w:pPr>
        <w:pStyle w:val="27"/>
        <w:rPr>
          <w:rFonts w:hint="default"/>
          <w:lang w:val="en-US" w:eastAsia="zh-CN"/>
        </w:rPr>
      </w:pPr>
      <w:r>
        <w:rPr>
          <w:rFonts w:hint="default"/>
          <w:lang w:val="en-US" w:eastAsia="zh-CN"/>
        </w:rPr>
        <w:t>d)</w:t>
      </w:r>
      <w:r>
        <w:rPr>
          <w:rFonts w:hint="eastAsia"/>
          <w:lang w:val="en-US" w:eastAsia="zh-CN"/>
        </w:rPr>
        <w:t xml:space="preserve"> </w:t>
      </w:r>
      <w:r>
        <w:rPr>
          <w:rFonts w:hint="default"/>
          <w:lang w:val="en-US" w:eastAsia="zh-CN"/>
        </w:rPr>
        <w:t>当有可以报废高压管汇件的测量读数时，检查表面状态并清理表面，但不应去除任何基体金属，验证测厚仪校验并重新检查厚度测量。</w:t>
      </w:r>
    </w:p>
    <w:p>
      <w:pPr>
        <w:pStyle w:val="27"/>
        <w:rPr>
          <w:rFonts w:hint="default"/>
          <w:lang w:val="en-US" w:eastAsia="zh-CN"/>
        </w:rPr>
      </w:pPr>
      <w:r>
        <w:rPr>
          <w:rFonts w:hint="default"/>
          <w:lang w:val="en-US" w:eastAsia="zh-CN"/>
        </w:rPr>
        <w:t>e)</w:t>
      </w:r>
      <w:r>
        <w:rPr>
          <w:rFonts w:hint="eastAsia"/>
          <w:lang w:val="en-US" w:eastAsia="zh-CN"/>
        </w:rPr>
        <w:t xml:space="preserve"> </w:t>
      </w:r>
      <w:r>
        <w:rPr>
          <w:rFonts w:hint="default"/>
          <w:lang w:val="en-US" w:eastAsia="zh-CN"/>
        </w:rPr>
        <w:t>除了SY/T 6270规定的检测对象，其他高压管汇件测点布置或点数可由用户指定，但不得低于SY/T 6270的要求。</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验收准则</w:t>
      </w:r>
    </w:p>
    <w:p>
      <w:pPr>
        <w:pStyle w:val="27"/>
        <w:rPr>
          <w:rFonts w:hint="default"/>
          <w:lang w:val="en-US" w:eastAsia="zh-CN"/>
        </w:rPr>
      </w:pPr>
      <w:r>
        <w:rPr>
          <w:rFonts w:hint="default"/>
          <w:lang w:val="en-US" w:eastAsia="zh-CN"/>
        </w:rPr>
        <w:t>如果壁厚值不大于使用壁厚极限推荐值，予以报废，使用壁厚极限推荐值参照SY/T 6270中7.5.3条执行。</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磁粉检测</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概述</w:t>
      </w:r>
    </w:p>
    <w:p>
      <w:pPr>
        <w:pStyle w:val="27"/>
        <w:rPr>
          <w:rFonts w:hint="default"/>
          <w:lang w:val="en-US" w:eastAsia="zh-CN"/>
        </w:rPr>
      </w:pPr>
      <w:r>
        <w:rPr>
          <w:rFonts w:hint="default"/>
          <w:lang w:val="en-US" w:eastAsia="zh-CN"/>
        </w:rPr>
        <w:t>无损检测按照GB/T 22513中7.4.2.2.8、7.4.2.2.9、7.4.2.3.8、7.4.2.4.11、7.4.3.2条或NB/T 47013.4的要求进行。PSL 1和PSL 2应进行表面无损检测，PSL 3/3G和PSL 4应进行表面无损检测和内部无损检测。</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检测方法</w:t>
      </w:r>
    </w:p>
    <w:p>
      <w:pPr>
        <w:pStyle w:val="27"/>
        <w:rPr>
          <w:rFonts w:hint="default"/>
          <w:lang w:val="en-US" w:eastAsia="zh-CN"/>
        </w:rPr>
      </w:pPr>
      <w:r>
        <w:rPr>
          <w:rFonts w:hint="default"/>
          <w:lang w:val="en-US" w:eastAsia="zh-CN"/>
        </w:rPr>
        <w:t>a)</w:t>
      </w:r>
      <w:r>
        <w:rPr>
          <w:rFonts w:hint="eastAsia"/>
          <w:lang w:val="en-US" w:eastAsia="zh-CN"/>
        </w:rPr>
        <w:t xml:space="preserve"> </w:t>
      </w:r>
      <w:r>
        <w:rPr>
          <w:rFonts w:hint="default"/>
          <w:lang w:val="en-US" w:eastAsia="zh-CN"/>
        </w:rPr>
        <w:t>整体磁化：采用连续法。操作时首先用磁悬液喷淋产品表面，使表面充分湿润，然后进行磁化，在磁悬液喷淋结束稍后（约2～3秒）停止磁化。</w:t>
      </w:r>
    </w:p>
    <w:p>
      <w:pPr>
        <w:pStyle w:val="27"/>
        <w:rPr>
          <w:rFonts w:hint="default"/>
          <w:lang w:val="en-US" w:eastAsia="zh-CN"/>
        </w:rPr>
      </w:pPr>
      <w:r>
        <w:rPr>
          <w:rFonts w:hint="default"/>
          <w:lang w:val="en-US" w:eastAsia="zh-CN"/>
        </w:rPr>
        <w:t>b)</w:t>
      </w:r>
      <w:r>
        <w:rPr>
          <w:rFonts w:hint="eastAsia"/>
          <w:lang w:val="en-US" w:eastAsia="zh-CN"/>
        </w:rPr>
        <w:t xml:space="preserve"> </w:t>
      </w:r>
      <w:r>
        <w:rPr>
          <w:rFonts w:hint="default"/>
          <w:lang w:val="en-US" w:eastAsia="zh-CN"/>
        </w:rPr>
        <w:t>周向磁化：磁化方法优先采用芯棒法，对于无法使用线圈法或者芯棒法检测的部位，可采用磁轭法。电流值须满足检测灵敏度要求，重点检测承压件本体内、外表面可以实施检测的部位。检测比例为100%。</w:t>
      </w:r>
    </w:p>
    <w:p>
      <w:pPr>
        <w:pStyle w:val="27"/>
        <w:rPr>
          <w:rFonts w:hint="default"/>
          <w:lang w:val="en-US" w:eastAsia="zh-CN"/>
        </w:rPr>
      </w:pPr>
      <w:r>
        <w:rPr>
          <w:rFonts w:hint="default"/>
          <w:lang w:val="en-US" w:eastAsia="zh-CN"/>
        </w:rPr>
        <w:t>c)</w:t>
      </w:r>
      <w:r>
        <w:rPr>
          <w:rFonts w:hint="eastAsia"/>
          <w:lang w:val="en-US" w:eastAsia="zh-CN"/>
        </w:rPr>
        <w:t xml:space="preserve"> </w:t>
      </w:r>
      <w:r>
        <w:rPr>
          <w:rFonts w:hint="default"/>
          <w:lang w:val="en-US" w:eastAsia="zh-CN"/>
        </w:rPr>
        <w:t>纵向磁化：优选线圈法，不具备实施线圈法时可选用磁轭法。</w:t>
      </w:r>
    </w:p>
    <w:p>
      <w:pPr>
        <w:pStyle w:val="27"/>
        <w:rPr>
          <w:rFonts w:hint="default"/>
          <w:lang w:val="en-US" w:eastAsia="zh-CN"/>
        </w:rPr>
      </w:pPr>
      <w:r>
        <w:rPr>
          <w:rFonts w:hint="default"/>
          <w:lang w:val="en-US" w:eastAsia="zh-CN"/>
        </w:rPr>
        <w:t>d)</w:t>
      </w:r>
      <w:r>
        <w:rPr>
          <w:rFonts w:hint="eastAsia"/>
          <w:lang w:val="en-US" w:eastAsia="zh-CN"/>
        </w:rPr>
        <w:t xml:space="preserve"> </w:t>
      </w:r>
      <w:r>
        <w:rPr>
          <w:rFonts w:hint="default"/>
          <w:lang w:val="en-US" w:eastAsia="zh-CN"/>
        </w:rPr>
        <w:t>磁悬液：优先采用荧光湿法，对于不具备荧光湿法检测条件的施工现场，经过用户同意，可采用黑色磁粉湿法。</w:t>
      </w:r>
    </w:p>
    <w:p>
      <w:pPr>
        <w:pStyle w:val="27"/>
        <w:rPr>
          <w:rFonts w:hint="default"/>
          <w:lang w:val="en-US" w:eastAsia="zh-CN"/>
        </w:rPr>
      </w:pPr>
      <w:r>
        <w:rPr>
          <w:rFonts w:hint="default"/>
          <w:lang w:val="en-US" w:eastAsia="zh-CN"/>
        </w:rPr>
        <w:t>e)</w:t>
      </w:r>
      <w:r>
        <w:rPr>
          <w:rFonts w:hint="eastAsia"/>
          <w:lang w:val="en-US" w:eastAsia="zh-CN"/>
        </w:rPr>
        <w:t xml:space="preserve"> </w:t>
      </w:r>
      <w:r>
        <w:rPr>
          <w:rFonts w:hint="default"/>
          <w:lang w:val="en-US" w:eastAsia="zh-CN"/>
        </w:rPr>
        <w:t>电流类型：选用交流电。</w:t>
      </w:r>
    </w:p>
    <w:p>
      <w:pPr>
        <w:pStyle w:val="27"/>
        <w:rPr>
          <w:rFonts w:hint="default"/>
          <w:lang w:val="en-US" w:eastAsia="zh-CN"/>
        </w:rPr>
      </w:pPr>
      <w:r>
        <w:rPr>
          <w:rFonts w:hint="eastAsia"/>
          <w:lang w:val="en-US" w:eastAsia="zh-CN"/>
        </w:rPr>
        <w:t>f</w:t>
      </w:r>
      <w:r>
        <w:rPr>
          <w:rFonts w:hint="default"/>
          <w:lang w:val="en-US" w:eastAsia="zh-CN"/>
        </w:rPr>
        <w:t>)</w:t>
      </w:r>
      <w:r>
        <w:rPr>
          <w:rFonts w:hint="eastAsia"/>
          <w:lang w:val="en-US" w:eastAsia="zh-CN"/>
        </w:rPr>
        <w:t xml:space="preserve"> </w:t>
      </w:r>
      <w:r>
        <w:rPr>
          <w:rFonts w:hint="default"/>
          <w:lang w:val="en-US" w:eastAsia="zh-CN"/>
        </w:rPr>
        <w:t>电流值：交流磁化电流值选有效值，依据NB/T 47013.4给定的磁化规范公式计算。并用A1-30/100试片验证。</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rPr>
      </w:pPr>
      <w:r>
        <w:rPr>
          <w:rFonts w:hint="default" w:ascii="Times New Roman" w:hAnsi="Times New Roman" w:eastAsia="宋体" w:cs="Times New Roman"/>
        </w:rPr>
        <w:t>检测部位</w:t>
      </w:r>
    </w:p>
    <w:p>
      <w:pPr>
        <w:pStyle w:val="27"/>
        <w:rPr>
          <w:rFonts w:hint="default"/>
        </w:rPr>
      </w:pPr>
      <w:r>
        <w:rPr>
          <w:rFonts w:hint="eastAsia"/>
          <w:lang w:val="en-US" w:eastAsia="zh-CN"/>
        </w:rPr>
        <w:t>a</w:t>
      </w:r>
      <w:r>
        <w:rPr>
          <w:rFonts w:hint="default"/>
          <w:lang w:val="en-US" w:eastAsia="zh-CN"/>
        </w:rPr>
        <w:t>)</w:t>
      </w:r>
      <w:r>
        <w:rPr>
          <w:rFonts w:hint="eastAsia"/>
          <w:lang w:val="en-US" w:eastAsia="zh-CN"/>
        </w:rPr>
        <w:t xml:space="preserve"> </w:t>
      </w:r>
      <w:r>
        <w:rPr>
          <w:rFonts w:hint="default"/>
        </w:rPr>
        <w:t>磁粉检测重点部位为公母由壬接头处及台肩结构变化处等应力易集中的部位，如图 1所示。</w:t>
      </w:r>
    </w:p>
    <w:p>
      <w:pPr>
        <w:pStyle w:val="27"/>
        <w:jc w:val="center"/>
        <w:rPr>
          <w:rFonts w:hint="default"/>
        </w:rPr>
      </w:pPr>
      <w:r>
        <w:rPr>
          <w:rFonts w:eastAsia="黑体"/>
          <w:szCs w:val="21"/>
        </w:rPr>
        <w:drawing>
          <wp:inline distT="0" distB="0" distL="0" distR="0">
            <wp:extent cx="2908935" cy="1537335"/>
            <wp:effectExtent l="0" t="0" r="1905" b="1905"/>
            <wp:docPr id="5017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6" name="图片 4"/>
                    <pic:cNvPicPr>
                      <a:picLocks noChangeAspect="1" noChangeArrowheads="1"/>
                    </pic:cNvPicPr>
                  </pic:nvPicPr>
                  <pic:blipFill>
                    <a:blip r:embed="rId8" cstate="print">
                      <a:grayscl/>
                    </a:blip>
                    <a:srcRect/>
                    <a:stretch>
                      <a:fillRect/>
                    </a:stretch>
                  </pic:blipFill>
                  <pic:spPr>
                    <a:xfrm>
                      <a:off x="0" y="0"/>
                      <a:ext cx="2908935" cy="1537335"/>
                    </a:xfrm>
                    <a:prstGeom prst="rect">
                      <a:avLst/>
                    </a:prstGeom>
                    <a:noFill/>
                    <a:ln w="1">
                      <a:noFill/>
                      <a:miter lim="800000"/>
                      <a:headEnd/>
                      <a:tailEnd/>
                    </a:ln>
                  </pic:spPr>
                </pic:pic>
              </a:graphicData>
            </a:graphic>
          </wp:inline>
        </w:drawing>
      </w:r>
    </w:p>
    <w:p>
      <w:pPr>
        <w:pStyle w:val="131"/>
        <w:bidi w:val="0"/>
        <w:rPr>
          <w:rFonts w:hint="default"/>
        </w:rPr>
      </w:pPr>
      <w:r>
        <w:t>刚性直管磁粉检测区域</w:t>
      </w:r>
    </w:p>
    <w:p>
      <w:pPr>
        <w:pStyle w:val="27"/>
        <w:rPr>
          <w:rFonts w:hint="default"/>
        </w:rPr>
      </w:pPr>
      <w:r>
        <w:rPr>
          <w:rFonts w:hint="default"/>
        </w:rPr>
        <w:t>b)</w:t>
      </w:r>
      <w:r>
        <w:rPr>
          <w:rFonts w:hint="eastAsia"/>
          <w:lang w:val="en-US" w:eastAsia="zh-CN"/>
        </w:rPr>
        <w:t xml:space="preserve"> </w:t>
      </w:r>
      <w:r>
        <w:rPr>
          <w:rFonts w:hint="default"/>
        </w:rPr>
        <w:t>周向磁化重点检测承压件本体内、外表面可以实施检测的部位。</w:t>
      </w:r>
    </w:p>
    <w:p>
      <w:pPr>
        <w:pStyle w:val="27"/>
        <w:rPr>
          <w:rFonts w:hint="default"/>
        </w:rPr>
      </w:pPr>
      <w:r>
        <w:rPr>
          <w:rFonts w:hint="default"/>
        </w:rPr>
        <w:t>c)</w:t>
      </w:r>
      <w:r>
        <w:rPr>
          <w:rFonts w:hint="eastAsia"/>
          <w:lang w:val="en-US" w:eastAsia="zh-CN"/>
        </w:rPr>
        <w:t xml:space="preserve"> </w:t>
      </w:r>
      <w:r>
        <w:rPr>
          <w:rFonts w:hint="default"/>
        </w:rPr>
        <w:t>纵向磁化重点检测对接焊缝、连接由壬、铰接部位、连接丝扣、螺纹及其他根据以往经验判断易产生裂纹处。</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照明</w:t>
      </w:r>
    </w:p>
    <w:p>
      <w:pPr>
        <w:pStyle w:val="27"/>
        <w:rPr>
          <w:rFonts w:hint="default"/>
        </w:rPr>
      </w:pPr>
      <w:r>
        <w:rPr>
          <w:rFonts w:hint="default"/>
        </w:rPr>
        <w:t>目视检测和可见光磁粉检测表面的照明应满足6.8.2的要求。荧光磁粉检测表面的照明应满足6.1.8.3的要求。</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表面准备</w:t>
      </w:r>
    </w:p>
    <w:p>
      <w:pPr>
        <w:pStyle w:val="27"/>
        <w:rPr>
          <w:rFonts w:hint="default"/>
        </w:rPr>
      </w:pPr>
      <w:r>
        <w:rPr>
          <w:rFonts w:hint="default"/>
        </w:rPr>
        <w:t>待检表面应进行清理，清除所有的油脂、污垢及其他干扰磁粉流动性和缺陷显示的异物。如果使用白色背景和黑色磁粉检测，表面涂层（油漆等）包括白色背景涂层应光滑，且厚度不大于0.05mm。</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rPr>
      </w:pPr>
      <w:r>
        <w:rPr>
          <w:rFonts w:hint="default" w:ascii="Times New Roman" w:hAnsi="Times New Roman" w:eastAsia="宋体" w:cs="Times New Roman"/>
        </w:rPr>
        <w:t>荧光法</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概述</w:t>
      </w:r>
    </w:p>
    <w:p>
      <w:pPr>
        <w:pStyle w:val="27"/>
        <w:rPr>
          <w:rFonts w:hint="default"/>
        </w:rPr>
      </w:pPr>
      <w:r>
        <w:rPr>
          <w:rFonts w:hint="default"/>
        </w:rPr>
        <w:t>使用纵向和横向/圆周磁场对待检测区域进行检测。检测在暗区（最大可见光强度21.5 lx）内进行。检测开始前，检测人员应在暗区内至少停留1min，以便眼睛适应环境。检测人员不应戴墨镜或变色眼睛。</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磁轭</w:t>
      </w:r>
    </w:p>
    <w:p>
      <w:pPr>
        <w:pStyle w:val="27"/>
        <w:rPr>
          <w:rFonts w:hint="default"/>
        </w:rPr>
      </w:pPr>
      <w:r>
        <w:rPr>
          <w:rFonts w:hint="default"/>
        </w:rPr>
        <w:t>高压管汇件关键区域进入暗区后，在外表面横向放置磁轭。通电激励磁轭，轻轻喷洒磁粉，至少停留3s，以便缺陷显示形成，然后使用紫外线进行检测。如果没有发现缺陷显示，关闭并移动磁轭，并保持检测区域的适当重叠，重复上述步骤。继续移动磁轭进行检测，直至完成整个关键区域外表面纵向缺陷的检测。按照上述同样的程序，纵向放置磁轭检测整个区域的缺陷。轻轻喷洒磁粉，至少停留3s，以便缺陷显示形成，然后使用紫外线进行检测。继续移动磁轭进行检测，直至完成整个关键区域外表面横向缺陷的检测。检测完成后，清除高压管汇件表面的磁粉和其他材料。</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线圈</w:t>
      </w:r>
    </w:p>
    <w:p>
      <w:pPr>
        <w:pStyle w:val="27"/>
        <w:rPr>
          <w:rFonts w:hint="default"/>
        </w:rPr>
      </w:pPr>
      <w:r>
        <w:rPr>
          <w:rFonts w:hint="default"/>
        </w:rPr>
        <w:t>高压管汇件关键区域进入暗区后，磁化关键区域并轻轻喷洒磁粉，至少保持3s，以便缺陷显示形成，然后使用紫外线进行检测。旋转高压管汇件，完成整个圆周检测，然后沿着高压管汇件移动线圈，检测连续区域，直到关键区域外表面横向缺陷全部检测完成，移动线圈时至少要有25mm的磁化区域重叠。检测完成后，清除高压管汇件表面的磁粉和其他材料。</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芯棒</w:t>
      </w:r>
    </w:p>
    <w:p>
      <w:pPr>
        <w:pStyle w:val="27"/>
        <w:rPr>
          <w:rFonts w:hint="default"/>
        </w:rPr>
      </w:pPr>
      <w:r>
        <w:rPr>
          <w:rFonts w:hint="default"/>
        </w:rPr>
        <w:t>高压管汇件关键区域进入暗区后，磁化高压管汇件并在关键区域的全长范围内喷洒磁粉，至少保持3s，以便缺陷显示形成，然后使用紫外线检测关键区域内形成的纵向缺陷显示。旋转高压管汇件并检测连续区域，直到关键区域外表面全部检测完成。检测完成后，清除高压管汇件表面的磁粉和其他材料。</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白色背景和黑色磁粉湿法</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概述</w:t>
      </w:r>
    </w:p>
    <w:p>
      <w:pPr>
        <w:pStyle w:val="27"/>
        <w:rPr>
          <w:rFonts w:hint="default"/>
        </w:rPr>
      </w:pPr>
      <w:r>
        <w:rPr>
          <w:rFonts w:hint="default"/>
        </w:rPr>
        <w:t>使用纵向和横向/圆周磁场对待检测区域进行检测。检测应在照明良好的场地（最小可见光强度538 lx）内进行。检测人员不应戴墨镜或变色眼睛。</w:t>
      </w:r>
    </w:p>
    <w:p>
      <w:pPr>
        <w:pStyle w:val="27"/>
        <w:rPr>
          <w:rFonts w:hint="default"/>
        </w:rPr>
      </w:pPr>
      <w:r>
        <w:rPr>
          <w:rFonts w:hint="default"/>
        </w:rPr>
        <w:t>白色反差背景材料应用于整个高压管汇件关键区域外表面。操作过程中应小心，不要损坏背景涂层。</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磁轭</w:t>
      </w:r>
    </w:p>
    <w:p>
      <w:pPr>
        <w:pStyle w:val="27"/>
        <w:rPr>
          <w:rFonts w:hint="default"/>
        </w:rPr>
      </w:pPr>
      <w:r>
        <w:rPr>
          <w:rFonts w:hint="default"/>
        </w:rPr>
        <w:t>将高压管汇件放置在照明良好的场地内。通电激励磁轭，轻轻喷洒磁粉，至少停留3s，以便缺陷显示形成，然后目视检测。如果没有发现缺陷显示，关闭并移动磁轭，并保持检测区域的适当重叠，重复上述步骤。继续移动磁轭进行检测，直至完成整个关键区域外表面纵向缺陷的检测。按照上述同样的程序，纵向放置磁轭检测整个区域的缺陷。轻轻喷洒磁粉，至少停留3s，以便缺陷显示形成，然后目视检测。继续移动磁轭进行检测，直至完成整个关键区域外表面横向缺陷的检测。检测完成后，按照用户的要求，清除高压管汇件表面的磁粉、白色背景材料和其他材料。</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超声检测</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表面准备</w:t>
      </w:r>
    </w:p>
    <w:p>
      <w:pPr>
        <w:pStyle w:val="27"/>
        <w:rPr>
          <w:rFonts w:hint="default"/>
        </w:rPr>
      </w:pPr>
      <w:r>
        <w:rPr>
          <w:rFonts w:hint="default"/>
        </w:rPr>
        <w:t>待检高压管汇元件表面应进行清理，清除疏松铁锈、污垢、油脂或其他干扰检测灵敏度或读数的异物。</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校准</w:t>
      </w:r>
    </w:p>
    <w:p>
      <w:pPr>
        <w:pStyle w:val="27"/>
        <w:rPr>
          <w:rFonts w:hint="default"/>
        </w:rPr>
      </w:pPr>
      <w:r>
        <w:rPr>
          <w:rFonts w:hint="default"/>
        </w:rPr>
        <w:t>与增益(分贝)控制相关显示屏的线性应至少每6个月校准一次。</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校验</w:t>
      </w:r>
    </w:p>
    <w:p>
      <w:pPr>
        <w:pStyle w:val="27"/>
        <w:rPr>
          <w:rFonts w:hint="default"/>
        </w:rPr>
      </w:pPr>
      <w:r>
        <w:rPr>
          <w:rFonts w:hint="default"/>
        </w:rPr>
        <w:t>对比试样应有足够的长度以满足定期动态校验要求，并应与待检高压管汇元件具有同样的公称外径、公称壁厚和声学特性。对比试样的内、外表面都应有横向和纵向刻槽。用于校验的人工缺陷应符合下列要求：</w:t>
      </w:r>
    </w:p>
    <w:p>
      <w:pPr>
        <w:pStyle w:val="27"/>
        <w:rPr>
          <w:rFonts w:hint="default"/>
        </w:rPr>
      </w:pPr>
      <w:r>
        <w:rPr>
          <w:rFonts w:hint="default"/>
        </w:rPr>
        <w:t>a)</w:t>
      </w:r>
      <w:r>
        <w:rPr>
          <w:rFonts w:hint="eastAsia"/>
          <w:lang w:val="en-US" w:eastAsia="zh-CN"/>
        </w:rPr>
        <w:t xml:space="preserve"> </w:t>
      </w:r>
      <w:r>
        <w:rPr>
          <w:rFonts w:hint="default"/>
        </w:rPr>
        <w:t>最大长度：12.7 mm(0.5in)；</w:t>
      </w:r>
    </w:p>
    <w:p>
      <w:pPr>
        <w:pStyle w:val="27"/>
        <w:rPr>
          <w:rFonts w:hint="default"/>
        </w:rPr>
      </w:pPr>
      <w:r>
        <w:rPr>
          <w:rFonts w:hint="default"/>
        </w:rPr>
        <w:t>b)</w:t>
      </w:r>
      <w:r>
        <w:rPr>
          <w:rFonts w:hint="eastAsia"/>
          <w:lang w:val="en-US" w:eastAsia="zh-CN"/>
        </w:rPr>
        <w:t xml:space="preserve"> </w:t>
      </w:r>
      <w:r>
        <w:rPr>
          <w:rFonts w:hint="default"/>
        </w:rPr>
        <w:t>最大深度：公称壁厚的5%；</w:t>
      </w:r>
    </w:p>
    <w:p>
      <w:pPr>
        <w:pStyle w:val="27"/>
        <w:rPr>
          <w:rFonts w:hint="default"/>
        </w:rPr>
      </w:pPr>
      <w:r>
        <w:rPr>
          <w:rFonts w:hint="default"/>
        </w:rPr>
        <w:t>c)</w:t>
      </w:r>
      <w:r>
        <w:rPr>
          <w:rFonts w:hint="eastAsia"/>
          <w:lang w:val="en-US" w:eastAsia="zh-CN"/>
        </w:rPr>
        <w:t xml:space="preserve"> </w:t>
      </w:r>
      <w:r>
        <w:rPr>
          <w:rFonts w:hint="default"/>
        </w:rPr>
        <w:t>最大宽度：1.0 mm(0.040in)。</w:t>
      </w:r>
    </w:p>
    <w:p>
      <w:pPr>
        <w:pStyle w:val="27"/>
        <w:rPr>
          <w:rFonts w:hint="default"/>
        </w:rPr>
      </w:pPr>
      <w:r>
        <w:rPr>
          <w:rFonts w:hint="default"/>
        </w:rPr>
        <w:t>人工缺陷对于回波幅度的影响，应通过比较缺陷两边的反射回波幅度进行验证。人工缺陷一侧的回波幅度应至少达到另一侧的79%。为了加强对疲劳裂纹检测，</w:t>
      </w:r>
      <w:r>
        <w:rPr>
          <w:rFonts w:hint="eastAsia"/>
          <w:lang w:eastAsia="zh-CN"/>
        </w:rPr>
        <w:t>本文件</w:t>
      </w:r>
      <w:r>
        <w:rPr>
          <w:rFonts w:hint="default"/>
        </w:rPr>
        <w:t>规定深度为壁厚5%的刻槽用于在役高压管汇的检测。刻槽应间隔开，以保证每个刻槽的显示清晰可见，并且不受其他刻槽或端部的影响。</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静态校验</w:t>
      </w:r>
    </w:p>
    <w:p>
      <w:pPr>
        <w:pStyle w:val="27"/>
        <w:rPr>
          <w:rFonts w:hint="default"/>
        </w:rPr>
      </w:pPr>
      <w:r>
        <w:rPr>
          <w:rFonts w:hint="default"/>
        </w:rPr>
        <w:t>A扫描显示范围应调整到至少1.5倍跨距。同一方向上所有探头的人工缺陷回波幅度都应在平均信号幅度的10%以内。应按照检验机构的标准作业程序设定门限(阈)值，该门限(阈)值不应大于对比试块信号值。应设置内、外表面闸门，使来自内、外表面的回波能够进入闸门。调整设备的增益和门限(阈)值，确保最低的信噪比(S/N)为3∶1。</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动态校验</w:t>
      </w:r>
    </w:p>
    <w:p>
      <w:pPr>
        <w:pStyle w:val="27"/>
        <w:rPr>
          <w:rFonts w:hint="default"/>
        </w:rPr>
      </w:pPr>
      <w:r>
        <w:rPr>
          <w:rFonts w:hint="default"/>
        </w:rPr>
        <w:t>应进行动态校验，以确保连续两次检测对比试样结果的可重复性。如果一次扫查的缺陷回波幅度小于另一次扫查的缺陷回波幅度的79%(2dB)，则该系统应重新调试和动态校验，每一次校验都应进行记录。</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校验检查</w:t>
      </w:r>
    </w:p>
    <w:p>
      <w:pPr>
        <w:pStyle w:val="27"/>
        <w:rPr>
          <w:rFonts w:hint="default"/>
        </w:rPr>
      </w:pPr>
      <w:r>
        <w:rPr>
          <w:rFonts w:hint="default"/>
        </w:rPr>
        <w:t>每次检测工作开始时应进行超声检测设备校验。如下情况应进行重新校验：</w:t>
      </w:r>
    </w:p>
    <w:p>
      <w:pPr>
        <w:pStyle w:val="27"/>
        <w:rPr>
          <w:rFonts w:hint="default"/>
        </w:rPr>
      </w:pPr>
      <w:r>
        <w:rPr>
          <w:rFonts w:hint="eastAsia"/>
          <w:lang w:val="en-US" w:eastAsia="zh-CN"/>
        </w:rPr>
        <w:t>a</w:t>
      </w:r>
      <w:r>
        <w:rPr>
          <w:rFonts w:hint="default"/>
        </w:rPr>
        <w:t>)</w:t>
      </w:r>
      <w:r>
        <w:rPr>
          <w:rFonts w:hint="eastAsia"/>
          <w:lang w:val="en-US" w:eastAsia="zh-CN"/>
        </w:rPr>
        <w:t xml:space="preserve"> </w:t>
      </w:r>
      <w:r>
        <w:rPr>
          <w:rFonts w:hint="default"/>
        </w:rPr>
        <w:t>每次换班检测开始时；</w:t>
      </w:r>
    </w:p>
    <w:p>
      <w:pPr>
        <w:pStyle w:val="27"/>
        <w:rPr>
          <w:rFonts w:hint="default"/>
        </w:rPr>
      </w:pPr>
      <w:r>
        <w:rPr>
          <w:rFonts w:hint="eastAsia"/>
          <w:lang w:val="en-US" w:eastAsia="zh-CN"/>
        </w:rPr>
        <w:t>b</w:t>
      </w:r>
      <w:r>
        <w:rPr>
          <w:rFonts w:hint="default"/>
        </w:rPr>
        <w:t>)</w:t>
      </w:r>
      <w:r>
        <w:rPr>
          <w:rFonts w:hint="eastAsia"/>
          <w:lang w:val="en-US" w:eastAsia="zh-CN"/>
        </w:rPr>
        <w:t xml:space="preserve"> </w:t>
      </w:r>
      <w:r>
        <w:rPr>
          <w:rFonts w:hint="default"/>
        </w:rPr>
        <w:t>连续作业4h或每检查50件应至少校验一次，以先达到为准；</w:t>
      </w:r>
    </w:p>
    <w:p>
      <w:pPr>
        <w:pStyle w:val="27"/>
        <w:rPr>
          <w:rFonts w:hint="default"/>
        </w:rPr>
      </w:pPr>
      <w:r>
        <w:rPr>
          <w:rFonts w:hint="eastAsia"/>
          <w:lang w:val="en-US" w:eastAsia="zh-CN"/>
        </w:rPr>
        <w:t>c</w:t>
      </w:r>
      <w:r>
        <w:rPr>
          <w:rFonts w:hint="default"/>
        </w:rPr>
        <w:t>)</w:t>
      </w:r>
      <w:r>
        <w:rPr>
          <w:rFonts w:hint="eastAsia"/>
          <w:lang w:val="en-US" w:eastAsia="zh-CN"/>
        </w:rPr>
        <w:t xml:space="preserve"> </w:t>
      </w:r>
      <w:r>
        <w:rPr>
          <w:rFonts w:hint="default"/>
        </w:rPr>
        <w:t>电源中断时；</w:t>
      </w:r>
    </w:p>
    <w:p>
      <w:pPr>
        <w:pStyle w:val="27"/>
        <w:rPr>
          <w:rFonts w:hint="default"/>
        </w:rPr>
      </w:pPr>
      <w:r>
        <w:rPr>
          <w:rFonts w:hint="eastAsia"/>
          <w:lang w:val="en-US" w:eastAsia="zh-CN"/>
        </w:rPr>
        <w:t>d</w:t>
      </w:r>
      <w:r>
        <w:rPr>
          <w:rFonts w:hint="default"/>
        </w:rPr>
        <w:t>)</w:t>
      </w:r>
      <w:r>
        <w:rPr>
          <w:rFonts w:hint="eastAsia"/>
          <w:lang w:val="en-US" w:eastAsia="zh-CN"/>
        </w:rPr>
        <w:t xml:space="preserve"> </w:t>
      </w:r>
      <w:r>
        <w:rPr>
          <w:rFonts w:hint="default"/>
        </w:rPr>
        <w:t>工作期间关闭设备前；</w:t>
      </w:r>
    </w:p>
    <w:p>
      <w:pPr>
        <w:pStyle w:val="27"/>
        <w:rPr>
          <w:rFonts w:hint="default"/>
        </w:rPr>
      </w:pPr>
      <w:r>
        <w:rPr>
          <w:rFonts w:hint="eastAsia"/>
          <w:lang w:val="en-US" w:eastAsia="zh-CN"/>
        </w:rPr>
        <w:t>e</w:t>
      </w:r>
      <w:r>
        <w:rPr>
          <w:rFonts w:hint="default"/>
        </w:rPr>
        <w:t>)</w:t>
      </w:r>
      <w:r>
        <w:rPr>
          <w:rFonts w:hint="eastAsia"/>
          <w:lang w:val="en-US" w:eastAsia="zh-CN"/>
        </w:rPr>
        <w:t xml:space="preserve"> </w:t>
      </w:r>
      <w:r>
        <w:rPr>
          <w:rFonts w:hint="default"/>
        </w:rPr>
        <w:t>修理或更换一个可能会影响系统性能的组件后，恢复运作前；</w:t>
      </w:r>
    </w:p>
    <w:p>
      <w:pPr>
        <w:pStyle w:val="27"/>
        <w:rPr>
          <w:rFonts w:hint="default"/>
        </w:rPr>
      </w:pPr>
      <w:r>
        <w:rPr>
          <w:rFonts w:hint="eastAsia"/>
          <w:lang w:val="en-US" w:eastAsia="zh-CN"/>
        </w:rPr>
        <w:t>f</w:t>
      </w:r>
      <w:r>
        <w:rPr>
          <w:rFonts w:hint="default"/>
        </w:rPr>
        <w:t>)</w:t>
      </w:r>
      <w:r>
        <w:rPr>
          <w:rFonts w:hint="eastAsia"/>
          <w:lang w:val="en-US" w:eastAsia="zh-CN"/>
        </w:rPr>
        <w:t xml:space="preserve"> </w:t>
      </w:r>
      <w:r>
        <w:rPr>
          <w:rFonts w:hint="default"/>
        </w:rPr>
        <w:t>更换探头或电缆，或调整探头时；</w:t>
      </w:r>
    </w:p>
    <w:p>
      <w:pPr>
        <w:pStyle w:val="27"/>
        <w:rPr>
          <w:rFonts w:hint="default"/>
        </w:rPr>
      </w:pPr>
      <w:r>
        <w:rPr>
          <w:rFonts w:hint="eastAsia"/>
          <w:lang w:val="en-US" w:eastAsia="zh-CN"/>
        </w:rPr>
        <w:t>g</w:t>
      </w:r>
      <w:r>
        <w:rPr>
          <w:rFonts w:hint="default"/>
        </w:rPr>
        <w:t>)</w:t>
      </w:r>
      <w:r>
        <w:rPr>
          <w:rFonts w:hint="eastAsia"/>
          <w:lang w:val="en-US" w:eastAsia="zh-CN"/>
        </w:rPr>
        <w:t xml:space="preserve"> </w:t>
      </w:r>
      <w:r>
        <w:rPr>
          <w:rFonts w:hint="default"/>
        </w:rPr>
        <w:t>工作结束，关闭设备之前。</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不合格的校验</w:t>
      </w:r>
    </w:p>
    <w:p>
      <w:pPr>
        <w:pStyle w:val="27"/>
        <w:rPr>
          <w:rFonts w:hint="default"/>
        </w:rPr>
      </w:pPr>
      <w:r>
        <w:rPr>
          <w:rFonts w:hint="default"/>
        </w:rPr>
        <w:t>以下情况构成不合格校验：</w:t>
      </w:r>
    </w:p>
    <w:p>
      <w:pPr>
        <w:pStyle w:val="27"/>
        <w:rPr>
          <w:rFonts w:hint="default"/>
        </w:rPr>
      </w:pPr>
      <w:r>
        <w:rPr>
          <w:rFonts w:hint="default"/>
        </w:rPr>
        <w:t>a)</w:t>
      </w:r>
      <w:r>
        <w:rPr>
          <w:rFonts w:hint="eastAsia"/>
          <w:lang w:val="en-US" w:eastAsia="zh-CN"/>
        </w:rPr>
        <w:t xml:space="preserve"> </w:t>
      </w:r>
      <w:r>
        <w:rPr>
          <w:rFonts w:hint="default"/>
        </w:rPr>
        <w:t>校验检查表明，参考基准水平幅度的变化超过2dB；</w:t>
      </w:r>
    </w:p>
    <w:p>
      <w:pPr>
        <w:pStyle w:val="27"/>
        <w:rPr>
          <w:rFonts w:hint="default"/>
        </w:rPr>
      </w:pPr>
      <w:r>
        <w:rPr>
          <w:rFonts w:hint="default"/>
        </w:rPr>
        <w:t>b)</w:t>
      </w:r>
      <w:r>
        <w:rPr>
          <w:rFonts w:hint="eastAsia"/>
          <w:lang w:val="en-US" w:eastAsia="zh-CN"/>
        </w:rPr>
        <w:t xml:space="preserve"> </w:t>
      </w:r>
      <w:r>
        <w:rPr>
          <w:rFonts w:hint="default"/>
        </w:rPr>
        <w:t>校验检查表明，人工缺陷的扫查读数偏离参考点超过5%。</w:t>
      </w:r>
    </w:p>
    <w:p>
      <w:pPr>
        <w:pStyle w:val="27"/>
        <w:rPr>
          <w:rFonts w:hint="default"/>
        </w:rPr>
      </w:pPr>
      <w:r>
        <w:rPr>
          <w:rFonts w:hint="default"/>
        </w:rPr>
        <w:t>对于校验不合格的设备，应进行调试，校验合格后应对上一次校验后检测的所有试样进行重新检测。</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检测程序</w:t>
      </w:r>
    </w:p>
    <w:p>
      <w:pPr>
        <w:pStyle w:val="27"/>
        <w:rPr>
          <w:rFonts w:hint="default"/>
        </w:rPr>
      </w:pPr>
      <w:r>
        <w:rPr>
          <w:rFonts w:hint="default"/>
        </w:rPr>
        <w:t>a)</w:t>
      </w:r>
      <w:r>
        <w:rPr>
          <w:rFonts w:hint="eastAsia"/>
          <w:lang w:val="en-US" w:eastAsia="zh-CN"/>
        </w:rPr>
        <w:t xml:space="preserve"> </w:t>
      </w:r>
      <w:r>
        <w:rPr>
          <w:rFonts w:hint="default"/>
        </w:rPr>
        <w:t>各种探头的扫查顺序不限定。为了确定缺陷的位置，也可适当提高增益。</w:t>
      </w:r>
    </w:p>
    <w:p>
      <w:pPr>
        <w:pStyle w:val="27"/>
        <w:rPr>
          <w:rFonts w:hint="default"/>
        </w:rPr>
      </w:pPr>
      <w:r>
        <w:rPr>
          <w:rFonts w:hint="default"/>
        </w:rPr>
        <w:t>b)</w:t>
      </w:r>
      <w:r>
        <w:rPr>
          <w:rFonts w:hint="eastAsia"/>
          <w:lang w:val="en-US" w:eastAsia="zh-CN"/>
        </w:rPr>
        <w:t xml:space="preserve"> </w:t>
      </w:r>
      <w:r>
        <w:rPr>
          <w:rFonts w:hint="default"/>
        </w:rPr>
        <w:t>超出参考信号幅度的显示应在外表面进行标识定位。作为定位缺陷的辅助，额外的增益也可用于扫查。</w:t>
      </w:r>
    </w:p>
    <w:p>
      <w:pPr>
        <w:pStyle w:val="27"/>
        <w:rPr>
          <w:rFonts w:hint="default"/>
        </w:rPr>
      </w:pPr>
      <w:r>
        <w:rPr>
          <w:rFonts w:hint="default"/>
        </w:rPr>
        <w:t>c)应做好检测及缺陷读数的记录。检验机构应保留这些文件至少一年。</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评价</w:t>
      </w:r>
    </w:p>
    <w:p>
      <w:pPr>
        <w:pStyle w:val="27"/>
        <w:rPr>
          <w:rFonts w:hint="default"/>
        </w:rPr>
      </w:pPr>
      <w:r>
        <w:rPr>
          <w:rFonts w:hint="default"/>
        </w:rPr>
        <w:t>裂纹是不可接受的，任何可辨别的类似裂纹的显示都应进行评定。超出规定的门限值的显示都应在外表面进行标识。所有检测发现的缺陷显示都应进行记录。检验机构应保留这些文件至少一年。</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部件装配</w:t>
      </w:r>
    </w:p>
    <w:p>
      <w:pPr>
        <w:pStyle w:val="27"/>
        <w:rPr>
          <w:rFonts w:hint="default"/>
        </w:rPr>
      </w:pPr>
      <w:r>
        <w:rPr>
          <w:rFonts w:hint="default"/>
        </w:rPr>
        <w:t>a)</w:t>
      </w:r>
      <w:r>
        <w:rPr>
          <w:rFonts w:hint="eastAsia"/>
          <w:lang w:val="en-US" w:eastAsia="zh-CN"/>
        </w:rPr>
        <w:t xml:space="preserve"> </w:t>
      </w:r>
      <w:r>
        <w:rPr>
          <w:rFonts w:hint="default"/>
        </w:rPr>
        <w:t>对于活动弯头，应装配新的黄油挡圈、O型密封圈、盘根、孔用弹性挡圈、钢球塞、钢球、油堵等。</w:t>
      </w:r>
    </w:p>
    <w:p>
      <w:pPr>
        <w:pStyle w:val="27"/>
        <w:rPr>
          <w:rFonts w:hint="default"/>
        </w:rPr>
      </w:pPr>
      <w:r>
        <w:rPr>
          <w:rFonts w:hint="default"/>
        </w:rPr>
        <w:t>b)</w:t>
      </w:r>
      <w:r>
        <w:rPr>
          <w:rFonts w:hint="eastAsia"/>
          <w:lang w:val="en-US" w:eastAsia="zh-CN"/>
        </w:rPr>
        <w:t xml:space="preserve"> </w:t>
      </w:r>
      <w:r>
        <w:rPr>
          <w:rFonts w:hint="default"/>
        </w:rPr>
        <w:t>对于旋塞阀，应装配新的侧面弧片、密封弧片、弧片密封圈、旋塞、旋塞</w:t>
      </w:r>
      <w:r>
        <w:rPr>
          <w:rFonts w:hint="eastAsia"/>
          <w:lang w:val="en-US" w:eastAsia="zh-CN"/>
        </w:rPr>
        <w:t>O</w:t>
      </w:r>
      <w:r>
        <w:rPr>
          <w:rFonts w:hint="default"/>
        </w:rPr>
        <w:t>形圈、旋塞支撑环、阀盖O形圈、阀盖支承环、黄油嘴总成等。</w:t>
      </w:r>
    </w:p>
    <w:p>
      <w:pPr>
        <w:pStyle w:val="27"/>
        <w:rPr>
          <w:rFonts w:hint="default"/>
        </w:rPr>
      </w:pPr>
      <w:r>
        <w:rPr>
          <w:rFonts w:hint="default"/>
        </w:rPr>
        <w:t>c)</w:t>
      </w:r>
      <w:r>
        <w:rPr>
          <w:rFonts w:hint="eastAsia"/>
          <w:lang w:val="en-US" w:eastAsia="zh-CN"/>
        </w:rPr>
        <w:t xml:space="preserve"> </w:t>
      </w:r>
      <w:r>
        <w:rPr>
          <w:rFonts w:hint="default"/>
        </w:rPr>
        <w:t>对于其他装配体，依据制造厂家的要求进行部件更换。</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静水压试验</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总体要求</w:t>
      </w:r>
    </w:p>
    <w:p>
      <w:pPr>
        <w:pStyle w:val="27"/>
        <w:rPr>
          <w:rFonts w:hint="default"/>
        </w:rPr>
      </w:pPr>
      <w:r>
        <w:rPr>
          <w:rFonts w:hint="default"/>
        </w:rPr>
        <w:t>高压管汇件在检测维修工作完成并形成装配后，必须进行静水压试验。要求：</w:t>
      </w:r>
    </w:p>
    <w:p>
      <w:pPr>
        <w:pStyle w:val="27"/>
        <w:rPr>
          <w:rFonts w:hint="default"/>
        </w:rPr>
      </w:pPr>
      <w:r>
        <w:rPr>
          <w:rFonts w:hint="default"/>
        </w:rPr>
        <w:t>a)</w:t>
      </w:r>
      <w:r>
        <w:rPr>
          <w:rFonts w:hint="eastAsia"/>
          <w:lang w:val="en-US" w:eastAsia="zh-CN"/>
        </w:rPr>
        <w:t xml:space="preserve"> </w:t>
      </w:r>
      <w:r>
        <w:rPr>
          <w:rFonts w:hint="default"/>
        </w:rPr>
        <w:t>试验压力为额定工作压力。</w:t>
      </w:r>
    </w:p>
    <w:p>
      <w:pPr>
        <w:pStyle w:val="27"/>
        <w:rPr>
          <w:rFonts w:hint="default"/>
        </w:rPr>
      </w:pPr>
      <w:r>
        <w:rPr>
          <w:rFonts w:hint="default"/>
        </w:rPr>
        <w:t>b)</w:t>
      </w:r>
      <w:r>
        <w:rPr>
          <w:rFonts w:hint="eastAsia"/>
          <w:lang w:val="en-US" w:eastAsia="zh-CN"/>
        </w:rPr>
        <w:t xml:space="preserve"> </w:t>
      </w:r>
      <w:r>
        <w:rPr>
          <w:rFonts w:hint="default"/>
        </w:rPr>
        <w:t>应使用清水或有添加剂的水作为试验流体。</w:t>
      </w:r>
    </w:p>
    <w:p>
      <w:pPr>
        <w:pStyle w:val="27"/>
        <w:rPr>
          <w:rFonts w:hint="default"/>
        </w:rPr>
      </w:pPr>
      <w:r>
        <w:rPr>
          <w:rFonts w:hint="default"/>
        </w:rPr>
        <w:t>c)</w:t>
      </w:r>
      <w:r>
        <w:rPr>
          <w:rFonts w:hint="eastAsia"/>
          <w:lang w:val="en-US" w:eastAsia="zh-CN"/>
        </w:rPr>
        <w:t xml:space="preserve"> </w:t>
      </w:r>
      <w:r>
        <w:rPr>
          <w:rFonts w:hint="default"/>
        </w:rPr>
        <w:t>可见泄漏应为在压力保持期内观察到的任何测试流体释放。在压力增加或压力泄放期间释放的流体不应视为泄漏。</w:t>
      </w:r>
    </w:p>
    <w:p>
      <w:pPr>
        <w:pStyle w:val="27"/>
        <w:rPr>
          <w:rFonts w:hint="default"/>
        </w:rPr>
      </w:pPr>
      <w:r>
        <w:rPr>
          <w:rFonts w:hint="default"/>
        </w:rPr>
        <w:t>d)</w:t>
      </w:r>
      <w:r>
        <w:rPr>
          <w:rFonts w:hint="eastAsia"/>
          <w:lang w:val="en-US" w:eastAsia="zh-CN"/>
        </w:rPr>
        <w:t xml:space="preserve"> </w:t>
      </w:r>
      <w:r>
        <w:rPr>
          <w:rFonts w:hint="default"/>
        </w:rPr>
        <w:t>当使用视频设备代替直接观察时，分辨率和亮度应足够确定是否发生泄漏。</w:t>
      </w:r>
    </w:p>
    <w:p>
      <w:pPr>
        <w:pStyle w:val="27"/>
        <w:rPr>
          <w:rFonts w:hint="default"/>
        </w:rPr>
      </w:pPr>
      <w:r>
        <w:rPr>
          <w:rFonts w:hint="default"/>
        </w:rPr>
        <w:t>e)</w:t>
      </w:r>
      <w:r>
        <w:rPr>
          <w:rFonts w:hint="eastAsia"/>
          <w:lang w:val="en-US" w:eastAsia="zh-CN"/>
        </w:rPr>
        <w:t xml:space="preserve"> </w:t>
      </w:r>
      <w:r>
        <w:rPr>
          <w:rFonts w:hint="default"/>
        </w:rPr>
        <w:t>在试验对象和压力测量/记录设备与压力源隔离并且高压管汇外表面已经彻底干燥之前，所有保压期都不应开始。</w:t>
      </w:r>
    </w:p>
    <w:p>
      <w:pPr>
        <w:pStyle w:val="27"/>
        <w:rPr>
          <w:rFonts w:hint="default"/>
        </w:rPr>
      </w:pPr>
      <w:r>
        <w:rPr>
          <w:rFonts w:hint="default"/>
        </w:rPr>
        <w:t>f)</w:t>
      </w:r>
      <w:r>
        <w:rPr>
          <w:rFonts w:hint="eastAsia"/>
          <w:lang w:val="en-US" w:eastAsia="zh-CN"/>
        </w:rPr>
        <w:t xml:space="preserve"> </w:t>
      </w:r>
      <w:r>
        <w:rPr>
          <w:rFonts w:hint="default"/>
        </w:rPr>
        <w:t>所有压力测试应在添加填料油脂之前进行，在装配过程中使用的润滑可以接受。</w:t>
      </w:r>
    </w:p>
    <w:p>
      <w:pPr>
        <w:pStyle w:val="27"/>
        <w:rPr>
          <w:rFonts w:hint="default"/>
        </w:rPr>
      </w:pPr>
      <w:r>
        <w:rPr>
          <w:rFonts w:hint="default"/>
        </w:rPr>
        <w:t>g)</w:t>
      </w:r>
      <w:r>
        <w:rPr>
          <w:rFonts w:hint="eastAsia"/>
          <w:lang w:val="en-US" w:eastAsia="zh-CN"/>
        </w:rPr>
        <w:t xml:space="preserve"> </w:t>
      </w:r>
      <w:r>
        <w:rPr>
          <w:rFonts w:hint="default"/>
        </w:rPr>
        <w:t>静水压试验应在喷漆或涂漆前进行。</w:t>
      </w:r>
    </w:p>
    <w:p>
      <w:pPr>
        <w:pStyle w:val="27"/>
        <w:rPr>
          <w:rFonts w:hint="default"/>
        </w:rPr>
      </w:pPr>
      <w:r>
        <w:rPr>
          <w:rFonts w:hint="default"/>
        </w:rPr>
        <w:t>h)</w:t>
      </w:r>
      <w:r>
        <w:rPr>
          <w:rFonts w:hint="eastAsia"/>
          <w:lang w:val="en-US" w:eastAsia="zh-CN"/>
        </w:rPr>
        <w:t xml:space="preserve"> </w:t>
      </w:r>
      <w:r>
        <w:rPr>
          <w:rFonts w:hint="default"/>
        </w:rPr>
        <w:t>试压合格后，出具的检测报告应含试压曲线。</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静水压试验方法</w:t>
      </w:r>
    </w:p>
    <w:p>
      <w:pPr>
        <w:pStyle w:val="27"/>
        <w:rPr>
          <w:rFonts w:hint="default"/>
        </w:rPr>
      </w:pPr>
      <w:r>
        <w:rPr>
          <w:rFonts w:hint="default"/>
        </w:rPr>
        <w:t>静水压试验应包括下列步骤：</w:t>
      </w:r>
    </w:p>
    <w:p>
      <w:pPr>
        <w:pStyle w:val="27"/>
        <w:rPr>
          <w:rFonts w:hint="default"/>
        </w:rPr>
      </w:pPr>
      <w:r>
        <w:rPr>
          <w:rFonts w:hint="default"/>
        </w:rPr>
        <w:t>a)</w:t>
      </w:r>
      <w:r>
        <w:rPr>
          <w:rFonts w:hint="eastAsia"/>
          <w:lang w:val="en-US" w:eastAsia="zh-CN"/>
        </w:rPr>
        <w:t xml:space="preserve"> </w:t>
      </w:r>
      <w:r>
        <w:rPr>
          <w:rFonts w:hint="default"/>
        </w:rPr>
        <w:t>升压前须排尽系统中的空气。</w:t>
      </w:r>
    </w:p>
    <w:p>
      <w:pPr>
        <w:pStyle w:val="27"/>
        <w:rPr>
          <w:rFonts w:hint="default"/>
        </w:rPr>
      </w:pPr>
      <w:r>
        <w:rPr>
          <w:rFonts w:hint="default"/>
        </w:rPr>
        <w:t>b)</w:t>
      </w:r>
      <w:r>
        <w:rPr>
          <w:rFonts w:hint="eastAsia"/>
          <w:lang w:val="en-US" w:eastAsia="zh-CN"/>
        </w:rPr>
        <w:t xml:space="preserve"> </w:t>
      </w:r>
      <w:r>
        <w:rPr>
          <w:rFonts w:hint="default"/>
        </w:rPr>
        <w:t>初次保压时间不少于3min。</w:t>
      </w:r>
    </w:p>
    <w:p>
      <w:pPr>
        <w:pStyle w:val="27"/>
        <w:rPr>
          <w:rFonts w:hint="default"/>
        </w:rPr>
      </w:pPr>
      <w:r>
        <w:rPr>
          <w:rFonts w:hint="default"/>
        </w:rPr>
        <w:t>c)</w:t>
      </w:r>
      <w:r>
        <w:rPr>
          <w:rFonts w:hint="eastAsia"/>
          <w:lang w:val="en-US" w:eastAsia="zh-CN"/>
        </w:rPr>
        <w:t xml:space="preserve"> </w:t>
      </w:r>
      <w:r>
        <w:rPr>
          <w:rFonts w:hint="default"/>
        </w:rPr>
        <w:t>将压力减少到零。</w:t>
      </w:r>
    </w:p>
    <w:p>
      <w:pPr>
        <w:pStyle w:val="27"/>
        <w:rPr>
          <w:rFonts w:hint="default"/>
        </w:rPr>
      </w:pPr>
      <w:r>
        <w:rPr>
          <w:rFonts w:hint="default"/>
        </w:rPr>
        <w:t>d)</w:t>
      </w:r>
      <w:r>
        <w:rPr>
          <w:rFonts w:hint="eastAsia"/>
          <w:lang w:val="en-US" w:eastAsia="zh-CN"/>
        </w:rPr>
        <w:t xml:space="preserve"> </w:t>
      </w:r>
      <w:r>
        <w:rPr>
          <w:rFonts w:hint="default"/>
        </w:rPr>
        <w:t>第二次保压达到试验压力后，稳压10~15min。</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验收准则</w:t>
      </w:r>
    </w:p>
    <w:p>
      <w:pPr>
        <w:pStyle w:val="27"/>
        <w:rPr>
          <w:rFonts w:hint="default"/>
        </w:rPr>
      </w:pPr>
      <w:r>
        <w:rPr>
          <w:rFonts w:hint="default"/>
        </w:rPr>
        <w:t>如果保压期间没有可见泄漏，则试验结果可以接受。并观察压力变化值≤试验压力的5%或3.4MPa（取较小值）为合格。整个保压期间的压降应维持在5%试验压力或3.45MPa以内，以较小者为准。</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声发射试验</w:t>
      </w:r>
    </w:p>
    <w:p>
      <w:pPr>
        <w:pStyle w:val="27"/>
        <w:rPr>
          <w:rFonts w:hint="default"/>
        </w:rPr>
      </w:pPr>
      <w:r>
        <w:rPr>
          <w:rFonts w:hint="default"/>
        </w:rPr>
        <w:t>声发射检测应远离噪声源，其检测流程如下：</w:t>
      </w:r>
    </w:p>
    <w:p>
      <w:pPr>
        <w:pStyle w:val="27"/>
        <w:rPr>
          <w:rFonts w:hint="default"/>
        </w:rPr>
      </w:pPr>
      <w:r>
        <w:rPr>
          <w:rFonts w:hint="default"/>
        </w:rPr>
        <w:t>a)</w:t>
      </w:r>
      <w:r>
        <w:rPr>
          <w:rFonts w:hint="eastAsia"/>
          <w:lang w:val="en-US" w:eastAsia="zh-CN"/>
        </w:rPr>
        <w:t xml:space="preserve"> </w:t>
      </w:r>
      <w:r>
        <w:rPr>
          <w:rFonts w:hint="default"/>
        </w:rPr>
        <w:t>模拟源。用模拟源来测试检测灵敏度和校准定位。采用φ0.3，硬度为HB的铅笔芯折断信号作为模拟源。铅芯伸出长度约为2.5mm，与高压管汇件表面夹角为30°左右，离传感器中心(100±5)mm处折断。其响应幅度值应取三次以上响应平均值。</w:t>
      </w:r>
    </w:p>
    <w:p>
      <w:pPr>
        <w:pStyle w:val="27"/>
        <w:rPr>
          <w:rFonts w:hint="default"/>
        </w:rPr>
      </w:pPr>
      <w:r>
        <w:rPr>
          <w:rFonts w:hint="default"/>
        </w:rPr>
        <w:t>b)</w:t>
      </w:r>
      <w:r>
        <w:rPr>
          <w:rFonts w:hint="eastAsia"/>
          <w:lang w:val="en-US" w:eastAsia="zh-CN"/>
        </w:rPr>
        <w:t xml:space="preserve"> </w:t>
      </w:r>
      <w:r>
        <w:rPr>
          <w:rFonts w:hint="default"/>
        </w:rPr>
        <w:t>通道灵敏度测试。在开始之前和结束之后应对通道灵敏度进行测试。对每一个通道进行模拟源声发射幅度值响应测试，每个通道响应的幅度值与所有通道的平均幅度值之差应不大于±4dB。</w:t>
      </w:r>
    </w:p>
    <w:p>
      <w:pPr>
        <w:pStyle w:val="27"/>
        <w:rPr>
          <w:rFonts w:hint="default"/>
        </w:rPr>
      </w:pPr>
      <w:r>
        <w:rPr>
          <w:rFonts w:hint="default"/>
        </w:rPr>
        <w:t>c)</w:t>
      </w:r>
      <w:r>
        <w:rPr>
          <w:rFonts w:hint="eastAsia"/>
          <w:lang w:val="en-US" w:eastAsia="zh-CN"/>
        </w:rPr>
        <w:t xml:space="preserve"> </w:t>
      </w:r>
      <w:r>
        <w:rPr>
          <w:rFonts w:hint="default"/>
        </w:rPr>
        <w:t>设置时间参数。用断铅实验来测定实际的峰值鉴别时间（PDT）、撞击鉴别时间（HDT）、撞击闭锁时间。</w:t>
      </w:r>
    </w:p>
    <w:p>
      <w:pPr>
        <w:pStyle w:val="27"/>
        <w:rPr>
          <w:rFonts w:hint="default"/>
        </w:rPr>
      </w:pPr>
      <w:r>
        <w:rPr>
          <w:rFonts w:hint="default"/>
        </w:rPr>
        <w:t>d)</w:t>
      </w:r>
      <w:r>
        <w:rPr>
          <w:rFonts w:hint="eastAsia"/>
          <w:lang w:val="en-US" w:eastAsia="zh-CN"/>
        </w:rPr>
        <w:t xml:space="preserve"> </w:t>
      </w:r>
      <w:r>
        <w:rPr>
          <w:rFonts w:hint="default"/>
        </w:rPr>
        <w:t>确定门槛值。用逐步提高门槛值的方法来确定实际测量中的门槛值。</w:t>
      </w:r>
    </w:p>
    <w:p>
      <w:pPr>
        <w:pStyle w:val="27"/>
        <w:rPr>
          <w:rFonts w:hint="default"/>
        </w:rPr>
      </w:pPr>
      <w:r>
        <w:rPr>
          <w:rFonts w:hint="default"/>
        </w:rPr>
        <w:t>e)</w:t>
      </w:r>
      <w:r>
        <w:rPr>
          <w:rFonts w:hint="eastAsia"/>
          <w:lang w:val="en-US" w:eastAsia="zh-CN"/>
        </w:rPr>
        <w:t xml:space="preserve"> </w:t>
      </w:r>
      <w:r>
        <w:rPr>
          <w:rFonts w:hint="default"/>
        </w:rPr>
        <w:t>按照确定的传感器阵列在被检件上确定传感器安装的具体位置。整体检测时，传感器的安装部位尽量远离人孔、接管、法兰、支座、支柱、垫板和焊缝部位；局部检测时，被检测部位应尽量位于传感器阵列中间。传感器安装部位应进行表面处理，使其表面平整并露出金属光泽，安装时，应涂上耦合剂。</w:t>
      </w:r>
    </w:p>
    <w:p>
      <w:pPr>
        <w:pStyle w:val="27"/>
        <w:rPr>
          <w:rFonts w:hint="default"/>
        </w:rPr>
      </w:pPr>
      <w:r>
        <w:rPr>
          <w:rFonts w:hint="default"/>
        </w:rPr>
        <w:t>f)</w:t>
      </w:r>
      <w:r>
        <w:rPr>
          <w:rFonts w:hint="eastAsia"/>
          <w:lang w:val="en-US" w:eastAsia="zh-CN"/>
        </w:rPr>
        <w:t xml:space="preserve"> </w:t>
      </w:r>
      <w:r>
        <w:rPr>
          <w:rFonts w:hint="default"/>
        </w:rPr>
        <w:t>高压管汇密封试验。保压时间一般应不小于10 min。</w:t>
      </w:r>
    </w:p>
    <w:p>
      <w:pPr>
        <w:pStyle w:val="27"/>
        <w:rPr>
          <w:rFonts w:hint="default"/>
        </w:rPr>
      </w:pPr>
      <w:r>
        <w:rPr>
          <w:rFonts w:hint="default"/>
        </w:rPr>
        <w:t>g)</w:t>
      </w:r>
      <w:r>
        <w:rPr>
          <w:rFonts w:hint="eastAsia"/>
          <w:lang w:val="en-US" w:eastAsia="zh-CN"/>
        </w:rPr>
        <w:t xml:space="preserve"> </w:t>
      </w:r>
      <w:r>
        <w:rPr>
          <w:rFonts w:hint="default"/>
        </w:rPr>
        <w:t>声发射试验应贯穿于整个静水压试验过程中。检测程序和结果判定参照GB/T 18182或 NB/T 47013.9的规定进行。</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硬度检测</w:t>
      </w:r>
    </w:p>
    <w:p>
      <w:pPr>
        <w:pStyle w:val="27"/>
        <w:rPr>
          <w:rFonts w:hint="default"/>
        </w:rPr>
      </w:pPr>
      <w:r>
        <w:rPr>
          <w:rFonts w:hint="default"/>
        </w:rPr>
        <w:t>a)</w:t>
      </w:r>
      <w:r>
        <w:rPr>
          <w:rFonts w:hint="eastAsia"/>
          <w:lang w:val="en-US" w:eastAsia="zh-CN"/>
        </w:rPr>
        <w:t xml:space="preserve"> </w:t>
      </w:r>
      <w:r>
        <w:rPr>
          <w:rFonts w:hint="default"/>
        </w:rPr>
        <w:t>硬度检测不作强制要求，一般根据用户要求开展硬度检测。</w:t>
      </w:r>
    </w:p>
    <w:p>
      <w:pPr>
        <w:pStyle w:val="27"/>
        <w:rPr>
          <w:rFonts w:hint="default"/>
        </w:rPr>
      </w:pPr>
      <w:r>
        <w:rPr>
          <w:rFonts w:hint="default"/>
        </w:rPr>
        <w:t>b)</w:t>
      </w:r>
      <w:r>
        <w:rPr>
          <w:rFonts w:hint="eastAsia"/>
          <w:lang w:val="en-US" w:eastAsia="zh-CN"/>
        </w:rPr>
        <w:t xml:space="preserve"> </w:t>
      </w:r>
      <w:r>
        <w:rPr>
          <w:rFonts w:hint="default"/>
        </w:rPr>
        <w:t>适当时，硬度检测的方法应符合GB/T 228.1、GB/T 231.1、GB/T 4340.1或GB/T 230.1的规定。</w:t>
      </w:r>
    </w:p>
    <w:p>
      <w:pPr>
        <w:pStyle w:val="27"/>
        <w:rPr>
          <w:rFonts w:hint="default"/>
        </w:rPr>
      </w:pPr>
      <w:r>
        <w:rPr>
          <w:rFonts w:hint="default"/>
        </w:rPr>
        <w:t>c)</w:t>
      </w:r>
      <w:r>
        <w:rPr>
          <w:rFonts w:hint="eastAsia"/>
          <w:lang w:val="en-US" w:eastAsia="zh-CN"/>
        </w:rPr>
        <w:t xml:space="preserve"> </w:t>
      </w:r>
      <w:r>
        <w:rPr>
          <w:rFonts w:hint="default"/>
        </w:rPr>
        <w:t>硬度值应按ISO 18265或ASTM E 140对其相应范围内的材料进行转换。如果还存在其他转换表，使用者可建立ISO 18265或ASTM E 140范围之外的各个材料间的换算关系表。</w:t>
      </w:r>
    </w:p>
    <w:p>
      <w:pPr>
        <w:pStyle w:val="27"/>
        <w:rPr>
          <w:rFonts w:hint="default"/>
        </w:rPr>
      </w:pPr>
      <w:r>
        <w:rPr>
          <w:rFonts w:hint="default"/>
        </w:rPr>
        <w:t>d)</w:t>
      </w:r>
      <w:r>
        <w:rPr>
          <w:rFonts w:hint="eastAsia"/>
          <w:lang w:val="en-US" w:eastAsia="zh-CN"/>
        </w:rPr>
        <w:t xml:space="preserve"> </w:t>
      </w:r>
      <w:r>
        <w:rPr>
          <w:rFonts w:hint="default"/>
        </w:rPr>
        <w:t>硬度试验应按照制造商规范指定的位置进行。重点对易变形、应力集中和晶间腐蚀较重的部位进行硬度检测。</w:t>
      </w:r>
    </w:p>
    <w:p>
      <w:pPr>
        <w:pStyle w:val="27"/>
        <w:rPr>
          <w:rFonts w:hint="default"/>
        </w:rPr>
      </w:pPr>
      <w:r>
        <w:rPr>
          <w:rFonts w:hint="default"/>
        </w:rPr>
        <w:t>e)</w:t>
      </w:r>
      <w:r>
        <w:rPr>
          <w:rFonts w:hint="eastAsia"/>
          <w:lang w:val="en-US" w:eastAsia="zh-CN"/>
        </w:rPr>
        <w:t xml:space="preserve"> </w:t>
      </w:r>
      <w:r>
        <w:rPr>
          <w:rFonts w:hint="default"/>
        </w:rPr>
        <w:t>如果本体、端部和出口连接装置及卡箍毂端有不同的材料标记，则每个零件均应进行试验。</w:t>
      </w:r>
    </w:p>
    <w:p>
      <w:pPr>
        <w:pStyle w:val="27"/>
        <w:rPr>
          <w:rFonts w:hint="default"/>
        </w:rPr>
      </w:pPr>
      <w:r>
        <w:rPr>
          <w:rFonts w:hint="default"/>
        </w:rPr>
        <w:t>f)</w:t>
      </w:r>
      <w:r>
        <w:rPr>
          <w:rFonts w:hint="eastAsia"/>
          <w:lang w:val="en-US" w:eastAsia="zh-CN"/>
        </w:rPr>
        <w:t xml:space="preserve"> </w:t>
      </w:r>
      <w:r>
        <w:rPr>
          <w:rFonts w:hint="default"/>
        </w:rPr>
        <w:t>验收准则按照GB/T 22513中的7.4.2.1.3的要求进行。检测后作图记录，对异常点详细标记位置和硬度值。</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漏磁检测</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表面准备</w:t>
      </w:r>
    </w:p>
    <w:p>
      <w:pPr>
        <w:pStyle w:val="27"/>
        <w:rPr>
          <w:rFonts w:hint="default"/>
        </w:rPr>
      </w:pPr>
      <w:r>
        <w:rPr>
          <w:rFonts w:hint="default"/>
        </w:rPr>
        <w:t>开展管体内表面检测时，应清洗内表面，清除影响漏磁检测设备移动的泥浆和涂层等。</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校验</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探头灵敏度调整</w:t>
      </w:r>
    </w:p>
    <w:p>
      <w:pPr>
        <w:pStyle w:val="27"/>
        <w:rPr>
          <w:rFonts w:hint="default"/>
        </w:rPr>
      </w:pPr>
      <w:r>
        <w:rPr>
          <w:rFonts w:hint="default"/>
        </w:rPr>
        <w:t>应以实际检测速度对对比试样进行检测，使得每个探头产生一个参考信号。调整设备，使每个探头产生的信号幅度等于或大于满量程的25%，明显高于探头的背景噪声。所有探头应调整到同一信号幅值(平均幅值±10%)。不允许满量程显示，因为超过量程的信号幅度不能显示。</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信噪比</w:t>
      </w:r>
    </w:p>
    <w:p>
      <w:pPr>
        <w:pStyle w:val="27"/>
        <w:rPr>
          <w:rFonts w:hint="default"/>
        </w:rPr>
      </w:pPr>
      <w:r>
        <w:rPr>
          <w:rFonts w:hint="default"/>
        </w:rPr>
        <w:t>对于人工缺陷，检测设备产生的最小信噪比(S/N)为3∶1。</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校验频率</w:t>
      </w:r>
    </w:p>
    <w:p>
      <w:pPr>
        <w:pStyle w:val="27"/>
        <w:rPr>
          <w:rFonts w:hint="default"/>
        </w:rPr>
      </w:pPr>
      <w:r>
        <w:rPr>
          <w:rFonts w:hint="default"/>
        </w:rPr>
        <w:t>在每次检测工作开始时，应对漏磁检测设备进行常规校验。如下情况应进行重新校验：</w:t>
      </w:r>
    </w:p>
    <w:p>
      <w:pPr>
        <w:pStyle w:val="27"/>
        <w:rPr>
          <w:rFonts w:hint="default"/>
        </w:rPr>
      </w:pPr>
      <w:r>
        <w:rPr>
          <w:rFonts w:hint="default"/>
        </w:rPr>
        <w:t>a)</w:t>
      </w:r>
      <w:r>
        <w:rPr>
          <w:rFonts w:hint="eastAsia"/>
          <w:lang w:val="en-US" w:eastAsia="zh-CN"/>
        </w:rPr>
        <w:t xml:space="preserve"> </w:t>
      </w:r>
      <w:r>
        <w:rPr>
          <w:rFonts w:hint="default"/>
        </w:rPr>
        <w:t>每次换班检测开始时。</w:t>
      </w:r>
    </w:p>
    <w:p>
      <w:pPr>
        <w:pStyle w:val="27"/>
        <w:rPr>
          <w:rFonts w:hint="default"/>
        </w:rPr>
      </w:pPr>
      <w:r>
        <w:rPr>
          <w:rFonts w:hint="default"/>
        </w:rPr>
        <w:t>b)</w:t>
      </w:r>
      <w:r>
        <w:rPr>
          <w:rFonts w:hint="eastAsia"/>
          <w:lang w:val="en-US" w:eastAsia="zh-CN"/>
        </w:rPr>
        <w:t xml:space="preserve"> </w:t>
      </w:r>
      <w:r>
        <w:rPr>
          <w:rFonts w:hint="default"/>
        </w:rPr>
        <w:t>一次连续操作中检测或测量了50件。</w:t>
      </w:r>
    </w:p>
    <w:p>
      <w:pPr>
        <w:pStyle w:val="27"/>
        <w:rPr>
          <w:rFonts w:hint="default"/>
        </w:rPr>
      </w:pPr>
      <w:r>
        <w:rPr>
          <w:rFonts w:hint="default"/>
        </w:rPr>
        <w:t>c)</w:t>
      </w:r>
      <w:r>
        <w:rPr>
          <w:rFonts w:hint="eastAsia"/>
          <w:lang w:val="en-US" w:eastAsia="zh-CN"/>
        </w:rPr>
        <w:t xml:space="preserve"> </w:t>
      </w:r>
      <w:r>
        <w:rPr>
          <w:rFonts w:hint="default"/>
        </w:rPr>
        <w:t>发生电源中断。</w:t>
      </w:r>
    </w:p>
    <w:p>
      <w:pPr>
        <w:pStyle w:val="27"/>
        <w:rPr>
          <w:rFonts w:hint="default"/>
        </w:rPr>
      </w:pPr>
      <w:r>
        <w:rPr>
          <w:rFonts w:hint="default"/>
        </w:rPr>
        <w:t>d)</w:t>
      </w:r>
      <w:r>
        <w:rPr>
          <w:rFonts w:hint="eastAsia"/>
          <w:lang w:val="en-US" w:eastAsia="zh-CN"/>
        </w:rPr>
        <w:t xml:space="preserve"> </w:t>
      </w:r>
      <w:r>
        <w:rPr>
          <w:rFonts w:hint="default"/>
        </w:rPr>
        <w:t>工作期间关闭设备前。</w:t>
      </w:r>
    </w:p>
    <w:p>
      <w:pPr>
        <w:pStyle w:val="27"/>
        <w:rPr>
          <w:rFonts w:hint="default"/>
        </w:rPr>
      </w:pPr>
      <w:r>
        <w:rPr>
          <w:rFonts w:hint="default"/>
        </w:rPr>
        <w:t>e)</w:t>
      </w:r>
      <w:r>
        <w:rPr>
          <w:rFonts w:hint="eastAsia"/>
          <w:lang w:val="en-US" w:eastAsia="zh-CN"/>
        </w:rPr>
        <w:t xml:space="preserve"> </w:t>
      </w:r>
      <w:r>
        <w:rPr>
          <w:rFonts w:hint="default"/>
        </w:rPr>
        <w:t>修理或更换了一个可能影响系统性能的组件，在恢复运作前。</w:t>
      </w:r>
    </w:p>
    <w:p>
      <w:pPr>
        <w:pStyle w:val="27"/>
        <w:rPr>
          <w:rFonts w:hint="default"/>
        </w:rPr>
      </w:pPr>
      <w:r>
        <w:rPr>
          <w:rFonts w:hint="default"/>
        </w:rPr>
        <w:t>f)</w:t>
      </w:r>
      <w:r>
        <w:rPr>
          <w:rFonts w:hint="eastAsia"/>
          <w:lang w:val="en-US" w:eastAsia="zh-CN"/>
        </w:rPr>
        <w:t xml:space="preserve"> </w:t>
      </w:r>
      <w:r>
        <w:rPr>
          <w:rFonts w:hint="default"/>
        </w:rPr>
        <w:t>探头、导线或当前设置改变时。</w:t>
      </w:r>
    </w:p>
    <w:p>
      <w:pPr>
        <w:pStyle w:val="27"/>
        <w:rPr>
          <w:rFonts w:hint="default"/>
        </w:rPr>
      </w:pPr>
      <w:r>
        <w:rPr>
          <w:rFonts w:hint="default"/>
        </w:rPr>
        <w:t>g)</w:t>
      </w:r>
      <w:r>
        <w:rPr>
          <w:rFonts w:hint="eastAsia"/>
          <w:lang w:val="en-US" w:eastAsia="zh-CN"/>
        </w:rPr>
        <w:t xml:space="preserve"> </w:t>
      </w:r>
      <w:r>
        <w:rPr>
          <w:rFonts w:hint="default"/>
        </w:rPr>
        <w:t>任务结束，关闭设备之前。</w:t>
      </w:r>
    </w:p>
    <w:p>
      <w:pPr>
        <w:pStyle w:val="5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6"/>
        <w:rPr>
          <w:rFonts w:hint="default" w:ascii="宋体" w:hAnsi="宋体" w:eastAsia="宋体" w:cs="宋体"/>
        </w:rPr>
      </w:pPr>
      <w:r>
        <w:rPr>
          <w:rFonts w:hint="default" w:ascii="宋体" w:hAnsi="宋体" w:eastAsia="宋体" w:cs="宋体"/>
        </w:rPr>
        <w:t>不合格的校验</w:t>
      </w:r>
    </w:p>
    <w:p>
      <w:pPr>
        <w:pStyle w:val="27"/>
        <w:rPr>
          <w:rFonts w:hint="default"/>
        </w:rPr>
      </w:pPr>
      <w:r>
        <w:rPr>
          <w:rFonts w:hint="default"/>
        </w:rPr>
        <w:t>每次检测对比试样，人工缺陷产生的信号应在校验幅值的20%之内。如果校验不符合上述规定，设备应重新调试，达到要求后对上一次校验后所检测的所有高压管汇件重新检测。</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内表面检测程序</w:t>
      </w:r>
    </w:p>
    <w:p>
      <w:pPr>
        <w:pStyle w:val="27"/>
        <w:rPr>
          <w:rFonts w:hint="default"/>
        </w:rPr>
      </w:pPr>
      <w:r>
        <w:rPr>
          <w:rFonts w:hint="default"/>
        </w:rPr>
        <w:t>a)</w:t>
      </w:r>
      <w:r>
        <w:rPr>
          <w:rFonts w:hint="eastAsia"/>
          <w:lang w:val="en-US" w:eastAsia="zh-CN"/>
        </w:rPr>
        <w:t xml:space="preserve"> </w:t>
      </w:r>
      <w:r>
        <w:rPr>
          <w:rFonts w:hint="default"/>
        </w:rPr>
        <w:t>将漏磁检测设备放至管内壁上，确保扫查装置紧贴在管内壁上；</w:t>
      </w:r>
    </w:p>
    <w:p>
      <w:pPr>
        <w:pStyle w:val="27"/>
        <w:rPr>
          <w:rFonts w:hint="default"/>
        </w:rPr>
      </w:pPr>
      <w:r>
        <w:rPr>
          <w:rFonts w:hint="default"/>
        </w:rPr>
        <w:t>b)</w:t>
      </w:r>
      <w:r>
        <w:rPr>
          <w:rFonts w:hint="eastAsia"/>
          <w:lang w:val="en-US" w:eastAsia="zh-CN"/>
        </w:rPr>
        <w:t xml:space="preserve"> </w:t>
      </w:r>
      <w:r>
        <w:rPr>
          <w:rFonts w:hint="default"/>
        </w:rPr>
        <w:t>启动电源，漏磁检测设备按照规定速度在管内壁爬行，实时观察无线传输显示器上信号曲线波动情况。如果移动速度变化超过正常检测速度的10%，在可疑区域，应改为正常检测速度进行重新检测。</w:t>
      </w:r>
    </w:p>
    <w:p>
      <w:pPr>
        <w:pStyle w:val="27"/>
        <w:rPr>
          <w:rFonts w:hint="default"/>
        </w:rPr>
      </w:pPr>
      <w:r>
        <w:rPr>
          <w:rFonts w:hint="default"/>
        </w:rPr>
        <w:t>c)</w:t>
      </w:r>
      <w:r>
        <w:rPr>
          <w:rFonts w:hint="eastAsia"/>
          <w:lang w:val="en-US" w:eastAsia="zh-CN"/>
        </w:rPr>
        <w:t xml:space="preserve"> </w:t>
      </w:r>
      <w:r>
        <w:rPr>
          <w:rFonts w:hint="default"/>
        </w:rPr>
        <w:t>对于可疑部位，做好定位，采用其它无损检测手段进行复查。</w:t>
      </w:r>
    </w:p>
    <w:p>
      <w:pPr>
        <w:pStyle w:val="27"/>
        <w:rPr>
          <w:rFonts w:hint="default"/>
        </w:rPr>
      </w:pPr>
      <w:r>
        <w:rPr>
          <w:rFonts w:hint="default"/>
        </w:rPr>
        <w:t>d)</w:t>
      </w:r>
      <w:r>
        <w:rPr>
          <w:rFonts w:hint="eastAsia"/>
          <w:lang w:val="en-US" w:eastAsia="zh-CN"/>
        </w:rPr>
        <w:t xml:space="preserve"> </w:t>
      </w:r>
      <w:r>
        <w:rPr>
          <w:rFonts w:hint="default"/>
        </w:rPr>
        <w:t>应做好检测及缺陷数据的记录。检验机构应保留这些文件至少一年。</w:t>
      </w:r>
    </w:p>
    <w:p>
      <w:pPr>
        <w:pStyle w:val="27"/>
        <w:rPr>
          <w:rFonts w:hint="default"/>
          <w:sz w:val="18"/>
          <w:szCs w:val="18"/>
        </w:rPr>
      </w:pPr>
      <w:r>
        <w:rPr>
          <w:rFonts w:hint="default"/>
          <w:sz w:val="18"/>
          <w:szCs w:val="18"/>
        </w:rPr>
        <w:t>注：大多数情况下，记录保留一年。如果需要更长的保存期，需要业主/使用者和检验机构之间达成特定要求。</w:t>
      </w:r>
    </w:p>
    <w:p>
      <w:pPr>
        <w:pStyle w:val="27"/>
        <w:rPr>
          <w:rFonts w:hint="default"/>
        </w:rPr>
      </w:pPr>
    </w:p>
    <w:p>
      <w:pPr>
        <w:pStyle w:val="45"/>
        <w:spacing w:before="156" w:after="156"/>
        <w:ind w:left="2"/>
        <w:outlineLvl w:val="3"/>
        <w:rPr>
          <w:rFonts w:hint="default" w:ascii="Times New Roman" w:cs="Times New Roman"/>
          <w:lang w:val="en-US" w:eastAsia="zh-CN"/>
        </w:rPr>
      </w:pPr>
      <w:bookmarkStart w:id="93" w:name="_Toc1431"/>
      <w:r>
        <w:rPr>
          <w:rFonts w:hint="default" w:ascii="Times New Roman" w:cs="Times New Roman"/>
          <w:lang w:val="en-US" w:eastAsia="zh-CN"/>
        </w:rPr>
        <w:t>检测完成后的程序</w:t>
      </w:r>
      <w:bookmarkEnd w:id="93"/>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结果评价</w:t>
      </w:r>
    </w:p>
    <w:p>
      <w:pPr>
        <w:pStyle w:val="27"/>
        <w:rPr>
          <w:rFonts w:hint="default"/>
        </w:rPr>
      </w:pPr>
      <w:r>
        <w:rPr>
          <w:rFonts w:hint="default"/>
        </w:rPr>
        <w:t>检测结果分为合格、降级使用和报废。</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合格</w:t>
      </w:r>
    </w:p>
    <w:p>
      <w:pPr>
        <w:pStyle w:val="27"/>
        <w:rPr>
          <w:rFonts w:hint="default"/>
        </w:rPr>
      </w:pPr>
      <w:r>
        <w:rPr>
          <w:rFonts w:hint="default"/>
        </w:rPr>
        <w:t>所有检测项目都合格，检测数据全部在规定合格范围内，判定为合格。</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报废或降级处理</w:t>
      </w:r>
    </w:p>
    <w:p>
      <w:pPr>
        <w:pStyle w:val="27"/>
        <w:rPr>
          <w:rFonts w:hint="default"/>
        </w:rPr>
      </w:pPr>
      <w:r>
        <w:rPr>
          <w:rFonts w:hint="default"/>
        </w:rPr>
        <w:t>高压管汇件有下列情况之一时，应予报废：</w:t>
      </w:r>
    </w:p>
    <w:p>
      <w:pPr>
        <w:pStyle w:val="27"/>
        <w:rPr>
          <w:rFonts w:hint="default"/>
        </w:rPr>
      </w:pPr>
      <w:r>
        <w:rPr>
          <w:rFonts w:hint="default"/>
        </w:rPr>
        <w:t>a)</w:t>
      </w:r>
      <w:r>
        <w:rPr>
          <w:rFonts w:hint="eastAsia"/>
          <w:lang w:val="en-US" w:eastAsia="zh-CN"/>
        </w:rPr>
        <w:t xml:space="preserve"> </w:t>
      </w:r>
      <w:r>
        <w:rPr>
          <w:rFonts w:hint="default"/>
        </w:rPr>
        <w:t>本体折断、刺穿、胀裂、扭曲或严重弯曲。</w:t>
      </w:r>
    </w:p>
    <w:p>
      <w:pPr>
        <w:pStyle w:val="27"/>
        <w:rPr>
          <w:rFonts w:hint="default"/>
        </w:rPr>
      </w:pPr>
      <w:r>
        <w:rPr>
          <w:rFonts w:hint="default"/>
        </w:rPr>
        <w:t>b)</w:t>
      </w:r>
      <w:r>
        <w:rPr>
          <w:rFonts w:hint="eastAsia"/>
          <w:lang w:val="en-US" w:eastAsia="zh-CN"/>
        </w:rPr>
        <w:t xml:space="preserve"> </w:t>
      </w:r>
      <w:r>
        <w:rPr>
          <w:rFonts w:hint="default"/>
        </w:rPr>
        <w:t>水眼堵塞，无法通开。</w:t>
      </w:r>
    </w:p>
    <w:p>
      <w:pPr>
        <w:pStyle w:val="27"/>
        <w:rPr>
          <w:rFonts w:hint="default"/>
        </w:rPr>
      </w:pPr>
      <w:r>
        <w:rPr>
          <w:rFonts w:hint="default"/>
        </w:rPr>
        <w:t>c)</w:t>
      </w:r>
      <w:r>
        <w:rPr>
          <w:rFonts w:hint="eastAsia"/>
          <w:lang w:val="en-US" w:eastAsia="zh-CN"/>
        </w:rPr>
        <w:t xml:space="preserve"> </w:t>
      </w:r>
      <w:r>
        <w:rPr>
          <w:rFonts w:hint="default"/>
        </w:rPr>
        <w:t>被火烧过或被硫化氢污染，经过检验发现材质或机械性能变化。</w:t>
      </w:r>
    </w:p>
    <w:p>
      <w:pPr>
        <w:pStyle w:val="27"/>
        <w:rPr>
          <w:rFonts w:hint="default"/>
        </w:rPr>
      </w:pPr>
      <w:r>
        <w:rPr>
          <w:rFonts w:hint="default"/>
        </w:rPr>
        <w:t>d)</w:t>
      </w:r>
      <w:r>
        <w:rPr>
          <w:rFonts w:hint="eastAsia"/>
          <w:lang w:val="en-US" w:eastAsia="zh-CN"/>
        </w:rPr>
        <w:t xml:space="preserve"> </w:t>
      </w:r>
      <w:r>
        <w:rPr>
          <w:rFonts w:hint="default"/>
        </w:rPr>
        <w:t>活动弯头和阀门在检测过程中无法拆解和维修。</w:t>
      </w:r>
    </w:p>
    <w:p>
      <w:pPr>
        <w:pStyle w:val="27"/>
        <w:rPr>
          <w:rFonts w:hint="default"/>
        </w:rPr>
      </w:pPr>
      <w:r>
        <w:rPr>
          <w:rFonts w:hint="default"/>
        </w:rPr>
        <w:t>e)</w:t>
      </w:r>
      <w:r>
        <w:rPr>
          <w:rFonts w:hint="eastAsia"/>
          <w:lang w:val="en-US" w:eastAsia="zh-CN"/>
        </w:rPr>
        <w:t xml:space="preserve"> </w:t>
      </w:r>
      <w:r>
        <w:rPr>
          <w:rFonts w:hint="default"/>
        </w:rPr>
        <w:t>经过无损检测发现有疲劳裂纹。</w:t>
      </w:r>
    </w:p>
    <w:p>
      <w:pPr>
        <w:pStyle w:val="27"/>
        <w:rPr>
          <w:rFonts w:hint="default"/>
        </w:rPr>
      </w:pPr>
      <w:r>
        <w:rPr>
          <w:rFonts w:hint="default"/>
        </w:rPr>
        <w:t>f)</w:t>
      </w:r>
      <w:r>
        <w:rPr>
          <w:rFonts w:hint="eastAsia"/>
          <w:lang w:val="en-US" w:eastAsia="zh-CN"/>
        </w:rPr>
        <w:t xml:space="preserve"> </w:t>
      </w:r>
      <w:r>
        <w:rPr>
          <w:rFonts w:hint="default"/>
        </w:rPr>
        <w:t>测量壁厚值小于SY/T 6270附录C规定的使用壁厚极限推荐值。</w:t>
      </w:r>
    </w:p>
    <w:p>
      <w:pPr>
        <w:pStyle w:val="27"/>
        <w:rPr>
          <w:rFonts w:hint="default"/>
        </w:rPr>
      </w:pPr>
      <w:r>
        <w:rPr>
          <w:rFonts w:hint="default"/>
        </w:rPr>
        <w:t>g)</w:t>
      </w:r>
      <w:r>
        <w:rPr>
          <w:rFonts w:hint="eastAsia"/>
          <w:lang w:val="en-US" w:eastAsia="zh-CN"/>
        </w:rPr>
        <w:t xml:space="preserve"> </w:t>
      </w:r>
      <w:r>
        <w:rPr>
          <w:rFonts w:hint="default"/>
        </w:rPr>
        <w:t>在更换密封后，连续3次试压泄漏。</w:t>
      </w:r>
    </w:p>
    <w:p>
      <w:pPr>
        <w:pStyle w:val="27"/>
        <w:rPr>
          <w:rFonts w:hint="default"/>
        </w:rPr>
      </w:pPr>
      <w:r>
        <w:rPr>
          <w:rFonts w:hint="default"/>
        </w:rPr>
        <w:t>h)</w:t>
      </w:r>
      <w:r>
        <w:rPr>
          <w:rFonts w:hint="eastAsia"/>
          <w:lang w:val="en-US" w:eastAsia="zh-CN"/>
        </w:rPr>
        <w:t xml:space="preserve"> </w:t>
      </w:r>
      <w:r>
        <w:rPr>
          <w:rFonts w:hint="default"/>
        </w:rPr>
        <w:t>静水压试验过程中有可见变形。</w:t>
      </w:r>
    </w:p>
    <w:p>
      <w:pPr>
        <w:pStyle w:val="27"/>
        <w:rPr>
          <w:rFonts w:hint="default"/>
        </w:rPr>
      </w:pPr>
      <w:r>
        <w:rPr>
          <w:rFonts w:hint="default"/>
        </w:rPr>
        <w:t>i)</w:t>
      </w:r>
      <w:r>
        <w:rPr>
          <w:rFonts w:hint="eastAsia"/>
          <w:lang w:val="en-US" w:eastAsia="zh-CN"/>
        </w:rPr>
        <w:t xml:space="preserve"> </w:t>
      </w:r>
      <w:r>
        <w:rPr>
          <w:rFonts w:hint="default"/>
        </w:rPr>
        <w:t>使用过程中曾出现承受压力超过强度试验压力（指出厂时的强度试验压力）。</w:t>
      </w:r>
    </w:p>
    <w:p>
      <w:pPr>
        <w:pStyle w:val="27"/>
        <w:rPr>
          <w:rFonts w:hint="default"/>
        </w:rPr>
      </w:pPr>
      <w:r>
        <w:rPr>
          <w:rFonts w:hint="default"/>
        </w:rPr>
        <w:t>j)</w:t>
      </w:r>
      <w:r>
        <w:rPr>
          <w:rFonts w:hint="eastAsia"/>
          <w:lang w:val="en-US" w:eastAsia="zh-CN"/>
        </w:rPr>
        <w:t xml:space="preserve"> </w:t>
      </w:r>
      <w:r>
        <w:rPr>
          <w:rFonts w:hint="default"/>
        </w:rPr>
        <w:t>累计使用时间达到设计使用寿命。</w:t>
      </w:r>
    </w:p>
    <w:p>
      <w:pPr>
        <w:pStyle w:val="27"/>
        <w:rPr>
          <w:rFonts w:hint="default"/>
          <w:sz w:val="18"/>
          <w:szCs w:val="18"/>
        </w:rPr>
      </w:pPr>
      <w:r>
        <w:rPr>
          <w:rFonts w:hint="default"/>
          <w:sz w:val="18"/>
          <w:szCs w:val="18"/>
        </w:rPr>
        <w:t>注1：一般不作降级处理，对于需要降级处理的高压管汇，由检验机构与用户商量并达成共识，并在检验报告中详细注明。</w:t>
      </w:r>
    </w:p>
    <w:p>
      <w:pPr>
        <w:pStyle w:val="27"/>
        <w:rPr>
          <w:rFonts w:hint="default"/>
          <w:sz w:val="18"/>
          <w:szCs w:val="18"/>
        </w:rPr>
      </w:pPr>
      <w:r>
        <w:rPr>
          <w:rFonts w:hint="default"/>
          <w:sz w:val="18"/>
          <w:szCs w:val="18"/>
        </w:rPr>
        <w:t>注2：用记号笔或漆笔对不合格检测项目进行缺陷标记。</w:t>
      </w:r>
    </w:p>
    <w:p>
      <w:pPr>
        <w:pStyle w:val="27"/>
        <w:rPr>
          <w:rFonts w:hint="default"/>
          <w:sz w:val="18"/>
          <w:szCs w:val="18"/>
        </w:rPr>
      </w:pPr>
      <w:r>
        <w:rPr>
          <w:rFonts w:hint="default"/>
          <w:sz w:val="18"/>
          <w:szCs w:val="18"/>
        </w:rPr>
        <w:t>注3：降级处理的高压管汇，其工作压力不得超过35MPa。</w:t>
      </w:r>
    </w:p>
    <w:p>
      <w:pPr>
        <w:pStyle w:val="27"/>
        <w:rPr>
          <w:rFonts w:hint="default"/>
        </w:rPr>
      </w:pPr>
      <w:r>
        <w:rPr>
          <w:rFonts w:hint="default"/>
          <w:sz w:val="18"/>
          <w:szCs w:val="18"/>
        </w:rPr>
        <w:t>注4：报废处理的高压管汇禁止在任何地区使用。</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清洗、维护保养</w:t>
      </w:r>
    </w:p>
    <w:p>
      <w:pPr>
        <w:pStyle w:val="27"/>
        <w:rPr>
          <w:rFonts w:hint="default"/>
        </w:rPr>
      </w:pPr>
      <w:r>
        <w:rPr>
          <w:rFonts w:hint="default"/>
        </w:rPr>
        <w:t>清洗、维护保养需满足如下要求：</w:t>
      </w:r>
    </w:p>
    <w:p>
      <w:pPr>
        <w:pStyle w:val="27"/>
        <w:rPr>
          <w:rFonts w:hint="default"/>
        </w:rPr>
      </w:pPr>
      <w:r>
        <w:rPr>
          <w:rFonts w:hint="default"/>
        </w:rPr>
        <w:t>a)</w:t>
      </w:r>
      <w:r>
        <w:rPr>
          <w:rFonts w:hint="eastAsia"/>
          <w:lang w:val="en-US" w:eastAsia="zh-CN"/>
        </w:rPr>
        <w:t xml:space="preserve"> </w:t>
      </w:r>
      <w:r>
        <w:rPr>
          <w:rFonts w:hint="default"/>
        </w:rPr>
        <w:t>清除管汇件表面所有的磁粉和其他物质。</w:t>
      </w:r>
    </w:p>
    <w:p>
      <w:pPr>
        <w:pStyle w:val="27"/>
        <w:rPr>
          <w:rFonts w:hint="default"/>
        </w:rPr>
      </w:pPr>
      <w:r>
        <w:rPr>
          <w:rFonts w:hint="default"/>
        </w:rPr>
        <w:t>b)</w:t>
      </w:r>
      <w:r>
        <w:rPr>
          <w:rFonts w:hint="eastAsia"/>
          <w:lang w:val="en-US" w:eastAsia="zh-CN"/>
        </w:rPr>
        <w:t xml:space="preserve"> </w:t>
      </w:r>
      <w:r>
        <w:rPr>
          <w:rFonts w:hint="default"/>
        </w:rPr>
        <w:t>应按使用说明书的规定注入新的密封润滑脂，直到挤出旧的密封润滑脂。</w:t>
      </w:r>
    </w:p>
    <w:p>
      <w:pPr>
        <w:pStyle w:val="27"/>
        <w:rPr>
          <w:rFonts w:hint="default"/>
        </w:rPr>
      </w:pPr>
      <w:r>
        <w:rPr>
          <w:rFonts w:hint="default"/>
        </w:rPr>
        <w:t>c)</w:t>
      </w:r>
      <w:r>
        <w:rPr>
          <w:rFonts w:hint="eastAsia"/>
          <w:lang w:val="en-US" w:eastAsia="zh-CN"/>
        </w:rPr>
        <w:t xml:space="preserve"> </w:t>
      </w:r>
      <w:r>
        <w:rPr>
          <w:rFonts w:hint="default"/>
        </w:rPr>
        <w:t>任何外露的外螺纹表面、活接头密封面或法兰面应采取保护措施，活接头或螺纹应佩戴保护套，以防密封面受损。</w:t>
      </w:r>
    </w:p>
    <w:p>
      <w:pPr>
        <w:pStyle w:val="27"/>
        <w:rPr>
          <w:rFonts w:hint="default"/>
        </w:rPr>
      </w:pPr>
      <w:r>
        <w:rPr>
          <w:rFonts w:hint="default"/>
        </w:rPr>
        <w:t>d)</w:t>
      </w:r>
      <w:r>
        <w:rPr>
          <w:rFonts w:hint="eastAsia"/>
          <w:lang w:val="en-US" w:eastAsia="zh-CN"/>
        </w:rPr>
        <w:t xml:space="preserve"> </w:t>
      </w:r>
      <w:r>
        <w:rPr>
          <w:rFonts w:hint="default"/>
        </w:rPr>
        <w:t>更换的橡胶密封件应在存放有效期内。除非厂家有特殊说明，橡胶密封件的存放有效期不超过2年。</w:t>
      </w:r>
    </w:p>
    <w:p>
      <w:pPr>
        <w:pStyle w:val="27"/>
        <w:rPr>
          <w:rFonts w:hint="default"/>
        </w:rPr>
      </w:pPr>
      <w:r>
        <w:rPr>
          <w:rFonts w:hint="default"/>
        </w:rPr>
        <w:t>e)</w:t>
      </w:r>
      <w:r>
        <w:rPr>
          <w:rFonts w:hint="eastAsia"/>
          <w:lang w:val="en-US" w:eastAsia="zh-CN"/>
        </w:rPr>
        <w:t xml:space="preserve"> </w:t>
      </w:r>
      <w:r>
        <w:rPr>
          <w:rFonts w:hint="default"/>
        </w:rPr>
        <w:t>高压管汇件存放过程应采用垫木支撑或者撬装。</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油漆喷涂</w:t>
      </w:r>
    </w:p>
    <w:p>
      <w:pPr>
        <w:pStyle w:val="27"/>
        <w:rPr>
          <w:rFonts w:hint="default"/>
        </w:rPr>
      </w:pPr>
      <w:r>
        <w:rPr>
          <w:rFonts w:hint="default"/>
        </w:rPr>
        <w:t>如果用户要求进行油漆喷涂，可以在合格的高压管汇件清洗干净并干燥后，对脱漆部位进行补油漆。喷漆过程应满足：</w:t>
      </w:r>
    </w:p>
    <w:p>
      <w:pPr>
        <w:pStyle w:val="27"/>
        <w:rPr>
          <w:rFonts w:hint="default"/>
        </w:rPr>
      </w:pPr>
      <w:r>
        <w:rPr>
          <w:rFonts w:hint="default"/>
        </w:rPr>
        <w:t>a)</w:t>
      </w:r>
      <w:r>
        <w:rPr>
          <w:rFonts w:hint="eastAsia"/>
          <w:lang w:val="en-US" w:eastAsia="zh-CN"/>
        </w:rPr>
        <w:t xml:space="preserve"> </w:t>
      </w:r>
      <w:r>
        <w:rPr>
          <w:rFonts w:hint="default"/>
        </w:rPr>
        <w:t>设施应符合环保要求，避免对周边居民造成影响。</w:t>
      </w:r>
    </w:p>
    <w:p>
      <w:pPr>
        <w:pStyle w:val="27"/>
        <w:rPr>
          <w:rFonts w:hint="default"/>
        </w:rPr>
      </w:pPr>
      <w:r>
        <w:rPr>
          <w:rFonts w:hint="default"/>
        </w:rPr>
        <w:t>b)</w:t>
      </w:r>
      <w:r>
        <w:rPr>
          <w:rFonts w:hint="eastAsia"/>
          <w:lang w:val="en-US" w:eastAsia="zh-CN"/>
        </w:rPr>
        <w:t xml:space="preserve"> </w:t>
      </w:r>
      <w:r>
        <w:rPr>
          <w:rFonts w:hint="default"/>
        </w:rPr>
        <w:t>在地面上铺设枕木，将高压管汇件放置在枕木上进行油漆喷涂操作。</w:t>
      </w:r>
    </w:p>
    <w:p>
      <w:pPr>
        <w:pStyle w:val="27"/>
        <w:rPr>
          <w:rFonts w:hint="default"/>
        </w:rPr>
      </w:pPr>
      <w:r>
        <w:rPr>
          <w:rFonts w:hint="default"/>
        </w:rPr>
        <w:t>c)</w:t>
      </w:r>
      <w:r>
        <w:rPr>
          <w:rFonts w:hint="eastAsia"/>
          <w:lang w:val="en-US" w:eastAsia="zh-CN"/>
        </w:rPr>
        <w:t xml:space="preserve"> </w:t>
      </w:r>
      <w:r>
        <w:rPr>
          <w:rFonts w:hint="default"/>
        </w:rPr>
        <w:t>借助砂轮机、钢丝刷等工具进行手工打磨，表面处理后用干燥、清洁的压缩空气吹去所有可见浮尘。</w:t>
      </w:r>
    </w:p>
    <w:p>
      <w:pPr>
        <w:pStyle w:val="27"/>
        <w:rPr>
          <w:rFonts w:hint="default"/>
        </w:rPr>
      </w:pPr>
      <w:r>
        <w:rPr>
          <w:rFonts w:hint="default"/>
        </w:rPr>
        <w:t>d)</w:t>
      </w:r>
      <w:r>
        <w:rPr>
          <w:rFonts w:hint="eastAsia"/>
          <w:lang w:val="en-US" w:eastAsia="zh-CN"/>
        </w:rPr>
        <w:t xml:space="preserve"> </w:t>
      </w:r>
      <w:r>
        <w:rPr>
          <w:rFonts w:hint="default"/>
        </w:rPr>
        <w:t>喷漆必须在表面处理完后4小时内完成，当环境相对湿度小于40%时，可适当延长时间，但不能超过12小时。</w:t>
      </w:r>
    </w:p>
    <w:p>
      <w:pPr>
        <w:pStyle w:val="27"/>
        <w:rPr>
          <w:rFonts w:hint="default"/>
        </w:rPr>
      </w:pPr>
      <w:r>
        <w:rPr>
          <w:rFonts w:hint="default"/>
        </w:rPr>
        <w:t>e)</w:t>
      </w:r>
      <w:r>
        <w:rPr>
          <w:rFonts w:hint="eastAsia"/>
          <w:lang w:val="en-US" w:eastAsia="zh-CN"/>
        </w:rPr>
        <w:t xml:space="preserve"> </w:t>
      </w:r>
      <w:r>
        <w:rPr>
          <w:rFonts w:hint="default"/>
        </w:rPr>
        <w:t>油漆环境的温度应在5-38℃之间，理想温度为15-30℃，环境温度低于5℃或高于38℃时应停止油漆施工。环境相对湿度应小于85%，喷漆理想湿度为40%-60%。金属表面温度应高于露点温度3℃以上，否则应停止施工。</w:t>
      </w:r>
    </w:p>
    <w:p>
      <w:pPr>
        <w:pStyle w:val="27"/>
        <w:rPr>
          <w:rFonts w:hint="default"/>
        </w:rPr>
      </w:pPr>
      <w:r>
        <w:rPr>
          <w:rFonts w:hint="default"/>
        </w:rPr>
        <w:t>f)</w:t>
      </w:r>
      <w:r>
        <w:rPr>
          <w:rFonts w:hint="eastAsia"/>
          <w:lang w:val="en-US" w:eastAsia="zh-CN"/>
        </w:rPr>
        <w:t xml:space="preserve"> </w:t>
      </w:r>
      <w:r>
        <w:rPr>
          <w:rFonts w:hint="default"/>
        </w:rPr>
        <w:t>油漆施工人员应具备一定的油漆涂装技能，经过必要的技能培训和安全技术教育，考试合格取得上岗证后方可上岗。</w:t>
      </w:r>
    </w:p>
    <w:p>
      <w:pPr>
        <w:pStyle w:val="27"/>
        <w:rPr>
          <w:rFonts w:hint="default"/>
        </w:rPr>
      </w:pPr>
      <w:r>
        <w:rPr>
          <w:rFonts w:hint="default"/>
        </w:rPr>
        <w:t>g)</w:t>
      </w:r>
      <w:r>
        <w:rPr>
          <w:rFonts w:hint="eastAsia"/>
          <w:lang w:val="en-US" w:eastAsia="zh-CN"/>
        </w:rPr>
        <w:t xml:space="preserve"> </w:t>
      </w:r>
      <w:r>
        <w:rPr>
          <w:rFonts w:hint="default"/>
        </w:rPr>
        <w:t>油漆调制应按照“先用先调，后用后调”的原则，并按需求量进行调制。首次选用的油漆或工作条件改变较大时，应对施工工艺参数进行验证。</w:t>
      </w:r>
    </w:p>
    <w:p>
      <w:pPr>
        <w:pStyle w:val="27"/>
        <w:rPr>
          <w:rFonts w:hint="default"/>
        </w:rPr>
      </w:pPr>
      <w:r>
        <w:rPr>
          <w:rFonts w:hint="default"/>
        </w:rPr>
        <w:t>h)</w:t>
      </w:r>
      <w:r>
        <w:rPr>
          <w:rFonts w:hint="eastAsia"/>
          <w:lang w:val="en-US" w:eastAsia="zh-CN"/>
        </w:rPr>
        <w:t xml:space="preserve"> </w:t>
      </w:r>
      <w:r>
        <w:rPr>
          <w:rFonts w:hint="default"/>
        </w:rPr>
        <w:t>需要多层涂装时，选择合适的各层涂层间的时间间隔，一般在第一道漆干燥后再施工第二道漆。记录间隔时间。</w:t>
      </w:r>
    </w:p>
    <w:p>
      <w:pPr>
        <w:pStyle w:val="27"/>
        <w:rPr>
          <w:rFonts w:hint="default"/>
        </w:rPr>
      </w:pPr>
      <w:r>
        <w:rPr>
          <w:rFonts w:hint="default"/>
        </w:rPr>
        <w:t>i)</w:t>
      </w:r>
      <w:r>
        <w:rPr>
          <w:rFonts w:hint="eastAsia"/>
          <w:lang w:val="en-US" w:eastAsia="zh-CN"/>
        </w:rPr>
        <w:t xml:space="preserve"> </w:t>
      </w:r>
      <w:r>
        <w:rPr>
          <w:rFonts w:hint="default"/>
        </w:rPr>
        <w:t>喷漆完成后阀门表面的标记、钢印等应清晰可见。</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统计数量</w:t>
      </w:r>
    </w:p>
    <w:p>
      <w:pPr>
        <w:pStyle w:val="27"/>
        <w:rPr>
          <w:rFonts w:hint="default"/>
        </w:rPr>
      </w:pPr>
      <w:r>
        <w:rPr>
          <w:rFonts w:hint="default"/>
        </w:rPr>
        <w:t>统计每种规格的高压管汇件，确定总数，根据评价结果进行分类摆放。</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工作场地清理</w:t>
      </w:r>
    </w:p>
    <w:p>
      <w:pPr>
        <w:pStyle w:val="27"/>
        <w:rPr>
          <w:rFonts w:hint="default"/>
        </w:rPr>
      </w:pPr>
      <w:r>
        <w:rPr>
          <w:rFonts w:hint="default"/>
        </w:rPr>
        <w:t>在离开工作场地之前，检验机构应保证以下条款已经完成：</w:t>
      </w:r>
    </w:p>
    <w:p>
      <w:pPr>
        <w:pStyle w:val="27"/>
        <w:rPr>
          <w:rFonts w:hint="default"/>
        </w:rPr>
      </w:pPr>
      <w:r>
        <w:rPr>
          <w:rFonts w:hint="default"/>
        </w:rPr>
        <w:t>a)</w:t>
      </w:r>
      <w:r>
        <w:rPr>
          <w:rFonts w:hint="eastAsia"/>
          <w:lang w:val="en-US" w:eastAsia="zh-CN"/>
        </w:rPr>
        <w:t xml:space="preserve"> </w:t>
      </w:r>
      <w:r>
        <w:rPr>
          <w:rFonts w:hint="default"/>
        </w:rPr>
        <w:t>废弃物清理：工作场地应清洁，清除所有检测过程中产生的废弃物。</w:t>
      </w:r>
    </w:p>
    <w:p>
      <w:pPr>
        <w:pStyle w:val="27"/>
        <w:rPr>
          <w:rFonts w:hint="default"/>
        </w:rPr>
      </w:pPr>
      <w:r>
        <w:rPr>
          <w:rFonts w:hint="default"/>
        </w:rPr>
        <w:t>b)</w:t>
      </w:r>
      <w:r>
        <w:rPr>
          <w:rFonts w:hint="eastAsia"/>
          <w:lang w:val="en-US" w:eastAsia="zh-CN"/>
        </w:rPr>
        <w:t xml:space="preserve"> </w:t>
      </w:r>
      <w:r>
        <w:rPr>
          <w:rFonts w:hint="default"/>
        </w:rPr>
        <w:t>溶剂的处理：工作场地使用的清洗溶剂应进行合适的处理。</w:t>
      </w:r>
    </w:p>
    <w:p>
      <w:pPr>
        <w:pStyle w:val="27"/>
        <w:rPr>
          <w:rFonts w:hint="default"/>
          <w:sz w:val="18"/>
          <w:szCs w:val="18"/>
        </w:rPr>
      </w:pPr>
      <w:r>
        <w:rPr>
          <w:rFonts w:hint="default"/>
          <w:sz w:val="18"/>
          <w:szCs w:val="18"/>
        </w:rPr>
        <w:t>注1：溶剂、清洁物及其他废弃物会含有危险材料。如果适用，其成分数据表应清晰，处理这类产品时，应遵守相应的法律法规和注意事项。这些物质的储存、运输、使用及其产生的废弃物的处理都应考虑到。应遵守废弃物和废溶剂的处理方法的规章制度。</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检验标识</w:t>
      </w:r>
    </w:p>
    <w:p>
      <w:pPr>
        <w:pStyle w:val="27"/>
        <w:rPr>
          <w:rFonts w:hint="default"/>
        </w:rPr>
      </w:pPr>
      <w:r>
        <w:rPr>
          <w:rFonts w:hint="default"/>
        </w:rPr>
        <w:t>检验标识分钢印和RFID电子标签两种。</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钢印</w:t>
      </w:r>
    </w:p>
    <w:p>
      <w:pPr>
        <w:pStyle w:val="27"/>
        <w:rPr>
          <w:rFonts w:hint="default"/>
        </w:rPr>
      </w:pPr>
      <w:r>
        <w:rPr>
          <w:rFonts w:hint="default"/>
        </w:rPr>
        <w:t>将检测可追溯性标识印在不锈钢钢片上并将不锈钢片通过不锈钢卡箍固定在本体上，应不易拆卸，标识清晰。检测可追溯性标识内容应包含：</w:t>
      </w:r>
    </w:p>
    <w:p>
      <w:pPr>
        <w:pStyle w:val="27"/>
        <w:rPr>
          <w:rFonts w:hint="default"/>
        </w:rPr>
      </w:pPr>
      <w:r>
        <w:rPr>
          <w:rFonts w:hint="default"/>
        </w:rPr>
        <w:t>a)</w:t>
      </w:r>
      <w:r>
        <w:rPr>
          <w:rFonts w:hint="eastAsia"/>
          <w:lang w:val="en-US" w:eastAsia="zh-CN"/>
        </w:rPr>
        <w:t xml:space="preserve"> </w:t>
      </w:r>
      <w:r>
        <w:rPr>
          <w:rFonts w:hint="default"/>
        </w:rPr>
        <w:t>检测机构名称。</w:t>
      </w:r>
    </w:p>
    <w:p>
      <w:pPr>
        <w:pStyle w:val="27"/>
        <w:rPr>
          <w:rFonts w:hint="default"/>
        </w:rPr>
      </w:pPr>
      <w:r>
        <w:rPr>
          <w:rFonts w:hint="default"/>
        </w:rPr>
        <w:t>b)</w:t>
      </w:r>
      <w:r>
        <w:rPr>
          <w:rFonts w:hint="eastAsia"/>
          <w:lang w:val="en-US" w:eastAsia="zh-CN"/>
        </w:rPr>
        <w:t xml:space="preserve"> </w:t>
      </w:r>
      <w:r>
        <w:rPr>
          <w:rFonts w:hint="default"/>
        </w:rPr>
        <w:t>检测机构资质。</w:t>
      </w:r>
    </w:p>
    <w:p>
      <w:pPr>
        <w:pStyle w:val="27"/>
        <w:rPr>
          <w:rFonts w:hint="default"/>
        </w:rPr>
      </w:pPr>
      <w:r>
        <w:rPr>
          <w:rFonts w:hint="default"/>
        </w:rPr>
        <w:t>c)</w:t>
      </w:r>
      <w:r>
        <w:rPr>
          <w:rFonts w:hint="eastAsia"/>
          <w:lang w:val="en-US" w:eastAsia="zh-CN"/>
        </w:rPr>
        <w:t xml:space="preserve"> </w:t>
      </w:r>
      <w:r>
        <w:rPr>
          <w:rFonts w:hint="default"/>
        </w:rPr>
        <w:t>产品编号。</w:t>
      </w:r>
    </w:p>
    <w:p>
      <w:pPr>
        <w:pStyle w:val="27"/>
        <w:rPr>
          <w:rFonts w:hint="default"/>
        </w:rPr>
      </w:pPr>
      <w:r>
        <w:rPr>
          <w:rFonts w:hint="default"/>
        </w:rPr>
        <w:t>d)</w:t>
      </w:r>
      <w:r>
        <w:rPr>
          <w:rFonts w:hint="eastAsia"/>
          <w:lang w:val="en-US" w:eastAsia="zh-CN"/>
        </w:rPr>
        <w:t xml:space="preserve"> </w:t>
      </w:r>
      <w:r>
        <w:rPr>
          <w:rFonts w:hint="default"/>
        </w:rPr>
        <w:t>检测编号。</w:t>
      </w:r>
    </w:p>
    <w:p>
      <w:pPr>
        <w:pStyle w:val="27"/>
        <w:rPr>
          <w:rFonts w:hint="default"/>
        </w:rPr>
      </w:pPr>
      <w:r>
        <w:rPr>
          <w:rFonts w:hint="default"/>
        </w:rPr>
        <w:t>e)</w:t>
      </w:r>
      <w:r>
        <w:rPr>
          <w:rFonts w:hint="eastAsia"/>
          <w:lang w:val="en-US" w:eastAsia="zh-CN"/>
        </w:rPr>
        <w:t xml:space="preserve"> </w:t>
      </w:r>
      <w:r>
        <w:rPr>
          <w:rFonts w:hint="default"/>
        </w:rPr>
        <w:t>检测日期。</w:t>
      </w:r>
    </w:p>
    <w:p>
      <w:pPr>
        <w:pStyle w:val="27"/>
        <w:rPr>
          <w:rFonts w:hint="default"/>
        </w:rPr>
      </w:pPr>
      <w:r>
        <w:rPr>
          <w:rFonts w:hint="default"/>
        </w:rPr>
        <w:t>f)</w:t>
      </w:r>
      <w:r>
        <w:rPr>
          <w:rFonts w:hint="eastAsia"/>
          <w:lang w:val="en-US" w:eastAsia="zh-CN"/>
        </w:rPr>
        <w:t xml:space="preserve"> </w:t>
      </w:r>
      <w:r>
        <w:rPr>
          <w:rFonts w:hint="default"/>
        </w:rPr>
        <w:t>检测结论。</w:t>
      </w:r>
    </w:p>
    <w:p>
      <w:pPr>
        <w:pStyle w:val="27"/>
        <w:rPr>
          <w:rFonts w:hint="default"/>
        </w:rPr>
      </w:pPr>
      <w:r>
        <w:rPr>
          <w:rFonts w:hint="default"/>
        </w:rPr>
        <w:t>g)</w:t>
      </w:r>
      <w:r>
        <w:rPr>
          <w:rFonts w:hint="eastAsia"/>
          <w:lang w:val="en-US" w:eastAsia="zh-CN"/>
        </w:rPr>
        <w:t xml:space="preserve"> </w:t>
      </w:r>
      <w:r>
        <w:rPr>
          <w:rFonts w:hint="default"/>
        </w:rPr>
        <w:t>建议下次检测日期。</w:t>
      </w:r>
    </w:p>
    <w:p>
      <w:pPr>
        <w:pStyle w:val="27"/>
        <w:rPr>
          <w:rFonts w:hint="default"/>
        </w:rPr>
      </w:pPr>
      <w:r>
        <w:rPr>
          <w:rFonts w:hint="default"/>
          <w:sz w:val="18"/>
          <w:szCs w:val="18"/>
        </w:rPr>
        <w:t>注：宜将二维码或者条码等记录高压管汇身份的信息载体印在不锈钢钢片上。</w:t>
      </w:r>
    </w:p>
    <w:p>
      <w:pPr>
        <w:pStyle w:val="54"/>
        <w:keepNext w:val="0"/>
        <w:keepLines w:val="0"/>
        <w:pageBreakBefore w:val="0"/>
        <w:widowControl/>
        <w:numPr>
          <w:ilvl w:val="3"/>
          <w:numId w:val="4"/>
        </w:numPr>
        <w:kinsoku/>
        <w:wordWrap/>
        <w:overflowPunct/>
        <w:topLinePunct w:val="0"/>
        <w:autoSpaceDE/>
        <w:autoSpaceDN/>
        <w:bidi w:val="0"/>
        <w:adjustRightInd/>
        <w:snapToGrid/>
        <w:spacing w:before="0" w:beforeLines="0" w:after="0" w:afterLines="0"/>
        <w:contextualSpacing/>
        <w:textAlignment w:val="auto"/>
        <w:outlineLvl w:val="5"/>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RFID电子标签</w:t>
      </w:r>
    </w:p>
    <w:p>
      <w:pPr>
        <w:pStyle w:val="27"/>
        <w:rPr>
          <w:rFonts w:hint="default"/>
        </w:rPr>
      </w:pPr>
      <w:r>
        <w:rPr>
          <w:rFonts w:hint="default"/>
        </w:rPr>
        <w:t>电子标签采用陶瓷封装加铝合金外壳，或者采用综合性能更加优良的材料进行封装，通过不锈钢卡箍固定在高压管汇件上。其特点如下：</w:t>
      </w:r>
    </w:p>
    <w:p>
      <w:pPr>
        <w:pStyle w:val="27"/>
        <w:rPr>
          <w:rFonts w:hint="default"/>
        </w:rPr>
      </w:pPr>
      <w:r>
        <w:rPr>
          <w:rFonts w:hint="default"/>
        </w:rPr>
        <w:t>a)</w:t>
      </w:r>
      <w:r>
        <w:rPr>
          <w:rFonts w:hint="eastAsia"/>
          <w:lang w:val="en-US" w:eastAsia="zh-CN"/>
        </w:rPr>
        <w:t xml:space="preserve"> </w:t>
      </w:r>
      <w:r>
        <w:rPr>
          <w:rFonts w:hint="default"/>
        </w:rPr>
        <w:t>电子标签为无源电子标签。</w:t>
      </w:r>
    </w:p>
    <w:p>
      <w:pPr>
        <w:pStyle w:val="27"/>
        <w:rPr>
          <w:rFonts w:hint="default"/>
        </w:rPr>
      </w:pPr>
      <w:r>
        <w:rPr>
          <w:rFonts w:hint="default"/>
        </w:rPr>
        <w:t>b)</w:t>
      </w:r>
      <w:r>
        <w:rPr>
          <w:rFonts w:hint="eastAsia"/>
          <w:lang w:val="en-US" w:eastAsia="zh-CN"/>
        </w:rPr>
        <w:t xml:space="preserve"> </w:t>
      </w:r>
      <w:r>
        <w:rPr>
          <w:rFonts w:hint="default"/>
        </w:rPr>
        <w:t>具有耐高温、耐高压、耐腐蚀及抗碰撞特性。</w:t>
      </w:r>
    </w:p>
    <w:p>
      <w:pPr>
        <w:pStyle w:val="27"/>
        <w:rPr>
          <w:rFonts w:hint="default"/>
        </w:rPr>
      </w:pPr>
      <w:r>
        <w:rPr>
          <w:rFonts w:hint="default"/>
        </w:rPr>
        <w:t>c)</w:t>
      </w:r>
      <w:r>
        <w:rPr>
          <w:rFonts w:hint="eastAsia"/>
          <w:lang w:val="en-US" w:eastAsia="zh-CN"/>
        </w:rPr>
        <w:t xml:space="preserve"> </w:t>
      </w:r>
      <w:r>
        <w:rPr>
          <w:rFonts w:hint="default"/>
        </w:rPr>
        <w:t>信号辐射效果好，周边读取距离在0.5m以上，读取时应避免其它电子标签信号干扰。</w:t>
      </w:r>
    </w:p>
    <w:p>
      <w:pPr>
        <w:pStyle w:val="27"/>
        <w:rPr>
          <w:rFonts w:hint="default"/>
        </w:rPr>
      </w:pPr>
      <w:r>
        <w:rPr>
          <w:rFonts w:hint="default"/>
        </w:rPr>
        <w:t>d)</w:t>
      </w:r>
      <w:r>
        <w:rPr>
          <w:rFonts w:hint="eastAsia"/>
          <w:lang w:val="en-US" w:eastAsia="zh-CN"/>
        </w:rPr>
        <w:t xml:space="preserve"> </w:t>
      </w:r>
      <w:r>
        <w:rPr>
          <w:rFonts w:hint="default"/>
        </w:rPr>
        <w:t>检测可追溯性标识内容与钢印一致。</w:t>
      </w:r>
    </w:p>
    <w:p>
      <w:pPr>
        <w:pStyle w:val="45"/>
        <w:spacing w:before="156" w:after="156"/>
        <w:ind w:left="2"/>
        <w:outlineLvl w:val="3"/>
        <w:rPr>
          <w:rFonts w:hint="default" w:ascii="Times New Roman" w:cs="Times New Roman"/>
          <w:lang w:val="en-US" w:eastAsia="zh-CN"/>
        </w:rPr>
      </w:pPr>
      <w:bookmarkStart w:id="94" w:name="_Toc8376"/>
      <w:r>
        <w:rPr>
          <w:rFonts w:hint="default" w:ascii="Times New Roman" w:cs="Times New Roman"/>
          <w:lang w:val="en-US" w:eastAsia="zh-CN"/>
        </w:rPr>
        <w:t>检测记录和报告</w:t>
      </w:r>
      <w:bookmarkEnd w:id="94"/>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记录</w:t>
      </w:r>
    </w:p>
    <w:p>
      <w:pPr>
        <w:pStyle w:val="27"/>
        <w:rPr>
          <w:rFonts w:hint="default"/>
        </w:rPr>
      </w:pPr>
      <w:r>
        <w:rPr>
          <w:rFonts w:hint="default"/>
        </w:rPr>
        <w:t>a)</w:t>
      </w:r>
      <w:r>
        <w:rPr>
          <w:rFonts w:hint="eastAsia"/>
          <w:lang w:val="en-US" w:eastAsia="zh-CN"/>
        </w:rPr>
        <w:t xml:space="preserve"> </w:t>
      </w:r>
      <w:r>
        <w:rPr>
          <w:rFonts w:hint="default"/>
        </w:rPr>
        <w:t>应按照检验流程的要求记录相关信息，所有检测数据应具有可追溯性，并按相关法规、标准和（或）合同要求保存所有记录，保存期限至少五年。</w:t>
      </w:r>
    </w:p>
    <w:p>
      <w:pPr>
        <w:pStyle w:val="27"/>
        <w:rPr>
          <w:rFonts w:hint="default"/>
        </w:rPr>
      </w:pPr>
      <w:r>
        <w:rPr>
          <w:rFonts w:hint="default"/>
        </w:rPr>
        <w:t>b)</w:t>
      </w:r>
      <w:r>
        <w:rPr>
          <w:rFonts w:hint="eastAsia"/>
          <w:lang w:val="en-US" w:eastAsia="zh-CN"/>
        </w:rPr>
        <w:t xml:space="preserve"> </w:t>
      </w:r>
      <w:r>
        <w:rPr>
          <w:rFonts w:hint="default"/>
        </w:rPr>
        <w:t>记录应保持清晰、易于识别和可检索，并应避免损坏、变质或遗失。</w:t>
      </w:r>
    </w:p>
    <w:p>
      <w:pPr>
        <w:pStyle w:val="27"/>
        <w:rPr>
          <w:rFonts w:hint="default"/>
        </w:rPr>
      </w:pPr>
      <w:r>
        <w:rPr>
          <w:rFonts w:hint="default"/>
        </w:rPr>
        <w:t>c)</w:t>
      </w:r>
      <w:r>
        <w:rPr>
          <w:rFonts w:hint="eastAsia"/>
          <w:lang w:val="en-US" w:eastAsia="zh-CN"/>
        </w:rPr>
        <w:t xml:space="preserve"> </w:t>
      </w:r>
      <w:r>
        <w:rPr>
          <w:rFonts w:hint="default"/>
        </w:rPr>
        <w:t>所有静水压试验均应使用压力记录装置。记录应标识记录设备，应注明日期，并应签名。</w:t>
      </w:r>
    </w:p>
    <w:p>
      <w:pPr>
        <w:pStyle w:val="27"/>
        <w:rPr>
          <w:rFonts w:hint="default"/>
        </w:rPr>
      </w:pPr>
      <w:r>
        <w:rPr>
          <w:rFonts w:hint="default"/>
        </w:rPr>
        <w:t>d)</w:t>
      </w:r>
      <w:r>
        <w:rPr>
          <w:rFonts w:hint="eastAsia"/>
          <w:lang w:val="en-US" w:eastAsia="zh-CN"/>
        </w:rPr>
        <w:t xml:space="preserve"> </w:t>
      </w:r>
      <w:r>
        <w:rPr>
          <w:rFonts w:hint="default"/>
        </w:rPr>
        <w:t>电子版数据资料应保存在受控的硬盘内，做好安全防护措施。</w:t>
      </w:r>
    </w:p>
    <w:p>
      <w:pPr>
        <w:pStyle w:val="27"/>
        <w:rPr>
          <w:rFonts w:hint="default"/>
        </w:rPr>
      </w:pPr>
      <w:r>
        <w:rPr>
          <w:rFonts w:hint="default"/>
        </w:rPr>
        <w:t>e)</w:t>
      </w:r>
      <w:r>
        <w:rPr>
          <w:rFonts w:hint="eastAsia"/>
          <w:lang w:val="en-US" w:eastAsia="zh-CN"/>
        </w:rPr>
        <w:t xml:space="preserve"> </w:t>
      </w:r>
      <w:r>
        <w:rPr>
          <w:rFonts w:hint="default"/>
        </w:rPr>
        <w:t>签字可以是电子版。</w:t>
      </w:r>
    </w:p>
    <w:p>
      <w:pPr>
        <w:pStyle w:val="49"/>
        <w:keepNext w:val="0"/>
        <w:keepLines w:val="0"/>
        <w:pageBreakBefore w:val="0"/>
        <w:widowControl/>
        <w:kinsoku/>
        <w:wordWrap/>
        <w:overflowPunct/>
        <w:topLinePunct w:val="0"/>
        <w:autoSpaceDE/>
        <w:autoSpaceDN/>
        <w:bidi w:val="0"/>
        <w:adjustRightInd/>
        <w:snapToGrid/>
        <w:ind w:left="0"/>
        <w:textAlignment w:val="auto"/>
        <w:outlineLvl w:val="4"/>
        <w:rPr>
          <w:rFonts w:hint="default" w:ascii="Times New Roman" w:cs="Times New Roman"/>
          <w:lang w:val="en-US" w:eastAsia="zh-CN"/>
        </w:rPr>
      </w:pPr>
      <w:r>
        <w:rPr>
          <w:rFonts w:hint="default" w:ascii="Times New Roman" w:cs="Times New Roman"/>
          <w:lang w:val="en-US" w:eastAsia="zh-CN"/>
        </w:rPr>
        <w:t>报告</w:t>
      </w:r>
    </w:p>
    <w:p>
      <w:pPr>
        <w:pStyle w:val="27"/>
        <w:rPr>
          <w:rFonts w:hint="default"/>
        </w:rPr>
      </w:pPr>
      <w:r>
        <w:rPr>
          <w:rFonts w:hint="default"/>
        </w:rPr>
        <w:t>高压管汇检验报告应至少包括以下内容：</w:t>
      </w:r>
    </w:p>
    <w:p>
      <w:pPr>
        <w:pStyle w:val="27"/>
        <w:rPr>
          <w:rFonts w:hint="default"/>
        </w:rPr>
      </w:pPr>
      <w:r>
        <w:rPr>
          <w:rFonts w:hint="default"/>
        </w:rPr>
        <w:t>a)</w:t>
      </w:r>
      <w:r>
        <w:rPr>
          <w:rFonts w:hint="eastAsia"/>
          <w:lang w:val="en-US" w:eastAsia="zh-CN"/>
        </w:rPr>
        <w:t xml:space="preserve"> </w:t>
      </w:r>
      <w:r>
        <w:rPr>
          <w:rFonts w:hint="default"/>
        </w:rPr>
        <w:t>项目名称。</w:t>
      </w:r>
    </w:p>
    <w:p>
      <w:pPr>
        <w:pStyle w:val="27"/>
        <w:rPr>
          <w:rFonts w:hint="default"/>
        </w:rPr>
      </w:pPr>
      <w:r>
        <w:rPr>
          <w:rFonts w:hint="default"/>
        </w:rPr>
        <w:t>b)</w:t>
      </w:r>
      <w:r>
        <w:rPr>
          <w:rFonts w:hint="eastAsia"/>
          <w:lang w:val="en-US" w:eastAsia="zh-CN"/>
        </w:rPr>
        <w:t xml:space="preserve"> </w:t>
      </w:r>
      <w:r>
        <w:rPr>
          <w:rFonts w:hint="default"/>
        </w:rPr>
        <w:t>报告编号。</w:t>
      </w:r>
    </w:p>
    <w:p>
      <w:pPr>
        <w:pStyle w:val="27"/>
        <w:rPr>
          <w:rFonts w:hint="default"/>
        </w:rPr>
      </w:pPr>
      <w:r>
        <w:rPr>
          <w:rFonts w:hint="default"/>
        </w:rPr>
        <w:t>c)</w:t>
      </w:r>
      <w:r>
        <w:rPr>
          <w:rFonts w:hint="eastAsia"/>
          <w:lang w:val="en-US" w:eastAsia="zh-CN"/>
        </w:rPr>
        <w:t xml:space="preserve"> </w:t>
      </w:r>
      <w:r>
        <w:rPr>
          <w:rFonts w:hint="default"/>
        </w:rPr>
        <w:t>委托单位名称。</w:t>
      </w:r>
    </w:p>
    <w:p>
      <w:pPr>
        <w:pStyle w:val="27"/>
        <w:rPr>
          <w:rFonts w:hint="default"/>
        </w:rPr>
      </w:pPr>
      <w:r>
        <w:rPr>
          <w:rFonts w:hint="default"/>
        </w:rPr>
        <w:t>d)</w:t>
      </w:r>
      <w:r>
        <w:rPr>
          <w:rFonts w:hint="eastAsia"/>
          <w:lang w:val="en-US" w:eastAsia="zh-CN"/>
        </w:rPr>
        <w:t xml:space="preserve"> </w:t>
      </w:r>
      <w:r>
        <w:rPr>
          <w:rFonts w:hint="default"/>
        </w:rPr>
        <w:t>检测机构的名称和检测资质。</w:t>
      </w:r>
    </w:p>
    <w:p>
      <w:pPr>
        <w:pStyle w:val="27"/>
        <w:rPr>
          <w:rFonts w:hint="default"/>
        </w:rPr>
      </w:pPr>
      <w:r>
        <w:rPr>
          <w:rFonts w:hint="default"/>
        </w:rPr>
        <w:t>e)</w:t>
      </w:r>
      <w:r>
        <w:rPr>
          <w:rFonts w:hint="eastAsia"/>
          <w:lang w:val="en-US" w:eastAsia="zh-CN"/>
        </w:rPr>
        <w:t xml:space="preserve"> </w:t>
      </w:r>
      <w:r>
        <w:rPr>
          <w:rFonts w:hint="default"/>
        </w:rPr>
        <w:t>产品名称和型号规格。</w:t>
      </w:r>
    </w:p>
    <w:p>
      <w:pPr>
        <w:pStyle w:val="27"/>
        <w:rPr>
          <w:rFonts w:hint="default"/>
        </w:rPr>
      </w:pPr>
      <w:r>
        <w:rPr>
          <w:rFonts w:hint="default"/>
        </w:rPr>
        <w:t>f)</w:t>
      </w:r>
      <w:r>
        <w:rPr>
          <w:rFonts w:hint="eastAsia"/>
          <w:lang w:val="en-US" w:eastAsia="zh-CN"/>
        </w:rPr>
        <w:t xml:space="preserve"> </w:t>
      </w:r>
      <w:r>
        <w:rPr>
          <w:rFonts w:hint="default"/>
        </w:rPr>
        <w:t>产品数量和产品编号。</w:t>
      </w:r>
    </w:p>
    <w:p>
      <w:pPr>
        <w:pStyle w:val="27"/>
        <w:rPr>
          <w:rFonts w:hint="default"/>
        </w:rPr>
      </w:pPr>
      <w:r>
        <w:rPr>
          <w:rFonts w:hint="default"/>
        </w:rPr>
        <w:t>g)</w:t>
      </w:r>
      <w:r>
        <w:rPr>
          <w:rFonts w:hint="eastAsia"/>
          <w:lang w:val="en-US" w:eastAsia="zh-CN"/>
        </w:rPr>
        <w:t xml:space="preserve"> </w:t>
      </w:r>
      <w:r>
        <w:rPr>
          <w:rFonts w:hint="default"/>
        </w:rPr>
        <w:t>委托方地址和检验地点。</w:t>
      </w:r>
    </w:p>
    <w:p>
      <w:pPr>
        <w:pStyle w:val="27"/>
        <w:rPr>
          <w:rFonts w:hint="default"/>
        </w:rPr>
      </w:pPr>
      <w:r>
        <w:rPr>
          <w:rFonts w:hint="default"/>
        </w:rPr>
        <w:t>h)</w:t>
      </w:r>
      <w:r>
        <w:rPr>
          <w:rFonts w:hint="eastAsia"/>
          <w:lang w:val="en-US" w:eastAsia="zh-CN"/>
        </w:rPr>
        <w:t xml:space="preserve"> </w:t>
      </w:r>
      <w:r>
        <w:rPr>
          <w:rFonts w:hint="default"/>
        </w:rPr>
        <w:t>送样日期和检验日期。</w:t>
      </w:r>
    </w:p>
    <w:p>
      <w:pPr>
        <w:pStyle w:val="27"/>
        <w:rPr>
          <w:rFonts w:hint="default"/>
        </w:rPr>
      </w:pPr>
      <w:r>
        <w:rPr>
          <w:rFonts w:hint="default"/>
        </w:rPr>
        <w:t>i)</w:t>
      </w:r>
      <w:r>
        <w:rPr>
          <w:rFonts w:hint="eastAsia"/>
          <w:lang w:val="en-US" w:eastAsia="zh-CN"/>
        </w:rPr>
        <w:t xml:space="preserve"> </w:t>
      </w:r>
      <w:r>
        <w:rPr>
          <w:rFonts w:hint="default"/>
        </w:rPr>
        <w:t>环境条件。</w:t>
      </w:r>
    </w:p>
    <w:p>
      <w:pPr>
        <w:pStyle w:val="27"/>
        <w:rPr>
          <w:rFonts w:hint="default"/>
        </w:rPr>
      </w:pPr>
      <w:r>
        <w:rPr>
          <w:rFonts w:hint="default"/>
        </w:rPr>
        <w:t>j)</w:t>
      </w:r>
      <w:r>
        <w:rPr>
          <w:rFonts w:hint="eastAsia"/>
          <w:lang w:val="en-US" w:eastAsia="zh-CN"/>
        </w:rPr>
        <w:t xml:space="preserve"> </w:t>
      </w:r>
      <w:r>
        <w:rPr>
          <w:rFonts w:hint="default"/>
        </w:rPr>
        <w:t>检验用仪器设备（具有可追溯性编号并在有效期内）。</w:t>
      </w:r>
    </w:p>
    <w:p>
      <w:pPr>
        <w:pStyle w:val="27"/>
        <w:rPr>
          <w:rFonts w:hint="default"/>
        </w:rPr>
      </w:pPr>
      <w:r>
        <w:rPr>
          <w:rFonts w:hint="default"/>
        </w:rPr>
        <w:t>k)</w:t>
      </w:r>
      <w:r>
        <w:rPr>
          <w:rFonts w:hint="eastAsia"/>
          <w:lang w:val="en-US" w:eastAsia="zh-CN"/>
        </w:rPr>
        <w:t xml:space="preserve"> </w:t>
      </w:r>
      <w:r>
        <w:rPr>
          <w:rFonts w:hint="default"/>
        </w:rPr>
        <w:t>检验依据标准。</w:t>
      </w:r>
    </w:p>
    <w:p>
      <w:pPr>
        <w:pStyle w:val="27"/>
        <w:rPr>
          <w:rFonts w:hint="default"/>
        </w:rPr>
      </w:pPr>
      <w:r>
        <w:rPr>
          <w:rFonts w:hint="default"/>
        </w:rPr>
        <w:t>l)</w:t>
      </w:r>
      <w:r>
        <w:rPr>
          <w:rFonts w:hint="eastAsia"/>
          <w:lang w:val="en-US" w:eastAsia="zh-CN"/>
        </w:rPr>
        <w:t xml:space="preserve"> </w:t>
      </w:r>
      <w:r>
        <w:rPr>
          <w:rFonts w:hint="default"/>
        </w:rPr>
        <w:t>检验检测方法。</w:t>
      </w:r>
    </w:p>
    <w:p>
      <w:pPr>
        <w:pStyle w:val="27"/>
        <w:rPr>
          <w:rFonts w:hint="default"/>
        </w:rPr>
      </w:pPr>
      <w:r>
        <w:rPr>
          <w:rFonts w:hint="default"/>
        </w:rPr>
        <w:t>m)</w:t>
      </w:r>
      <w:r>
        <w:rPr>
          <w:rFonts w:hint="eastAsia"/>
          <w:lang w:val="en-US" w:eastAsia="zh-CN"/>
        </w:rPr>
        <w:t xml:space="preserve"> </w:t>
      </w:r>
      <w:r>
        <w:rPr>
          <w:rFonts w:hint="default"/>
        </w:rPr>
        <w:t>检验结论。</w:t>
      </w:r>
    </w:p>
    <w:p>
      <w:pPr>
        <w:pStyle w:val="27"/>
        <w:rPr>
          <w:rFonts w:hint="default"/>
        </w:rPr>
      </w:pPr>
      <w:r>
        <w:rPr>
          <w:rFonts w:hint="default"/>
        </w:rPr>
        <w:t>n)</w:t>
      </w:r>
      <w:r>
        <w:rPr>
          <w:rFonts w:hint="eastAsia"/>
          <w:lang w:val="en-US" w:eastAsia="zh-CN"/>
        </w:rPr>
        <w:t xml:space="preserve"> </w:t>
      </w:r>
      <w:r>
        <w:rPr>
          <w:rFonts w:hint="default"/>
        </w:rPr>
        <w:t>检验、审核和批准人员签字。</w:t>
      </w:r>
    </w:p>
    <w:p>
      <w:pPr>
        <w:pStyle w:val="27"/>
        <w:rPr>
          <w:rFonts w:hint="default"/>
        </w:rPr>
      </w:pPr>
      <w:r>
        <w:rPr>
          <w:rFonts w:hint="default"/>
        </w:rPr>
        <w:t>o)</w:t>
      </w:r>
      <w:r>
        <w:rPr>
          <w:rFonts w:hint="eastAsia"/>
          <w:lang w:val="en-US" w:eastAsia="zh-CN"/>
        </w:rPr>
        <w:t xml:space="preserve"> </w:t>
      </w:r>
      <w:r>
        <w:rPr>
          <w:rFonts w:hint="default"/>
        </w:rPr>
        <w:t>检验项目结果清单。</w:t>
      </w:r>
    </w:p>
    <w:p>
      <w:pPr>
        <w:pStyle w:val="27"/>
        <w:rPr>
          <w:rFonts w:hint="default"/>
        </w:rPr>
      </w:pPr>
      <w:r>
        <w:rPr>
          <w:rFonts w:hint="default"/>
        </w:rPr>
        <w:t>p)</w:t>
      </w:r>
      <w:r>
        <w:rPr>
          <w:rFonts w:hint="eastAsia"/>
          <w:lang w:val="en-US" w:eastAsia="zh-CN"/>
        </w:rPr>
        <w:t xml:space="preserve"> </w:t>
      </w:r>
      <w:r>
        <w:rPr>
          <w:rFonts w:hint="default"/>
        </w:rPr>
        <w:t>判废和降级使用的理由，附图片说明。</w:t>
      </w:r>
    </w:p>
    <w:p>
      <w:pPr>
        <w:pStyle w:val="27"/>
        <w:rPr>
          <w:rFonts w:hint="default"/>
        </w:rPr>
      </w:pPr>
      <w:r>
        <w:rPr>
          <w:rFonts w:hint="default"/>
          <w:sz w:val="18"/>
          <w:szCs w:val="18"/>
        </w:rPr>
        <w:t>注：检验报告宜附带可查询真伪的二维码。</w:t>
      </w:r>
    </w:p>
    <w:p>
      <w:pPr>
        <w:pStyle w:val="48"/>
        <w:spacing w:before="312" w:after="312"/>
        <w:outlineLvl w:val="2"/>
        <w:rPr>
          <w:rFonts w:hint="default" w:ascii="Times New Roman" w:hAnsi="Times New Roman" w:cs="Times New Roman"/>
        </w:rPr>
      </w:pPr>
      <w:bookmarkStart w:id="95" w:name="_Toc2810"/>
      <w:r>
        <w:rPr>
          <w:rFonts w:hint="eastAsia" w:ascii="Times New Roman" w:cs="Times New Roman"/>
          <w:lang w:val="en-US" w:eastAsia="zh-CN"/>
        </w:rPr>
        <w:t>失效分析</w:t>
      </w:r>
      <w:bookmarkEnd w:id="95"/>
    </w:p>
    <w:p>
      <w:pPr>
        <w:pStyle w:val="45"/>
        <w:spacing w:before="156" w:after="156"/>
        <w:ind w:left="0"/>
        <w:jc w:val="left"/>
        <w:outlineLvl w:val="3"/>
        <w:rPr>
          <w:rFonts w:hint="default" w:ascii="Times New Roman" w:hAnsi="Times New Roman" w:cs="Times New Roman"/>
        </w:rPr>
      </w:pPr>
      <w:bookmarkStart w:id="96" w:name="_Toc14640"/>
      <w:bookmarkStart w:id="97" w:name="_Toc454020891"/>
      <w:bookmarkStart w:id="98" w:name="_Toc452448439"/>
      <w:bookmarkStart w:id="99" w:name="_Toc456769470"/>
      <w:bookmarkStart w:id="100" w:name="_Toc453679159"/>
      <w:bookmarkStart w:id="101" w:name="_Toc453662117"/>
      <w:bookmarkStart w:id="102" w:name="_Toc518484719"/>
      <w:bookmarkStart w:id="103" w:name="_Toc456595840"/>
      <w:bookmarkStart w:id="104" w:name="_Toc454028507"/>
      <w:bookmarkStart w:id="105" w:name="_Toc453662424"/>
      <w:bookmarkStart w:id="106" w:name="_Toc529433250"/>
      <w:bookmarkStart w:id="107" w:name="_Toc454019043"/>
      <w:bookmarkStart w:id="108" w:name="_Toc511382169"/>
      <w:bookmarkStart w:id="109" w:name="_Toc454096915"/>
      <w:bookmarkStart w:id="110" w:name="_Toc529373879"/>
      <w:bookmarkStart w:id="111" w:name="_Toc450569578"/>
      <w:bookmarkStart w:id="112" w:name="_Toc498354413"/>
      <w:bookmarkStart w:id="113" w:name="_Toc453666113"/>
      <w:bookmarkStart w:id="114" w:name="_Toc453750085"/>
      <w:bookmarkStart w:id="115" w:name="_Toc450558042"/>
      <w:bookmarkStart w:id="116" w:name="_Toc452450215"/>
      <w:bookmarkStart w:id="117" w:name="_Toc511491708"/>
      <w:bookmarkStart w:id="118" w:name="_Toc452450144"/>
      <w:bookmarkStart w:id="119" w:name="_Toc456621678"/>
      <w:bookmarkStart w:id="120" w:name="_Toc452448435"/>
      <w:bookmarkStart w:id="121" w:name="_Toc529373762"/>
      <w:bookmarkStart w:id="122" w:name="_Toc529374968"/>
      <w:bookmarkStart w:id="123" w:name="_Toc453506756"/>
      <w:bookmarkStart w:id="124" w:name="_Toc511484927"/>
      <w:bookmarkStart w:id="125" w:name="_Toc454198679"/>
      <w:bookmarkStart w:id="126" w:name="_Toc529717164"/>
      <w:bookmarkStart w:id="127" w:name="_Toc453750030"/>
      <w:bookmarkStart w:id="128" w:name="_Toc456596075"/>
      <w:bookmarkStart w:id="129" w:name="_Toc450557901"/>
      <w:bookmarkStart w:id="130" w:name="_Toc529373817"/>
      <w:bookmarkStart w:id="131" w:name="_Toc511494828"/>
      <w:bookmarkStart w:id="132" w:name="_Toc511493283"/>
      <w:bookmarkStart w:id="133" w:name="_Toc454199166"/>
      <w:bookmarkStart w:id="134" w:name="_Toc519675639"/>
      <w:bookmarkStart w:id="135" w:name="_Toc454198741"/>
      <w:bookmarkStart w:id="136" w:name="_Toc456769713"/>
      <w:r>
        <w:rPr>
          <w:rFonts w:hint="eastAsia" w:ascii="Times New Roman" w:cs="Times New Roman"/>
          <w:lang w:val="en-US" w:eastAsia="zh-CN"/>
        </w:rPr>
        <w:t>弯头冲蚀磨损</w:t>
      </w:r>
      <w:bookmarkEnd w:id="96"/>
    </w:p>
    <w:p>
      <w:pPr>
        <w:pStyle w:val="27"/>
        <w:rPr>
          <w:rFonts w:hint="default" w:ascii="Times New Roman" w:hAnsi="Times New Roman" w:cs="Times New Roman"/>
        </w:rPr>
      </w:pPr>
      <w:r>
        <w:rPr>
          <w:rFonts w:hint="default" w:ascii="Times New Roman" w:hAnsi="Times New Roman" w:cs="Times New Roman"/>
        </w:rPr>
        <w:t>冲蚀及磨损的主要部位位于弯头的外拱内壁处及靠近弯头的附近部位，如附录B图 3所示。冲蚀部位呈现出条纹、沟洼及麻坑，通过测厚可发现冲蚀部位有明显减薄现象。</w:t>
      </w:r>
    </w:p>
    <w:p>
      <w:pPr>
        <w:pStyle w:val="27"/>
        <w:rPr>
          <w:rFonts w:hint="default" w:ascii="Times New Roman" w:hAnsi="Times New Roman" w:cs="Times New Roman"/>
        </w:rPr>
      </w:pPr>
      <w:r>
        <w:rPr>
          <w:rFonts w:hint="default" w:ascii="Times New Roman" w:hAnsi="Times New Roman" w:cs="Times New Roman"/>
        </w:rPr>
        <w:t>弯头表面的冲蚀磨损主要由机械力产生，压裂液中的砂粒具有很高的硬度，其硬度可能超过管汇材质，在运动过程中对金属材质表面造成微切削和塑性变形。另外，压裂液在柱塞泵往复式推力作用下，形成脉动反复循环力，在各种因素的共同作用下，弯头表面产生沟洼、孔洞和裂纹。弯头的最大冲蚀磨损率与平均磨损率随着压裂液流量和砂粒浓度的增加而增加，随着弯头内壁直径的增大而减小。流场的最大压力区分布在弯头的外拱内壁区域，同时该区域的疲劳寿命次数最低。</w:t>
      </w:r>
    </w:p>
    <w:p>
      <w:pPr>
        <w:pStyle w:val="45"/>
        <w:spacing w:before="156" w:after="156"/>
        <w:ind w:left="0"/>
        <w:jc w:val="left"/>
        <w:outlineLvl w:val="3"/>
        <w:rPr>
          <w:rFonts w:hint="default" w:ascii="Times New Roman" w:cs="Times New Roman"/>
          <w:lang w:val="en-US" w:eastAsia="zh-CN"/>
        </w:rPr>
      </w:pPr>
      <w:bookmarkStart w:id="137" w:name="_Toc18384"/>
      <w:r>
        <w:rPr>
          <w:rFonts w:hint="default" w:ascii="Times New Roman" w:cs="Times New Roman"/>
          <w:lang w:val="en-US" w:eastAsia="zh-CN"/>
        </w:rPr>
        <w:t>由壬连接接头断裂</w:t>
      </w:r>
      <w:bookmarkEnd w:id="137"/>
    </w:p>
    <w:p>
      <w:pPr>
        <w:pStyle w:val="27"/>
        <w:rPr>
          <w:rFonts w:hint="default" w:ascii="Times New Roman" w:hAnsi="Times New Roman" w:cs="Times New Roman"/>
        </w:rPr>
      </w:pPr>
      <w:r>
        <w:rPr>
          <w:rFonts w:hint="default" w:ascii="Times New Roman" w:hAnsi="Times New Roman" w:cs="Times New Roman"/>
        </w:rPr>
        <w:t>由壬连接接头的断裂部位大多位于由壬圈中的母头螺纹部位，裂纹源从螺纹底部过渡部位沿径向向内部扩展，如附录B图 4所示。机加工缺陷和热处理不当是导致由壬接头断裂的主要原因。在机加工过程中齿根过渡部位的Ｒ圆弧过渡较小，易在该部位形成应力集中区域，在应力集中部位形成裂纹，当裂纹扩展到一定程度时就会突然发生断裂现象。另外，调质处理的回火温度过低，会造成材料的硬度偏高，实际断口为脆性断口，可能是因为形成了第一类回火脆性，增大了工件脆性开裂的危险性。</w:t>
      </w:r>
    </w:p>
    <w:p>
      <w:pPr>
        <w:pStyle w:val="45"/>
        <w:spacing w:before="156" w:after="156"/>
        <w:ind w:left="0"/>
        <w:jc w:val="left"/>
        <w:outlineLvl w:val="3"/>
        <w:rPr>
          <w:rFonts w:hint="default" w:ascii="Times New Roman" w:cs="Times New Roman"/>
          <w:lang w:val="en-US" w:eastAsia="zh-CN"/>
        </w:rPr>
      </w:pPr>
      <w:bookmarkStart w:id="138" w:name="_Toc37146224"/>
      <w:bookmarkStart w:id="139" w:name="_Toc17226"/>
      <w:bookmarkStart w:id="140" w:name="_Toc28573"/>
      <w:r>
        <w:rPr>
          <w:rFonts w:hint="eastAsia" w:ascii="Times New Roman" w:cs="Times New Roman"/>
          <w:lang w:val="en-US" w:eastAsia="zh-CN"/>
        </w:rPr>
        <w:t>内壁腐蚀</w:t>
      </w:r>
      <w:bookmarkEnd w:id="138"/>
      <w:bookmarkEnd w:id="139"/>
      <w:bookmarkEnd w:id="140"/>
    </w:p>
    <w:p>
      <w:pPr>
        <w:pStyle w:val="66"/>
        <w:keepNext w:val="0"/>
        <w:keepLines w:val="0"/>
        <w:pageBreakBefore w:val="0"/>
        <w:widowControl/>
        <w:numPr>
          <w:ilvl w:val="2"/>
          <w:numId w:val="0"/>
        </w:numPr>
        <w:kinsoku/>
        <w:wordWrap/>
        <w:overflowPunct/>
        <w:topLinePunct w:val="0"/>
        <w:autoSpaceDE/>
        <w:autoSpaceDN/>
        <w:bidi w:val="0"/>
        <w:adjustRightInd/>
        <w:snapToGrid/>
        <w:spacing w:before="0" w:after="0"/>
        <w:ind w:leftChars="0" w:firstLine="420" w:firstLineChars="200"/>
        <w:jc w:val="left"/>
        <w:textAlignment w:val="auto"/>
        <w:outlineLvl w:val="4"/>
        <w:rPr>
          <w:rFonts w:hint="default" w:ascii="Times New Roman" w:hAnsi="Times New Roman" w:cs="Times New Roman"/>
        </w:rPr>
      </w:pPr>
      <w:r>
        <w:rPr>
          <w:rFonts w:hint="default" w:ascii="Times New Roman" w:hAnsi="Times New Roman" w:eastAsia="宋体" w:cs="Times New Roman"/>
          <w:sz w:val="21"/>
          <w:lang w:val="en-US" w:eastAsia="zh-CN" w:bidi="ar-SA"/>
        </w:rPr>
        <w:t>高压管汇处于高温、高压、高含硫化氢等苛刻环境下工作，而且管道因迂回转折而引起巨大拉压应力，易产生腐蚀坑，如附录B图 5所示。腐蚀失效为塑性失效，腐蚀缺陷区的等效应力达到屈服极限后管线失效。均匀腐蚀区的等效应力随缺陷长度和深度的增加而增加，局部腐蚀区的等效应力随腐蚀深度的增加而增加，随半径的增加而减小。</w:t>
      </w:r>
    </w:p>
    <w:p>
      <w:pPr>
        <w:pStyle w:val="45"/>
        <w:spacing w:before="156" w:after="156"/>
        <w:ind w:left="0"/>
        <w:jc w:val="left"/>
        <w:outlineLvl w:val="3"/>
        <w:rPr>
          <w:rFonts w:hint="default" w:ascii="Times New Roman" w:cs="Times New Roman"/>
          <w:lang w:val="en-US" w:eastAsia="zh-CN"/>
        </w:rPr>
      </w:pPr>
      <w:bookmarkStart w:id="141" w:name="_Toc24287"/>
      <w:r>
        <w:rPr>
          <w:rFonts w:hint="default" w:ascii="Times New Roman" w:cs="Times New Roman"/>
          <w:lang w:val="en-US" w:eastAsia="zh-CN"/>
        </w:rPr>
        <w:t>活动弯头断裂</w:t>
      </w:r>
      <w:bookmarkEnd w:id="141"/>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Pr>
        <w:pStyle w:val="66"/>
        <w:keepNext w:val="0"/>
        <w:keepLines w:val="0"/>
        <w:pageBreakBefore w:val="0"/>
        <w:widowControl/>
        <w:numPr>
          <w:ilvl w:val="2"/>
          <w:numId w:val="0"/>
        </w:numPr>
        <w:kinsoku/>
        <w:wordWrap/>
        <w:overflowPunct/>
        <w:topLinePunct w:val="0"/>
        <w:autoSpaceDE/>
        <w:autoSpaceDN/>
        <w:bidi w:val="0"/>
        <w:adjustRightInd/>
        <w:snapToGrid/>
        <w:spacing w:before="0" w:after="0"/>
        <w:ind w:left="0" w:leftChars="0" w:firstLine="420" w:firstLineChars="200"/>
        <w:textAlignment w:val="auto"/>
        <w:outlineLvl w:val="4"/>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如附录B图 6所示，活动弯头断裂失效原因：</w:t>
      </w:r>
    </w:p>
    <w:p>
      <w:pPr>
        <w:pStyle w:val="66"/>
        <w:keepNext w:val="0"/>
        <w:keepLines w:val="0"/>
        <w:pageBreakBefore w:val="0"/>
        <w:widowControl/>
        <w:numPr>
          <w:ilvl w:val="2"/>
          <w:numId w:val="0"/>
        </w:numPr>
        <w:kinsoku/>
        <w:wordWrap/>
        <w:overflowPunct/>
        <w:topLinePunct w:val="0"/>
        <w:autoSpaceDE/>
        <w:autoSpaceDN/>
        <w:bidi w:val="0"/>
        <w:adjustRightInd/>
        <w:snapToGrid/>
        <w:spacing w:before="0" w:after="0"/>
        <w:ind w:left="0" w:leftChars="0" w:firstLine="420" w:firstLineChars="200"/>
        <w:textAlignment w:val="auto"/>
        <w:outlineLvl w:val="4"/>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a)</w:t>
      </w:r>
      <w:r>
        <w:rPr>
          <w:rFonts w:hint="eastAsia" w:ascii="Times New Roman" w:cs="Times New Roman"/>
          <w:sz w:val="21"/>
          <w:lang w:val="en-US" w:eastAsia="zh-CN" w:bidi="ar-SA"/>
        </w:rPr>
        <w:t xml:space="preserve"> </w:t>
      </w:r>
      <w:r>
        <w:rPr>
          <w:rFonts w:hint="default" w:ascii="Times New Roman" w:hAnsi="Times New Roman" w:eastAsia="宋体" w:cs="Times New Roman"/>
          <w:sz w:val="21"/>
          <w:lang w:val="en-US" w:eastAsia="zh-CN" w:bidi="ar-SA"/>
        </w:rPr>
        <w:t>机械性能不合格，低温冲击韧性平均值低于标准规定值，导致产品脆性大、韧性差。</w:t>
      </w:r>
    </w:p>
    <w:p>
      <w:pPr>
        <w:pStyle w:val="66"/>
        <w:keepNext w:val="0"/>
        <w:keepLines w:val="0"/>
        <w:pageBreakBefore w:val="0"/>
        <w:widowControl/>
        <w:numPr>
          <w:ilvl w:val="2"/>
          <w:numId w:val="0"/>
        </w:numPr>
        <w:kinsoku/>
        <w:wordWrap/>
        <w:overflowPunct/>
        <w:topLinePunct w:val="0"/>
        <w:autoSpaceDE/>
        <w:autoSpaceDN/>
        <w:bidi w:val="0"/>
        <w:adjustRightInd/>
        <w:snapToGrid/>
        <w:spacing w:before="0" w:after="0"/>
        <w:ind w:left="0" w:leftChars="0" w:firstLine="420" w:firstLineChars="200"/>
        <w:textAlignment w:val="auto"/>
        <w:outlineLvl w:val="4"/>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b)</w:t>
      </w:r>
      <w:r>
        <w:rPr>
          <w:rFonts w:hint="eastAsia" w:ascii="Times New Roman" w:cs="Times New Roman"/>
          <w:sz w:val="21"/>
          <w:lang w:val="en-US" w:eastAsia="zh-CN" w:bidi="ar-SA"/>
        </w:rPr>
        <w:t xml:space="preserve"> </w:t>
      </w:r>
      <w:r>
        <w:rPr>
          <w:rFonts w:hint="default" w:ascii="Times New Roman" w:hAnsi="Times New Roman" w:eastAsia="宋体" w:cs="Times New Roman"/>
          <w:sz w:val="21"/>
          <w:lang w:val="en-US" w:eastAsia="zh-CN" w:bidi="ar-SA"/>
        </w:rPr>
        <w:t>金相组织不均匀，原材料不合格，材料中有害元素P、S含量很高，材料组织致密度差，导致产品快速失效。</w:t>
      </w:r>
    </w:p>
    <w:p>
      <w:pPr>
        <w:pStyle w:val="66"/>
        <w:keepNext w:val="0"/>
        <w:keepLines w:val="0"/>
        <w:pageBreakBefore w:val="0"/>
        <w:widowControl/>
        <w:numPr>
          <w:ilvl w:val="2"/>
          <w:numId w:val="0"/>
        </w:numPr>
        <w:kinsoku/>
        <w:wordWrap/>
        <w:overflowPunct/>
        <w:topLinePunct w:val="0"/>
        <w:autoSpaceDE/>
        <w:autoSpaceDN/>
        <w:bidi w:val="0"/>
        <w:adjustRightInd/>
        <w:snapToGrid/>
        <w:spacing w:before="0" w:after="0"/>
        <w:ind w:left="0" w:leftChars="0" w:firstLine="420" w:firstLineChars="200"/>
        <w:textAlignment w:val="auto"/>
        <w:outlineLvl w:val="4"/>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c)</w:t>
      </w:r>
      <w:r>
        <w:rPr>
          <w:rFonts w:hint="eastAsia" w:ascii="Times New Roman" w:cs="Times New Roman"/>
          <w:sz w:val="21"/>
          <w:lang w:val="en-US" w:eastAsia="zh-CN" w:bidi="ar-SA"/>
        </w:rPr>
        <w:t xml:space="preserve"> </w:t>
      </w:r>
      <w:r>
        <w:rPr>
          <w:rFonts w:hint="default" w:ascii="Times New Roman" w:hAnsi="Times New Roman" w:eastAsia="宋体" w:cs="Times New Roman"/>
          <w:sz w:val="21"/>
          <w:lang w:val="en-US" w:eastAsia="zh-CN" w:bidi="ar-SA"/>
        </w:rPr>
        <w:t>通过对失效产品进行毛坯剖切，发现毛坯内表面有伤痕，内壁大面积拉伤。</w:t>
      </w:r>
    </w:p>
    <w:p>
      <w:pPr>
        <w:pStyle w:val="66"/>
        <w:keepNext w:val="0"/>
        <w:keepLines w:val="0"/>
        <w:pageBreakBefore w:val="0"/>
        <w:widowControl/>
        <w:numPr>
          <w:ilvl w:val="2"/>
          <w:numId w:val="0"/>
        </w:numPr>
        <w:kinsoku/>
        <w:wordWrap/>
        <w:overflowPunct/>
        <w:topLinePunct w:val="0"/>
        <w:autoSpaceDE/>
        <w:autoSpaceDN/>
        <w:bidi w:val="0"/>
        <w:adjustRightInd/>
        <w:snapToGrid/>
        <w:spacing w:before="0" w:after="0"/>
        <w:ind w:left="0" w:leftChars="0" w:firstLine="420" w:firstLineChars="200"/>
        <w:textAlignment w:val="auto"/>
        <w:outlineLvl w:val="4"/>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d)</w:t>
      </w:r>
      <w:r>
        <w:rPr>
          <w:rFonts w:hint="eastAsia" w:ascii="Times New Roman" w:cs="Times New Roman"/>
          <w:sz w:val="21"/>
          <w:lang w:val="en-US" w:eastAsia="zh-CN" w:bidi="ar-SA"/>
        </w:rPr>
        <w:t xml:space="preserve"> </w:t>
      </w:r>
      <w:r>
        <w:rPr>
          <w:rFonts w:hint="default" w:ascii="Times New Roman" w:hAnsi="Times New Roman" w:eastAsia="宋体" w:cs="Times New Roman"/>
          <w:sz w:val="21"/>
          <w:lang w:val="en-US" w:eastAsia="zh-CN" w:bidi="ar-SA"/>
        </w:rPr>
        <w:t>可能是在煨弯过程中芯轴拉伤所致，这种缺陷必定导致应力集中。</w:t>
      </w:r>
    </w:p>
    <w:p>
      <w:pPr>
        <w:pStyle w:val="45"/>
        <w:spacing w:before="156" w:after="156"/>
        <w:ind w:left="0"/>
        <w:jc w:val="left"/>
        <w:outlineLvl w:val="3"/>
        <w:rPr>
          <w:rFonts w:hint="default" w:ascii="Times New Roman" w:cs="Times New Roman"/>
          <w:lang w:val="en-US" w:eastAsia="zh-CN"/>
        </w:rPr>
      </w:pPr>
      <w:bookmarkStart w:id="142" w:name="_Toc30731"/>
      <w:r>
        <w:rPr>
          <w:rFonts w:hint="default" w:ascii="Times New Roman" w:cs="Times New Roman"/>
          <w:lang w:val="en-US" w:eastAsia="zh-CN"/>
        </w:rPr>
        <w:t>歧管接头断裂</w:t>
      </w:r>
      <w:bookmarkEnd w:id="142"/>
    </w:p>
    <w:p>
      <w:pPr>
        <w:pStyle w:val="66"/>
        <w:keepNext w:val="0"/>
        <w:keepLines w:val="0"/>
        <w:pageBreakBefore w:val="0"/>
        <w:widowControl/>
        <w:numPr>
          <w:ilvl w:val="2"/>
          <w:numId w:val="0"/>
        </w:numPr>
        <w:kinsoku/>
        <w:wordWrap/>
        <w:overflowPunct/>
        <w:topLinePunct w:val="0"/>
        <w:autoSpaceDE/>
        <w:autoSpaceDN/>
        <w:bidi w:val="0"/>
        <w:adjustRightInd/>
        <w:snapToGrid/>
        <w:spacing w:before="0" w:after="0"/>
        <w:ind w:leftChars="0" w:firstLine="420" w:firstLineChars="200"/>
        <w:textAlignment w:val="auto"/>
        <w:outlineLvl w:val="4"/>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歧管接头断裂如附录B图 7所示，其主要原因是撬架设计不合理，旋塞阀没有固定，带动整个管线上下振动，使歧管接头母由壬端迅速疲劳断裂。</w:t>
      </w:r>
    </w:p>
    <w:p>
      <w:pPr>
        <w:pStyle w:val="45"/>
        <w:spacing w:before="156" w:after="156"/>
        <w:ind w:left="0"/>
        <w:jc w:val="left"/>
        <w:outlineLvl w:val="3"/>
        <w:rPr>
          <w:rFonts w:hint="default" w:ascii="Times New Roman" w:cs="Times New Roman"/>
          <w:lang w:val="en-US" w:eastAsia="zh-CN"/>
        </w:rPr>
      </w:pPr>
      <w:bookmarkStart w:id="143" w:name="_Toc26337"/>
      <w:r>
        <w:rPr>
          <w:rFonts w:hint="default" w:ascii="Times New Roman" w:cs="Times New Roman"/>
          <w:lang w:val="en-US" w:eastAsia="zh-CN"/>
        </w:rPr>
        <w:t>活动弯头活动关节刺漏</w:t>
      </w:r>
      <w:bookmarkEnd w:id="143"/>
    </w:p>
    <w:p>
      <w:pPr>
        <w:pStyle w:val="66"/>
        <w:keepNext w:val="0"/>
        <w:keepLines w:val="0"/>
        <w:pageBreakBefore w:val="0"/>
        <w:widowControl/>
        <w:numPr>
          <w:ilvl w:val="2"/>
          <w:numId w:val="0"/>
        </w:numPr>
        <w:kinsoku/>
        <w:wordWrap/>
        <w:overflowPunct/>
        <w:topLinePunct w:val="0"/>
        <w:autoSpaceDE/>
        <w:autoSpaceDN/>
        <w:bidi w:val="0"/>
        <w:adjustRightInd/>
        <w:snapToGrid/>
        <w:spacing w:before="0" w:after="0"/>
        <w:ind w:leftChars="0" w:firstLine="420" w:firstLineChars="200"/>
        <w:textAlignment w:val="auto"/>
        <w:outlineLvl w:val="4"/>
        <w:rPr>
          <w:rFonts w:hint="default" w:ascii="Times New Roman" w:hAnsi="Times New Roman" w:cs="Times New Roman"/>
        </w:rPr>
      </w:pPr>
      <w:r>
        <w:rPr>
          <w:rFonts w:hint="default" w:ascii="Times New Roman" w:hAnsi="Times New Roman" w:eastAsia="宋体" w:cs="Times New Roman"/>
          <w:sz w:val="21"/>
          <w:lang w:val="en-US" w:eastAsia="zh-CN" w:bidi="ar-SA"/>
        </w:rPr>
        <w:t>活动弯头活动关节刺漏的原因可能是密封件存在质量问题，非金属材料不耐酸。也可能弯头零件最终热处理后没有进行精加工，热处理变形没有消除，导致球道直径方向变形，装配后的内外接头存在挤压应力。热处理后的变形导致密封端面平面度过大，两配合零件端面不平行，从而导致密封失效。</w:t>
      </w:r>
    </w:p>
    <w:p>
      <w:pPr>
        <w:pStyle w:val="45"/>
        <w:spacing w:before="156" w:after="156"/>
        <w:ind w:left="0"/>
        <w:jc w:val="left"/>
        <w:outlineLvl w:val="3"/>
        <w:rPr>
          <w:rFonts w:hint="default" w:ascii="Times New Roman" w:cs="Times New Roman"/>
          <w:lang w:val="en-US" w:eastAsia="zh-CN"/>
        </w:rPr>
      </w:pPr>
      <w:bookmarkStart w:id="144" w:name="_Toc24000"/>
      <w:r>
        <w:rPr>
          <w:rFonts w:hint="default" w:ascii="Times New Roman" w:cs="Times New Roman"/>
          <w:lang w:val="en-US" w:eastAsia="zh-CN"/>
        </w:rPr>
        <w:t>歧管刺漏</w:t>
      </w:r>
      <w:bookmarkEnd w:id="144"/>
    </w:p>
    <w:p>
      <w:pPr>
        <w:pStyle w:val="66"/>
        <w:keepNext w:val="0"/>
        <w:keepLines w:val="0"/>
        <w:pageBreakBefore w:val="0"/>
        <w:widowControl/>
        <w:numPr>
          <w:ilvl w:val="2"/>
          <w:numId w:val="0"/>
        </w:numPr>
        <w:kinsoku/>
        <w:wordWrap/>
        <w:overflowPunct/>
        <w:topLinePunct w:val="0"/>
        <w:autoSpaceDE/>
        <w:autoSpaceDN/>
        <w:bidi w:val="0"/>
        <w:adjustRightInd/>
        <w:snapToGrid/>
        <w:spacing w:before="0" w:after="0"/>
        <w:ind w:leftChars="0" w:firstLine="420" w:firstLineChars="200"/>
        <w:textAlignment w:val="auto"/>
        <w:outlineLvl w:val="4"/>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歧管刺漏如附录B图 8所示。对失效零件内孔进行荧光磁粉探伤，内壁出现多条纵向裂纹。歧管接头在热处理前，对内孔相贯线处尖锐部分没有倒圆，造成热处理应力集中，尖角处出现微裂纹。应在制造加工时对尖角进行打磨。</w:t>
      </w:r>
    </w:p>
    <w:p>
      <w:pPr>
        <w:pStyle w:val="45"/>
        <w:spacing w:before="156" w:after="156"/>
        <w:ind w:left="0"/>
        <w:jc w:val="left"/>
        <w:outlineLvl w:val="3"/>
        <w:rPr>
          <w:rFonts w:hint="default" w:ascii="Times New Roman" w:cs="Times New Roman"/>
          <w:lang w:val="en-US" w:eastAsia="zh-CN"/>
        </w:rPr>
      </w:pPr>
      <w:bookmarkStart w:id="145" w:name="_Toc6062"/>
      <w:r>
        <w:rPr>
          <w:rFonts w:hint="default" w:ascii="Times New Roman" w:cs="Times New Roman"/>
          <w:lang w:val="en-US" w:eastAsia="zh-CN"/>
        </w:rPr>
        <w:t>旋塞阀公由壬端刺漏</w:t>
      </w:r>
      <w:bookmarkEnd w:id="145"/>
    </w:p>
    <w:p>
      <w:pPr>
        <w:pStyle w:val="66"/>
        <w:keepNext w:val="0"/>
        <w:keepLines w:val="0"/>
        <w:pageBreakBefore w:val="0"/>
        <w:widowControl/>
        <w:numPr>
          <w:ilvl w:val="2"/>
          <w:numId w:val="0"/>
        </w:numPr>
        <w:kinsoku/>
        <w:wordWrap/>
        <w:overflowPunct/>
        <w:topLinePunct w:val="0"/>
        <w:autoSpaceDE/>
        <w:autoSpaceDN/>
        <w:bidi w:val="0"/>
        <w:adjustRightInd/>
        <w:snapToGrid/>
        <w:spacing w:before="0" w:after="0"/>
        <w:ind w:leftChars="0" w:firstLine="420" w:firstLineChars="200"/>
        <w:textAlignment w:val="auto"/>
        <w:outlineLvl w:val="4"/>
        <w:rPr>
          <w:rFonts w:hint="default" w:ascii="Times New Roman" w:hAnsi="Times New Roman" w:cs="Times New Roman"/>
        </w:rPr>
      </w:pPr>
      <w:r>
        <w:rPr>
          <w:rFonts w:hint="default" w:ascii="Times New Roman" w:hAnsi="Times New Roman" w:eastAsia="宋体" w:cs="Times New Roman"/>
          <w:sz w:val="21"/>
          <w:lang w:val="en-US" w:eastAsia="zh-CN" w:bidi="ar-SA"/>
        </w:rPr>
        <w:t>对失效零件表面进行荧光磁粉探伤，发现轴颈处根部有环状裂纹，如附录B图 9所示，裂纹由外向内进行扩张，裂纹为应力裂纹。低温冲击韧性远低于标准规定值，导致产品脆性大，韧性差。</w:t>
      </w:r>
    </w:p>
    <w:p>
      <w:pPr>
        <w:pStyle w:val="45"/>
        <w:spacing w:before="156" w:after="156"/>
        <w:ind w:left="0"/>
        <w:jc w:val="left"/>
        <w:outlineLvl w:val="3"/>
        <w:rPr>
          <w:rFonts w:hint="default" w:ascii="Times New Roman" w:cs="Times New Roman"/>
          <w:lang w:val="en-US" w:eastAsia="zh-CN"/>
        </w:rPr>
      </w:pPr>
      <w:bookmarkStart w:id="146" w:name="_Toc5177"/>
      <w:r>
        <w:rPr>
          <w:rFonts w:hint="default" w:ascii="Times New Roman" w:cs="Times New Roman"/>
          <w:lang w:val="en-US" w:eastAsia="zh-CN"/>
        </w:rPr>
        <w:t>管汇内壁裂纹</w:t>
      </w:r>
      <w:bookmarkEnd w:id="146"/>
    </w:p>
    <w:p>
      <w:pPr>
        <w:pStyle w:val="27"/>
        <w:rPr>
          <w:rFonts w:hint="default" w:ascii="Times New Roman" w:hAnsi="Times New Roman" w:cs="Times New Roman"/>
        </w:rPr>
      </w:pPr>
      <w:r>
        <w:rPr>
          <w:rFonts w:hint="default" w:ascii="Times New Roman" w:hAnsi="Times New Roman" w:cs="Times New Roman"/>
        </w:rPr>
        <w:t>通过荧光磁粉检测，发现弯头和直管内壁存在裂纹，如附录B图 10所示。其原因是管汇受到长期阶段性循环施压，应力集中，金属疲劳失效。</w:t>
      </w:r>
    </w:p>
    <w:p>
      <w:pPr>
        <w:pStyle w:val="66"/>
        <w:numPr>
          <w:ilvl w:val="0"/>
          <w:numId w:val="0"/>
        </w:numPr>
        <w:spacing w:before="0" w:after="0"/>
        <w:outlineLvl w:val="4"/>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jc w:val="center"/>
        <w:outlineLvl w:val="0"/>
        <w:rPr>
          <w:rFonts w:ascii="Calibri" w:hAnsi="Calibri" w:eastAsia="黑体"/>
          <w:szCs w:val="22"/>
        </w:rPr>
      </w:pPr>
      <w:bookmarkStart w:id="147" w:name="_Toc26985"/>
      <w:bookmarkStart w:id="148" w:name="_Toc19910"/>
      <w:r>
        <w:rPr>
          <w:rFonts w:hint="eastAsia" w:ascii="Calibri" w:hAnsi="Calibri" w:eastAsia="黑体"/>
          <w:spacing w:val="101"/>
          <w:kern w:val="0"/>
          <w:szCs w:val="22"/>
          <w:fitText w:val="1050" w:id="1965495038"/>
        </w:rPr>
        <w:t>附录</w:t>
      </w:r>
      <w:r>
        <w:rPr>
          <w:rFonts w:hint="eastAsia" w:ascii="Calibri" w:hAnsi="Calibri" w:eastAsia="黑体"/>
          <w:spacing w:val="1"/>
          <w:kern w:val="0"/>
          <w:szCs w:val="22"/>
          <w:fitText w:val="1050" w:id="1965495038"/>
        </w:rPr>
        <w:t>A</w:t>
      </w:r>
      <w:bookmarkEnd w:id="147"/>
      <w:bookmarkEnd w:id="148"/>
    </w:p>
    <w:p>
      <w:pPr>
        <w:jc w:val="center"/>
        <w:rPr>
          <w:rFonts w:ascii="Arial" w:hAnsi="Arial" w:eastAsia="黑体"/>
        </w:rPr>
      </w:pPr>
      <w:r>
        <w:rPr>
          <w:rFonts w:hint="eastAsia" w:ascii="Arial" w:hAnsi="Arial" w:eastAsia="黑体"/>
        </w:rPr>
        <w:t>（规范性附录）</w:t>
      </w:r>
    </w:p>
    <w:p>
      <w:pPr>
        <w:jc w:val="center"/>
        <w:rPr>
          <w:rFonts w:ascii="Calibri" w:hAnsi="Calibri" w:eastAsia="黑体"/>
          <w:szCs w:val="22"/>
        </w:rPr>
      </w:pPr>
      <w:r>
        <w:rPr>
          <w:rFonts w:hint="eastAsia" w:ascii="Arial" w:hAnsi="Arial" w:eastAsia="黑体"/>
        </w:rPr>
        <w:t>高压管汇连接示意图</w:t>
      </w:r>
    </w:p>
    <w:p>
      <w:r>
        <w:rPr>
          <w:rFonts w:hint="eastAsia"/>
        </w:rPr>
        <w:t>高压管汇连接示意图见</w:t>
      </w:r>
      <w:r>
        <w:rPr>
          <w:rFonts w:hint="eastAsia"/>
        </w:rPr>
        <w:fldChar w:fldCharType="begin"/>
      </w:r>
      <w:r>
        <w:rPr>
          <w:rFonts w:hint="eastAsia"/>
        </w:rPr>
        <w:instrText xml:space="preserve"> REF _Ref17685 \h </w:instrText>
      </w:r>
      <w:r>
        <w:rPr>
          <w:rFonts w:hint="eastAsia"/>
        </w:rPr>
        <w:fldChar w:fldCharType="separate"/>
      </w:r>
      <w:r>
        <w:t>图 2</w:t>
      </w:r>
      <w:r>
        <w:rPr>
          <w:rFonts w:hint="eastAsia"/>
        </w:rPr>
        <w:fldChar w:fldCharType="end"/>
      </w:r>
      <w:r>
        <w:rPr>
          <w:rFonts w:hint="eastAsia"/>
        </w:rPr>
        <w:t>。</w:t>
      </w:r>
    </w:p>
    <w:p>
      <w:pPr>
        <w:pStyle w:val="66"/>
        <w:numPr>
          <w:ilvl w:val="0"/>
          <w:numId w:val="0"/>
        </w:numPr>
        <w:spacing w:before="0" w:after="0"/>
        <w:rPr>
          <w:rFonts w:hint="default" w:ascii="Times New Roman" w:hAnsi="Times New Roman" w:cs="Times New Roman"/>
        </w:rPr>
      </w:pPr>
      <w:r>
        <w:drawing>
          <wp:inline distT="0" distB="0" distL="114300" distR="114300">
            <wp:extent cx="6153150" cy="3263900"/>
            <wp:effectExtent l="0" t="0" r="3810" b="12700"/>
            <wp:docPr id="11" name="_x0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19"/>
                    <pic:cNvPicPr>
                      <a:picLocks noChangeAspect="1"/>
                    </pic:cNvPicPr>
                  </pic:nvPicPr>
                  <pic:blipFill>
                    <a:blip r:embed="rId9"/>
                    <a:stretch>
                      <a:fillRect/>
                    </a:stretch>
                  </pic:blipFill>
                  <pic:spPr>
                    <a:xfrm>
                      <a:off x="0" y="0"/>
                      <a:ext cx="6153150" cy="3263900"/>
                    </a:xfrm>
                    <a:prstGeom prst="rect">
                      <a:avLst/>
                    </a:prstGeom>
                    <a:noFill/>
                    <a:ln w="9525">
                      <a:noFill/>
                    </a:ln>
                  </pic:spPr>
                </pic:pic>
              </a:graphicData>
            </a:graphic>
          </wp:inline>
        </w:drawing>
      </w:r>
    </w:p>
    <w:p>
      <w:pPr>
        <w:pStyle w:val="131"/>
        <w:bidi w:val="0"/>
        <w:rPr>
          <w:rFonts w:hint="default" w:ascii="Times New Roman" w:hAnsi="Times New Roman" w:cs="Times New Roman"/>
        </w:rPr>
      </w:pPr>
      <w:r>
        <w:rPr>
          <w:rFonts w:hint="eastAsia"/>
        </w:rPr>
        <w:t xml:space="preserve"> 高压管汇连接示意图</w:t>
      </w:r>
    </w:p>
    <w:p>
      <w:pPr>
        <w:pStyle w:val="131"/>
        <w:numPr>
          <w:ilvl w:val="0"/>
          <w:numId w:val="0"/>
        </w:numPr>
        <w:bidi w:val="0"/>
        <w:ind w:leftChars="0"/>
        <w:jc w:val="both"/>
        <w:rPr>
          <w:rFonts w:hint="default" w:ascii="Times New Roman" w:hAnsi="Times New Roman" w:cs="Times New Roman"/>
        </w:rPr>
        <w:sectPr>
          <w:pgSz w:w="11906" w:h="16838"/>
          <w:pgMar w:top="567" w:right="1134" w:bottom="1134" w:left="1418" w:header="1418" w:footer="1134" w:gutter="0"/>
          <w:pgNumType w:start="1"/>
          <w:cols w:space="425" w:num="1"/>
          <w:formProt w:val="0"/>
          <w:docGrid w:type="lines" w:linePitch="312" w:charSpace="0"/>
        </w:sectPr>
      </w:pPr>
    </w:p>
    <w:p>
      <w:pPr>
        <w:jc w:val="center"/>
        <w:outlineLvl w:val="0"/>
        <w:rPr>
          <w:rFonts w:ascii="Calibri" w:hAnsi="Calibri" w:eastAsia="黑体"/>
          <w:szCs w:val="22"/>
        </w:rPr>
      </w:pPr>
      <w:bookmarkStart w:id="149" w:name="_Toc18692"/>
      <w:bookmarkStart w:id="150" w:name="_Toc21520"/>
      <w:r>
        <w:rPr>
          <w:rFonts w:hint="eastAsia" w:ascii="Calibri" w:hAnsi="Calibri" w:eastAsia="黑体"/>
          <w:spacing w:val="102"/>
          <w:kern w:val="0"/>
          <w:szCs w:val="22"/>
          <w:fitText w:val="1050" w:id="712856860"/>
        </w:rPr>
        <w:t>附录</w:t>
      </w:r>
      <w:r>
        <w:rPr>
          <w:rFonts w:hint="eastAsia" w:ascii="Calibri" w:hAnsi="Calibri" w:eastAsia="黑体"/>
          <w:spacing w:val="4"/>
          <w:kern w:val="0"/>
          <w:szCs w:val="22"/>
          <w:fitText w:val="1050" w:id="712856860"/>
        </w:rPr>
        <w:t>B</w:t>
      </w:r>
      <w:bookmarkEnd w:id="149"/>
      <w:bookmarkEnd w:id="150"/>
    </w:p>
    <w:p>
      <w:pPr>
        <w:jc w:val="center"/>
        <w:rPr>
          <w:rFonts w:ascii="Calibri" w:hAnsi="Calibri" w:eastAsia="黑体"/>
          <w:szCs w:val="22"/>
        </w:rPr>
      </w:pPr>
      <w:r>
        <w:rPr>
          <w:rFonts w:hint="eastAsia" w:ascii="Arial" w:hAnsi="Arial" w:eastAsia="黑体"/>
        </w:rPr>
        <w:t>（资料性附录）</w:t>
      </w:r>
    </w:p>
    <w:tbl>
      <w:tblPr>
        <w:tblStyle w:val="36"/>
        <w:tblW w:w="86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42"/>
        <w:gridCol w:w="4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2" w:type="dxa"/>
          </w:tcPr>
          <w:p>
            <w:pPr>
              <w:pStyle w:val="62"/>
              <w:numPr>
                <w:ilvl w:val="0"/>
                <w:numId w:val="0"/>
              </w:numPr>
              <w:jc w:val="center"/>
              <w:rPr>
                <w:rFonts w:ascii="Times New Roman"/>
                <w:szCs w:val="22"/>
              </w:rPr>
            </w:pPr>
            <w:r>
              <w:rPr>
                <w:rFonts w:ascii="Times New Roman"/>
                <w:szCs w:val="22"/>
              </w:rPr>
              <w:drawing>
                <wp:inline distT="0" distB="0" distL="0" distR="0">
                  <wp:extent cx="1440180" cy="1440180"/>
                  <wp:effectExtent l="0" t="0" r="7620" b="7620"/>
                  <wp:docPr id="4" name="Picture 2" descr="C:\Users\Administrator\Desktop\胜利油田井下特车大队弯头2010.12.29\DSC04581.JPG"/>
                  <wp:cNvGraphicFramePr/>
                  <a:graphic xmlns:a="http://schemas.openxmlformats.org/drawingml/2006/main">
                    <a:graphicData uri="http://schemas.openxmlformats.org/drawingml/2006/picture">
                      <pic:pic xmlns:pic="http://schemas.openxmlformats.org/drawingml/2006/picture">
                        <pic:nvPicPr>
                          <pic:cNvPr id="4" name="Picture 2" descr="C:\Users\Administrator\Desktop\胜利油田井下特车大队弯头2010.12.29\DSC04581.JPG"/>
                          <pic:cNvPicPr preferRelativeResize="0">
                            <a:picLocks noChangeArrowheads="1"/>
                          </pic:cNvPicPr>
                        </pic:nvPicPr>
                        <pic:blipFill>
                          <a:blip r:embed="rId10" cstate="print">
                            <a:grayscl/>
                            <a:extLst>
                              <a:ext uri="{28A0092B-C50C-407E-A947-70E740481C1C}">
                                <a14:useLocalDpi xmlns:a14="http://schemas.microsoft.com/office/drawing/2010/main" val="0"/>
                              </a:ext>
                            </a:extLst>
                          </a:blip>
                          <a:srcRect l="13062" r="8135"/>
                          <a:stretch>
                            <a:fillRect/>
                          </a:stretch>
                        </pic:blipFill>
                        <pic:spPr>
                          <a:xfrm>
                            <a:off x="0" y="0"/>
                            <a:ext cx="1440180" cy="1440180"/>
                          </a:xfrm>
                          <a:prstGeom prst="rect">
                            <a:avLst/>
                          </a:prstGeom>
                          <a:noFill/>
                        </pic:spPr>
                      </pic:pic>
                    </a:graphicData>
                  </a:graphic>
                </wp:inline>
              </w:drawing>
            </w:r>
          </w:p>
          <w:p>
            <w:pPr>
              <w:pStyle w:val="9"/>
              <w:tabs>
                <w:tab w:val="left" w:pos="840"/>
              </w:tabs>
              <w:jc w:val="center"/>
              <w:rPr>
                <w:rFonts w:ascii="Times New Roman" w:hAnsi="Times New Roman" w:cs="Times New Roman"/>
                <w:szCs w:val="22"/>
              </w:rPr>
            </w:pPr>
            <w:bookmarkStart w:id="151" w:name="_Ref8233"/>
            <w:r>
              <w:rPr>
                <w:rFonts w:ascii="Times New Roman" w:hAnsi="Times New Roman" w:cs="Times New Roman"/>
              </w:rPr>
              <w:t xml:space="preserve">图 </w:t>
            </w:r>
            <w:r>
              <w:rPr>
                <w:rFonts w:ascii="Times New Roman" w:hAnsi="Times New Roman" w:cs="Times New Roman"/>
              </w:rPr>
              <w:fldChar w:fldCharType="begin"/>
            </w:r>
            <w:r>
              <w:rPr>
                <w:rFonts w:ascii="Times New Roman" w:hAnsi="Times New Roman" w:cs="Times New Roman"/>
              </w:rPr>
              <w:instrText xml:space="preserve"> SEQ 图 \* ARABIC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bookmarkEnd w:id="151"/>
            <w:r>
              <w:rPr>
                <w:rFonts w:ascii="Times New Roman" w:hAnsi="Times New Roman" w:cs="Times New Roman"/>
              </w:rPr>
              <w:t xml:space="preserve"> </w:t>
            </w:r>
            <w:r>
              <w:rPr>
                <w:rFonts w:ascii="Times New Roman" w:hAnsi="Times New Roman" w:cs="Times New Roman"/>
                <w:szCs w:val="22"/>
              </w:rPr>
              <w:t>弯头冲蚀磨损</w:t>
            </w:r>
          </w:p>
        </w:tc>
        <w:tc>
          <w:tcPr>
            <w:tcW w:w="4337" w:type="dxa"/>
          </w:tcPr>
          <w:p>
            <w:pPr>
              <w:pStyle w:val="27"/>
              <w:ind w:firstLine="0" w:firstLineChars="0"/>
              <w:jc w:val="center"/>
              <w:rPr>
                <w:rFonts w:ascii="Times New Roman"/>
                <w:szCs w:val="22"/>
              </w:rPr>
            </w:pPr>
            <w:r>
              <w:rPr>
                <w:rFonts w:ascii="Times New Roman"/>
                <w:szCs w:val="22"/>
              </w:rPr>
              <w:drawing>
                <wp:inline distT="0" distB="0" distL="0" distR="0">
                  <wp:extent cx="1440180" cy="1440180"/>
                  <wp:effectExtent l="0" t="0" r="7620" b="7620"/>
                  <wp:docPr id="3074" name="Picture 2" descr="C:\Users\Administrator\AppData\Roaming\Tencent\Users\910389889\QQ\WinTemp\RichOle\QO$81GXP)~2)NHI2{4T9[A3.png"/>
                  <wp:cNvGraphicFramePr/>
                  <a:graphic xmlns:a="http://schemas.openxmlformats.org/drawingml/2006/main">
                    <a:graphicData uri="http://schemas.openxmlformats.org/drawingml/2006/picture">
                      <pic:pic xmlns:pic="http://schemas.openxmlformats.org/drawingml/2006/picture">
                        <pic:nvPicPr>
                          <pic:cNvPr id="3074" name="Picture 2" descr="C:\Users\Administrator\AppData\Roaming\Tencent\Users\910389889\QQ\WinTemp\RichOle\QO$81GXP)~2)NHI2{4T9[A3.png"/>
                          <pic:cNvPicPr preferRelativeResize="0">
                            <a:picLocks noChangeArrowheads="1"/>
                          </pic:cNvPicPr>
                        </pic:nvPicPr>
                        <pic:blipFill>
                          <a:blip r:embed="rId11" cstate="print">
                            <a:grayscl/>
                            <a:extLst>
                              <a:ext uri="{28A0092B-C50C-407E-A947-70E740481C1C}">
                                <a14:useLocalDpi xmlns:a14="http://schemas.microsoft.com/office/drawing/2010/main" val="0"/>
                              </a:ext>
                            </a:extLst>
                          </a:blip>
                          <a:srcRect l="8685" r="14185"/>
                          <a:stretch>
                            <a:fillRect/>
                          </a:stretch>
                        </pic:blipFill>
                        <pic:spPr>
                          <a:xfrm>
                            <a:off x="0" y="0"/>
                            <a:ext cx="1440180" cy="1440180"/>
                          </a:xfrm>
                          <a:prstGeom prst="rect">
                            <a:avLst/>
                          </a:prstGeom>
                          <a:noFill/>
                        </pic:spPr>
                      </pic:pic>
                    </a:graphicData>
                  </a:graphic>
                </wp:inline>
              </w:drawing>
            </w:r>
          </w:p>
          <w:p>
            <w:pPr>
              <w:pStyle w:val="9"/>
              <w:tabs>
                <w:tab w:val="center" w:pos="4201"/>
                <w:tab w:val="right" w:leader="dot" w:pos="9298"/>
              </w:tabs>
              <w:jc w:val="center"/>
              <w:rPr>
                <w:rFonts w:ascii="Times New Roman" w:hAnsi="Times New Roman" w:cs="Times New Roman"/>
              </w:rPr>
            </w:pPr>
            <w:bookmarkStart w:id="152" w:name="_Ref8187"/>
            <w:r>
              <w:rPr>
                <w:rFonts w:ascii="Times New Roman" w:hAnsi="Times New Roman" w:cs="Times New Roman"/>
              </w:rPr>
              <w:t xml:space="preserve">图 </w:t>
            </w:r>
            <w:r>
              <w:rPr>
                <w:rFonts w:ascii="Times New Roman" w:hAnsi="Times New Roman" w:cs="Times New Roman"/>
              </w:rPr>
              <w:fldChar w:fldCharType="begin"/>
            </w:r>
            <w:r>
              <w:rPr>
                <w:rFonts w:ascii="Times New Roman" w:hAnsi="Times New Roman" w:cs="Times New Roman"/>
              </w:rPr>
              <w:instrText xml:space="preserve"> SEQ 图 \* ARABIC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bookmarkEnd w:id="152"/>
            <w:r>
              <w:rPr>
                <w:rFonts w:ascii="Times New Roman" w:hAnsi="Times New Roman" w:cs="Times New Roman"/>
              </w:rPr>
              <w:t xml:space="preserve"> </w:t>
            </w:r>
            <w:r>
              <w:rPr>
                <w:rFonts w:ascii="Times New Roman" w:hAnsi="Times New Roman" w:cs="Times New Roman"/>
                <w:szCs w:val="22"/>
              </w:rPr>
              <w:t>由壬连接接头断裂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2" w:type="dxa"/>
          </w:tcPr>
          <w:p>
            <w:pPr>
              <w:pStyle w:val="27"/>
              <w:ind w:firstLine="0" w:firstLineChars="0"/>
              <w:jc w:val="center"/>
              <w:rPr>
                <w:rFonts w:ascii="Times New Roman"/>
                <w:szCs w:val="22"/>
              </w:rPr>
            </w:pPr>
            <w:r>
              <w:rPr>
                <w:rFonts w:ascii="Times New Roman"/>
                <w:szCs w:val="22"/>
              </w:rPr>
              <w:drawing>
                <wp:inline distT="0" distB="0" distL="0" distR="0">
                  <wp:extent cx="1440815" cy="1439545"/>
                  <wp:effectExtent l="0" t="0" r="6985" b="8255"/>
                  <wp:docPr id="7" name="Picture 14" descr="SDC17942"/>
                  <wp:cNvGraphicFramePr/>
                  <a:graphic xmlns:a="http://schemas.openxmlformats.org/drawingml/2006/main">
                    <a:graphicData uri="http://schemas.openxmlformats.org/drawingml/2006/picture">
                      <pic:pic xmlns:pic="http://schemas.openxmlformats.org/drawingml/2006/picture">
                        <pic:nvPicPr>
                          <pic:cNvPr id="7" name="Picture 14" descr="SDC17942"/>
                          <pic:cNvPicPr preferRelativeResize="0">
                            <a:picLocks noChangeArrowheads="1"/>
                          </pic:cNvPicPr>
                        </pic:nvPicPr>
                        <pic:blipFill>
                          <a:blip r:embed="rId12" cstate="print">
                            <a:grayscl/>
                          </a:blip>
                          <a:srcRect l="24868"/>
                          <a:stretch>
                            <a:fillRect/>
                          </a:stretch>
                        </pic:blipFill>
                        <pic:spPr>
                          <a:xfrm>
                            <a:off x="0" y="0"/>
                            <a:ext cx="1440815" cy="1440000"/>
                          </a:xfrm>
                          <a:prstGeom prst="rect">
                            <a:avLst/>
                          </a:prstGeom>
                          <a:noFill/>
                          <a:ln w="76200">
                            <a:noFill/>
                            <a:miter lim="800000"/>
                            <a:headEnd/>
                            <a:tailEnd/>
                          </a:ln>
                        </pic:spPr>
                      </pic:pic>
                    </a:graphicData>
                  </a:graphic>
                </wp:inline>
              </w:drawing>
            </w:r>
          </w:p>
          <w:p>
            <w:pPr>
              <w:pStyle w:val="9"/>
              <w:tabs>
                <w:tab w:val="center" w:pos="4201"/>
                <w:tab w:val="right" w:leader="dot" w:pos="9298"/>
              </w:tabs>
              <w:jc w:val="center"/>
              <w:rPr>
                <w:rFonts w:ascii="Times New Roman" w:hAnsi="Times New Roman" w:cs="Times New Roman"/>
                <w:szCs w:val="22"/>
              </w:rPr>
            </w:pPr>
            <w:bookmarkStart w:id="153" w:name="_Ref8736"/>
            <w:r>
              <w:rPr>
                <w:rFonts w:ascii="Times New Roman" w:hAnsi="Times New Roman" w:cs="Times New Roman"/>
              </w:rPr>
              <w:t xml:space="preserve">图 </w:t>
            </w:r>
            <w:r>
              <w:rPr>
                <w:rFonts w:ascii="Times New Roman" w:hAnsi="Times New Roman" w:cs="Times New Roman"/>
              </w:rPr>
              <w:fldChar w:fldCharType="begin"/>
            </w:r>
            <w:r>
              <w:rPr>
                <w:rFonts w:ascii="Times New Roman" w:hAnsi="Times New Roman" w:cs="Times New Roman"/>
              </w:rPr>
              <w:instrText xml:space="preserve"> SEQ 图 \* ARABIC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bookmarkEnd w:id="153"/>
            <w:r>
              <w:rPr>
                <w:rFonts w:ascii="Times New Roman" w:hAnsi="Times New Roman" w:cs="Times New Roman"/>
              </w:rPr>
              <w:t xml:space="preserve"> </w:t>
            </w:r>
            <w:r>
              <w:rPr>
                <w:rFonts w:ascii="Times New Roman" w:hAnsi="Times New Roman" w:cs="Times New Roman"/>
                <w:szCs w:val="22"/>
              </w:rPr>
              <w:t>内壁腐蚀</w:t>
            </w:r>
          </w:p>
        </w:tc>
        <w:tc>
          <w:tcPr>
            <w:tcW w:w="4337" w:type="dxa"/>
          </w:tcPr>
          <w:p>
            <w:pPr>
              <w:pStyle w:val="62"/>
              <w:numPr>
                <w:ilvl w:val="0"/>
                <w:numId w:val="0"/>
              </w:numPr>
              <w:jc w:val="center"/>
              <w:rPr>
                <w:rFonts w:ascii="Times New Roman"/>
                <w:szCs w:val="22"/>
              </w:rPr>
            </w:pPr>
            <w:r>
              <w:rPr>
                <w:rFonts w:ascii="Times New Roman"/>
                <w:szCs w:val="22"/>
              </w:rPr>
              <w:drawing>
                <wp:inline distT="0" distB="0" distL="0" distR="0">
                  <wp:extent cx="1440180" cy="1440180"/>
                  <wp:effectExtent l="0" t="0" r="7620" b="7620"/>
                  <wp:docPr id="30" name="Picture 9" descr="QQ图片20150506224930"/>
                  <wp:cNvGraphicFramePr/>
                  <a:graphic xmlns:a="http://schemas.openxmlformats.org/drawingml/2006/main">
                    <a:graphicData uri="http://schemas.openxmlformats.org/drawingml/2006/picture">
                      <pic:pic xmlns:pic="http://schemas.openxmlformats.org/drawingml/2006/picture">
                        <pic:nvPicPr>
                          <pic:cNvPr id="30" name="Picture 9" descr="QQ图片20150506224930"/>
                          <pic:cNvPicPr preferRelativeResize="0">
                            <a:picLocks noChangeArrowheads="1"/>
                          </pic:cNvPicPr>
                        </pic:nvPicPr>
                        <pic:blipFill>
                          <a:blip r:embed="rId13" cstate="print">
                            <a:grayscl/>
                            <a:extLst>
                              <a:ext uri="{28A0092B-C50C-407E-A947-70E740481C1C}">
                                <a14:useLocalDpi xmlns:a14="http://schemas.microsoft.com/office/drawing/2010/main" val="0"/>
                              </a:ext>
                            </a:extLst>
                          </a:blip>
                          <a:srcRect l="26795" t="26467" r="31843"/>
                          <a:stretch>
                            <a:fillRect/>
                          </a:stretch>
                        </pic:blipFill>
                        <pic:spPr>
                          <a:xfrm>
                            <a:off x="0" y="0"/>
                            <a:ext cx="1440180" cy="1440180"/>
                          </a:xfrm>
                          <a:prstGeom prst="rect">
                            <a:avLst/>
                          </a:prstGeom>
                          <a:noFill/>
                          <a:ln>
                            <a:noFill/>
                          </a:ln>
                        </pic:spPr>
                      </pic:pic>
                    </a:graphicData>
                  </a:graphic>
                </wp:inline>
              </w:drawing>
            </w:r>
            <w:bookmarkStart w:id="154" w:name="_Ref518739610"/>
          </w:p>
          <w:p>
            <w:pPr>
              <w:pStyle w:val="9"/>
              <w:tabs>
                <w:tab w:val="left" w:pos="840"/>
              </w:tabs>
              <w:jc w:val="center"/>
              <w:rPr>
                <w:rFonts w:ascii="Times New Roman" w:hAnsi="Times New Roman" w:cs="Times New Roman"/>
              </w:rPr>
            </w:pPr>
            <w:bookmarkStart w:id="155" w:name="_Ref9105"/>
            <w:r>
              <w:rPr>
                <w:rFonts w:ascii="Times New Roman" w:hAnsi="Times New Roman" w:cs="Times New Roman"/>
              </w:rPr>
              <w:t xml:space="preserve">图 </w:t>
            </w:r>
            <w:r>
              <w:rPr>
                <w:rFonts w:ascii="Times New Roman" w:hAnsi="Times New Roman" w:cs="Times New Roman"/>
              </w:rPr>
              <w:fldChar w:fldCharType="begin"/>
            </w:r>
            <w:r>
              <w:rPr>
                <w:rFonts w:ascii="Times New Roman" w:hAnsi="Times New Roman" w:cs="Times New Roman"/>
              </w:rPr>
              <w:instrText xml:space="preserve"> SEQ 图 \* ARABIC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bookmarkEnd w:id="155"/>
            <w:r>
              <w:rPr>
                <w:rFonts w:ascii="Times New Roman" w:hAnsi="Times New Roman" w:cs="Times New Roman"/>
              </w:rPr>
              <w:t xml:space="preserve"> </w:t>
            </w:r>
            <w:bookmarkEnd w:id="154"/>
            <w:r>
              <w:rPr>
                <w:rFonts w:ascii="Times New Roman" w:hAnsi="Times New Roman" w:cs="Times New Roman"/>
                <w:szCs w:val="22"/>
              </w:rPr>
              <w:t>活动弯头断裂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2" w:type="dxa"/>
          </w:tcPr>
          <w:p>
            <w:pPr>
              <w:pStyle w:val="27"/>
              <w:ind w:firstLine="0" w:firstLineChars="0"/>
              <w:jc w:val="center"/>
              <w:rPr>
                <w:rFonts w:ascii="Times New Roman"/>
                <w:szCs w:val="22"/>
              </w:rPr>
            </w:pPr>
            <w:r>
              <w:rPr>
                <w:rFonts w:ascii="Times New Roman"/>
                <w:szCs w:val="22"/>
              </w:rPr>
              <w:drawing>
                <wp:inline distT="0" distB="0" distL="0" distR="0">
                  <wp:extent cx="1440180" cy="1439545"/>
                  <wp:effectExtent l="0" t="0" r="7620" b="8255"/>
                  <wp:docPr id="50178" name="Picture 8" descr="图片3"/>
                  <wp:cNvGraphicFramePr/>
                  <a:graphic xmlns:a="http://schemas.openxmlformats.org/drawingml/2006/main">
                    <a:graphicData uri="http://schemas.openxmlformats.org/drawingml/2006/picture">
                      <pic:pic xmlns:pic="http://schemas.openxmlformats.org/drawingml/2006/picture">
                        <pic:nvPicPr>
                          <pic:cNvPr id="50178" name="Picture 8" descr="图片3"/>
                          <pic:cNvPicPr preferRelativeResize="0">
                            <a:picLocks noChangeArrowheads="1"/>
                          </pic:cNvPicPr>
                        </pic:nvPicPr>
                        <pic:blipFill>
                          <a:blip r:embed="rId14" cstate="print">
                            <a:grayscl/>
                            <a:extLst>
                              <a:ext uri="{28A0092B-C50C-407E-A947-70E740481C1C}">
                                <a14:useLocalDpi xmlns:a14="http://schemas.microsoft.com/office/drawing/2010/main" val="0"/>
                              </a:ext>
                            </a:extLst>
                          </a:blip>
                          <a:srcRect l="-1433" t="16060" r="5242" b="29601"/>
                          <a:stretch>
                            <a:fillRect/>
                          </a:stretch>
                        </pic:blipFill>
                        <pic:spPr>
                          <a:xfrm>
                            <a:off x="0" y="0"/>
                            <a:ext cx="1440180" cy="1440000"/>
                          </a:xfrm>
                          <a:prstGeom prst="rect">
                            <a:avLst/>
                          </a:prstGeom>
                          <a:noFill/>
                        </pic:spPr>
                      </pic:pic>
                    </a:graphicData>
                  </a:graphic>
                </wp:inline>
              </w:drawing>
            </w:r>
          </w:p>
          <w:p>
            <w:pPr>
              <w:pStyle w:val="9"/>
              <w:tabs>
                <w:tab w:val="center" w:pos="4201"/>
                <w:tab w:val="right" w:leader="dot" w:pos="9298"/>
              </w:tabs>
              <w:jc w:val="center"/>
              <w:rPr>
                <w:rFonts w:ascii="Times New Roman" w:hAnsi="Times New Roman" w:cs="Times New Roman"/>
              </w:rPr>
            </w:pPr>
            <w:bookmarkStart w:id="156" w:name="_Ref10147"/>
            <w:r>
              <w:rPr>
                <w:rFonts w:ascii="Times New Roman" w:hAnsi="Times New Roman" w:cs="Times New Roman"/>
              </w:rPr>
              <w:t xml:space="preserve">图 </w:t>
            </w:r>
            <w:r>
              <w:rPr>
                <w:rFonts w:ascii="Times New Roman" w:hAnsi="Times New Roman" w:cs="Times New Roman"/>
              </w:rPr>
              <w:fldChar w:fldCharType="begin"/>
            </w:r>
            <w:r>
              <w:rPr>
                <w:rFonts w:ascii="Times New Roman" w:hAnsi="Times New Roman" w:cs="Times New Roman"/>
              </w:rPr>
              <w:instrText xml:space="preserve"> SEQ 图 \* ARABIC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bookmarkEnd w:id="156"/>
            <w:r>
              <w:rPr>
                <w:rFonts w:ascii="Times New Roman" w:hAnsi="Times New Roman" w:cs="Times New Roman"/>
              </w:rPr>
              <w:t xml:space="preserve"> </w:t>
            </w:r>
            <w:r>
              <w:rPr>
                <w:rFonts w:ascii="Times New Roman" w:hAnsi="Times New Roman" w:cs="Times New Roman"/>
                <w:szCs w:val="22"/>
              </w:rPr>
              <w:t>歧管接头断裂</w:t>
            </w:r>
          </w:p>
        </w:tc>
        <w:tc>
          <w:tcPr>
            <w:tcW w:w="4337" w:type="dxa"/>
          </w:tcPr>
          <w:p>
            <w:pPr>
              <w:pStyle w:val="27"/>
              <w:ind w:firstLine="0" w:firstLineChars="0"/>
              <w:jc w:val="center"/>
              <w:rPr>
                <w:rFonts w:ascii="Times New Roman"/>
                <w:szCs w:val="22"/>
              </w:rPr>
            </w:pPr>
            <w:r>
              <w:rPr>
                <w:rFonts w:ascii="Times New Roman"/>
                <w:szCs w:val="22"/>
              </w:rPr>
              <w:drawing>
                <wp:inline distT="0" distB="0" distL="0" distR="0">
                  <wp:extent cx="1440180" cy="1439545"/>
                  <wp:effectExtent l="0" t="0" r="7620" b="8255"/>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referRelativeResize="0">
                            <a:picLocks noChangeArrowheads="1"/>
                          </pic:cNvPicPr>
                        </pic:nvPicPr>
                        <pic:blipFill>
                          <a:blip r:embed="rId15" cstate="print">
                            <a:grayscl/>
                            <a:extLst>
                              <a:ext uri="{28A0092B-C50C-407E-A947-70E740481C1C}">
                                <a14:useLocalDpi xmlns:a14="http://schemas.microsoft.com/office/drawing/2010/main" val="0"/>
                              </a:ext>
                            </a:extLst>
                          </a:blip>
                          <a:srcRect t="17157"/>
                          <a:stretch>
                            <a:fillRect/>
                          </a:stretch>
                        </pic:blipFill>
                        <pic:spPr>
                          <a:xfrm>
                            <a:off x="0" y="0"/>
                            <a:ext cx="1440180" cy="1440000"/>
                          </a:xfrm>
                          <a:prstGeom prst="rect">
                            <a:avLst/>
                          </a:prstGeom>
                          <a:noFill/>
                          <a:ln>
                            <a:noFill/>
                          </a:ln>
                          <a:effectLst/>
                        </pic:spPr>
                      </pic:pic>
                    </a:graphicData>
                  </a:graphic>
                </wp:inline>
              </w:drawing>
            </w:r>
          </w:p>
          <w:p>
            <w:pPr>
              <w:pStyle w:val="9"/>
              <w:tabs>
                <w:tab w:val="center" w:pos="4201"/>
                <w:tab w:val="right" w:leader="dot" w:pos="9298"/>
              </w:tabs>
              <w:jc w:val="center"/>
              <w:rPr>
                <w:rFonts w:ascii="Times New Roman" w:hAnsi="Times New Roman" w:cs="Times New Roman"/>
              </w:rPr>
            </w:pPr>
            <w:bookmarkStart w:id="157" w:name="_Ref10588"/>
            <w:r>
              <w:rPr>
                <w:rFonts w:ascii="Times New Roman" w:hAnsi="Times New Roman" w:cs="Times New Roman"/>
              </w:rPr>
              <w:t xml:space="preserve">图 </w:t>
            </w:r>
            <w:r>
              <w:rPr>
                <w:rFonts w:ascii="Times New Roman" w:hAnsi="Times New Roman" w:cs="Times New Roman"/>
              </w:rPr>
              <w:fldChar w:fldCharType="begin"/>
            </w:r>
            <w:r>
              <w:rPr>
                <w:rFonts w:ascii="Times New Roman" w:hAnsi="Times New Roman" w:cs="Times New Roman"/>
              </w:rPr>
              <w:instrText xml:space="preserve"> SEQ 图 \* ARABIC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bookmarkEnd w:id="157"/>
            <w:r>
              <w:rPr>
                <w:rFonts w:ascii="Times New Roman" w:hAnsi="Times New Roman" w:cs="Times New Roman"/>
              </w:rPr>
              <w:t xml:space="preserve"> </w:t>
            </w:r>
            <w:r>
              <w:rPr>
                <w:rFonts w:ascii="Times New Roman" w:hAnsi="Times New Roman" w:cs="Times New Roman"/>
                <w:szCs w:val="22"/>
              </w:rPr>
              <w:t>歧管刺漏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42" w:type="dxa"/>
          </w:tcPr>
          <w:p>
            <w:pPr>
              <w:pStyle w:val="27"/>
              <w:ind w:firstLine="0" w:firstLineChars="0"/>
              <w:jc w:val="center"/>
              <w:rPr>
                <w:rFonts w:ascii="Times New Roman"/>
                <w:szCs w:val="22"/>
              </w:rPr>
            </w:pPr>
            <w:r>
              <w:rPr>
                <w:rFonts w:ascii="Times New Roman"/>
                <w:szCs w:val="22"/>
              </w:rPr>
              <w:drawing>
                <wp:inline distT="0" distB="0" distL="0" distR="0">
                  <wp:extent cx="1440180" cy="1439545"/>
                  <wp:effectExtent l="9525" t="9525" r="13335" b="13970"/>
                  <wp:docPr id="25" name="Picture 7"/>
                  <wp:cNvGraphicFramePr/>
                  <a:graphic xmlns:a="http://schemas.openxmlformats.org/drawingml/2006/main">
                    <a:graphicData uri="http://schemas.openxmlformats.org/drawingml/2006/picture">
                      <pic:pic xmlns:pic="http://schemas.openxmlformats.org/drawingml/2006/picture">
                        <pic:nvPicPr>
                          <pic:cNvPr id="25" name="Picture 7"/>
                          <pic:cNvPicPr preferRelativeResize="0">
                            <a:picLocks noChangeArrowheads="1"/>
                          </pic:cNvPicPr>
                        </pic:nvPicPr>
                        <pic:blipFill>
                          <a:blip r:embed="rId16" cstate="print">
                            <a:grayscl/>
                            <a:extLst>
                              <a:ext uri="{28A0092B-C50C-407E-A947-70E740481C1C}">
                                <a14:useLocalDpi xmlns:a14="http://schemas.microsoft.com/office/drawing/2010/main" val="0"/>
                              </a:ext>
                            </a:extLst>
                          </a:blip>
                          <a:srcRect r="3678"/>
                          <a:stretch>
                            <a:fillRect/>
                          </a:stretch>
                        </pic:blipFill>
                        <pic:spPr>
                          <a:xfrm>
                            <a:off x="0" y="0"/>
                            <a:ext cx="1440180" cy="1440000"/>
                          </a:xfrm>
                          <a:prstGeom prst="rect">
                            <a:avLst/>
                          </a:prstGeom>
                          <a:noFill/>
                          <a:ln>
                            <a:solidFill>
                              <a:schemeClr val="bg1"/>
                            </a:solidFill>
                          </a:ln>
                        </pic:spPr>
                      </pic:pic>
                    </a:graphicData>
                  </a:graphic>
                </wp:inline>
              </w:drawing>
            </w:r>
          </w:p>
          <w:p>
            <w:pPr>
              <w:pStyle w:val="9"/>
              <w:tabs>
                <w:tab w:val="center" w:pos="4201"/>
                <w:tab w:val="right" w:leader="dot" w:pos="9298"/>
              </w:tabs>
              <w:jc w:val="center"/>
              <w:rPr>
                <w:rFonts w:ascii="Times New Roman" w:hAnsi="Times New Roman" w:cs="Times New Roman"/>
              </w:rPr>
            </w:pPr>
            <w:bookmarkStart w:id="158" w:name="_Ref10810"/>
            <w:r>
              <w:rPr>
                <w:rFonts w:ascii="Times New Roman" w:hAnsi="Times New Roman" w:cs="Times New Roman"/>
              </w:rPr>
              <w:t xml:space="preserve">图 </w:t>
            </w:r>
            <w:r>
              <w:rPr>
                <w:rFonts w:ascii="Times New Roman" w:hAnsi="Times New Roman" w:cs="Times New Roman"/>
              </w:rPr>
              <w:fldChar w:fldCharType="begin"/>
            </w:r>
            <w:r>
              <w:rPr>
                <w:rFonts w:ascii="Times New Roman" w:hAnsi="Times New Roman" w:cs="Times New Roman"/>
              </w:rPr>
              <w:instrText xml:space="preserve"> SEQ 图 \* ARABIC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bookmarkEnd w:id="158"/>
            <w:r>
              <w:rPr>
                <w:rFonts w:ascii="Times New Roman" w:hAnsi="Times New Roman" w:cs="Times New Roman"/>
              </w:rPr>
              <w:t xml:space="preserve"> </w:t>
            </w:r>
            <w:r>
              <w:rPr>
                <w:rFonts w:ascii="Times New Roman" w:hAnsi="Times New Roman" w:cs="Times New Roman"/>
                <w:szCs w:val="22"/>
              </w:rPr>
              <w:t>旋塞阀公由壬端刺漏</w:t>
            </w:r>
          </w:p>
        </w:tc>
        <w:tc>
          <w:tcPr>
            <w:tcW w:w="4337" w:type="dxa"/>
          </w:tcPr>
          <w:p>
            <w:pPr>
              <w:pStyle w:val="62"/>
              <w:numPr>
                <w:ilvl w:val="0"/>
                <w:numId w:val="0"/>
              </w:numPr>
              <w:jc w:val="center"/>
              <w:rPr>
                <w:rFonts w:ascii="Times New Roman"/>
                <w:szCs w:val="22"/>
              </w:rPr>
            </w:pPr>
            <w:r>
              <w:rPr>
                <w:rFonts w:ascii="Times New Roman"/>
                <w:szCs w:val="22"/>
              </w:rPr>
              <w:drawing>
                <wp:inline distT="0" distB="0" distL="0" distR="0">
                  <wp:extent cx="1440180" cy="1439545"/>
                  <wp:effectExtent l="0" t="0" r="7620" b="8255"/>
                  <wp:docPr id="31" name="Picture 39" descr="SDC17644"/>
                  <wp:cNvGraphicFramePr/>
                  <a:graphic xmlns:a="http://schemas.openxmlformats.org/drawingml/2006/main">
                    <a:graphicData uri="http://schemas.openxmlformats.org/drawingml/2006/picture">
                      <pic:pic xmlns:pic="http://schemas.openxmlformats.org/drawingml/2006/picture">
                        <pic:nvPicPr>
                          <pic:cNvPr id="31" name="Picture 39" descr="SDC17644"/>
                          <pic:cNvPicPr preferRelativeResize="0">
                            <a:picLocks noChangeArrowheads="1"/>
                          </pic:cNvPicPr>
                        </pic:nvPicPr>
                        <pic:blipFill>
                          <a:blip r:embed="rId17" cstate="print">
                            <a:grayscl/>
                          </a:blip>
                          <a:srcRect l="16248" r="6784"/>
                          <a:stretch>
                            <a:fillRect/>
                          </a:stretch>
                        </pic:blipFill>
                        <pic:spPr>
                          <a:xfrm>
                            <a:off x="0" y="0"/>
                            <a:ext cx="1440180" cy="1440000"/>
                          </a:xfrm>
                          <a:prstGeom prst="rect">
                            <a:avLst/>
                          </a:prstGeom>
                          <a:noFill/>
                          <a:ln w="76200">
                            <a:noFill/>
                            <a:miter lim="800000"/>
                            <a:headEnd/>
                            <a:tailEnd/>
                          </a:ln>
                        </pic:spPr>
                      </pic:pic>
                    </a:graphicData>
                  </a:graphic>
                </wp:inline>
              </w:drawing>
            </w:r>
          </w:p>
          <w:p>
            <w:pPr>
              <w:pStyle w:val="9"/>
              <w:tabs>
                <w:tab w:val="left" w:pos="840"/>
              </w:tabs>
              <w:jc w:val="center"/>
              <w:rPr>
                <w:rFonts w:ascii="Times New Roman" w:hAnsi="Times New Roman" w:cs="Times New Roman"/>
                <w:szCs w:val="22"/>
              </w:rPr>
            </w:pPr>
            <w:bookmarkStart w:id="159" w:name="_Ref11140"/>
            <w:r>
              <w:rPr>
                <w:rFonts w:ascii="Times New Roman" w:hAnsi="Times New Roman" w:cs="Times New Roman"/>
              </w:rPr>
              <w:t xml:space="preserve">图 </w:t>
            </w:r>
            <w:r>
              <w:rPr>
                <w:rFonts w:ascii="Times New Roman" w:hAnsi="Times New Roman" w:cs="Times New Roman"/>
              </w:rPr>
              <w:fldChar w:fldCharType="begin"/>
            </w:r>
            <w:r>
              <w:rPr>
                <w:rFonts w:ascii="Times New Roman" w:hAnsi="Times New Roman" w:cs="Times New Roman"/>
              </w:rPr>
              <w:instrText xml:space="preserve"> SEQ 图 \* ARABIC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bookmarkEnd w:id="159"/>
            <w:r>
              <w:rPr>
                <w:rFonts w:ascii="Times New Roman" w:hAnsi="Times New Roman" w:cs="Times New Roman"/>
              </w:rPr>
              <w:t xml:space="preserve"> </w:t>
            </w:r>
            <w:r>
              <w:rPr>
                <w:rFonts w:ascii="Times New Roman" w:hAnsi="Times New Roman" w:cs="Times New Roman"/>
                <w:szCs w:val="22"/>
              </w:rPr>
              <w:t>管汇内壁裂纹</w:t>
            </w:r>
          </w:p>
        </w:tc>
      </w:tr>
    </w:tbl>
    <w:p>
      <w:pPr>
        <w:pStyle w:val="132"/>
        <w:framePr w:wrap="around" w:vAnchor="page" w:hAnchor="page" w:x="4249" w:y="2718"/>
        <w:rPr>
          <w:rFonts w:hint="default" w:ascii="Times New Roman" w:hAnsi="Times New Roman" w:cs="Times New Roman"/>
        </w:rPr>
      </w:pPr>
      <w:r>
        <w:rPr>
          <w:rFonts w:hint="default" w:ascii="Times New Roman" w:hAnsi="Times New Roman" w:cs="Times New Roman"/>
        </w:rPr>
        <w:t>_________________________________</w:t>
      </w:r>
    </w:p>
    <w:p>
      <w:pPr>
        <w:pStyle w:val="131"/>
        <w:numPr>
          <w:ilvl w:val="0"/>
          <w:numId w:val="0"/>
        </w:numPr>
        <w:bidi w:val="0"/>
        <w:ind w:leftChars="0"/>
        <w:jc w:val="both"/>
        <w:rPr>
          <w:rFonts w:hint="default" w:ascii="Times New Roman" w:hAnsi="Times New Roman" w:cs="Times New Roman"/>
        </w:rPr>
      </w:pPr>
    </w:p>
    <w:sectPr>
      <w:pgSz w:w="11906" w:h="16838"/>
      <w:pgMar w:top="567" w:right="1134" w:bottom="1134" w:left="1418"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ource Sans Pro">
    <w:altName w:val="Arial Unicode MS"/>
    <w:panose1 w:val="00000000000000000000"/>
    <w:charset w:val="86"/>
    <w:family w:val="swiss"/>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4151"/>
      <w:docPartObj>
        <w:docPartGallery w:val="autotext"/>
      </w:docPartObj>
    </w:sdtPr>
    <w:sdtContent>
      <w:p>
        <w:pPr>
          <w:pStyle w:val="21"/>
          <w:jc w:val="left"/>
        </w:pPr>
        <w:r>
          <w:fldChar w:fldCharType="begin"/>
        </w:r>
        <w:r>
          <w:instrText xml:space="preserve"> PAGE   \* MERGEFORMAT </w:instrText>
        </w:r>
        <w:r>
          <w:fldChar w:fldCharType="separate"/>
        </w:r>
        <w:r>
          <w:rPr>
            <w:lang w:val="zh-CN"/>
          </w:rPr>
          <w:t>II</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jc w:val="left"/>
    </w:pPr>
    <w:r>
      <w:t>Q/</w:t>
    </w:r>
    <w:r>
      <w:rPr>
        <w:rFonts w:hint="eastAsia"/>
      </w:rPr>
      <w:t>JQ</w:t>
    </w:r>
    <w:r>
      <w:t xml:space="preserve">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t>Q/</w:t>
    </w:r>
    <w:r>
      <w:rPr>
        <w:rFonts w:hint="eastAsia"/>
      </w:rPr>
      <w:t>JQ</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E0109"/>
    <w:multiLevelType w:val="multilevel"/>
    <w:tmpl w:val="D26E0109"/>
    <w:lvl w:ilvl="0" w:tentative="0">
      <w:start w:val="1"/>
      <w:numFmt w:val="decimal"/>
      <w:isLgl/>
      <w:lvlText w:val="%1"/>
      <w:lvlJc w:val="left"/>
      <w:pPr>
        <w:ind w:left="0" w:firstLine="0"/>
      </w:pPr>
      <w:rPr>
        <w:rFonts w:hint="default" w:ascii="楷体_GB2312" w:hAnsi="楷体_GB2312" w:eastAsia="楷体_GB2312" w:cs="楷体_GB2312"/>
        <w:sz w:val="21"/>
      </w:rPr>
    </w:lvl>
    <w:lvl w:ilvl="1" w:tentative="0">
      <w:start w:val="1"/>
      <w:numFmt w:val="decimal"/>
      <w:pStyle w:val="3"/>
      <w:isLgl/>
      <w:lvlText w:val="%1.%2"/>
      <w:lvlJc w:val="left"/>
      <w:pPr>
        <w:tabs>
          <w:tab w:val="left" w:pos="420"/>
        </w:tabs>
        <w:ind w:left="0" w:firstLine="0"/>
      </w:pPr>
      <w:rPr>
        <w:rFonts w:hint="default" w:ascii="楷体_GB2312" w:hAnsi="楷体_GB2312" w:eastAsia="楷体_GB2312" w:cs="楷体_GB2312"/>
        <w:sz w:val="21"/>
        <w:szCs w:val="21"/>
      </w:rPr>
    </w:lvl>
    <w:lvl w:ilvl="2" w:tentative="0">
      <w:start w:val="1"/>
      <w:numFmt w:val="decimal"/>
      <w:pStyle w:val="4"/>
      <w:isLgl/>
      <w:lvlText w:val="%1.%2.%3"/>
      <w:lvlJc w:val="left"/>
      <w:pPr>
        <w:ind w:left="0" w:firstLine="0"/>
      </w:pPr>
      <w:rPr>
        <w:rFonts w:hint="default" w:ascii="楷体_GB2312" w:hAnsi="楷体_GB2312" w:eastAsia="楷体_GB2312" w:cs="楷体_GB2312"/>
        <w:sz w:val="21"/>
      </w:rPr>
    </w:lvl>
    <w:lvl w:ilvl="3" w:tentative="0">
      <w:start w:val="1"/>
      <w:numFmt w:val="decimal"/>
      <w:pStyle w:val="5"/>
      <w:isLgl/>
      <w:lvlText w:val="%1.%2.%3.%4"/>
      <w:lvlJc w:val="left"/>
      <w:pPr>
        <w:ind w:left="0" w:firstLine="0"/>
      </w:pPr>
      <w:rPr>
        <w:rFonts w:hint="default" w:ascii="楷体_GB2312" w:hAnsi="楷体_GB2312" w:eastAsia="楷体_GB2312" w:cs="楷体_GB2312"/>
        <w:sz w:val="21"/>
      </w:rPr>
    </w:lvl>
    <w:lvl w:ilvl="4" w:tentative="0">
      <w:start w:val="7"/>
      <w:numFmt w:val="decimal"/>
      <w:isLgl/>
      <w:lvlText w:val="%5.3.1.7.1"/>
      <w:lvlJc w:val="left"/>
      <w:pPr>
        <w:ind w:left="0" w:firstLine="0"/>
      </w:pPr>
      <w:rPr>
        <w:rFonts w:hint="default" w:ascii="宋体" w:hAnsi="宋体" w:eastAsia="宋体" w:cs="宋体"/>
        <w:sz w:val="21"/>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79102AD"/>
    <w:multiLevelType w:val="multilevel"/>
    <w:tmpl w:val="079102AD"/>
    <w:lvl w:ilvl="0" w:tentative="0">
      <w:start w:val="1"/>
      <w:numFmt w:val="decimal"/>
      <w:pStyle w:val="6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1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3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2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6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4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5"/>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9"/>
      <w:suff w:val="nothing"/>
      <w:lvlText w:val="%1.%2.%3　"/>
      <w:lvlJc w:val="left"/>
      <w:pPr>
        <w:ind w:left="170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6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1"/>
      <w:suff w:val="space"/>
      <w:lvlText w:val="%1"/>
      <w:lvlJc w:val="left"/>
      <w:pPr>
        <w:ind w:left="623" w:hanging="425"/>
      </w:pPr>
      <w:rPr>
        <w:rFonts w:hint="eastAsia"/>
      </w:rPr>
    </w:lvl>
    <w:lvl w:ilvl="1" w:tentative="0">
      <w:start w:val="1"/>
      <w:numFmt w:val="decimal"/>
      <w:pStyle w:val="10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1"/>
      <w:suff w:val="nothing"/>
      <w:lvlText w:val="%1——"/>
      <w:lvlJc w:val="left"/>
      <w:pPr>
        <w:ind w:left="833" w:hanging="408"/>
      </w:pPr>
      <w:rPr>
        <w:rFonts w:hint="eastAsia"/>
      </w:rPr>
    </w:lvl>
    <w:lvl w:ilvl="1" w:tentative="0">
      <w:start w:val="1"/>
      <w:numFmt w:val="bullet"/>
      <w:pStyle w:val="52"/>
      <w:lvlText w:val=""/>
      <w:lvlJc w:val="left"/>
      <w:pPr>
        <w:tabs>
          <w:tab w:val="left" w:pos="760"/>
        </w:tabs>
        <w:ind w:left="1264" w:hanging="413"/>
      </w:pPr>
      <w:rPr>
        <w:rFonts w:hint="default" w:ascii="Symbol" w:hAnsi="Symbol"/>
        <w:color w:val="auto"/>
      </w:rPr>
    </w:lvl>
    <w:lvl w:ilvl="2" w:tentative="0">
      <w:start w:val="1"/>
      <w:numFmt w:val="bullet"/>
      <w:pStyle w:val="6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05C704E"/>
    <w:multiLevelType w:val="multilevel"/>
    <w:tmpl w:val="305C704E"/>
    <w:lvl w:ilvl="0" w:tentative="0">
      <w:start w:val="1"/>
      <w:numFmt w:val="lowerLetter"/>
      <w:pStyle w:val="6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7"/>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328A7FF4"/>
    <w:multiLevelType w:val="multilevel"/>
    <w:tmpl w:val="328A7FF4"/>
    <w:lvl w:ilvl="0" w:tentative="0">
      <w:start w:val="1"/>
      <w:numFmt w:val="none"/>
      <w:lvlText w:val="7."/>
      <w:lvlJc w:val="left"/>
      <w:pPr>
        <w:ind w:left="425" w:hanging="425"/>
      </w:pPr>
      <w:rPr>
        <w:rFonts w:hint="default" w:ascii="宋体" w:hAnsi="宋体" w:eastAsia="宋体" w:cs="宋体"/>
      </w:rPr>
    </w:lvl>
    <w:lvl w:ilvl="1" w:tentative="0">
      <w:start w:val="1"/>
      <w:numFmt w:val="none"/>
      <w:lvlText w:val="%1.3."/>
      <w:lvlJc w:val="left"/>
      <w:pPr>
        <w:ind w:left="567" w:hanging="567"/>
      </w:pPr>
      <w:rPr>
        <w:rFonts w:hint="default" w:ascii="宋体" w:hAnsi="宋体" w:eastAsia="宋体" w:cs="宋体"/>
      </w:rPr>
    </w:lvl>
    <w:lvl w:ilvl="2" w:tentative="0">
      <w:start w:val="0"/>
      <w:numFmt w:val="none"/>
      <w:lvlText w:val=""/>
      <w:lvlJc w:val="left"/>
      <w:pPr>
        <w:tabs>
          <w:tab w:val="left" w:pos="360"/>
        </w:tabs>
      </w:p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pStyle w:val="6"/>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4">
    <w:nsid w:val="4B733A5F"/>
    <w:multiLevelType w:val="multilevel"/>
    <w:tmpl w:val="4B733A5F"/>
    <w:lvl w:ilvl="0" w:tentative="0">
      <w:start w:val="1"/>
      <w:numFmt w:val="decimal"/>
      <w:pStyle w:val="6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5">
    <w:nsid w:val="60B55DC2"/>
    <w:multiLevelType w:val="multilevel"/>
    <w:tmpl w:val="60B55DC2"/>
    <w:lvl w:ilvl="0" w:tentative="0">
      <w:start w:val="1"/>
      <w:numFmt w:val="upperLetter"/>
      <w:pStyle w:val="89"/>
      <w:lvlText w:val="%1"/>
      <w:lvlJc w:val="left"/>
      <w:pPr>
        <w:tabs>
          <w:tab w:val="left" w:pos="0"/>
        </w:tabs>
        <w:ind w:left="0" w:hanging="425"/>
      </w:pPr>
      <w:rPr>
        <w:rFonts w:hint="eastAsia"/>
      </w:rPr>
    </w:lvl>
    <w:lvl w:ilvl="1" w:tentative="0">
      <w:start w:val="1"/>
      <w:numFmt w:val="decimal"/>
      <w:pStyle w:val="9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2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8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6"/>
      <w:suff w:val="nothing"/>
      <w:lvlText w:val="%1.%2.%3　"/>
      <w:lvlJc w:val="left"/>
      <w:pPr>
        <w:ind w:left="0" w:firstLine="0"/>
      </w:pPr>
      <w:rPr>
        <w:rFonts w:hint="eastAsia" w:ascii="黑体" w:hAnsi="Times New Roman" w:eastAsia="黑体"/>
        <w:b w:val="0"/>
        <w:i w:val="0"/>
        <w:sz w:val="21"/>
      </w:rPr>
    </w:lvl>
    <w:lvl w:ilvl="3" w:tentative="0">
      <w:start w:val="1"/>
      <w:numFmt w:val="decimal"/>
      <w:pStyle w:val="91"/>
      <w:suff w:val="nothing"/>
      <w:lvlText w:val="%1.%2.%3.%4　"/>
      <w:lvlJc w:val="left"/>
      <w:pPr>
        <w:ind w:left="0" w:firstLine="0"/>
      </w:pPr>
      <w:rPr>
        <w:rFonts w:hint="eastAsia" w:ascii="黑体" w:hAnsi="Times New Roman" w:eastAsia="黑体"/>
        <w:b w:val="0"/>
        <w:i w:val="0"/>
        <w:sz w:val="21"/>
      </w:rPr>
    </w:lvl>
    <w:lvl w:ilvl="4" w:tentative="0">
      <w:start w:val="1"/>
      <w:numFmt w:val="decimal"/>
      <w:pStyle w:val="96"/>
      <w:suff w:val="nothing"/>
      <w:lvlText w:val="%1.%2.%3.%4.%5　"/>
      <w:lvlJc w:val="left"/>
      <w:pPr>
        <w:ind w:left="0" w:firstLine="0"/>
      </w:pPr>
      <w:rPr>
        <w:rFonts w:hint="eastAsia" w:ascii="黑体" w:hAnsi="Times New Roman" w:eastAsia="黑体"/>
        <w:b w:val="0"/>
        <w:i w:val="0"/>
        <w:sz w:val="21"/>
      </w:rPr>
    </w:lvl>
    <w:lvl w:ilvl="5" w:tentative="0">
      <w:start w:val="1"/>
      <w:numFmt w:val="decimal"/>
      <w:pStyle w:val="99"/>
      <w:suff w:val="nothing"/>
      <w:lvlText w:val="%1.%2.%3.%4.%5.%6　"/>
      <w:lvlJc w:val="left"/>
      <w:pPr>
        <w:ind w:left="0" w:firstLine="0"/>
      </w:pPr>
      <w:rPr>
        <w:rFonts w:hint="eastAsia" w:ascii="黑体" w:hAnsi="Times New Roman" w:eastAsia="黑体"/>
        <w:b w:val="0"/>
        <w:i w:val="0"/>
        <w:sz w:val="21"/>
      </w:rPr>
    </w:lvl>
    <w:lvl w:ilvl="6" w:tentative="0">
      <w:start w:val="1"/>
      <w:numFmt w:val="decimal"/>
      <w:pStyle w:val="10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08"/>
      <w:lvlText w:val="%1)"/>
      <w:lvlJc w:val="left"/>
      <w:pPr>
        <w:tabs>
          <w:tab w:val="left" w:pos="839"/>
        </w:tabs>
        <w:ind w:left="839" w:hanging="419"/>
      </w:pPr>
      <w:rPr>
        <w:rFonts w:hint="eastAsia" w:ascii="宋体" w:eastAsia="宋体"/>
        <w:b w:val="0"/>
        <w:i w:val="0"/>
        <w:sz w:val="21"/>
      </w:rPr>
    </w:lvl>
    <w:lvl w:ilvl="1" w:tentative="0">
      <w:start w:val="1"/>
      <w:numFmt w:val="decimal"/>
      <w:pStyle w:val="9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6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0">
    <w:nsid w:val="7EDA3333"/>
    <w:multiLevelType w:val="multilevel"/>
    <w:tmpl w:val="7EDA3333"/>
    <w:lvl w:ilvl="0" w:tentative="0">
      <w:start w:val="7"/>
      <w:numFmt w:val="decimal"/>
      <w:pStyle w:val="163"/>
      <w:lvlText w:val="6.%1.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decimal"/>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2"/>
  </w:num>
  <w:num w:numId="3">
    <w:abstractNumId w:val="13"/>
  </w:num>
  <w:num w:numId="4">
    <w:abstractNumId w:val="7"/>
  </w:num>
  <w:num w:numId="5">
    <w:abstractNumId w:val="10"/>
  </w:num>
  <w:num w:numId="6">
    <w:abstractNumId w:val="3"/>
  </w:num>
  <w:num w:numId="7">
    <w:abstractNumId w:val="11"/>
  </w:num>
  <w:num w:numId="8">
    <w:abstractNumId w:val="19"/>
  </w:num>
  <w:num w:numId="9">
    <w:abstractNumId w:val="1"/>
  </w:num>
  <w:num w:numId="10">
    <w:abstractNumId w:val="14"/>
  </w:num>
  <w:num w:numId="11">
    <w:abstractNumId w:val="8"/>
  </w:num>
  <w:num w:numId="12">
    <w:abstractNumId w:val="6"/>
  </w:num>
  <w:num w:numId="13">
    <w:abstractNumId w:val="17"/>
  </w:num>
  <w:num w:numId="14">
    <w:abstractNumId w:val="15"/>
  </w:num>
  <w:num w:numId="15">
    <w:abstractNumId w:val="18"/>
  </w:num>
  <w:num w:numId="16">
    <w:abstractNumId w:val="9"/>
  </w:num>
  <w:num w:numId="17">
    <w:abstractNumId w:val="2"/>
  </w:num>
  <w:num w:numId="18">
    <w:abstractNumId w:val="5"/>
  </w:num>
  <w:num w:numId="19">
    <w:abstractNumId w:val="16"/>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035925"/>
    <w:rsid w:val="00000244"/>
    <w:rsid w:val="0000185F"/>
    <w:rsid w:val="0000190B"/>
    <w:rsid w:val="00005414"/>
    <w:rsid w:val="0000586F"/>
    <w:rsid w:val="000066EB"/>
    <w:rsid w:val="00006D0A"/>
    <w:rsid w:val="00007DB0"/>
    <w:rsid w:val="00010EAB"/>
    <w:rsid w:val="00011068"/>
    <w:rsid w:val="00012AC9"/>
    <w:rsid w:val="00013D86"/>
    <w:rsid w:val="00013E02"/>
    <w:rsid w:val="000162D1"/>
    <w:rsid w:val="0002143C"/>
    <w:rsid w:val="00021EDA"/>
    <w:rsid w:val="00022307"/>
    <w:rsid w:val="000226B9"/>
    <w:rsid w:val="00022851"/>
    <w:rsid w:val="00024731"/>
    <w:rsid w:val="00025660"/>
    <w:rsid w:val="00025A65"/>
    <w:rsid w:val="00025CED"/>
    <w:rsid w:val="00026173"/>
    <w:rsid w:val="00026761"/>
    <w:rsid w:val="00026C31"/>
    <w:rsid w:val="00026CA0"/>
    <w:rsid w:val="00026D28"/>
    <w:rsid w:val="00027280"/>
    <w:rsid w:val="00030923"/>
    <w:rsid w:val="00031699"/>
    <w:rsid w:val="000320A7"/>
    <w:rsid w:val="0003385F"/>
    <w:rsid w:val="00035925"/>
    <w:rsid w:val="00035E92"/>
    <w:rsid w:val="000367D5"/>
    <w:rsid w:val="00043C7B"/>
    <w:rsid w:val="00044469"/>
    <w:rsid w:val="00046781"/>
    <w:rsid w:val="00047EDC"/>
    <w:rsid w:val="00050146"/>
    <w:rsid w:val="00051A25"/>
    <w:rsid w:val="00051E6E"/>
    <w:rsid w:val="0005686E"/>
    <w:rsid w:val="00062C52"/>
    <w:rsid w:val="00063EA1"/>
    <w:rsid w:val="00064BB0"/>
    <w:rsid w:val="00067CDF"/>
    <w:rsid w:val="00072CE7"/>
    <w:rsid w:val="00073CB1"/>
    <w:rsid w:val="0007469E"/>
    <w:rsid w:val="00074FBE"/>
    <w:rsid w:val="000777BC"/>
    <w:rsid w:val="00080562"/>
    <w:rsid w:val="00081C2F"/>
    <w:rsid w:val="000830A4"/>
    <w:rsid w:val="00083A09"/>
    <w:rsid w:val="000844FB"/>
    <w:rsid w:val="00084C56"/>
    <w:rsid w:val="00085B57"/>
    <w:rsid w:val="00087651"/>
    <w:rsid w:val="0009005E"/>
    <w:rsid w:val="00090E86"/>
    <w:rsid w:val="00091FEF"/>
    <w:rsid w:val="00092857"/>
    <w:rsid w:val="00093B0E"/>
    <w:rsid w:val="00093F9E"/>
    <w:rsid w:val="00094AEC"/>
    <w:rsid w:val="000966F7"/>
    <w:rsid w:val="000A0DC5"/>
    <w:rsid w:val="000A20A9"/>
    <w:rsid w:val="000A3F98"/>
    <w:rsid w:val="000A48B1"/>
    <w:rsid w:val="000A58DC"/>
    <w:rsid w:val="000A5B18"/>
    <w:rsid w:val="000A62A1"/>
    <w:rsid w:val="000B0E8E"/>
    <w:rsid w:val="000B21B6"/>
    <w:rsid w:val="000B2F71"/>
    <w:rsid w:val="000B3143"/>
    <w:rsid w:val="000B34BC"/>
    <w:rsid w:val="000B3797"/>
    <w:rsid w:val="000B4283"/>
    <w:rsid w:val="000B49D8"/>
    <w:rsid w:val="000B51B5"/>
    <w:rsid w:val="000B5BA3"/>
    <w:rsid w:val="000B74C5"/>
    <w:rsid w:val="000C0566"/>
    <w:rsid w:val="000C1245"/>
    <w:rsid w:val="000C1D6A"/>
    <w:rsid w:val="000C3955"/>
    <w:rsid w:val="000C3CA0"/>
    <w:rsid w:val="000C4374"/>
    <w:rsid w:val="000C5731"/>
    <w:rsid w:val="000C6B05"/>
    <w:rsid w:val="000C6DD6"/>
    <w:rsid w:val="000C73D4"/>
    <w:rsid w:val="000C7533"/>
    <w:rsid w:val="000D162F"/>
    <w:rsid w:val="000D2CF3"/>
    <w:rsid w:val="000D3D4C"/>
    <w:rsid w:val="000D4F51"/>
    <w:rsid w:val="000D6F6C"/>
    <w:rsid w:val="000D718B"/>
    <w:rsid w:val="000D73FE"/>
    <w:rsid w:val="000E0C46"/>
    <w:rsid w:val="000E214D"/>
    <w:rsid w:val="000E3622"/>
    <w:rsid w:val="000E7DC1"/>
    <w:rsid w:val="000F0151"/>
    <w:rsid w:val="000F030C"/>
    <w:rsid w:val="000F129C"/>
    <w:rsid w:val="000F1458"/>
    <w:rsid w:val="000F282D"/>
    <w:rsid w:val="000F4609"/>
    <w:rsid w:val="000F6391"/>
    <w:rsid w:val="000F6A15"/>
    <w:rsid w:val="000F7057"/>
    <w:rsid w:val="00101685"/>
    <w:rsid w:val="00102C93"/>
    <w:rsid w:val="00103445"/>
    <w:rsid w:val="0010349C"/>
    <w:rsid w:val="00103F9F"/>
    <w:rsid w:val="001044EF"/>
    <w:rsid w:val="00104F70"/>
    <w:rsid w:val="0010511D"/>
    <w:rsid w:val="001056DE"/>
    <w:rsid w:val="00105BFD"/>
    <w:rsid w:val="00107974"/>
    <w:rsid w:val="0011085E"/>
    <w:rsid w:val="00110D7C"/>
    <w:rsid w:val="001124C0"/>
    <w:rsid w:val="00112A90"/>
    <w:rsid w:val="00113E34"/>
    <w:rsid w:val="00123872"/>
    <w:rsid w:val="001259FD"/>
    <w:rsid w:val="001264E7"/>
    <w:rsid w:val="00127F83"/>
    <w:rsid w:val="0013143B"/>
    <w:rsid w:val="0013175F"/>
    <w:rsid w:val="00132AF1"/>
    <w:rsid w:val="001336E0"/>
    <w:rsid w:val="0013771A"/>
    <w:rsid w:val="00137EB7"/>
    <w:rsid w:val="001441FD"/>
    <w:rsid w:val="00146523"/>
    <w:rsid w:val="001512B4"/>
    <w:rsid w:val="0015202F"/>
    <w:rsid w:val="00153D3A"/>
    <w:rsid w:val="00156197"/>
    <w:rsid w:val="00160B3C"/>
    <w:rsid w:val="001620A5"/>
    <w:rsid w:val="00162E8C"/>
    <w:rsid w:val="00163FA6"/>
    <w:rsid w:val="00164E53"/>
    <w:rsid w:val="0016699D"/>
    <w:rsid w:val="00167220"/>
    <w:rsid w:val="00167B53"/>
    <w:rsid w:val="00170B99"/>
    <w:rsid w:val="00172631"/>
    <w:rsid w:val="0017319E"/>
    <w:rsid w:val="00173BA4"/>
    <w:rsid w:val="001742DC"/>
    <w:rsid w:val="0017455D"/>
    <w:rsid w:val="00174DDC"/>
    <w:rsid w:val="00175159"/>
    <w:rsid w:val="00176208"/>
    <w:rsid w:val="00176BE9"/>
    <w:rsid w:val="00180204"/>
    <w:rsid w:val="00181B5A"/>
    <w:rsid w:val="0018211B"/>
    <w:rsid w:val="00183368"/>
    <w:rsid w:val="001838FA"/>
    <w:rsid w:val="00183BFE"/>
    <w:rsid w:val="001840D3"/>
    <w:rsid w:val="00184231"/>
    <w:rsid w:val="00184DD1"/>
    <w:rsid w:val="001853C6"/>
    <w:rsid w:val="001871C6"/>
    <w:rsid w:val="00187E35"/>
    <w:rsid w:val="001900F8"/>
    <w:rsid w:val="0019065A"/>
    <w:rsid w:val="00191169"/>
    <w:rsid w:val="00191258"/>
    <w:rsid w:val="00192680"/>
    <w:rsid w:val="00193037"/>
    <w:rsid w:val="00193A2C"/>
    <w:rsid w:val="00193E5F"/>
    <w:rsid w:val="00196423"/>
    <w:rsid w:val="001A1AA6"/>
    <w:rsid w:val="001A27C9"/>
    <w:rsid w:val="001A288E"/>
    <w:rsid w:val="001A4D95"/>
    <w:rsid w:val="001A5A8A"/>
    <w:rsid w:val="001A71F2"/>
    <w:rsid w:val="001B028F"/>
    <w:rsid w:val="001B12C4"/>
    <w:rsid w:val="001B5229"/>
    <w:rsid w:val="001B5DEB"/>
    <w:rsid w:val="001B6DC2"/>
    <w:rsid w:val="001B703D"/>
    <w:rsid w:val="001C00ED"/>
    <w:rsid w:val="001C149C"/>
    <w:rsid w:val="001C21AC"/>
    <w:rsid w:val="001C31FA"/>
    <w:rsid w:val="001C47BA"/>
    <w:rsid w:val="001C59EA"/>
    <w:rsid w:val="001C5C73"/>
    <w:rsid w:val="001C7385"/>
    <w:rsid w:val="001D12FE"/>
    <w:rsid w:val="001D1BDE"/>
    <w:rsid w:val="001D3620"/>
    <w:rsid w:val="001D406C"/>
    <w:rsid w:val="001D41EE"/>
    <w:rsid w:val="001D4548"/>
    <w:rsid w:val="001D50A9"/>
    <w:rsid w:val="001D50C8"/>
    <w:rsid w:val="001E0380"/>
    <w:rsid w:val="001E0439"/>
    <w:rsid w:val="001E13B1"/>
    <w:rsid w:val="001E269A"/>
    <w:rsid w:val="001E4840"/>
    <w:rsid w:val="001E4A3B"/>
    <w:rsid w:val="001E54C6"/>
    <w:rsid w:val="001E7625"/>
    <w:rsid w:val="001E772B"/>
    <w:rsid w:val="001F073C"/>
    <w:rsid w:val="001F3A19"/>
    <w:rsid w:val="001F3A29"/>
    <w:rsid w:val="001F4E7F"/>
    <w:rsid w:val="001F7320"/>
    <w:rsid w:val="0020004D"/>
    <w:rsid w:val="002047C4"/>
    <w:rsid w:val="002056A9"/>
    <w:rsid w:val="00205A46"/>
    <w:rsid w:val="00206667"/>
    <w:rsid w:val="0021389B"/>
    <w:rsid w:val="00213C55"/>
    <w:rsid w:val="002154F6"/>
    <w:rsid w:val="00223D60"/>
    <w:rsid w:val="00226A01"/>
    <w:rsid w:val="002304F9"/>
    <w:rsid w:val="00230D33"/>
    <w:rsid w:val="0023276F"/>
    <w:rsid w:val="00234467"/>
    <w:rsid w:val="0023460C"/>
    <w:rsid w:val="00237361"/>
    <w:rsid w:val="00237D8D"/>
    <w:rsid w:val="00237FB8"/>
    <w:rsid w:val="00241DA2"/>
    <w:rsid w:val="0024242E"/>
    <w:rsid w:val="0024435D"/>
    <w:rsid w:val="00244DA5"/>
    <w:rsid w:val="00247FEE"/>
    <w:rsid w:val="00250E7D"/>
    <w:rsid w:val="00250EEB"/>
    <w:rsid w:val="00251C94"/>
    <w:rsid w:val="00252124"/>
    <w:rsid w:val="0025513D"/>
    <w:rsid w:val="002565D5"/>
    <w:rsid w:val="002622C0"/>
    <w:rsid w:val="00265594"/>
    <w:rsid w:val="0026642C"/>
    <w:rsid w:val="00266642"/>
    <w:rsid w:val="002714B3"/>
    <w:rsid w:val="00273069"/>
    <w:rsid w:val="00274017"/>
    <w:rsid w:val="002778AE"/>
    <w:rsid w:val="00277C9D"/>
    <w:rsid w:val="0028160D"/>
    <w:rsid w:val="0028269A"/>
    <w:rsid w:val="00283590"/>
    <w:rsid w:val="0028604B"/>
    <w:rsid w:val="00286973"/>
    <w:rsid w:val="00286CB0"/>
    <w:rsid w:val="00287656"/>
    <w:rsid w:val="00287CB9"/>
    <w:rsid w:val="00287FF1"/>
    <w:rsid w:val="00292F00"/>
    <w:rsid w:val="00294E70"/>
    <w:rsid w:val="002974B6"/>
    <w:rsid w:val="00297678"/>
    <w:rsid w:val="00297E13"/>
    <w:rsid w:val="002A1924"/>
    <w:rsid w:val="002A22F0"/>
    <w:rsid w:val="002A34E7"/>
    <w:rsid w:val="002A43E6"/>
    <w:rsid w:val="002A440D"/>
    <w:rsid w:val="002A4C51"/>
    <w:rsid w:val="002A5025"/>
    <w:rsid w:val="002A5203"/>
    <w:rsid w:val="002A530D"/>
    <w:rsid w:val="002A7420"/>
    <w:rsid w:val="002A7BD8"/>
    <w:rsid w:val="002B0F12"/>
    <w:rsid w:val="002B1308"/>
    <w:rsid w:val="002B2F4C"/>
    <w:rsid w:val="002B30C3"/>
    <w:rsid w:val="002B3445"/>
    <w:rsid w:val="002B3A85"/>
    <w:rsid w:val="002B446F"/>
    <w:rsid w:val="002B44C8"/>
    <w:rsid w:val="002B4554"/>
    <w:rsid w:val="002B4BAB"/>
    <w:rsid w:val="002B4DCC"/>
    <w:rsid w:val="002B7318"/>
    <w:rsid w:val="002C2EEA"/>
    <w:rsid w:val="002C303E"/>
    <w:rsid w:val="002C54F9"/>
    <w:rsid w:val="002C5BD8"/>
    <w:rsid w:val="002C72D8"/>
    <w:rsid w:val="002D0C5C"/>
    <w:rsid w:val="002D11FA"/>
    <w:rsid w:val="002D306B"/>
    <w:rsid w:val="002D4675"/>
    <w:rsid w:val="002D623A"/>
    <w:rsid w:val="002D6A4C"/>
    <w:rsid w:val="002D7497"/>
    <w:rsid w:val="002D798F"/>
    <w:rsid w:val="002E067B"/>
    <w:rsid w:val="002E0DDF"/>
    <w:rsid w:val="002E19CE"/>
    <w:rsid w:val="002E2906"/>
    <w:rsid w:val="002E3399"/>
    <w:rsid w:val="002E363B"/>
    <w:rsid w:val="002E5635"/>
    <w:rsid w:val="002E5869"/>
    <w:rsid w:val="002E5981"/>
    <w:rsid w:val="002E64C3"/>
    <w:rsid w:val="002E6A2C"/>
    <w:rsid w:val="002F0A2F"/>
    <w:rsid w:val="002F1D8C"/>
    <w:rsid w:val="002F21DA"/>
    <w:rsid w:val="002F2268"/>
    <w:rsid w:val="002F3F73"/>
    <w:rsid w:val="002F45FA"/>
    <w:rsid w:val="00301F39"/>
    <w:rsid w:val="00302AE6"/>
    <w:rsid w:val="00305EAF"/>
    <w:rsid w:val="00310711"/>
    <w:rsid w:val="00315664"/>
    <w:rsid w:val="003177FD"/>
    <w:rsid w:val="003208C5"/>
    <w:rsid w:val="00320F1A"/>
    <w:rsid w:val="003214A5"/>
    <w:rsid w:val="00322DF7"/>
    <w:rsid w:val="003237EC"/>
    <w:rsid w:val="0032571F"/>
    <w:rsid w:val="00325926"/>
    <w:rsid w:val="00325A0B"/>
    <w:rsid w:val="00327A8A"/>
    <w:rsid w:val="00330289"/>
    <w:rsid w:val="00330DB3"/>
    <w:rsid w:val="003311D6"/>
    <w:rsid w:val="00333973"/>
    <w:rsid w:val="003354E8"/>
    <w:rsid w:val="00336610"/>
    <w:rsid w:val="00337AB2"/>
    <w:rsid w:val="00337E07"/>
    <w:rsid w:val="00340EFA"/>
    <w:rsid w:val="003421A0"/>
    <w:rsid w:val="0034283B"/>
    <w:rsid w:val="00343F73"/>
    <w:rsid w:val="0034415B"/>
    <w:rsid w:val="0034465B"/>
    <w:rsid w:val="003449A6"/>
    <w:rsid w:val="00345060"/>
    <w:rsid w:val="00345D9E"/>
    <w:rsid w:val="003507C6"/>
    <w:rsid w:val="00351026"/>
    <w:rsid w:val="00351BC0"/>
    <w:rsid w:val="00351D79"/>
    <w:rsid w:val="0035254F"/>
    <w:rsid w:val="0035323B"/>
    <w:rsid w:val="0035588C"/>
    <w:rsid w:val="003563FE"/>
    <w:rsid w:val="003609D2"/>
    <w:rsid w:val="00360B75"/>
    <w:rsid w:val="003620AA"/>
    <w:rsid w:val="00363DBF"/>
    <w:rsid w:val="00363F22"/>
    <w:rsid w:val="0036515F"/>
    <w:rsid w:val="0036557A"/>
    <w:rsid w:val="0036721B"/>
    <w:rsid w:val="00367ED1"/>
    <w:rsid w:val="003700BC"/>
    <w:rsid w:val="00373A3D"/>
    <w:rsid w:val="00373A6D"/>
    <w:rsid w:val="00374944"/>
    <w:rsid w:val="00375564"/>
    <w:rsid w:val="00376859"/>
    <w:rsid w:val="00381F91"/>
    <w:rsid w:val="00383191"/>
    <w:rsid w:val="003838CC"/>
    <w:rsid w:val="003858CC"/>
    <w:rsid w:val="00386DED"/>
    <w:rsid w:val="00387391"/>
    <w:rsid w:val="00390F41"/>
    <w:rsid w:val="003912E7"/>
    <w:rsid w:val="00392A70"/>
    <w:rsid w:val="00393947"/>
    <w:rsid w:val="00395A92"/>
    <w:rsid w:val="003A2275"/>
    <w:rsid w:val="003A2471"/>
    <w:rsid w:val="003A5B6C"/>
    <w:rsid w:val="003A6362"/>
    <w:rsid w:val="003A6A4F"/>
    <w:rsid w:val="003A7088"/>
    <w:rsid w:val="003B00DF"/>
    <w:rsid w:val="003B0367"/>
    <w:rsid w:val="003B1275"/>
    <w:rsid w:val="003B1778"/>
    <w:rsid w:val="003B4053"/>
    <w:rsid w:val="003B47DC"/>
    <w:rsid w:val="003B520F"/>
    <w:rsid w:val="003B5E6F"/>
    <w:rsid w:val="003B7723"/>
    <w:rsid w:val="003C0244"/>
    <w:rsid w:val="003C11CB"/>
    <w:rsid w:val="003C1CAB"/>
    <w:rsid w:val="003C2073"/>
    <w:rsid w:val="003C2F04"/>
    <w:rsid w:val="003C32F6"/>
    <w:rsid w:val="003C363B"/>
    <w:rsid w:val="003C75F3"/>
    <w:rsid w:val="003C78A3"/>
    <w:rsid w:val="003D1160"/>
    <w:rsid w:val="003D1F14"/>
    <w:rsid w:val="003D2175"/>
    <w:rsid w:val="003D36E7"/>
    <w:rsid w:val="003E1867"/>
    <w:rsid w:val="003E1E3B"/>
    <w:rsid w:val="003E2C36"/>
    <w:rsid w:val="003E5729"/>
    <w:rsid w:val="003E6B4F"/>
    <w:rsid w:val="003E6D93"/>
    <w:rsid w:val="003E6DE2"/>
    <w:rsid w:val="003E6DE3"/>
    <w:rsid w:val="003E71BF"/>
    <w:rsid w:val="003F0005"/>
    <w:rsid w:val="003F3005"/>
    <w:rsid w:val="003F43E9"/>
    <w:rsid w:val="003F45F0"/>
    <w:rsid w:val="003F4EE0"/>
    <w:rsid w:val="003F64B9"/>
    <w:rsid w:val="003F6EE9"/>
    <w:rsid w:val="003F7C10"/>
    <w:rsid w:val="00400793"/>
    <w:rsid w:val="00402153"/>
    <w:rsid w:val="00402FC1"/>
    <w:rsid w:val="00402FE8"/>
    <w:rsid w:val="0040391C"/>
    <w:rsid w:val="00404819"/>
    <w:rsid w:val="004104A9"/>
    <w:rsid w:val="00411AB7"/>
    <w:rsid w:val="00412BC3"/>
    <w:rsid w:val="004130A3"/>
    <w:rsid w:val="00413D4B"/>
    <w:rsid w:val="00414EEF"/>
    <w:rsid w:val="0041566C"/>
    <w:rsid w:val="00417499"/>
    <w:rsid w:val="00422364"/>
    <w:rsid w:val="00422A26"/>
    <w:rsid w:val="00425082"/>
    <w:rsid w:val="00426F8C"/>
    <w:rsid w:val="0043121D"/>
    <w:rsid w:val="00431DEB"/>
    <w:rsid w:val="004320EF"/>
    <w:rsid w:val="00432296"/>
    <w:rsid w:val="00432B38"/>
    <w:rsid w:val="00432F9A"/>
    <w:rsid w:val="00434AC6"/>
    <w:rsid w:val="004353F6"/>
    <w:rsid w:val="004375AC"/>
    <w:rsid w:val="00440856"/>
    <w:rsid w:val="00440D8F"/>
    <w:rsid w:val="00442947"/>
    <w:rsid w:val="00444D07"/>
    <w:rsid w:val="00446A27"/>
    <w:rsid w:val="00446B29"/>
    <w:rsid w:val="00447F5B"/>
    <w:rsid w:val="004532B7"/>
    <w:rsid w:val="00453F9A"/>
    <w:rsid w:val="00456482"/>
    <w:rsid w:val="00456772"/>
    <w:rsid w:val="00462DC0"/>
    <w:rsid w:val="00464892"/>
    <w:rsid w:val="00465447"/>
    <w:rsid w:val="00465EC9"/>
    <w:rsid w:val="00467965"/>
    <w:rsid w:val="004704C5"/>
    <w:rsid w:val="00471991"/>
    <w:rsid w:val="00471E91"/>
    <w:rsid w:val="00471FB2"/>
    <w:rsid w:val="00474675"/>
    <w:rsid w:val="0047470C"/>
    <w:rsid w:val="0048008D"/>
    <w:rsid w:val="0048199D"/>
    <w:rsid w:val="004829C2"/>
    <w:rsid w:val="00483380"/>
    <w:rsid w:val="00484A18"/>
    <w:rsid w:val="00485717"/>
    <w:rsid w:val="00485943"/>
    <w:rsid w:val="0049098C"/>
    <w:rsid w:val="00490C38"/>
    <w:rsid w:val="004973F4"/>
    <w:rsid w:val="00497BD5"/>
    <w:rsid w:val="004A0C5D"/>
    <w:rsid w:val="004A1253"/>
    <w:rsid w:val="004A1272"/>
    <w:rsid w:val="004A35F9"/>
    <w:rsid w:val="004A49AF"/>
    <w:rsid w:val="004A60C9"/>
    <w:rsid w:val="004A6503"/>
    <w:rsid w:val="004B1AFF"/>
    <w:rsid w:val="004B24C1"/>
    <w:rsid w:val="004B4101"/>
    <w:rsid w:val="004B5DF6"/>
    <w:rsid w:val="004B7961"/>
    <w:rsid w:val="004C0E69"/>
    <w:rsid w:val="004C25F8"/>
    <w:rsid w:val="004C292F"/>
    <w:rsid w:val="004C4D6D"/>
    <w:rsid w:val="004D0223"/>
    <w:rsid w:val="004D182D"/>
    <w:rsid w:val="004D53B3"/>
    <w:rsid w:val="004D672C"/>
    <w:rsid w:val="004D6BBA"/>
    <w:rsid w:val="004D7339"/>
    <w:rsid w:val="004E0EC6"/>
    <w:rsid w:val="004E11F2"/>
    <w:rsid w:val="004E1510"/>
    <w:rsid w:val="004E1A2B"/>
    <w:rsid w:val="004E50E3"/>
    <w:rsid w:val="004E5A6B"/>
    <w:rsid w:val="004E5D19"/>
    <w:rsid w:val="004F13D5"/>
    <w:rsid w:val="004F285D"/>
    <w:rsid w:val="004F2E30"/>
    <w:rsid w:val="004F5ABE"/>
    <w:rsid w:val="004F5BAA"/>
    <w:rsid w:val="004F6DAA"/>
    <w:rsid w:val="00500F73"/>
    <w:rsid w:val="00502209"/>
    <w:rsid w:val="00505001"/>
    <w:rsid w:val="005061FD"/>
    <w:rsid w:val="0050745F"/>
    <w:rsid w:val="00510280"/>
    <w:rsid w:val="00510442"/>
    <w:rsid w:val="00512227"/>
    <w:rsid w:val="00513D73"/>
    <w:rsid w:val="00513EDC"/>
    <w:rsid w:val="005143B7"/>
    <w:rsid w:val="00514A43"/>
    <w:rsid w:val="005174E5"/>
    <w:rsid w:val="00521930"/>
    <w:rsid w:val="00521D7A"/>
    <w:rsid w:val="00522224"/>
    <w:rsid w:val="00522393"/>
    <w:rsid w:val="00522620"/>
    <w:rsid w:val="00522BC2"/>
    <w:rsid w:val="005244C6"/>
    <w:rsid w:val="00524B7C"/>
    <w:rsid w:val="00525656"/>
    <w:rsid w:val="00525E8A"/>
    <w:rsid w:val="005275BE"/>
    <w:rsid w:val="00532B90"/>
    <w:rsid w:val="00534C02"/>
    <w:rsid w:val="005375C8"/>
    <w:rsid w:val="0053772F"/>
    <w:rsid w:val="00540700"/>
    <w:rsid w:val="00540F4C"/>
    <w:rsid w:val="0054264B"/>
    <w:rsid w:val="00543786"/>
    <w:rsid w:val="00545D36"/>
    <w:rsid w:val="0054606F"/>
    <w:rsid w:val="00546FF6"/>
    <w:rsid w:val="00551469"/>
    <w:rsid w:val="005533D7"/>
    <w:rsid w:val="00556203"/>
    <w:rsid w:val="005622F6"/>
    <w:rsid w:val="00563670"/>
    <w:rsid w:val="00564AD2"/>
    <w:rsid w:val="00564DDE"/>
    <w:rsid w:val="00567986"/>
    <w:rsid w:val="00570124"/>
    <w:rsid w:val="00570363"/>
    <w:rsid w:val="005703DE"/>
    <w:rsid w:val="005715F0"/>
    <w:rsid w:val="00574109"/>
    <w:rsid w:val="00576822"/>
    <w:rsid w:val="00577528"/>
    <w:rsid w:val="0058464E"/>
    <w:rsid w:val="00585126"/>
    <w:rsid w:val="00586945"/>
    <w:rsid w:val="00591B77"/>
    <w:rsid w:val="0059265D"/>
    <w:rsid w:val="00593B48"/>
    <w:rsid w:val="005946E0"/>
    <w:rsid w:val="00595E29"/>
    <w:rsid w:val="00596629"/>
    <w:rsid w:val="005969A8"/>
    <w:rsid w:val="005A01CB"/>
    <w:rsid w:val="005A2B82"/>
    <w:rsid w:val="005A423E"/>
    <w:rsid w:val="005A58FF"/>
    <w:rsid w:val="005A5EAF"/>
    <w:rsid w:val="005A64C0"/>
    <w:rsid w:val="005B0B53"/>
    <w:rsid w:val="005B1854"/>
    <w:rsid w:val="005B1CAF"/>
    <w:rsid w:val="005B3A59"/>
    <w:rsid w:val="005B3C11"/>
    <w:rsid w:val="005B4B4A"/>
    <w:rsid w:val="005B4D6F"/>
    <w:rsid w:val="005C0099"/>
    <w:rsid w:val="005C1C28"/>
    <w:rsid w:val="005C41A0"/>
    <w:rsid w:val="005C42B9"/>
    <w:rsid w:val="005C6DB5"/>
    <w:rsid w:val="005C7471"/>
    <w:rsid w:val="005D0340"/>
    <w:rsid w:val="005D2787"/>
    <w:rsid w:val="005D290B"/>
    <w:rsid w:val="005D5133"/>
    <w:rsid w:val="005D520C"/>
    <w:rsid w:val="005E0B42"/>
    <w:rsid w:val="005E1815"/>
    <w:rsid w:val="005E19E7"/>
    <w:rsid w:val="005E2F54"/>
    <w:rsid w:val="005E7291"/>
    <w:rsid w:val="005E7AB6"/>
    <w:rsid w:val="005F0D35"/>
    <w:rsid w:val="005F3F1C"/>
    <w:rsid w:val="005F4285"/>
    <w:rsid w:val="005F674A"/>
    <w:rsid w:val="0060075A"/>
    <w:rsid w:val="0060079A"/>
    <w:rsid w:val="006008E9"/>
    <w:rsid w:val="006008F6"/>
    <w:rsid w:val="006020BF"/>
    <w:rsid w:val="00602183"/>
    <w:rsid w:val="00605503"/>
    <w:rsid w:val="00607853"/>
    <w:rsid w:val="00610078"/>
    <w:rsid w:val="0061099D"/>
    <w:rsid w:val="00610A69"/>
    <w:rsid w:val="00611A54"/>
    <w:rsid w:val="00613C2E"/>
    <w:rsid w:val="0061716C"/>
    <w:rsid w:val="0061793C"/>
    <w:rsid w:val="006200F0"/>
    <w:rsid w:val="006243A1"/>
    <w:rsid w:val="006246AD"/>
    <w:rsid w:val="006251D9"/>
    <w:rsid w:val="00625BBF"/>
    <w:rsid w:val="00626E54"/>
    <w:rsid w:val="00627629"/>
    <w:rsid w:val="00631E4B"/>
    <w:rsid w:val="00632E56"/>
    <w:rsid w:val="00634A54"/>
    <w:rsid w:val="00635CBA"/>
    <w:rsid w:val="006378C6"/>
    <w:rsid w:val="00637BD3"/>
    <w:rsid w:val="00640D58"/>
    <w:rsid w:val="0064140A"/>
    <w:rsid w:val="0064242A"/>
    <w:rsid w:val="0064338B"/>
    <w:rsid w:val="00643C4B"/>
    <w:rsid w:val="006448A2"/>
    <w:rsid w:val="0064623D"/>
    <w:rsid w:val="006463E7"/>
    <w:rsid w:val="00646542"/>
    <w:rsid w:val="00646F7F"/>
    <w:rsid w:val="00647609"/>
    <w:rsid w:val="006504F4"/>
    <w:rsid w:val="00651A2A"/>
    <w:rsid w:val="0065234E"/>
    <w:rsid w:val="006536D6"/>
    <w:rsid w:val="00654BC9"/>
    <w:rsid w:val="006552FD"/>
    <w:rsid w:val="00655520"/>
    <w:rsid w:val="0065690A"/>
    <w:rsid w:val="00656C1A"/>
    <w:rsid w:val="00657938"/>
    <w:rsid w:val="00660667"/>
    <w:rsid w:val="00660F9F"/>
    <w:rsid w:val="0066234C"/>
    <w:rsid w:val="00662D52"/>
    <w:rsid w:val="0066378F"/>
    <w:rsid w:val="00663AF3"/>
    <w:rsid w:val="00665739"/>
    <w:rsid w:val="0066604F"/>
    <w:rsid w:val="00666B6C"/>
    <w:rsid w:val="00666E66"/>
    <w:rsid w:val="00673366"/>
    <w:rsid w:val="0067559A"/>
    <w:rsid w:val="00676CC3"/>
    <w:rsid w:val="00677477"/>
    <w:rsid w:val="00677AD7"/>
    <w:rsid w:val="00682682"/>
    <w:rsid w:val="00682702"/>
    <w:rsid w:val="00682CAE"/>
    <w:rsid w:val="00683D05"/>
    <w:rsid w:val="006859F2"/>
    <w:rsid w:val="00687621"/>
    <w:rsid w:val="0069153D"/>
    <w:rsid w:val="00692368"/>
    <w:rsid w:val="00693381"/>
    <w:rsid w:val="006942B5"/>
    <w:rsid w:val="006A08C0"/>
    <w:rsid w:val="006A1EF4"/>
    <w:rsid w:val="006A208D"/>
    <w:rsid w:val="006A2EBC"/>
    <w:rsid w:val="006A5EA0"/>
    <w:rsid w:val="006A70F3"/>
    <w:rsid w:val="006A783B"/>
    <w:rsid w:val="006A7878"/>
    <w:rsid w:val="006A7B33"/>
    <w:rsid w:val="006A7E92"/>
    <w:rsid w:val="006B04A7"/>
    <w:rsid w:val="006B4E13"/>
    <w:rsid w:val="006B5928"/>
    <w:rsid w:val="006B7125"/>
    <w:rsid w:val="006B75DD"/>
    <w:rsid w:val="006C0600"/>
    <w:rsid w:val="006C1235"/>
    <w:rsid w:val="006C31DA"/>
    <w:rsid w:val="006C40E1"/>
    <w:rsid w:val="006C4175"/>
    <w:rsid w:val="006C4A12"/>
    <w:rsid w:val="006C67E0"/>
    <w:rsid w:val="006C7ABA"/>
    <w:rsid w:val="006D0D60"/>
    <w:rsid w:val="006D1122"/>
    <w:rsid w:val="006D2BD6"/>
    <w:rsid w:val="006D2FCB"/>
    <w:rsid w:val="006D3C00"/>
    <w:rsid w:val="006D6CF4"/>
    <w:rsid w:val="006D710B"/>
    <w:rsid w:val="006E3000"/>
    <w:rsid w:val="006E3675"/>
    <w:rsid w:val="006E4A7F"/>
    <w:rsid w:val="006E786E"/>
    <w:rsid w:val="006F01DE"/>
    <w:rsid w:val="006F0329"/>
    <w:rsid w:val="006F188E"/>
    <w:rsid w:val="006F46A7"/>
    <w:rsid w:val="006F598C"/>
    <w:rsid w:val="006F62D9"/>
    <w:rsid w:val="006F6584"/>
    <w:rsid w:val="0070132F"/>
    <w:rsid w:val="00704DF6"/>
    <w:rsid w:val="0070651C"/>
    <w:rsid w:val="007066D6"/>
    <w:rsid w:val="0071032D"/>
    <w:rsid w:val="00711CFA"/>
    <w:rsid w:val="007132A3"/>
    <w:rsid w:val="007145B1"/>
    <w:rsid w:val="00716421"/>
    <w:rsid w:val="0071729B"/>
    <w:rsid w:val="00722912"/>
    <w:rsid w:val="00723CC2"/>
    <w:rsid w:val="00724E4B"/>
    <w:rsid w:val="00724EFB"/>
    <w:rsid w:val="00725DCB"/>
    <w:rsid w:val="007272D2"/>
    <w:rsid w:val="00733090"/>
    <w:rsid w:val="00734087"/>
    <w:rsid w:val="00737F07"/>
    <w:rsid w:val="00740F5F"/>
    <w:rsid w:val="007410AD"/>
    <w:rsid w:val="007419C3"/>
    <w:rsid w:val="00744F22"/>
    <w:rsid w:val="007467A7"/>
    <w:rsid w:val="007469DD"/>
    <w:rsid w:val="0074741B"/>
    <w:rsid w:val="0074759E"/>
    <w:rsid w:val="007478EA"/>
    <w:rsid w:val="00747C44"/>
    <w:rsid w:val="00750328"/>
    <w:rsid w:val="00751495"/>
    <w:rsid w:val="0075415C"/>
    <w:rsid w:val="00757113"/>
    <w:rsid w:val="007579B1"/>
    <w:rsid w:val="00761237"/>
    <w:rsid w:val="00763502"/>
    <w:rsid w:val="00763635"/>
    <w:rsid w:val="00764B9D"/>
    <w:rsid w:val="00767348"/>
    <w:rsid w:val="00767477"/>
    <w:rsid w:val="00770957"/>
    <w:rsid w:val="00770C54"/>
    <w:rsid w:val="00770ECA"/>
    <w:rsid w:val="00772450"/>
    <w:rsid w:val="007738C0"/>
    <w:rsid w:val="00775B5A"/>
    <w:rsid w:val="0078272A"/>
    <w:rsid w:val="00784886"/>
    <w:rsid w:val="007856F1"/>
    <w:rsid w:val="00785831"/>
    <w:rsid w:val="00785952"/>
    <w:rsid w:val="007908F1"/>
    <w:rsid w:val="007913AB"/>
    <w:rsid w:val="007914F7"/>
    <w:rsid w:val="00793652"/>
    <w:rsid w:val="007936CF"/>
    <w:rsid w:val="007938C1"/>
    <w:rsid w:val="00794242"/>
    <w:rsid w:val="007A0379"/>
    <w:rsid w:val="007A0BEB"/>
    <w:rsid w:val="007A0EF2"/>
    <w:rsid w:val="007A65BD"/>
    <w:rsid w:val="007B1000"/>
    <w:rsid w:val="007B1625"/>
    <w:rsid w:val="007B1C4D"/>
    <w:rsid w:val="007B1E90"/>
    <w:rsid w:val="007B1F6D"/>
    <w:rsid w:val="007B4640"/>
    <w:rsid w:val="007B5163"/>
    <w:rsid w:val="007B63D9"/>
    <w:rsid w:val="007B6648"/>
    <w:rsid w:val="007B706E"/>
    <w:rsid w:val="007B71EB"/>
    <w:rsid w:val="007B728C"/>
    <w:rsid w:val="007B73ED"/>
    <w:rsid w:val="007C2486"/>
    <w:rsid w:val="007C2936"/>
    <w:rsid w:val="007C612F"/>
    <w:rsid w:val="007C6205"/>
    <w:rsid w:val="007C686A"/>
    <w:rsid w:val="007C6CAA"/>
    <w:rsid w:val="007C7105"/>
    <w:rsid w:val="007C728E"/>
    <w:rsid w:val="007D1287"/>
    <w:rsid w:val="007D1EB9"/>
    <w:rsid w:val="007D2738"/>
    <w:rsid w:val="007D2C53"/>
    <w:rsid w:val="007D3D60"/>
    <w:rsid w:val="007D477D"/>
    <w:rsid w:val="007D5AAC"/>
    <w:rsid w:val="007D755B"/>
    <w:rsid w:val="007E1980"/>
    <w:rsid w:val="007E2A3C"/>
    <w:rsid w:val="007E39FC"/>
    <w:rsid w:val="007E4B76"/>
    <w:rsid w:val="007E5EA8"/>
    <w:rsid w:val="007E6797"/>
    <w:rsid w:val="007F01E4"/>
    <w:rsid w:val="007F0CF1"/>
    <w:rsid w:val="007F12A5"/>
    <w:rsid w:val="007F1DEF"/>
    <w:rsid w:val="007F2516"/>
    <w:rsid w:val="007F2AED"/>
    <w:rsid w:val="007F452A"/>
    <w:rsid w:val="007F4CF1"/>
    <w:rsid w:val="007F4E62"/>
    <w:rsid w:val="007F652B"/>
    <w:rsid w:val="007F758D"/>
    <w:rsid w:val="007F7D52"/>
    <w:rsid w:val="007F7ED4"/>
    <w:rsid w:val="008008FA"/>
    <w:rsid w:val="00801661"/>
    <w:rsid w:val="00801CCC"/>
    <w:rsid w:val="00802E3E"/>
    <w:rsid w:val="008036FD"/>
    <w:rsid w:val="0080654C"/>
    <w:rsid w:val="008071C6"/>
    <w:rsid w:val="00810800"/>
    <w:rsid w:val="0081776C"/>
    <w:rsid w:val="00817A00"/>
    <w:rsid w:val="00820974"/>
    <w:rsid w:val="00822F87"/>
    <w:rsid w:val="0082422B"/>
    <w:rsid w:val="00826B2C"/>
    <w:rsid w:val="00827850"/>
    <w:rsid w:val="0083187B"/>
    <w:rsid w:val="00831B01"/>
    <w:rsid w:val="00832D2F"/>
    <w:rsid w:val="00832D9E"/>
    <w:rsid w:val="008340F8"/>
    <w:rsid w:val="00834F76"/>
    <w:rsid w:val="00835BCC"/>
    <w:rsid w:val="00835DB3"/>
    <w:rsid w:val="0083617B"/>
    <w:rsid w:val="008371BD"/>
    <w:rsid w:val="00842C9E"/>
    <w:rsid w:val="00842D80"/>
    <w:rsid w:val="008504A8"/>
    <w:rsid w:val="0085059B"/>
    <w:rsid w:val="0085282E"/>
    <w:rsid w:val="00853026"/>
    <w:rsid w:val="0085312A"/>
    <w:rsid w:val="0085426E"/>
    <w:rsid w:val="00855AEC"/>
    <w:rsid w:val="008616C3"/>
    <w:rsid w:val="008616CE"/>
    <w:rsid w:val="00861C8F"/>
    <w:rsid w:val="00863B85"/>
    <w:rsid w:val="00864A98"/>
    <w:rsid w:val="0087198C"/>
    <w:rsid w:val="00872639"/>
    <w:rsid w:val="00872C1F"/>
    <w:rsid w:val="00873591"/>
    <w:rsid w:val="00873B42"/>
    <w:rsid w:val="00877240"/>
    <w:rsid w:val="00883834"/>
    <w:rsid w:val="00883B01"/>
    <w:rsid w:val="00883E5F"/>
    <w:rsid w:val="00885068"/>
    <w:rsid w:val="00885621"/>
    <w:rsid w:val="00885636"/>
    <w:rsid w:val="008856D8"/>
    <w:rsid w:val="00887DC6"/>
    <w:rsid w:val="00891A7A"/>
    <w:rsid w:val="00892103"/>
    <w:rsid w:val="00892E82"/>
    <w:rsid w:val="00893FCF"/>
    <w:rsid w:val="00894036"/>
    <w:rsid w:val="008976D5"/>
    <w:rsid w:val="008979C4"/>
    <w:rsid w:val="008A216F"/>
    <w:rsid w:val="008A359D"/>
    <w:rsid w:val="008A52EB"/>
    <w:rsid w:val="008A67F3"/>
    <w:rsid w:val="008A6EC3"/>
    <w:rsid w:val="008A7D31"/>
    <w:rsid w:val="008B1DEA"/>
    <w:rsid w:val="008B2628"/>
    <w:rsid w:val="008B2E81"/>
    <w:rsid w:val="008B60F9"/>
    <w:rsid w:val="008B6B52"/>
    <w:rsid w:val="008B73C5"/>
    <w:rsid w:val="008C1B58"/>
    <w:rsid w:val="008C2580"/>
    <w:rsid w:val="008C39AE"/>
    <w:rsid w:val="008C4C41"/>
    <w:rsid w:val="008C590D"/>
    <w:rsid w:val="008C62A2"/>
    <w:rsid w:val="008D6706"/>
    <w:rsid w:val="008D6B28"/>
    <w:rsid w:val="008D76B4"/>
    <w:rsid w:val="008E031B"/>
    <w:rsid w:val="008E3FDB"/>
    <w:rsid w:val="008E4F63"/>
    <w:rsid w:val="008E5E71"/>
    <w:rsid w:val="008E7029"/>
    <w:rsid w:val="008E7786"/>
    <w:rsid w:val="008E7EF6"/>
    <w:rsid w:val="008F1F98"/>
    <w:rsid w:val="008F6758"/>
    <w:rsid w:val="00900996"/>
    <w:rsid w:val="009011B8"/>
    <w:rsid w:val="00902529"/>
    <w:rsid w:val="009040DD"/>
    <w:rsid w:val="00904343"/>
    <w:rsid w:val="009044B9"/>
    <w:rsid w:val="00905B47"/>
    <w:rsid w:val="0090707D"/>
    <w:rsid w:val="009105FE"/>
    <w:rsid w:val="0091331C"/>
    <w:rsid w:val="0092030C"/>
    <w:rsid w:val="00921767"/>
    <w:rsid w:val="00922DDC"/>
    <w:rsid w:val="0092309F"/>
    <w:rsid w:val="0092320B"/>
    <w:rsid w:val="009238F5"/>
    <w:rsid w:val="00923DD7"/>
    <w:rsid w:val="009279DE"/>
    <w:rsid w:val="00930116"/>
    <w:rsid w:val="00930F61"/>
    <w:rsid w:val="00940380"/>
    <w:rsid w:val="00940EEE"/>
    <w:rsid w:val="0094212C"/>
    <w:rsid w:val="009425E6"/>
    <w:rsid w:val="00942AAA"/>
    <w:rsid w:val="00947E74"/>
    <w:rsid w:val="00951058"/>
    <w:rsid w:val="00951D8E"/>
    <w:rsid w:val="00954689"/>
    <w:rsid w:val="00954B50"/>
    <w:rsid w:val="00954C26"/>
    <w:rsid w:val="009565C9"/>
    <w:rsid w:val="009617C9"/>
    <w:rsid w:val="00961C93"/>
    <w:rsid w:val="00961EA9"/>
    <w:rsid w:val="00964B01"/>
    <w:rsid w:val="00965324"/>
    <w:rsid w:val="00965A0B"/>
    <w:rsid w:val="00965B19"/>
    <w:rsid w:val="00966E2E"/>
    <w:rsid w:val="00967724"/>
    <w:rsid w:val="0097091E"/>
    <w:rsid w:val="00970955"/>
    <w:rsid w:val="009760D3"/>
    <w:rsid w:val="00977132"/>
    <w:rsid w:val="009774DC"/>
    <w:rsid w:val="00980308"/>
    <w:rsid w:val="00981A4B"/>
    <w:rsid w:val="00982501"/>
    <w:rsid w:val="009836CA"/>
    <w:rsid w:val="009842F0"/>
    <w:rsid w:val="0098476A"/>
    <w:rsid w:val="009866BF"/>
    <w:rsid w:val="009877D3"/>
    <w:rsid w:val="00990F58"/>
    <w:rsid w:val="00991801"/>
    <w:rsid w:val="0099196F"/>
    <w:rsid w:val="00992E29"/>
    <w:rsid w:val="009930CB"/>
    <w:rsid w:val="00994E86"/>
    <w:rsid w:val="00994E8F"/>
    <w:rsid w:val="009951DC"/>
    <w:rsid w:val="009959BB"/>
    <w:rsid w:val="009962C9"/>
    <w:rsid w:val="00997158"/>
    <w:rsid w:val="0099767E"/>
    <w:rsid w:val="009A02AA"/>
    <w:rsid w:val="009A1AB2"/>
    <w:rsid w:val="009A2434"/>
    <w:rsid w:val="009A24E9"/>
    <w:rsid w:val="009A26DD"/>
    <w:rsid w:val="009A3A7C"/>
    <w:rsid w:val="009A3AD3"/>
    <w:rsid w:val="009A4F31"/>
    <w:rsid w:val="009A6E65"/>
    <w:rsid w:val="009B0F9A"/>
    <w:rsid w:val="009B295A"/>
    <w:rsid w:val="009B2ADB"/>
    <w:rsid w:val="009B2CDE"/>
    <w:rsid w:val="009B3611"/>
    <w:rsid w:val="009B4134"/>
    <w:rsid w:val="009B4369"/>
    <w:rsid w:val="009B4B16"/>
    <w:rsid w:val="009B603A"/>
    <w:rsid w:val="009B7B45"/>
    <w:rsid w:val="009B7FE0"/>
    <w:rsid w:val="009C101A"/>
    <w:rsid w:val="009C2D0E"/>
    <w:rsid w:val="009C361E"/>
    <w:rsid w:val="009C3DAC"/>
    <w:rsid w:val="009C42E0"/>
    <w:rsid w:val="009D1CC2"/>
    <w:rsid w:val="009D228E"/>
    <w:rsid w:val="009D3439"/>
    <w:rsid w:val="009D3814"/>
    <w:rsid w:val="009D38D2"/>
    <w:rsid w:val="009D5362"/>
    <w:rsid w:val="009D73D6"/>
    <w:rsid w:val="009E0BC5"/>
    <w:rsid w:val="009E1415"/>
    <w:rsid w:val="009E4371"/>
    <w:rsid w:val="009E4EB6"/>
    <w:rsid w:val="009E5780"/>
    <w:rsid w:val="009E6116"/>
    <w:rsid w:val="009F17BD"/>
    <w:rsid w:val="009F62C4"/>
    <w:rsid w:val="009F6C8F"/>
    <w:rsid w:val="009F7176"/>
    <w:rsid w:val="009F72DC"/>
    <w:rsid w:val="00A012DE"/>
    <w:rsid w:val="00A013CF"/>
    <w:rsid w:val="00A02169"/>
    <w:rsid w:val="00A02423"/>
    <w:rsid w:val="00A02709"/>
    <w:rsid w:val="00A02E43"/>
    <w:rsid w:val="00A04B8C"/>
    <w:rsid w:val="00A065F9"/>
    <w:rsid w:val="00A07F34"/>
    <w:rsid w:val="00A10E21"/>
    <w:rsid w:val="00A144E7"/>
    <w:rsid w:val="00A157CC"/>
    <w:rsid w:val="00A15E37"/>
    <w:rsid w:val="00A17D1C"/>
    <w:rsid w:val="00A200BF"/>
    <w:rsid w:val="00A20229"/>
    <w:rsid w:val="00A205AF"/>
    <w:rsid w:val="00A21B8B"/>
    <w:rsid w:val="00A22154"/>
    <w:rsid w:val="00A22DD4"/>
    <w:rsid w:val="00A2381A"/>
    <w:rsid w:val="00A25C38"/>
    <w:rsid w:val="00A26253"/>
    <w:rsid w:val="00A30EFB"/>
    <w:rsid w:val="00A32E19"/>
    <w:rsid w:val="00A33B7F"/>
    <w:rsid w:val="00A344CD"/>
    <w:rsid w:val="00A34A46"/>
    <w:rsid w:val="00A34B6E"/>
    <w:rsid w:val="00A35AA2"/>
    <w:rsid w:val="00A36BBE"/>
    <w:rsid w:val="00A4082C"/>
    <w:rsid w:val="00A4307A"/>
    <w:rsid w:val="00A43E5A"/>
    <w:rsid w:val="00A45A9E"/>
    <w:rsid w:val="00A47EBB"/>
    <w:rsid w:val="00A51CDD"/>
    <w:rsid w:val="00A56D6E"/>
    <w:rsid w:val="00A5748E"/>
    <w:rsid w:val="00A60A41"/>
    <w:rsid w:val="00A61E8C"/>
    <w:rsid w:val="00A65B55"/>
    <w:rsid w:val="00A65C4D"/>
    <w:rsid w:val="00A6730D"/>
    <w:rsid w:val="00A67606"/>
    <w:rsid w:val="00A71625"/>
    <w:rsid w:val="00A71876"/>
    <w:rsid w:val="00A71B9B"/>
    <w:rsid w:val="00A72378"/>
    <w:rsid w:val="00A7259A"/>
    <w:rsid w:val="00A73DC8"/>
    <w:rsid w:val="00A7425C"/>
    <w:rsid w:val="00A751C7"/>
    <w:rsid w:val="00A75674"/>
    <w:rsid w:val="00A75A2A"/>
    <w:rsid w:val="00A8055A"/>
    <w:rsid w:val="00A819A1"/>
    <w:rsid w:val="00A82817"/>
    <w:rsid w:val="00A87844"/>
    <w:rsid w:val="00A910CF"/>
    <w:rsid w:val="00A93CFF"/>
    <w:rsid w:val="00A94D8F"/>
    <w:rsid w:val="00A955D6"/>
    <w:rsid w:val="00A955FE"/>
    <w:rsid w:val="00AA038C"/>
    <w:rsid w:val="00AA0557"/>
    <w:rsid w:val="00AA05B0"/>
    <w:rsid w:val="00AA095E"/>
    <w:rsid w:val="00AA10DB"/>
    <w:rsid w:val="00AA1918"/>
    <w:rsid w:val="00AA3F18"/>
    <w:rsid w:val="00AA3F8C"/>
    <w:rsid w:val="00AA4831"/>
    <w:rsid w:val="00AA4CBA"/>
    <w:rsid w:val="00AA7A09"/>
    <w:rsid w:val="00AB2DF4"/>
    <w:rsid w:val="00AB3B50"/>
    <w:rsid w:val="00AB439B"/>
    <w:rsid w:val="00AB4EB5"/>
    <w:rsid w:val="00AB6078"/>
    <w:rsid w:val="00AB6DA3"/>
    <w:rsid w:val="00AC05B1"/>
    <w:rsid w:val="00AC0F5B"/>
    <w:rsid w:val="00AC301A"/>
    <w:rsid w:val="00AC3FE0"/>
    <w:rsid w:val="00AC4F74"/>
    <w:rsid w:val="00AC512D"/>
    <w:rsid w:val="00AC6807"/>
    <w:rsid w:val="00AC76F4"/>
    <w:rsid w:val="00AD131F"/>
    <w:rsid w:val="00AD1ADE"/>
    <w:rsid w:val="00AD2AC0"/>
    <w:rsid w:val="00AD3323"/>
    <w:rsid w:val="00AD356C"/>
    <w:rsid w:val="00AD3C0C"/>
    <w:rsid w:val="00AD7753"/>
    <w:rsid w:val="00AE2914"/>
    <w:rsid w:val="00AE3E93"/>
    <w:rsid w:val="00AE4163"/>
    <w:rsid w:val="00AE4375"/>
    <w:rsid w:val="00AE4D98"/>
    <w:rsid w:val="00AE6D15"/>
    <w:rsid w:val="00AF36A0"/>
    <w:rsid w:val="00AF397B"/>
    <w:rsid w:val="00AF3EB7"/>
    <w:rsid w:val="00AF40EA"/>
    <w:rsid w:val="00AF5435"/>
    <w:rsid w:val="00AF63B1"/>
    <w:rsid w:val="00AF7168"/>
    <w:rsid w:val="00B005DA"/>
    <w:rsid w:val="00B019CA"/>
    <w:rsid w:val="00B01A2B"/>
    <w:rsid w:val="00B04182"/>
    <w:rsid w:val="00B04DC4"/>
    <w:rsid w:val="00B05CE3"/>
    <w:rsid w:val="00B06150"/>
    <w:rsid w:val="00B065C2"/>
    <w:rsid w:val="00B06B79"/>
    <w:rsid w:val="00B0733B"/>
    <w:rsid w:val="00B07A58"/>
    <w:rsid w:val="00B07AE3"/>
    <w:rsid w:val="00B11303"/>
    <w:rsid w:val="00B11430"/>
    <w:rsid w:val="00B11535"/>
    <w:rsid w:val="00B13E50"/>
    <w:rsid w:val="00B149D3"/>
    <w:rsid w:val="00B1636D"/>
    <w:rsid w:val="00B17D42"/>
    <w:rsid w:val="00B20DE4"/>
    <w:rsid w:val="00B21725"/>
    <w:rsid w:val="00B2308F"/>
    <w:rsid w:val="00B2451D"/>
    <w:rsid w:val="00B2462B"/>
    <w:rsid w:val="00B254EA"/>
    <w:rsid w:val="00B2717D"/>
    <w:rsid w:val="00B277F6"/>
    <w:rsid w:val="00B353EB"/>
    <w:rsid w:val="00B35CDC"/>
    <w:rsid w:val="00B36801"/>
    <w:rsid w:val="00B4176C"/>
    <w:rsid w:val="00B418A5"/>
    <w:rsid w:val="00B4222B"/>
    <w:rsid w:val="00B435F0"/>
    <w:rsid w:val="00B439C4"/>
    <w:rsid w:val="00B443B2"/>
    <w:rsid w:val="00B4535E"/>
    <w:rsid w:val="00B471FD"/>
    <w:rsid w:val="00B52A8C"/>
    <w:rsid w:val="00B52AAD"/>
    <w:rsid w:val="00B52F26"/>
    <w:rsid w:val="00B53834"/>
    <w:rsid w:val="00B53F2C"/>
    <w:rsid w:val="00B54BE9"/>
    <w:rsid w:val="00B61F58"/>
    <w:rsid w:val="00B629FB"/>
    <w:rsid w:val="00B636A8"/>
    <w:rsid w:val="00B64AD7"/>
    <w:rsid w:val="00B665C6"/>
    <w:rsid w:val="00B67E5D"/>
    <w:rsid w:val="00B71454"/>
    <w:rsid w:val="00B72AC4"/>
    <w:rsid w:val="00B74F46"/>
    <w:rsid w:val="00B77FD0"/>
    <w:rsid w:val="00B805AF"/>
    <w:rsid w:val="00B81DFC"/>
    <w:rsid w:val="00B831EC"/>
    <w:rsid w:val="00B84243"/>
    <w:rsid w:val="00B856FD"/>
    <w:rsid w:val="00B869EC"/>
    <w:rsid w:val="00B87B86"/>
    <w:rsid w:val="00B91BBA"/>
    <w:rsid w:val="00B92A62"/>
    <w:rsid w:val="00B9397A"/>
    <w:rsid w:val="00B95883"/>
    <w:rsid w:val="00B9633D"/>
    <w:rsid w:val="00B96DC6"/>
    <w:rsid w:val="00BA0B75"/>
    <w:rsid w:val="00BA2EBE"/>
    <w:rsid w:val="00BA4035"/>
    <w:rsid w:val="00BB0F28"/>
    <w:rsid w:val="00BB10E7"/>
    <w:rsid w:val="00BB458A"/>
    <w:rsid w:val="00BB4644"/>
    <w:rsid w:val="00BB4B65"/>
    <w:rsid w:val="00BB4E7F"/>
    <w:rsid w:val="00BB4F84"/>
    <w:rsid w:val="00BB650E"/>
    <w:rsid w:val="00BB7754"/>
    <w:rsid w:val="00BC46FE"/>
    <w:rsid w:val="00BC5DD7"/>
    <w:rsid w:val="00BC6404"/>
    <w:rsid w:val="00BD00D3"/>
    <w:rsid w:val="00BD0DD6"/>
    <w:rsid w:val="00BD1659"/>
    <w:rsid w:val="00BD3AA9"/>
    <w:rsid w:val="00BD47FB"/>
    <w:rsid w:val="00BD4A18"/>
    <w:rsid w:val="00BD5900"/>
    <w:rsid w:val="00BD62B1"/>
    <w:rsid w:val="00BD6DB2"/>
    <w:rsid w:val="00BD722F"/>
    <w:rsid w:val="00BE0905"/>
    <w:rsid w:val="00BE11CF"/>
    <w:rsid w:val="00BE21AB"/>
    <w:rsid w:val="00BE2B86"/>
    <w:rsid w:val="00BE4A6E"/>
    <w:rsid w:val="00BE55CB"/>
    <w:rsid w:val="00BF155A"/>
    <w:rsid w:val="00BF1F83"/>
    <w:rsid w:val="00BF617A"/>
    <w:rsid w:val="00BF6E05"/>
    <w:rsid w:val="00BF6FCE"/>
    <w:rsid w:val="00C0250D"/>
    <w:rsid w:val="00C02C43"/>
    <w:rsid w:val="00C0379D"/>
    <w:rsid w:val="00C03931"/>
    <w:rsid w:val="00C03CA2"/>
    <w:rsid w:val="00C05FE3"/>
    <w:rsid w:val="00C071AB"/>
    <w:rsid w:val="00C14153"/>
    <w:rsid w:val="00C14396"/>
    <w:rsid w:val="00C1530D"/>
    <w:rsid w:val="00C15F2B"/>
    <w:rsid w:val="00C1668E"/>
    <w:rsid w:val="00C20F01"/>
    <w:rsid w:val="00C2136D"/>
    <w:rsid w:val="00C214EE"/>
    <w:rsid w:val="00C2314B"/>
    <w:rsid w:val="00C24971"/>
    <w:rsid w:val="00C269B0"/>
    <w:rsid w:val="00C26BE5"/>
    <w:rsid w:val="00C26E4D"/>
    <w:rsid w:val="00C27909"/>
    <w:rsid w:val="00C27B03"/>
    <w:rsid w:val="00C31187"/>
    <w:rsid w:val="00C314E1"/>
    <w:rsid w:val="00C32654"/>
    <w:rsid w:val="00C32B50"/>
    <w:rsid w:val="00C32CF2"/>
    <w:rsid w:val="00C33FFA"/>
    <w:rsid w:val="00C34397"/>
    <w:rsid w:val="00C3660A"/>
    <w:rsid w:val="00C37064"/>
    <w:rsid w:val="00C3788B"/>
    <w:rsid w:val="00C40657"/>
    <w:rsid w:val="00C4095D"/>
    <w:rsid w:val="00C439AA"/>
    <w:rsid w:val="00C450AC"/>
    <w:rsid w:val="00C5261D"/>
    <w:rsid w:val="00C52783"/>
    <w:rsid w:val="00C601D2"/>
    <w:rsid w:val="00C61940"/>
    <w:rsid w:val="00C6209E"/>
    <w:rsid w:val="00C6281E"/>
    <w:rsid w:val="00C638FD"/>
    <w:rsid w:val="00C65BCC"/>
    <w:rsid w:val="00C66970"/>
    <w:rsid w:val="00C67D8F"/>
    <w:rsid w:val="00C71768"/>
    <w:rsid w:val="00C72F0C"/>
    <w:rsid w:val="00C7408C"/>
    <w:rsid w:val="00C74DBA"/>
    <w:rsid w:val="00C75D7B"/>
    <w:rsid w:val="00C80D51"/>
    <w:rsid w:val="00C835CE"/>
    <w:rsid w:val="00C86730"/>
    <w:rsid w:val="00C8691C"/>
    <w:rsid w:val="00C875D3"/>
    <w:rsid w:val="00C87669"/>
    <w:rsid w:val="00C93686"/>
    <w:rsid w:val="00C93990"/>
    <w:rsid w:val="00CA168A"/>
    <w:rsid w:val="00CA357E"/>
    <w:rsid w:val="00CA44F9"/>
    <w:rsid w:val="00CA4A69"/>
    <w:rsid w:val="00CA4C44"/>
    <w:rsid w:val="00CA5912"/>
    <w:rsid w:val="00CA7313"/>
    <w:rsid w:val="00CB2F46"/>
    <w:rsid w:val="00CB7BB5"/>
    <w:rsid w:val="00CC1BC1"/>
    <w:rsid w:val="00CC2095"/>
    <w:rsid w:val="00CC3E0C"/>
    <w:rsid w:val="00CC478E"/>
    <w:rsid w:val="00CC4F37"/>
    <w:rsid w:val="00CC58D3"/>
    <w:rsid w:val="00CC635A"/>
    <w:rsid w:val="00CC71DB"/>
    <w:rsid w:val="00CC784D"/>
    <w:rsid w:val="00CC7B9F"/>
    <w:rsid w:val="00CD069E"/>
    <w:rsid w:val="00CD3019"/>
    <w:rsid w:val="00CD3126"/>
    <w:rsid w:val="00CD3539"/>
    <w:rsid w:val="00CD4D55"/>
    <w:rsid w:val="00CE0957"/>
    <w:rsid w:val="00CE1487"/>
    <w:rsid w:val="00CE4F12"/>
    <w:rsid w:val="00CE66A9"/>
    <w:rsid w:val="00CF1715"/>
    <w:rsid w:val="00CF4F48"/>
    <w:rsid w:val="00D00903"/>
    <w:rsid w:val="00D01437"/>
    <w:rsid w:val="00D01C43"/>
    <w:rsid w:val="00D02734"/>
    <w:rsid w:val="00D0330F"/>
    <w:rsid w:val="00D0337B"/>
    <w:rsid w:val="00D041F4"/>
    <w:rsid w:val="00D079B2"/>
    <w:rsid w:val="00D10975"/>
    <w:rsid w:val="00D114E9"/>
    <w:rsid w:val="00D13375"/>
    <w:rsid w:val="00D138D7"/>
    <w:rsid w:val="00D1427A"/>
    <w:rsid w:val="00D154BF"/>
    <w:rsid w:val="00D1562C"/>
    <w:rsid w:val="00D20955"/>
    <w:rsid w:val="00D2232F"/>
    <w:rsid w:val="00D224C0"/>
    <w:rsid w:val="00D266D0"/>
    <w:rsid w:val="00D26D81"/>
    <w:rsid w:val="00D275B2"/>
    <w:rsid w:val="00D31064"/>
    <w:rsid w:val="00D322DC"/>
    <w:rsid w:val="00D353D9"/>
    <w:rsid w:val="00D366F9"/>
    <w:rsid w:val="00D41C3C"/>
    <w:rsid w:val="00D429C6"/>
    <w:rsid w:val="00D42B90"/>
    <w:rsid w:val="00D43862"/>
    <w:rsid w:val="00D43CC4"/>
    <w:rsid w:val="00D46002"/>
    <w:rsid w:val="00D47748"/>
    <w:rsid w:val="00D50430"/>
    <w:rsid w:val="00D51FFD"/>
    <w:rsid w:val="00D52B6B"/>
    <w:rsid w:val="00D549F3"/>
    <w:rsid w:val="00D54CC3"/>
    <w:rsid w:val="00D570A9"/>
    <w:rsid w:val="00D57E0E"/>
    <w:rsid w:val="00D6041A"/>
    <w:rsid w:val="00D62644"/>
    <w:rsid w:val="00D62D7E"/>
    <w:rsid w:val="00D633EB"/>
    <w:rsid w:val="00D63B4C"/>
    <w:rsid w:val="00D66C3C"/>
    <w:rsid w:val="00D67997"/>
    <w:rsid w:val="00D7084B"/>
    <w:rsid w:val="00D70A08"/>
    <w:rsid w:val="00D72A63"/>
    <w:rsid w:val="00D747AD"/>
    <w:rsid w:val="00D76456"/>
    <w:rsid w:val="00D77E6A"/>
    <w:rsid w:val="00D803CE"/>
    <w:rsid w:val="00D82FF7"/>
    <w:rsid w:val="00D83AAC"/>
    <w:rsid w:val="00D84157"/>
    <w:rsid w:val="00D847FE"/>
    <w:rsid w:val="00D85005"/>
    <w:rsid w:val="00D85A2B"/>
    <w:rsid w:val="00D87FEA"/>
    <w:rsid w:val="00D90781"/>
    <w:rsid w:val="00D94DEA"/>
    <w:rsid w:val="00D95CC8"/>
    <w:rsid w:val="00D964EA"/>
    <w:rsid w:val="00D966D0"/>
    <w:rsid w:val="00D96948"/>
    <w:rsid w:val="00D96D76"/>
    <w:rsid w:val="00D96D79"/>
    <w:rsid w:val="00DA0C59"/>
    <w:rsid w:val="00DA24C2"/>
    <w:rsid w:val="00DA3991"/>
    <w:rsid w:val="00DA5A23"/>
    <w:rsid w:val="00DA7B21"/>
    <w:rsid w:val="00DB0990"/>
    <w:rsid w:val="00DB184F"/>
    <w:rsid w:val="00DB2498"/>
    <w:rsid w:val="00DB3FC4"/>
    <w:rsid w:val="00DB53D1"/>
    <w:rsid w:val="00DB5FF7"/>
    <w:rsid w:val="00DB6627"/>
    <w:rsid w:val="00DB6BC3"/>
    <w:rsid w:val="00DB7AF2"/>
    <w:rsid w:val="00DB7E6C"/>
    <w:rsid w:val="00DC4D75"/>
    <w:rsid w:val="00DD2025"/>
    <w:rsid w:val="00DD5A29"/>
    <w:rsid w:val="00DD5D9D"/>
    <w:rsid w:val="00DD5FAE"/>
    <w:rsid w:val="00DD746E"/>
    <w:rsid w:val="00DE001F"/>
    <w:rsid w:val="00DE08DA"/>
    <w:rsid w:val="00DE1D5A"/>
    <w:rsid w:val="00DE2218"/>
    <w:rsid w:val="00DE304F"/>
    <w:rsid w:val="00DE35CB"/>
    <w:rsid w:val="00DE7B3F"/>
    <w:rsid w:val="00DF1082"/>
    <w:rsid w:val="00DF21E9"/>
    <w:rsid w:val="00DF504A"/>
    <w:rsid w:val="00E00F14"/>
    <w:rsid w:val="00E054C0"/>
    <w:rsid w:val="00E055F0"/>
    <w:rsid w:val="00E0570F"/>
    <w:rsid w:val="00E06386"/>
    <w:rsid w:val="00E10218"/>
    <w:rsid w:val="00E12968"/>
    <w:rsid w:val="00E12C1E"/>
    <w:rsid w:val="00E12EEC"/>
    <w:rsid w:val="00E134E5"/>
    <w:rsid w:val="00E16CC9"/>
    <w:rsid w:val="00E17A74"/>
    <w:rsid w:val="00E208EE"/>
    <w:rsid w:val="00E2091F"/>
    <w:rsid w:val="00E20A6C"/>
    <w:rsid w:val="00E21116"/>
    <w:rsid w:val="00E21548"/>
    <w:rsid w:val="00E22B76"/>
    <w:rsid w:val="00E242E6"/>
    <w:rsid w:val="00E24690"/>
    <w:rsid w:val="00E24EB4"/>
    <w:rsid w:val="00E259AF"/>
    <w:rsid w:val="00E306E4"/>
    <w:rsid w:val="00E309B7"/>
    <w:rsid w:val="00E320ED"/>
    <w:rsid w:val="00E32E50"/>
    <w:rsid w:val="00E33AFB"/>
    <w:rsid w:val="00E34218"/>
    <w:rsid w:val="00E35184"/>
    <w:rsid w:val="00E40971"/>
    <w:rsid w:val="00E46282"/>
    <w:rsid w:val="00E47C80"/>
    <w:rsid w:val="00E51A34"/>
    <w:rsid w:val="00E5216E"/>
    <w:rsid w:val="00E52E56"/>
    <w:rsid w:val="00E54316"/>
    <w:rsid w:val="00E54EE3"/>
    <w:rsid w:val="00E607EF"/>
    <w:rsid w:val="00E62379"/>
    <w:rsid w:val="00E62705"/>
    <w:rsid w:val="00E6292D"/>
    <w:rsid w:val="00E65F8B"/>
    <w:rsid w:val="00E66037"/>
    <w:rsid w:val="00E676B2"/>
    <w:rsid w:val="00E70FC0"/>
    <w:rsid w:val="00E75054"/>
    <w:rsid w:val="00E752F6"/>
    <w:rsid w:val="00E80267"/>
    <w:rsid w:val="00E82344"/>
    <w:rsid w:val="00E84B74"/>
    <w:rsid w:val="00E84C82"/>
    <w:rsid w:val="00E84D64"/>
    <w:rsid w:val="00E859C8"/>
    <w:rsid w:val="00E87408"/>
    <w:rsid w:val="00E9032B"/>
    <w:rsid w:val="00E90FCA"/>
    <w:rsid w:val="00E914C4"/>
    <w:rsid w:val="00E934F5"/>
    <w:rsid w:val="00E96961"/>
    <w:rsid w:val="00E97D50"/>
    <w:rsid w:val="00E97ED9"/>
    <w:rsid w:val="00EA1F69"/>
    <w:rsid w:val="00EA3B8C"/>
    <w:rsid w:val="00EA4C3C"/>
    <w:rsid w:val="00EA5F92"/>
    <w:rsid w:val="00EA61D0"/>
    <w:rsid w:val="00EA624A"/>
    <w:rsid w:val="00EA6DF7"/>
    <w:rsid w:val="00EA72EC"/>
    <w:rsid w:val="00EA7450"/>
    <w:rsid w:val="00EA7C94"/>
    <w:rsid w:val="00EB060E"/>
    <w:rsid w:val="00EB0F88"/>
    <w:rsid w:val="00EB11CB"/>
    <w:rsid w:val="00EB17C4"/>
    <w:rsid w:val="00EB275A"/>
    <w:rsid w:val="00EB28CA"/>
    <w:rsid w:val="00EB3103"/>
    <w:rsid w:val="00EB5C6A"/>
    <w:rsid w:val="00EB786A"/>
    <w:rsid w:val="00EC0534"/>
    <w:rsid w:val="00EC1578"/>
    <w:rsid w:val="00EC1C72"/>
    <w:rsid w:val="00EC27F0"/>
    <w:rsid w:val="00EC3CC9"/>
    <w:rsid w:val="00EC5FE4"/>
    <w:rsid w:val="00EC680A"/>
    <w:rsid w:val="00ED4475"/>
    <w:rsid w:val="00ED44EE"/>
    <w:rsid w:val="00ED7C53"/>
    <w:rsid w:val="00EE03BF"/>
    <w:rsid w:val="00EE085A"/>
    <w:rsid w:val="00EE0F8A"/>
    <w:rsid w:val="00EE1E09"/>
    <w:rsid w:val="00EE2BED"/>
    <w:rsid w:val="00EE33C8"/>
    <w:rsid w:val="00EE374B"/>
    <w:rsid w:val="00EE5A0A"/>
    <w:rsid w:val="00EF39CC"/>
    <w:rsid w:val="00EF4695"/>
    <w:rsid w:val="00EF4AD5"/>
    <w:rsid w:val="00EF75B1"/>
    <w:rsid w:val="00F004A3"/>
    <w:rsid w:val="00F0091E"/>
    <w:rsid w:val="00F0352B"/>
    <w:rsid w:val="00F035A7"/>
    <w:rsid w:val="00F0390B"/>
    <w:rsid w:val="00F039FF"/>
    <w:rsid w:val="00F03C68"/>
    <w:rsid w:val="00F0406A"/>
    <w:rsid w:val="00F05EED"/>
    <w:rsid w:val="00F118B5"/>
    <w:rsid w:val="00F11BB5"/>
    <w:rsid w:val="00F12373"/>
    <w:rsid w:val="00F12C18"/>
    <w:rsid w:val="00F1417B"/>
    <w:rsid w:val="00F14370"/>
    <w:rsid w:val="00F16C66"/>
    <w:rsid w:val="00F20B3E"/>
    <w:rsid w:val="00F21E6C"/>
    <w:rsid w:val="00F25333"/>
    <w:rsid w:val="00F27F80"/>
    <w:rsid w:val="00F34B99"/>
    <w:rsid w:val="00F3598E"/>
    <w:rsid w:val="00F413C2"/>
    <w:rsid w:val="00F4281E"/>
    <w:rsid w:val="00F43CD8"/>
    <w:rsid w:val="00F4553B"/>
    <w:rsid w:val="00F45EB1"/>
    <w:rsid w:val="00F46EB3"/>
    <w:rsid w:val="00F47515"/>
    <w:rsid w:val="00F505F0"/>
    <w:rsid w:val="00F520E0"/>
    <w:rsid w:val="00F52DAB"/>
    <w:rsid w:val="00F52DE8"/>
    <w:rsid w:val="00F543F0"/>
    <w:rsid w:val="00F5524F"/>
    <w:rsid w:val="00F67DE4"/>
    <w:rsid w:val="00F71486"/>
    <w:rsid w:val="00F735C5"/>
    <w:rsid w:val="00F75182"/>
    <w:rsid w:val="00F75252"/>
    <w:rsid w:val="00F77219"/>
    <w:rsid w:val="00F772DE"/>
    <w:rsid w:val="00F774A0"/>
    <w:rsid w:val="00F81019"/>
    <w:rsid w:val="00F81D29"/>
    <w:rsid w:val="00F830C9"/>
    <w:rsid w:val="00F83735"/>
    <w:rsid w:val="00F83D29"/>
    <w:rsid w:val="00F9160D"/>
    <w:rsid w:val="00F91C4D"/>
    <w:rsid w:val="00F92548"/>
    <w:rsid w:val="00F9260F"/>
    <w:rsid w:val="00F92D60"/>
    <w:rsid w:val="00F92FD9"/>
    <w:rsid w:val="00F9467C"/>
    <w:rsid w:val="00F94E41"/>
    <w:rsid w:val="00F94F16"/>
    <w:rsid w:val="00F967C5"/>
    <w:rsid w:val="00F96A16"/>
    <w:rsid w:val="00F96B7F"/>
    <w:rsid w:val="00FA414D"/>
    <w:rsid w:val="00FA417C"/>
    <w:rsid w:val="00FA6684"/>
    <w:rsid w:val="00FA731E"/>
    <w:rsid w:val="00FA7AEB"/>
    <w:rsid w:val="00FB2A6B"/>
    <w:rsid w:val="00FB2B38"/>
    <w:rsid w:val="00FB2F9D"/>
    <w:rsid w:val="00FB3744"/>
    <w:rsid w:val="00FB701C"/>
    <w:rsid w:val="00FC00A6"/>
    <w:rsid w:val="00FC0100"/>
    <w:rsid w:val="00FC124A"/>
    <w:rsid w:val="00FC3891"/>
    <w:rsid w:val="00FC6358"/>
    <w:rsid w:val="00FC6A02"/>
    <w:rsid w:val="00FD01CF"/>
    <w:rsid w:val="00FD07A6"/>
    <w:rsid w:val="00FD098A"/>
    <w:rsid w:val="00FD0A6B"/>
    <w:rsid w:val="00FD23AE"/>
    <w:rsid w:val="00FD3161"/>
    <w:rsid w:val="00FD3188"/>
    <w:rsid w:val="00FD320D"/>
    <w:rsid w:val="00FD585F"/>
    <w:rsid w:val="00FE23DE"/>
    <w:rsid w:val="00FE26B6"/>
    <w:rsid w:val="00FE2A07"/>
    <w:rsid w:val="00FE5EF1"/>
    <w:rsid w:val="00FF0EA8"/>
    <w:rsid w:val="00FF14CC"/>
    <w:rsid w:val="00FF1BB9"/>
    <w:rsid w:val="00FF2131"/>
    <w:rsid w:val="00FF3C35"/>
    <w:rsid w:val="00FF3CB7"/>
    <w:rsid w:val="00FF49F0"/>
    <w:rsid w:val="00FF4F65"/>
    <w:rsid w:val="00FF6167"/>
    <w:rsid w:val="00FF6725"/>
    <w:rsid w:val="094351D0"/>
    <w:rsid w:val="16225C7A"/>
    <w:rsid w:val="20E979F8"/>
    <w:rsid w:val="244461A5"/>
    <w:rsid w:val="2E1344E8"/>
    <w:rsid w:val="331B5591"/>
    <w:rsid w:val="4B0F3EEA"/>
    <w:rsid w:val="5D5B773E"/>
    <w:rsid w:val="5EE140FD"/>
    <w:rsid w:val="6DDF1CDB"/>
    <w:rsid w:val="6E38462C"/>
    <w:rsid w:val="75A50388"/>
    <w:rsid w:val="7EFC68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0"/>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unhideWhenUsed/>
    <w:qFormat/>
    <w:uiPriority w:val="0"/>
    <w:pPr>
      <w:keepNext/>
      <w:keepLines/>
      <w:numPr>
        <w:ilvl w:val="1"/>
        <w:numId w:val="1"/>
      </w:numPr>
      <w:spacing w:before="100" w:beforeLines="100" w:after="100" w:afterLines="100"/>
      <w:jc w:val="left"/>
      <w:outlineLvl w:val="1"/>
    </w:pPr>
    <w:rPr>
      <w:rFonts w:ascii="Arial" w:hAnsi="Arial" w:eastAsia="黑体"/>
      <w:b/>
    </w:rPr>
  </w:style>
  <w:style w:type="paragraph" w:styleId="4">
    <w:name w:val="heading 3"/>
    <w:basedOn w:val="1"/>
    <w:next w:val="1"/>
    <w:unhideWhenUsed/>
    <w:qFormat/>
    <w:uiPriority w:val="0"/>
    <w:pPr>
      <w:keepNext/>
      <w:keepLines/>
      <w:numPr>
        <w:ilvl w:val="2"/>
        <w:numId w:val="1"/>
      </w:numPr>
      <w:spacing w:before="100" w:beforeLines="100" w:after="100" w:afterLines="100"/>
      <w:jc w:val="left"/>
      <w:outlineLvl w:val="2"/>
    </w:pPr>
    <w:rPr>
      <w:rFonts w:eastAsia="黑体"/>
    </w:rPr>
  </w:style>
  <w:style w:type="paragraph" w:styleId="5">
    <w:name w:val="heading 4"/>
    <w:basedOn w:val="1"/>
    <w:next w:val="1"/>
    <w:unhideWhenUsed/>
    <w:qFormat/>
    <w:uiPriority w:val="0"/>
    <w:pPr>
      <w:keepNext/>
      <w:keepLines/>
      <w:numPr>
        <w:ilvl w:val="3"/>
        <w:numId w:val="1"/>
      </w:numPr>
      <w:spacing w:before="100" w:beforeLines="100" w:after="100" w:afterLines="100"/>
      <w:outlineLvl w:val="3"/>
    </w:pPr>
    <w:rPr>
      <w:rFonts w:ascii="Arial" w:hAnsi="Arial" w:eastAsia="黑体"/>
    </w:rPr>
  </w:style>
  <w:style w:type="paragraph" w:styleId="6">
    <w:name w:val="heading 5"/>
    <w:basedOn w:val="1"/>
    <w:next w:val="1"/>
    <w:unhideWhenUsed/>
    <w:qFormat/>
    <w:uiPriority w:val="0"/>
    <w:pPr>
      <w:keepNext/>
      <w:keepLines/>
      <w:numPr>
        <w:ilvl w:val="4"/>
        <w:numId w:val="2"/>
      </w:numPr>
      <w:spacing w:before="100" w:beforeLines="100" w:after="100" w:afterLines="100"/>
      <w:ind w:left="0" w:firstLine="0"/>
      <w:outlineLvl w:val="4"/>
    </w:pPr>
    <w:rPr>
      <w:rFonts w:eastAsia="黑体"/>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tabs>
        <w:tab w:val="right" w:leader="dot" w:pos="9241"/>
      </w:tabs>
      <w:ind w:firstLine="505" w:firstLineChars="500"/>
      <w:jc w:val="left"/>
    </w:pPr>
    <w:rPr>
      <w:rFonts w:ascii="宋体"/>
      <w:szCs w:val="21"/>
    </w:rPr>
  </w:style>
  <w:style w:type="paragraph" w:styleId="8">
    <w:name w:val="index 8"/>
    <w:basedOn w:val="1"/>
    <w:next w:val="1"/>
    <w:qFormat/>
    <w:uiPriority w:val="0"/>
    <w:pPr>
      <w:ind w:left="1680" w:hanging="210"/>
      <w:jc w:val="left"/>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link w:val="146"/>
    <w:semiHidden/>
    <w:qFormat/>
    <w:uiPriority w:val="0"/>
    <w:pPr>
      <w:shd w:val="clear" w:color="auto" w:fill="000080"/>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qFormat/>
    <w:uiPriority w:val="1"/>
    <w:rPr>
      <w:rFonts w:ascii="宋体" w:hAnsi="宋体" w:cs="宋体"/>
      <w:sz w:val="19"/>
      <w:szCs w:val="19"/>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210" w:firstLineChars="100"/>
      <w:jc w:val="left"/>
    </w:pPr>
    <w:rPr>
      <w:rFonts w:ascii="宋体"/>
      <w:szCs w:val="21"/>
    </w:rPr>
  </w:style>
  <w:style w:type="paragraph" w:styleId="17">
    <w:name w:val="toc 8"/>
    <w:basedOn w:val="1"/>
    <w:next w:val="1"/>
    <w:semiHidden/>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endnote text"/>
    <w:basedOn w:val="1"/>
    <w:link w:val="145"/>
    <w:semiHidden/>
    <w:qFormat/>
    <w:uiPriority w:val="0"/>
    <w:pPr>
      <w:snapToGrid w:val="0"/>
      <w:jc w:val="left"/>
    </w:pPr>
  </w:style>
  <w:style w:type="paragraph" w:styleId="20">
    <w:name w:val="Balloon Text"/>
    <w:basedOn w:val="1"/>
    <w:link w:val="159"/>
    <w:unhideWhenUsed/>
    <w:qFormat/>
    <w:uiPriority w:val="99"/>
    <w:rPr>
      <w:rFonts w:ascii="Calibri" w:hAnsi="Calibri"/>
      <w:sz w:val="18"/>
      <w:szCs w:val="18"/>
    </w:rPr>
  </w:style>
  <w:style w:type="paragraph" w:styleId="21">
    <w:name w:val="footer"/>
    <w:basedOn w:val="1"/>
    <w:link w:val="142"/>
    <w:qFormat/>
    <w:uiPriority w:val="99"/>
    <w:pPr>
      <w:snapToGrid w:val="0"/>
      <w:ind w:right="210" w:rightChars="100"/>
      <w:jc w:val="right"/>
    </w:pPr>
    <w:rPr>
      <w:sz w:val="18"/>
      <w:szCs w:val="18"/>
    </w:rPr>
  </w:style>
  <w:style w:type="paragraph" w:styleId="22">
    <w:name w:val="header"/>
    <w:basedOn w:val="1"/>
    <w:link w:val="143"/>
    <w:qFormat/>
    <w:uiPriority w:val="0"/>
    <w:pPr>
      <w:snapToGrid w:val="0"/>
      <w:jc w:val="left"/>
    </w:pPr>
    <w:rPr>
      <w:sz w:val="18"/>
      <w:szCs w:val="18"/>
    </w:rPr>
  </w:style>
  <w:style w:type="paragraph" w:styleId="23">
    <w:name w:val="toc 1"/>
    <w:basedOn w:val="1"/>
    <w:next w:val="1"/>
    <w:qFormat/>
    <w:uiPriority w:val="39"/>
    <w:pPr>
      <w:tabs>
        <w:tab w:val="right" w:leader="dot" w:pos="9241"/>
      </w:tabs>
      <w:spacing w:beforeLines="25" w:afterLines="25"/>
      <w:jc w:val="left"/>
    </w:pPr>
    <w:rPr>
      <w:rFonts w:ascii="宋体"/>
      <w:szCs w:val="21"/>
    </w:rPr>
  </w:style>
  <w:style w:type="paragraph" w:styleId="24">
    <w:name w:val="toc 4"/>
    <w:basedOn w:val="1"/>
    <w:next w:val="1"/>
    <w:qFormat/>
    <w:uiPriority w:val="39"/>
    <w:pPr>
      <w:tabs>
        <w:tab w:val="right" w:leader="dot" w:pos="9241"/>
      </w:tabs>
      <w:ind w:firstLine="198"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4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link w:val="144"/>
    <w:qFormat/>
    <w:uiPriority w:val="0"/>
    <w:pPr>
      <w:numPr>
        <w:ilvl w:val="0"/>
        <w:numId w:val="3"/>
      </w:numPr>
      <w:snapToGrid w:val="0"/>
      <w:jc w:val="left"/>
    </w:pPr>
    <w:rPr>
      <w:rFonts w:ascii="宋体"/>
      <w:sz w:val="18"/>
      <w:szCs w:val="18"/>
    </w:rPr>
  </w:style>
  <w:style w:type="paragraph" w:styleId="29">
    <w:name w:val="toc 6"/>
    <w:basedOn w:val="1"/>
    <w:next w:val="1"/>
    <w:semiHidden/>
    <w:qFormat/>
    <w:uiPriority w:val="0"/>
    <w:pPr>
      <w:tabs>
        <w:tab w:val="right" w:leader="dot" w:pos="9241"/>
      </w:tabs>
      <w:ind w:firstLine="403" w:firstLineChars="400"/>
      <w:jc w:val="left"/>
    </w:pPr>
    <w:rPr>
      <w:rFonts w:ascii="宋体"/>
      <w:szCs w:val="21"/>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tabs>
        <w:tab w:val="right" w:leader="dot" w:pos="9241"/>
      </w:tabs>
    </w:pPr>
    <w:rPr>
      <w:rFonts w:ascii="宋体"/>
      <w:szCs w:val="21"/>
    </w:rPr>
  </w:style>
  <w:style w:type="paragraph" w:styleId="33">
    <w:name w:val="toc 9"/>
    <w:basedOn w:val="1"/>
    <w:next w:val="1"/>
    <w:semiHidden/>
    <w:qFormat/>
    <w:uiPriority w:val="0"/>
    <w:pPr>
      <w:ind w:left="1470"/>
      <w:jc w:val="left"/>
    </w:pPr>
    <w:rPr>
      <w:sz w:val="20"/>
      <w:szCs w:val="20"/>
    </w:rPr>
  </w:style>
  <w:style w:type="paragraph" w:styleId="34">
    <w:name w:val="index 2"/>
    <w:basedOn w:val="1"/>
    <w:next w:val="1"/>
    <w:qFormat/>
    <w:uiPriority w:val="0"/>
    <w:pPr>
      <w:ind w:left="420" w:hanging="210"/>
      <w:jc w:val="left"/>
    </w:pPr>
    <w:rPr>
      <w:rFonts w:ascii="Calibri" w:hAnsi="Calibri"/>
      <w:sz w:val="20"/>
      <w:szCs w:val="20"/>
    </w:rPr>
  </w:style>
  <w:style w:type="table" w:styleId="36">
    <w:name w:val="Table Grid"/>
    <w:basedOn w:val="3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endnote reference"/>
    <w:basedOn w:val="37"/>
    <w:semiHidden/>
    <w:qFormat/>
    <w:uiPriority w:val="0"/>
    <w:rPr>
      <w:vertAlign w:val="superscript"/>
    </w:rPr>
  </w:style>
  <w:style w:type="character" w:styleId="39">
    <w:name w:val="page number"/>
    <w:basedOn w:val="37"/>
    <w:qFormat/>
    <w:uiPriority w:val="0"/>
    <w:rPr>
      <w:rFonts w:ascii="Times New Roman" w:hAnsi="Times New Roman" w:eastAsia="宋体"/>
      <w:sz w:val="18"/>
    </w:rPr>
  </w:style>
  <w:style w:type="character" w:styleId="40">
    <w:name w:val="FollowedHyperlink"/>
    <w:basedOn w:val="37"/>
    <w:qFormat/>
    <w:uiPriority w:val="0"/>
    <w:rPr>
      <w:color w:val="800080"/>
      <w:u w:val="single"/>
    </w:rPr>
  </w:style>
  <w:style w:type="character" w:styleId="41">
    <w:name w:val="Hyperlink"/>
    <w:basedOn w:val="37"/>
    <w:qFormat/>
    <w:uiPriority w:val="99"/>
    <w:rPr>
      <w:color w:val="0000FF"/>
      <w:spacing w:val="0"/>
      <w:w w:val="100"/>
      <w:szCs w:val="21"/>
      <w:u w:val="single"/>
    </w:rPr>
  </w:style>
  <w:style w:type="character" w:styleId="42">
    <w:name w:val="annotation reference"/>
    <w:qFormat/>
    <w:uiPriority w:val="0"/>
    <w:rPr>
      <w:sz w:val="21"/>
      <w:szCs w:val="21"/>
    </w:rPr>
  </w:style>
  <w:style w:type="character" w:styleId="43">
    <w:name w:val="footnote reference"/>
    <w:basedOn w:val="37"/>
    <w:semiHidden/>
    <w:qFormat/>
    <w:uiPriority w:val="0"/>
    <w:rPr>
      <w:vertAlign w:val="superscript"/>
    </w:rPr>
  </w:style>
  <w:style w:type="character" w:customStyle="1" w:styleId="44">
    <w:name w:val="段 Char"/>
    <w:basedOn w:val="37"/>
    <w:link w:val="27"/>
    <w:qFormat/>
    <w:uiPriority w:val="0"/>
    <w:rPr>
      <w:rFonts w:ascii="宋体"/>
      <w:sz w:val="21"/>
      <w:lang w:val="en-US" w:eastAsia="zh-CN" w:bidi="ar-SA"/>
    </w:rPr>
  </w:style>
  <w:style w:type="paragraph" w:customStyle="1" w:styleId="45">
    <w:name w:val="一级条标题"/>
    <w:next w:val="27"/>
    <w:link w:val="147"/>
    <w:qFormat/>
    <w:uiPriority w:val="99"/>
    <w:pPr>
      <w:numPr>
        <w:ilvl w:val="1"/>
        <w:numId w:val="4"/>
      </w:numPr>
      <w:spacing w:beforeLines="50" w:afterLines="50"/>
      <w:jc w:val="both"/>
      <w:outlineLvl w:val="2"/>
    </w:pPr>
    <w:rPr>
      <w:rFonts w:ascii="黑体" w:hAnsi="Times New Roman" w:eastAsia="黑体" w:cs="Times New Roman"/>
      <w:sz w:val="21"/>
      <w:szCs w:val="21"/>
      <w:lang w:val="en-US" w:eastAsia="zh-CN" w:bidi="ar-SA"/>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章标题"/>
    <w:next w:val="27"/>
    <w:qFormat/>
    <w:uiPriority w:val="99"/>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49">
    <w:name w:val="二级条标题"/>
    <w:basedOn w:val="45"/>
    <w:next w:val="27"/>
    <w:link w:val="148"/>
    <w:qFormat/>
    <w:uiPriority w:val="99"/>
    <w:pPr>
      <w:numPr>
        <w:ilvl w:val="2"/>
      </w:numPr>
      <w:spacing w:before="50" w:after="50"/>
      <w:ind w:left="1277"/>
      <w:outlineLvl w:val="3"/>
    </w:pPr>
  </w:style>
  <w:style w:type="paragraph" w:customStyle="1" w:styleId="5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1">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52">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3">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4">
    <w:name w:val="三级条标题"/>
    <w:basedOn w:val="49"/>
    <w:next w:val="27"/>
    <w:qFormat/>
    <w:uiPriority w:val="0"/>
    <w:pPr>
      <w:numPr>
        <w:ilvl w:val="0"/>
        <w:numId w:val="0"/>
      </w:numPr>
      <w:outlineLvl w:val="4"/>
    </w:pPr>
  </w:style>
  <w:style w:type="paragraph" w:customStyle="1" w:styleId="55">
    <w:name w:val="示例"/>
    <w:next w:val="56"/>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56">
    <w:name w:val="示例内容"/>
    <w:qFormat/>
    <w:uiPriority w:val="0"/>
    <w:pPr>
      <w:ind w:firstLine="200" w:firstLineChars="200"/>
      <w:jc w:val="both"/>
    </w:pPr>
    <w:rPr>
      <w:rFonts w:ascii="宋体" w:hAnsi="Times New Roman" w:eastAsia="宋体" w:cs="Times New Roman"/>
      <w:sz w:val="18"/>
      <w:szCs w:val="18"/>
      <w:lang w:val="en-US" w:eastAsia="zh-CN" w:bidi="ar-SA"/>
    </w:rPr>
  </w:style>
  <w:style w:type="paragraph" w:customStyle="1" w:styleId="57">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58">
    <w:name w:val="四级条标题"/>
    <w:basedOn w:val="54"/>
    <w:next w:val="27"/>
    <w:qFormat/>
    <w:uiPriority w:val="99"/>
    <w:pPr>
      <w:numPr>
        <w:ilvl w:val="4"/>
        <w:numId w:val="4"/>
      </w:numPr>
      <w:outlineLvl w:val="5"/>
    </w:pPr>
  </w:style>
  <w:style w:type="paragraph" w:customStyle="1" w:styleId="59">
    <w:name w:val="五级条标题"/>
    <w:basedOn w:val="58"/>
    <w:next w:val="27"/>
    <w:qFormat/>
    <w:uiPriority w:val="99"/>
    <w:pPr>
      <w:numPr>
        <w:ilvl w:val="5"/>
      </w:numPr>
      <w:outlineLvl w:val="6"/>
    </w:pPr>
  </w:style>
  <w:style w:type="paragraph" w:customStyle="1" w:styleId="60">
    <w:name w:val="注："/>
    <w:next w:val="27"/>
    <w:qFormat/>
    <w:uiPriority w:val="99"/>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61">
    <w:name w:val="注×："/>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62">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63">
    <w:name w:val="列项◆（三级）"/>
    <w:basedOn w:val="1"/>
    <w:qFormat/>
    <w:uiPriority w:val="0"/>
    <w:pPr>
      <w:numPr>
        <w:ilvl w:val="2"/>
        <w:numId w:val="5"/>
      </w:numPr>
    </w:pPr>
    <w:rPr>
      <w:rFonts w:ascii="宋体"/>
      <w:szCs w:val="21"/>
    </w:rPr>
  </w:style>
  <w:style w:type="paragraph" w:customStyle="1" w:styleId="64">
    <w:name w:val="编号列项（三级）"/>
    <w:qFormat/>
    <w:uiPriority w:val="0"/>
    <w:pPr>
      <w:jc w:val="both"/>
    </w:pPr>
    <w:rPr>
      <w:rFonts w:ascii="宋体" w:hAnsi="Times New Roman" w:eastAsia="宋体" w:cs="Times New Roman"/>
      <w:sz w:val="21"/>
      <w:lang w:val="en-US" w:eastAsia="zh-CN" w:bidi="ar-SA"/>
    </w:rPr>
  </w:style>
  <w:style w:type="paragraph" w:customStyle="1" w:styleId="65">
    <w:name w:val="示例×："/>
    <w:basedOn w:val="48"/>
    <w:qFormat/>
    <w:uiPriority w:val="0"/>
    <w:pPr>
      <w:numPr>
        <w:numId w:val="10"/>
      </w:numPr>
      <w:spacing w:beforeLines="0" w:afterLines="0"/>
      <w:outlineLvl w:val="9"/>
    </w:pPr>
    <w:rPr>
      <w:rFonts w:ascii="宋体" w:eastAsia="宋体"/>
      <w:sz w:val="18"/>
      <w:szCs w:val="18"/>
    </w:rPr>
  </w:style>
  <w:style w:type="paragraph" w:customStyle="1" w:styleId="66">
    <w:name w:val="二级无"/>
    <w:basedOn w:val="49"/>
    <w:qFormat/>
    <w:uiPriority w:val="0"/>
    <w:pPr>
      <w:spacing w:beforeLines="0" w:afterLines="0"/>
      <w:ind w:left="1702"/>
    </w:pPr>
    <w:rPr>
      <w:rFonts w:ascii="宋体" w:eastAsia="宋体"/>
    </w:rPr>
  </w:style>
  <w:style w:type="paragraph" w:customStyle="1" w:styleId="67">
    <w:name w:val="注：（正文）"/>
    <w:basedOn w:val="60"/>
    <w:next w:val="27"/>
    <w:qFormat/>
    <w:uiPriority w:val="0"/>
    <w:pPr>
      <w:numPr>
        <w:ilvl w:val="0"/>
        <w:numId w:val="11"/>
      </w:numPr>
    </w:pPr>
  </w:style>
  <w:style w:type="paragraph" w:customStyle="1" w:styleId="68">
    <w:name w:val="注×：（正文）"/>
    <w:qFormat/>
    <w:uiPriority w:val="0"/>
    <w:pPr>
      <w:numPr>
        <w:ilvl w:val="0"/>
        <w:numId w:val="12"/>
      </w:numPr>
      <w:jc w:val="both"/>
    </w:pPr>
    <w:rPr>
      <w:rFonts w:ascii="宋体" w:hAnsi="Times New Roman" w:eastAsia="宋体" w:cs="Times New Roman"/>
      <w:sz w:val="18"/>
      <w:szCs w:val="18"/>
      <w:lang w:val="en-US" w:eastAsia="zh-CN" w:bidi="ar-SA"/>
    </w:rPr>
  </w:style>
  <w:style w:type="paragraph" w:customStyle="1" w:styleId="6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1">
    <w:name w:val="标准书脚_偶数页"/>
    <w:qFormat/>
    <w:uiPriority w:val="0"/>
    <w:pPr>
      <w:spacing w:before="120"/>
      <w:ind w:left="221"/>
      <w:jc w:val="both"/>
    </w:pPr>
    <w:rPr>
      <w:rFonts w:ascii="宋体" w:hAnsi="Times New Roman" w:eastAsia="宋体" w:cs="Times New Roman"/>
      <w:sz w:val="18"/>
      <w:szCs w:val="18"/>
      <w:lang w:val="en-US" w:eastAsia="zh-CN" w:bidi="ar-SA"/>
    </w:rPr>
  </w:style>
  <w:style w:type="paragraph" w:customStyle="1" w:styleId="72">
    <w:name w:val="标准书眉_偶数页"/>
    <w:basedOn w:val="47"/>
    <w:next w:val="1"/>
    <w:qFormat/>
    <w:uiPriority w:val="0"/>
    <w:pPr>
      <w:jc w:val="left"/>
    </w:pPr>
  </w:style>
  <w:style w:type="paragraph" w:customStyle="1" w:styleId="73">
    <w:name w:val="标准书眉一"/>
    <w:qFormat/>
    <w:uiPriority w:val="0"/>
    <w:pPr>
      <w:jc w:val="both"/>
    </w:pPr>
    <w:rPr>
      <w:rFonts w:ascii="Times New Roman" w:hAnsi="Times New Roman" w:eastAsia="宋体" w:cs="Times New Roman"/>
      <w:lang w:val="en-US" w:eastAsia="zh-CN" w:bidi="ar-SA"/>
    </w:rPr>
  </w:style>
  <w:style w:type="paragraph" w:customStyle="1" w:styleId="74">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6">
    <w:name w:val="发布"/>
    <w:basedOn w:val="37"/>
    <w:qFormat/>
    <w:uiPriority w:val="0"/>
    <w:rPr>
      <w:rFonts w:ascii="黑体" w:eastAsia="黑体"/>
      <w:spacing w:val="85"/>
      <w:w w:val="100"/>
      <w:position w:val="3"/>
      <w:sz w:val="28"/>
      <w:szCs w:val="28"/>
    </w:rPr>
  </w:style>
  <w:style w:type="paragraph" w:customStyle="1" w:styleId="77">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8">
    <w:name w:val="发布日期"/>
    <w:qFormat/>
    <w:uiPriority w:val="0"/>
    <w:pPr>
      <w:framePr w:w="3997" w:h="471" w:hRule="exact" w:vSpace="181" w:wrap="around" w:vAnchor="margin" w:hAnchor="page" w:x="7089" w:y="14097" w:anchorLock="1"/>
      <w:jc w:val="both"/>
    </w:pPr>
    <w:rPr>
      <w:rFonts w:ascii="Times New Roman" w:hAnsi="Times New Roman" w:eastAsia="黑体" w:cs="Times New Roman"/>
      <w:sz w:val="28"/>
      <w:lang w:val="en-US" w:eastAsia="zh-CN" w:bidi="ar-SA"/>
    </w:rPr>
  </w:style>
  <w:style w:type="paragraph" w:customStyle="1" w:styleId="7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2">
    <w:name w:val="封面标准英文名称"/>
    <w:basedOn w:val="81"/>
    <w:qFormat/>
    <w:uiPriority w:val="0"/>
    <w:pPr>
      <w:framePr w:wrap="around"/>
      <w:spacing w:before="370" w:line="400" w:lineRule="exact"/>
    </w:pPr>
    <w:rPr>
      <w:rFonts w:ascii="Times New Roman"/>
      <w:sz w:val="28"/>
      <w:szCs w:val="28"/>
    </w:rPr>
  </w:style>
  <w:style w:type="paragraph" w:customStyle="1" w:styleId="83">
    <w:name w:val="封面一致性程度标识"/>
    <w:basedOn w:val="82"/>
    <w:qFormat/>
    <w:uiPriority w:val="0"/>
    <w:pPr>
      <w:framePr w:wrap="around"/>
      <w:spacing w:before="440"/>
    </w:pPr>
    <w:rPr>
      <w:rFonts w:ascii="宋体" w:eastAsia="宋体"/>
    </w:rPr>
  </w:style>
  <w:style w:type="paragraph" w:customStyle="1" w:styleId="84">
    <w:name w:val="封面标准文稿类别"/>
    <w:basedOn w:val="83"/>
    <w:qFormat/>
    <w:uiPriority w:val="0"/>
    <w:pPr>
      <w:framePr w:wrap="around"/>
      <w:spacing w:after="160" w:line="240" w:lineRule="auto"/>
    </w:pPr>
    <w:rPr>
      <w:sz w:val="24"/>
    </w:rPr>
  </w:style>
  <w:style w:type="paragraph" w:customStyle="1" w:styleId="85">
    <w:name w:val="封面标准文稿编辑信息"/>
    <w:basedOn w:val="84"/>
    <w:qFormat/>
    <w:uiPriority w:val="0"/>
    <w:pPr>
      <w:framePr w:wrap="around"/>
      <w:spacing w:before="180" w:line="180" w:lineRule="exact"/>
    </w:pPr>
    <w:rPr>
      <w:sz w:val="21"/>
    </w:rPr>
  </w:style>
  <w:style w:type="paragraph" w:customStyle="1" w:styleId="86">
    <w:name w:val="封面正文"/>
    <w:qFormat/>
    <w:uiPriority w:val="0"/>
    <w:pPr>
      <w:jc w:val="both"/>
    </w:pPr>
    <w:rPr>
      <w:rFonts w:ascii="Times New Roman" w:hAnsi="Times New Roman" w:eastAsia="宋体" w:cs="Times New Roman"/>
      <w:lang w:val="en-US" w:eastAsia="zh-CN" w:bidi="ar-SA"/>
    </w:rPr>
  </w:style>
  <w:style w:type="paragraph" w:customStyle="1" w:styleId="87">
    <w:name w:val="附录标识"/>
    <w:basedOn w:val="1"/>
    <w:next w:val="27"/>
    <w:qFormat/>
    <w:uiPriority w:val="0"/>
    <w:pPr>
      <w:keepNext/>
      <w:widowControl/>
      <w:numPr>
        <w:ilvl w:val="0"/>
        <w:numId w:val="1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8">
    <w:name w:val="附录标题"/>
    <w:basedOn w:val="27"/>
    <w:next w:val="27"/>
    <w:qFormat/>
    <w:uiPriority w:val="0"/>
    <w:pPr>
      <w:ind w:firstLine="0" w:firstLineChars="0"/>
      <w:jc w:val="center"/>
    </w:pPr>
    <w:rPr>
      <w:rFonts w:ascii="黑体" w:eastAsia="黑体"/>
    </w:rPr>
  </w:style>
  <w:style w:type="paragraph" w:customStyle="1" w:styleId="89">
    <w:name w:val="附录表标号"/>
    <w:basedOn w:val="1"/>
    <w:next w:val="27"/>
    <w:qFormat/>
    <w:uiPriority w:val="99"/>
    <w:pPr>
      <w:numPr>
        <w:ilvl w:val="0"/>
        <w:numId w:val="14"/>
      </w:numPr>
      <w:tabs>
        <w:tab w:val="clear" w:pos="0"/>
      </w:tabs>
      <w:spacing w:line="14" w:lineRule="exact"/>
      <w:ind w:left="811" w:hanging="448"/>
      <w:jc w:val="center"/>
      <w:outlineLvl w:val="0"/>
    </w:pPr>
    <w:rPr>
      <w:color w:val="FFFFFF"/>
    </w:rPr>
  </w:style>
  <w:style w:type="paragraph" w:customStyle="1" w:styleId="90">
    <w:name w:val="附录表标题"/>
    <w:basedOn w:val="1"/>
    <w:next w:val="27"/>
    <w:qFormat/>
    <w:uiPriority w:val="99"/>
    <w:pPr>
      <w:numPr>
        <w:ilvl w:val="1"/>
        <w:numId w:val="14"/>
      </w:numPr>
      <w:tabs>
        <w:tab w:val="left" w:pos="180"/>
      </w:tabs>
      <w:spacing w:beforeLines="50" w:afterLines="50"/>
      <w:ind w:left="0" w:firstLine="0"/>
      <w:jc w:val="center"/>
    </w:pPr>
    <w:rPr>
      <w:rFonts w:ascii="黑体" w:eastAsia="黑体"/>
      <w:szCs w:val="21"/>
    </w:rPr>
  </w:style>
  <w:style w:type="paragraph" w:customStyle="1" w:styleId="91">
    <w:name w:val="附录二级条标题"/>
    <w:basedOn w:val="1"/>
    <w:next w:val="27"/>
    <w:qFormat/>
    <w:uiPriority w:val="0"/>
    <w:pPr>
      <w:widowControl/>
      <w:numPr>
        <w:ilvl w:val="3"/>
        <w:numId w:val="13"/>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2">
    <w:name w:val="附录二级无"/>
    <w:basedOn w:val="91"/>
    <w:qFormat/>
    <w:uiPriority w:val="0"/>
    <w:pPr>
      <w:tabs>
        <w:tab w:val="clear" w:pos="360"/>
      </w:tabs>
      <w:spacing w:beforeLines="0" w:afterLines="0"/>
    </w:pPr>
    <w:rPr>
      <w:rFonts w:ascii="宋体" w:eastAsia="宋体"/>
      <w:szCs w:val="21"/>
    </w:rPr>
  </w:style>
  <w:style w:type="paragraph" w:customStyle="1" w:styleId="93">
    <w:name w:val="附录公式"/>
    <w:basedOn w:val="27"/>
    <w:next w:val="27"/>
    <w:link w:val="94"/>
    <w:qFormat/>
    <w:uiPriority w:val="0"/>
  </w:style>
  <w:style w:type="character" w:customStyle="1" w:styleId="94">
    <w:name w:val="附录公式 Char"/>
    <w:basedOn w:val="44"/>
    <w:link w:val="93"/>
    <w:qFormat/>
    <w:uiPriority w:val="0"/>
    <w:rPr>
      <w:rFonts w:ascii="宋体"/>
      <w:sz w:val="21"/>
      <w:lang w:val="en-US" w:eastAsia="zh-CN" w:bidi="ar-SA"/>
    </w:rPr>
  </w:style>
  <w:style w:type="paragraph" w:customStyle="1" w:styleId="95">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96">
    <w:name w:val="附录三级条标题"/>
    <w:basedOn w:val="91"/>
    <w:next w:val="27"/>
    <w:qFormat/>
    <w:uiPriority w:val="99"/>
    <w:pPr>
      <w:numPr>
        <w:ilvl w:val="4"/>
      </w:numPr>
      <w:outlineLvl w:val="4"/>
    </w:pPr>
  </w:style>
  <w:style w:type="paragraph" w:customStyle="1" w:styleId="97">
    <w:name w:val="附录三级无"/>
    <w:basedOn w:val="96"/>
    <w:qFormat/>
    <w:uiPriority w:val="0"/>
    <w:pPr>
      <w:tabs>
        <w:tab w:val="clear" w:pos="360"/>
      </w:tabs>
      <w:spacing w:beforeLines="0" w:afterLines="0"/>
    </w:pPr>
    <w:rPr>
      <w:rFonts w:ascii="宋体" w:eastAsia="宋体"/>
      <w:szCs w:val="21"/>
    </w:rPr>
  </w:style>
  <w:style w:type="paragraph" w:customStyle="1" w:styleId="98">
    <w:name w:val="附录数字编号列项（二级）"/>
    <w:qFormat/>
    <w:uiPriority w:val="0"/>
    <w:pPr>
      <w:numPr>
        <w:ilvl w:val="1"/>
        <w:numId w:val="15"/>
      </w:numPr>
      <w:jc w:val="both"/>
    </w:pPr>
    <w:rPr>
      <w:rFonts w:ascii="宋体" w:hAnsi="Times New Roman" w:eastAsia="宋体" w:cs="Times New Roman"/>
      <w:sz w:val="21"/>
      <w:lang w:val="en-US" w:eastAsia="zh-CN" w:bidi="ar-SA"/>
    </w:rPr>
  </w:style>
  <w:style w:type="paragraph" w:customStyle="1" w:styleId="99">
    <w:name w:val="附录四级条标题"/>
    <w:basedOn w:val="96"/>
    <w:next w:val="27"/>
    <w:qFormat/>
    <w:uiPriority w:val="0"/>
    <w:pPr>
      <w:numPr>
        <w:ilvl w:val="5"/>
      </w:numPr>
      <w:outlineLvl w:val="5"/>
    </w:pPr>
  </w:style>
  <w:style w:type="paragraph" w:customStyle="1" w:styleId="100">
    <w:name w:val="附录四级无"/>
    <w:basedOn w:val="99"/>
    <w:qFormat/>
    <w:uiPriority w:val="0"/>
    <w:pPr>
      <w:tabs>
        <w:tab w:val="clear" w:pos="360"/>
      </w:tabs>
      <w:spacing w:beforeLines="0" w:afterLines="0"/>
    </w:pPr>
    <w:rPr>
      <w:rFonts w:ascii="宋体" w:eastAsia="宋体"/>
      <w:szCs w:val="21"/>
    </w:rPr>
  </w:style>
  <w:style w:type="paragraph" w:customStyle="1" w:styleId="101">
    <w:name w:val="附录图标号"/>
    <w:basedOn w:val="1"/>
    <w:qFormat/>
    <w:uiPriority w:val="0"/>
    <w:pPr>
      <w:keepNext/>
      <w:pageBreakBefore/>
      <w:widowControl/>
      <w:numPr>
        <w:ilvl w:val="0"/>
        <w:numId w:val="16"/>
      </w:numPr>
      <w:spacing w:line="14" w:lineRule="exact"/>
      <w:ind w:left="0" w:firstLine="363"/>
      <w:jc w:val="center"/>
      <w:outlineLvl w:val="0"/>
    </w:pPr>
    <w:rPr>
      <w:color w:val="FFFFFF"/>
    </w:rPr>
  </w:style>
  <w:style w:type="paragraph" w:customStyle="1" w:styleId="102">
    <w:name w:val="附录图标题"/>
    <w:basedOn w:val="1"/>
    <w:next w:val="27"/>
    <w:qFormat/>
    <w:uiPriority w:val="0"/>
    <w:pPr>
      <w:numPr>
        <w:ilvl w:val="1"/>
        <w:numId w:val="16"/>
      </w:numPr>
      <w:tabs>
        <w:tab w:val="left" w:pos="363"/>
      </w:tabs>
      <w:spacing w:beforeLines="50" w:afterLines="50"/>
      <w:ind w:left="0" w:firstLine="0"/>
      <w:jc w:val="center"/>
    </w:pPr>
    <w:rPr>
      <w:rFonts w:ascii="黑体" w:eastAsia="黑体"/>
      <w:szCs w:val="21"/>
    </w:rPr>
  </w:style>
  <w:style w:type="paragraph" w:customStyle="1" w:styleId="103">
    <w:name w:val="附录五级条标题"/>
    <w:basedOn w:val="99"/>
    <w:next w:val="27"/>
    <w:qFormat/>
    <w:uiPriority w:val="99"/>
    <w:pPr>
      <w:numPr>
        <w:ilvl w:val="6"/>
      </w:numPr>
      <w:outlineLvl w:val="6"/>
    </w:pPr>
  </w:style>
  <w:style w:type="paragraph" w:customStyle="1" w:styleId="104">
    <w:name w:val="附录五级无"/>
    <w:basedOn w:val="103"/>
    <w:qFormat/>
    <w:uiPriority w:val="0"/>
    <w:pPr>
      <w:tabs>
        <w:tab w:val="clear" w:pos="360"/>
      </w:tabs>
      <w:spacing w:beforeLines="0" w:afterLines="0"/>
    </w:pPr>
    <w:rPr>
      <w:rFonts w:ascii="宋体" w:eastAsia="宋体"/>
      <w:szCs w:val="21"/>
    </w:rPr>
  </w:style>
  <w:style w:type="paragraph" w:customStyle="1" w:styleId="105">
    <w:name w:val="附录章标题"/>
    <w:next w:val="27"/>
    <w:qFormat/>
    <w:uiPriority w:val="0"/>
    <w:pPr>
      <w:numPr>
        <w:ilvl w:val="1"/>
        <w:numId w:val="13"/>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附录一级条标题"/>
    <w:basedOn w:val="105"/>
    <w:next w:val="27"/>
    <w:qFormat/>
    <w:uiPriority w:val="0"/>
    <w:pPr>
      <w:numPr>
        <w:ilvl w:val="2"/>
      </w:numPr>
      <w:autoSpaceDN w:val="0"/>
      <w:spacing w:beforeLines="50" w:afterLines="50"/>
      <w:outlineLvl w:val="2"/>
    </w:pPr>
  </w:style>
  <w:style w:type="paragraph" w:customStyle="1" w:styleId="107">
    <w:name w:val="附录一级无"/>
    <w:basedOn w:val="106"/>
    <w:qFormat/>
    <w:uiPriority w:val="0"/>
    <w:pPr>
      <w:tabs>
        <w:tab w:val="clear" w:pos="360"/>
      </w:tabs>
      <w:spacing w:beforeLines="0" w:afterLines="0"/>
    </w:pPr>
    <w:rPr>
      <w:rFonts w:ascii="宋体" w:eastAsia="宋体"/>
      <w:szCs w:val="21"/>
    </w:rPr>
  </w:style>
  <w:style w:type="paragraph" w:customStyle="1" w:styleId="108">
    <w:name w:val="附录字母编号列项（一级）"/>
    <w:qFormat/>
    <w:uiPriority w:val="0"/>
    <w:pPr>
      <w:numPr>
        <w:ilvl w:val="0"/>
        <w:numId w:val="15"/>
      </w:numPr>
      <w:jc w:val="both"/>
    </w:pPr>
    <w:rPr>
      <w:rFonts w:ascii="宋体" w:hAnsi="Times New Roman" w:eastAsia="宋体" w:cs="Times New Roman"/>
      <w:sz w:val="21"/>
      <w:lang w:val="en-US" w:eastAsia="zh-CN" w:bidi="ar-SA"/>
    </w:rPr>
  </w:style>
  <w:style w:type="paragraph" w:customStyle="1" w:styleId="10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0">
    <w:name w:val="列项说明数字编号"/>
    <w:qFormat/>
    <w:uiPriority w:val="0"/>
    <w:pPr>
      <w:ind w:left="600" w:leftChars="400" w:hanging="200" w:hangingChars="200"/>
      <w:jc w:val="both"/>
    </w:pPr>
    <w:rPr>
      <w:rFonts w:ascii="宋体" w:hAnsi="Times New Roman" w:eastAsia="宋体" w:cs="Times New Roman"/>
      <w:sz w:val="21"/>
      <w:lang w:val="en-US" w:eastAsia="zh-CN" w:bidi="ar-SA"/>
    </w:rPr>
  </w:style>
  <w:style w:type="paragraph" w:customStyle="1" w:styleId="11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2">
    <w:name w:val="其他标准标志"/>
    <w:basedOn w:val="69"/>
    <w:qFormat/>
    <w:uiPriority w:val="0"/>
    <w:pPr>
      <w:framePr w:w="6101" w:wrap="around" w:vAnchor="page" w:hAnchor="page" w:x="4673" w:y="942"/>
    </w:pPr>
    <w:rPr>
      <w:w w:val="130"/>
    </w:rPr>
  </w:style>
  <w:style w:type="paragraph" w:customStyle="1" w:styleId="11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4">
    <w:name w:val="其他发布部门"/>
    <w:basedOn w:val="77"/>
    <w:qFormat/>
    <w:uiPriority w:val="0"/>
    <w:pPr>
      <w:framePr w:wrap="around" w:y="15310"/>
      <w:spacing w:line="0" w:lineRule="atLeast"/>
    </w:pPr>
    <w:rPr>
      <w:rFonts w:ascii="黑体" w:eastAsia="黑体"/>
      <w:b w:val="0"/>
    </w:rPr>
  </w:style>
  <w:style w:type="paragraph" w:customStyle="1" w:styleId="115">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6">
    <w:name w:val="三级无"/>
    <w:basedOn w:val="54"/>
    <w:qFormat/>
    <w:uiPriority w:val="0"/>
    <w:pPr>
      <w:spacing w:beforeLines="0" w:afterLines="0"/>
    </w:pPr>
    <w:rPr>
      <w:rFonts w:ascii="宋体" w:eastAsia="宋体"/>
    </w:rPr>
  </w:style>
  <w:style w:type="paragraph" w:customStyle="1" w:styleId="117">
    <w:name w:val="实施日期"/>
    <w:basedOn w:val="78"/>
    <w:qFormat/>
    <w:uiPriority w:val="0"/>
    <w:pPr>
      <w:framePr w:wrap="around" w:vAnchor="page" w:hAnchor="text"/>
      <w:jc w:val="right"/>
    </w:pPr>
  </w:style>
  <w:style w:type="paragraph" w:customStyle="1" w:styleId="118">
    <w:name w:val="示例后文字"/>
    <w:basedOn w:val="27"/>
    <w:next w:val="27"/>
    <w:qFormat/>
    <w:uiPriority w:val="0"/>
    <w:pPr>
      <w:ind w:firstLine="360"/>
    </w:pPr>
    <w:rPr>
      <w:sz w:val="18"/>
    </w:rPr>
  </w:style>
  <w:style w:type="paragraph" w:customStyle="1" w:styleId="119">
    <w:name w:val="首示例"/>
    <w:next w:val="27"/>
    <w:link w:val="120"/>
    <w:qFormat/>
    <w:uiPriority w:val="0"/>
    <w:pPr>
      <w:numPr>
        <w:ilvl w:val="0"/>
        <w:numId w:val="17"/>
      </w:numPr>
      <w:tabs>
        <w:tab w:val="left" w:pos="360"/>
      </w:tabs>
      <w:ind w:firstLine="0"/>
      <w:jc w:val="both"/>
    </w:pPr>
    <w:rPr>
      <w:rFonts w:ascii="宋体" w:hAnsi="宋体" w:eastAsia="宋体" w:cs="Times New Roman"/>
      <w:kern w:val="2"/>
      <w:sz w:val="18"/>
      <w:szCs w:val="18"/>
      <w:lang w:val="en-US" w:eastAsia="zh-CN" w:bidi="ar-SA"/>
    </w:rPr>
  </w:style>
  <w:style w:type="character" w:customStyle="1" w:styleId="120">
    <w:name w:val="首示例 Char"/>
    <w:basedOn w:val="37"/>
    <w:link w:val="119"/>
    <w:qFormat/>
    <w:uiPriority w:val="0"/>
    <w:rPr>
      <w:rFonts w:ascii="宋体" w:hAnsi="宋体"/>
      <w:kern w:val="2"/>
      <w:sz w:val="18"/>
      <w:szCs w:val="18"/>
      <w:lang w:val="en-US" w:eastAsia="zh-CN" w:bidi="ar-SA"/>
    </w:rPr>
  </w:style>
  <w:style w:type="paragraph" w:customStyle="1" w:styleId="121">
    <w:name w:val="四级无"/>
    <w:basedOn w:val="58"/>
    <w:qFormat/>
    <w:uiPriority w:val="0"/>
    <w:pPr>
      <w:spacing w:beforeLines="0" w:afterLines="0"/>
    </w:pPr>
    <w:rPr>
      <w:rFonts w:ascii="宋体" w:eastAsia="宋体"/>
    </w:rPr>
  </w:style>
  <w:style w:type="paragraph" w:customStyle="1" w:styleId="122">
    <w:name w:val="条文脚注"/>
    <w:basedOn w:val="28"/>
    <w:qFormat/>
    <w:uiPriority w:val="0"/>
    <w:pPr>
      <w:numPr>
        <w:numId w:val="0"/>
      </w:numPr>
      <w:jc w:val="both"/>
    </w:pPr>
  </w:style>
  <w:style w:type="paragraph" w:customStyle="1" w:styleId="123">
    <w:name w:val="图标脚注说明"/>
    <w:basedOn w:val="27"/>
    <w:qFormat/>
    <w:uiPriority w:val="0"/>
    <w:pPr>
      <w:ind w:left="840" w:hanging="420" w:firstLineChars="0"/>
    </w:pPr>
    <w:rPr>
      <w:sz w:val="18"/>
      <w:szCs w:val="18"/>
    </w:rPr>
  </w:style>
  <w:style w:type="paragraph" w:customStyle="1" w:styleId="124">
    <w:name w:val="图表脚注说明"/>
    <w:basedOn w:val="1"/>
    <w:qFormat/>
    <w:uiPriority w:val="0"/>
    <w:pPr>
      <w:numPr>
        <w:ilvl w:val="0"/>
        <w:numId w:val="18"/>
      </w:numPr>
    </w:pPr>
    <w:rPr>
      <w:rFonts w:ascii="宋体"/>
      <w:sz w:val="18"/>
      <w:szCs w:val="18"/>
    </w:rPr>
  </w:style>
  <w:style w:type="paragraph" w:customStyle="1" w:styleId="125">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6">
    <w:name w:val="文献分类号"/>
    <w:qFormat/>
    <w:uiPriority w:val="0"/>
    <w:pPr>
      <w:framePr w:hSpace="180" w:vSpace="180" w:wrap="around" w:vAnchor="margin" w:hAnchor="margin" w:y="1" w:anchorLock="1"/>
      <w:widowControl w:val="0"/>
      <w:jc w:val="both"/>
      <w:textAlignment w:val="center"/>
    </w:pPr>
    <w:rPr>
      <w:rFonts w:ascii="黑体" w:hAnsi="Times New Roman" w:eastAsia="黑体" w:cs="Times New Roman"/>
      <w:sz w:val="21"/>
      <w:szCs w:val="21"/>
      <w:lang w:val="en-US" w:eastAsia="zh-CN" w:bidi="ar-SA"/>
    </w:rPr>
  </w:style>
  <w:style w:type="paragraph" w:customStyle="1" w:styleId="127">
    <w:name w:val="五级无"/>
    <w:basedOn w:val="59"/>
    <w:qFormat/>
    <w:uiPriority w:val="0"/>
    <w:pPr>
      <w:spacing w:beforeLines="0" w:afterLines="0"/>
    </w:pPr>
    <w:rPr>
      <w:rFonts w:ascii="宋体" w:eastAsia="宋体"/>
    </w:rPr>
  </w:style>
  <w:style w:type="paragraph" w:customStyle="1" w:styleId="128">
    <w:name w:val="一级无"/>
    <w:basedOn w:val="45"/>
    <w:qFormat/>
    <w:uiPriority w:val="0"/>
    <w:pPr>
      <w:spacing w:beforeLines="0" w:afterLines="0"/>
    </w:pPr>
    <w:rPr>
      <w:rFonts w:ascii="宋体" w:eastAsia="宋体"/>
    </w:rPr>
  </w:style>
  <w:style w:type="paragraph" w:customStyle="1" w:styleId="129">
    <w:name w:val="正文表标题"/>
    <w:next w:val="27"/>
    <w:qFormat/>
    <w:uiPriority w:val="0"/>
    <w:pPr>
      <w:numPr>
        <w:ilvl w:val="0"/>
        <w:numId w:val="19"/>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0">
    <w:name w:val="正文公式编号制表符"/>
    <w:basedOn w:val="27"/>
    <w:next w:val="27"/>
    <w:qFormat/>
    <w:uiPriority w:val="0"/>
    <w:pPr>
      <w:ind w:firstLine="0" w:firstLineChars="0"/>
    </w:pPr>
  </w:style>
  <w:style w:type="paragraph" w:customStyle="1" w:styleId="131">
    <w:name w:val="正文图标题"/>
    <w:next w:val="27"/>
    <w:qFormat/>
    <w:uiPriority w:val="0"/>
    <w:pPr>
      <w:numPr>
        <w:ilvl w:val="0"/>
        <w:numId w:val="20"/>
      </w:numPr>
      <w:spacing w:beforeLines="50" w:afterLines="50"/>
      <w:jc w:val="center"/>
    </w:pPr>
    <w:rPr>
      <w:rFonts w:ascii="黑体" w:hAnsi="Times New Roman" w:eastAsia="黑体" w:cs="Times New Roman"/>
      <w:sz w:val="21"/>
      <w:lang w:val="en-US" w:eastAsia="zh-CN" w:bidi="ar-SA"/>
    </w:rPr>
  </w:style>
  <w:style w:type="paragraph" w:customStyle="1" w:styleId="132">
    <w:name w:val="终结线"/>
    <w:basedOn w:val="1"/>
    <w:qFormat/>
    <w:uiPriority w:val="0"/>
    <w:pPr>
      <w:framePr w:hSpace="181" w:vSpace="181" w:wrap="around" w:vAnchor="text" w:hAnchor="margin" w:xAlign="center" w:y="285"/>
    </w:pPr>
  </w:style>
  <w:style w:type="paragraph" w:customStyle="1" w:styleId="133">
    <w:name w:val="其他发布日期"/>
    <w:basedOn w:val="78"/>
    <w:qFormat/>
    <w:uiPriority w:val="0"/>
    <w:pPr>
      <w:framePr w:wrap="around" w:vAnchor="page" w:hAnchor="text" w:x="1419"/>
    </w:pPr>
  </w:style>
  <w:style w:type="paragraph" w:customStyle="1" w:styleId="134">
    <w:name w:val="其他实施日期"/>
    <w:basedOn w:val="117"/>
    <w:qFormat/>
    <w:uiPriority w:val="0"/>
    <w:pPr>
      <w:framePr w:wrap="around"/>
    </w:pPr>
  </w:style>
  <w:style w:type="paragraph" w:customStyle="1" w:styleId="135">
    <w:name w:val="封面标准名称2"/>
    <w:basedOn w:val="81"/>
    <w:qFormat/>
    <w:uiPriority w:val="0"/>
    <w:pPr>
      <w:framePr w:wrap="around" w:y="4469"/>
      <w:spacing w:beforeLines="630"/>
    </w:pPr>
  </w:style>
  <w:style w:type="paragraph" w:customStyle="1" w:styleId="136">
    <w:name w:val="封面标准英文名称2"/>
    <w:basedOn w:val="82"/>
    <w:qFormat/>
    <w:uiPriority w:val="0"/>
    <w:pPr>
      <w:framePr w:wrap="around" w:y="4469"/>
    </w:pPr>
  </w:style>
  <w:style w:type="paragraph" w:customStyle="1" w:styleId="137">
    <w:name w:val="封面一致性程度标识2"/>
    <w:basedOn w:val="83"/>
    <w:qFormat/>
    <w:uiPriority w:val="0"/>
    <w:pPr>
      <w:framePr w:wrap="around" w:y="4469"/>
    </w:pPr>
  </w:style>
  <w:style w:type="paragraph" w:customStyle="1" w:styleId="138">
    <w:name w:val="封面标准文稿类别2"/>
    <w:basedOn w:val="84"/>
    <w:qFormat/>
    <w:uiPriority w:val="0"/>
    <w:pPr>
      <w:framePr w:wrap="around" w:y="4469"/>
    </w:pPr>
  </w:style>
  <w:style w:type="paragraph" w:customStyle="1" w:styleId="139">
    <w:name w:val="封面标准文稿编辑信息2"/>
    <w:basedOn w:val="85"/>
    <w:qFormat/>
    <w:uiPriority w:val="0"/>
    <w:pPr>
      <w:framePr w:wrap="around" w:y="4469"/>
    </w:pPr>
  </w:style>
  <w:style w:type="character" w:customStyle="1" w:styleId="140">
    <w:name w:val="标题 1 Char"/>
    <w:basedOn w:val="37"/>
    <w:link w:val="2"/>
    <w:qFormat/>
    <w:uiPriority w:val="0"/>
    <w:rPr>
      <w:rFonts w:ascii="Calibri" w:hAnsi="Calibri"/>
      <w:b/>
      <w:bCs/>
      <w:kern w:val="44"/>
      <w:sz w:val="44"/>
      <w:szCs w:val="44"/>
    </w:rPr>
  </w:style>
  <w:style w:type="paragraph" w:styleId="141">
    <w:name w:val="List Paragraph"/>
    <w:basedOn w:val="1"/>
    <w:qFormat/>
    <w:uiPriority w:val="34"/>
    <w:pPr>
      <w:ind w:firstLine="420" w:firstLineChars="200"/>
    </w:pPr>
    <w:rPr>
      <w:rFonts w:ascii="Calibri" w:hAnsi="Calibri"/>
      <w:szCs w:val="22"/>
    </w:rPr>
  </w:style>
  <w:style w:type="character" w:customStyle="1" w:styleId="142">
    <w:name w:val="页脚 Char"/>
    <w:basedOn w:val="37"/>
    <w:link w:val="21"/>
    <w:qFormat/>
    <w:uiPriority w:val="99"/>
    <w:rPr>
      <w:kern w:val="2"/>
      <w:sz w:val="18"/>
      <w:szCs w:val="18"/>
    </w:rPr>
  </w:style>
  <w:style w:type="character" w:customStyle="1" w:styleId="143">
    <w:name w:val="页眉 Char"/>
    <w:basedOn w:val="37"/>
    <w:link w:val="22"/>
    <w:qFormat/>
    <w:uiPriority w:val="0"/>
    <w:rPr>
      <w:kern w:val="2"/>
      <w:sz w:val="18"/>
      <w:szCs w:val="18"/>
    </w:rPr>
  </w:style>
  <w:style w:type="character" w:customStyle="1" w:styleId="144">
    <w:name w:val="脚注文本 Char"/>
    <w:basedOn w:val="37"/>
    <w:link w:val="28"/>
    <w:qFormat/>
    <w:uiPriority w:val="0"/>
    <w:rPr>
      <w:rFonts w:ascii="宋体"/>
      <w:kern w:val="2"/>
      <w:sz w:val="18"/>
      <w:szCs w:val="18"/>
    </w:rPr>
  </w:style>
  <w:style w:type="character" w:customStyle="1" w:styleId="145">
    <w:name w:val="尾注文本 Char"/>
    <w:basedOn w:val="37"/>
    <w:link w:val="19"/>
    <w:semiHidden/>
    <w:qFormat/>
    <w:uiPriority w:val="0"/>
    <w:rPr>
      <w:kern w:val="2"/>
      <w:sz w:val="21"/>
      <w:szCs w:val="24"/>
    </w:rPr>
  </w:style>
  <w:style w:type="character" w:customStyle="1" w:styleId="146">
    <w:name w:val="文档结构图 Char"/>
    <w:basedOn w:val="37"/>
    <w:link w:val="11"/>
    <w:semiHidden/>
    <w:qFormat/>
    <w:uiPriority w:val="0"/>
    <w:rPr>
      <w:kern w:val="2"/>
      <w:sz w:val="21"/>
      <w:szCs w:val="24"/>
      <w:shd w:val="clear" w:color="auto" w:fill="000080"/>
    </w:rPr>
  </w:style>
  <w:style w:type="character" w:customStyle="1" w:styleId="147">
    <w:name w:val="一级条标题 Char"/>
    <w:basedOn w:val="37"/>
    <w:link w:val="45"/>
    <w:qFormat/>
    <w:locked/>
    <w:uiPriority w:val="99"/>
    <w:rPr>
      <w:rFonts w:ascii="黑体" w:eastAsia="黑体"/>
      <w:sz w:val="21"/>
      <w:szCs w:val="21"/>
      <w:lang w:val="en-US" w:eastAsia="zh-CN" w:bidi="ar-SA"/>
    </w:rPr>
  </w:style>
  <w:style w:type="character" w:customStyle="1" w:styleId="148">
    <w:name w:val="二级条标题 Char"/>
    <w:basedOn w:val="147"/>
    <w:link w:val="49"/>
    <w:qFormat/>
    <w:locked/>
    <w:uiPriority w:val="99"/>
    <w:rPr>
      <w:rFonts w:ascii="黑体" w:eastAsia="黑体"/>
      <w:sz w:val="21"/>
      <w:szCs w:val="21"/>
      <w:lang w:val="en-US" w:eastAsia="zh-CN" w:bidi="ar-SA"/>
    </w:rPr>
  </w:style>
  <w:style w:type="paragraph" w:customStyle="1" w:styleId="149">
    <w:name w:val="p15"/>
    <w:basedOn w:val="1"/>
    <w:qFormat/>
    <w:uiPriority w:val="0"/>
    <w:pPr>
      <w:widowControl/>
      <w:spacing w:beforeLines="50" w:afterLines="50"/>
      <w:ind w:firstLine="420"/>
    </w:pPr>
    <w:rPr>
      <w:rFonts w:ascii="宋体" w:hAnsi="宋体" w:cs="宋体"/>
      <w:kern w:val="0"/>
      <w:szCs w:val="21"/>
    </w:rPr>
  </w:style>
  <w:style w:type="paragraph" w:customStyle="1" w:styleId="150">
    <w:name w:val="p0"/>
    <w:basedOn w:val="1"/>
    <w:qFormat/>
    <w:uiPriority w:val="0"/>
    <w:pPr>
      <w:widowControl/>
      <w:spacing w:beforeLines="50" w:afterLines="50"/>
      <w:ind w:firstLine="420"/>
    </w:pPr>
    <w:rPr>
      <w:kern w:val="0"/>
      <w:szCs w:val="21"/>
    </w:rPr>
  </w:style>
  <w:style w:type="paragraph" w:customStyle="1" w:styleId="151">
    <w:name w:val="列出段落1"/>
    <w:basedOn w:val="1"/>
    <w:qFormat/>
    <w:uiPriority w:val="0"/>
    <w:pPr>
      <w:spacing w:beforeLines="50" w:afterLines="50"/>
      <w:ind w:firstLine="420" w:firstLineChars="200"/>
    </w:pPr>
  </w:style>
  <w:style w:type="paragraph" w:customStyle="1" w:styleId="152">
    <w:name w:val="ordinary-output target-output clearfix"/>
    <w:basedOn w:val="1"/>
    <w:qFormat/>
    <w:uiPriority w:val="0"/>
    <w:pPr>
      <w:widowControl/>
      <w:spacing w:beforeLines="50" w:beforeAutospacing="1" w:afterLines="50" w:afterAutospacing="1"/>
      <w:jc w:val="left"/>
    </w:pPr>
    <w:rPr>
      <w:rFonts w:ascii="宋体" w:hAnsi="宋体" w:cs="宋体"/>
      <w:kern w:val="0"/>
      <w:sz w:val="24"/>
    </w:rPr>
  </w:style>
  <w:style w:type="character" w:customStyle="1" w:styleId="153">
    <w:name w:val="high-light-bg ordinary-span-edit"/>
    <w:basedOn w:val="37"/>
    <w:qFormat/>
    <w:uiPriority w:val="0"/>
    <w:rPr>
      <w:rFonts w:cs="Times New Roman"/>
    </w:rPr>
  </w:style>
  <w:style w:type="paragraph" w:customStyle="1" w:styleId="154">
    <w:name w:val="列出段落2"/>
    <w:basedOn w:val="1"/>
    <w:qFormat/>
    <w:uiPriority w:val="0"/>
    <w:pPr>
      <w:spacing w:beforeLines="50" w:afterLines="50"/>
      <w:ind w:firstLine="420" w:firstLineChars="200"/>
    </w:pPr>
  </w:style>
  <w:style w:type="paragraph" w:customStyle="1" w:styleId="155">
    <w:name w:val="Default"/>
    <w:qFormat/>
    <w:uiPriority w:val="0"/>
    <w:pPr>
      <w:widowControl w:val="0"/>
      <w:autoSpaceDE w:val="0"/>
      <w:autoSpaceDN w:val="0"/>
      <w:adjustRightInd w:val="0"/>
      <w:jc w:val="both"/>
    </w:pPr>
    <w:rPr>
      <w:rFonts w:ascii="Source Sans Pro" w:hAnsi="Times New Roman" w:eastAsia="Source Sans Pro" w:cs="Source Sans Pro"/>
      <w:color w:val="000000"/>
      <w:sz w:val="24"/>
      <w:szCs w:val="24"/>
      <w:lang w:val="en-US" w:eastAsia="zh-CN" w:bidi="ar-SA"/>
    </w:rPr>
  </w:style>
  <w:style w:type="paragraph" w:customStyle="1" w:styleId="156">
    <w:name w:val="Char Char2 Char Char"/>
    <w:basedOn w:val="1"/>
    <w:qFormat/>
    <w:uiPriority w:val="0"/>
    <w:pPr>
      <w:spacing w:line="360" w:lineRule="auto"/>
    </w:pPr>
    <w:rPr>
      <w:sz w:val="24"/>
    </w:rPr>
  </w:style>
  <w:style w:type="paragraph" w:customStyle="1" w:styleId="157">
    <w:name w:val="Char Char Char Char Char Char Char Char Char Char Char1 Char Char Char4 Char Char Char Char Char Char Char"/>
    <w:basedOn w:val="1"/>
    <w:qFormat/>
    <w:uiPriority w:val="0"/>
    <w:pPr>
      <w:spacing w:line="360" w:lineRule="auto"/>
    </w:pPr>
    <w:rPr>
      <w:sz w:val="24"/>
    </w:rPr>
  </w:style>
  <w:style w:type="paragraph" w:customStyle="1" w:styleId="158">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59">
    <w:name w:val="批注框文本 Char"/>
    <w:basedOn w:val="37"/>
    <w:link w:val="20"/>
    <w:qFormat/>
    <w:uiPriority w:val="99"/>
    <w:rPr>
      <w:rFonts w:ascii="Calibri" w:hAnsi="Calibri"/>
      <w:kern w:val="2"/>
      <w:sz w:val="18"/>
      <w:szCs w:val="18"/>
    </w:rPr>
  </w:style>
  <w:style w:type="paragraph" w:customStyle="1" w:styleId="160">
    <w:name w:val="标题2"/>
    <w:link w:val="16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61">
    <w:name w:val="标题2 Char"/>
    <w:link w:val="160"/>
    <w:qFormat/>
    <w:uiPriority w:val="0"/>
    <w:rPr>
      <w:rFonts w:ascii="宋体"/>
      <w:sz w:val="21"/>
      <w:lang w:bidi="ar-SA"/>
    </w:rPr>
  </w:style>
  <w:style w:type="character" w:customStyle="1" w:styleId="162">
    <w:name w:val="EmailStyle168"/>
    <w:basedOn w:val="37"/>
    <w:qFormat/>
    <w:uiPriority w:val="0"/>
    <w:rPr>
      <w:rFonts w:ascii="Arial" w:hAnsi="Arial" w:eastAsia="宋体" w:cs="Arial"/>
      <w:color w:val="auto"/>
      <w:sz w:val="20"/>
    </w:rPr>
  </w:style>
  <w:style w:type="paragraph" w:customStyle="1" w:styleId="163">
    <w:name w:val="三级标题"/>
    <w:basedOn w:val="141"/>
    <w:qFormat/>
    <w:uiPriority w:val="0"/>
    <w:pPr>
      <w:numPr>
        <w:ilvl w:val="0"/>
        <w:numId w:val="21"/>
      </w:numPr>
      <w:spacing w:before="100" w:beforeLines="100" w:after="100" w:afterLines="100"/>
      <w:ind w:firstLine="0" w:firstLineChars="0"/>
      <w:jc w:val="left"/>
      <w:outlineLvl w:val="2"/>
    </w:pPr>
    <w:rPr>
      <w:rFonts w:ascii="楷体_GB2312" w:hAnsi="楷体_GB2312" w:eastAsia="黑体"/>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44"/>
    <customShpInfo spid="_x0000_s1071"/>
    <customShpInfo spid="_x0000_s1073"/>
    <customShpInfo spid="_x0000_s1072"/>
    <customShpInfo spid="_x0000_s1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1A0D8-6FDD-4BE3-8019-B2F0A18318C1}">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17</Pages>
  <Words>2380</Words>
  <Characters>13568</Characters>
  <Lines>113</Lines>
  <Paragraphs>31</Paragraphs>
  <TotalTime>0</TotalTime>
  <ScaleCrop>false</ScaleCrop>
  <LinksUpToDate>false</LinksUpToDate>
  <CharactersWithSpaces>15917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2022-06-13T09:33:00Z</dcterms:created>
  <dc:creator>CNIS</dc:creator>
  <cp:lastModifiedBy>s</cp:lastModifiedBy>
  <cp:lastPrinted>2021-06-30T08:03:00Z</cp:lastPrinted>
  <dcterms:modified xsi:type="dcterms:W3CDTF">2022-09-06T08:31:19Z</dcterms:modified>
  <dc:title>标准名称</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8AB342177BA5462B9FDB051397D0F966</vt:lpwstr>
  </property>
</Properties>
</file>